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ind w:firstLine="0"/>
        <w:tabs>
          <w:tab w:val="left" w:pos="7642" w:leader="none"/>
        </w:tabs>
        <w:rPr>
          <w:rFonts w:ascii="宋体" w:hAnsi="宋体" w:cs="宋体"/>
          <w:b/>
          <w:color w:val="000000" w:themeColor="text1"/>
          <w:sz w:val="52"/>
          <w:szCs w:val="52"/>
          <w14:textFill>
            <w14:solidFill>
              <w14:schemeClr w14:val="tx1"/>
            </w14:solidFill>
          </w14:textFill>
        </w:rPr>
      </w:pPr>
      <w:r>
        <w:rPr>
          <w:rFonts w:hint="eastAsia" w:ascii="宋体" w:hAnsi="宋体" w:cs="宋体"/>
          <w:b/>
          <w:color w:val="000000" w:themeColor="text1"/>
          <w:sz w:val="52"/>
          <w:szCs w:val="52"/>
          <w14:textFill>
            <w14:solidFill>
              <w14:schemeClr w14:val="tx1"/>
            </w14:solidFill>
          </w14:textFill>
        </w:rPr>
        <w:t xml:space="preserve"> </w:t>
      </w:r>
      <w:r>
        <w:rPr>
          <w:rFonts w:hint="eastAsia" w:ascii="宋体" w:hAnsi="宋体" w:cs="宋体"/>
          <w:b/>
          <w:color w:val="000000" w:themeColor="text1"/>
          <w:sz w:val="52"/>
          <w:szCs w:val="52"/>
          <w14:textFill>
            <w14:solidFill>
              <w14:schemeClr w14:val="tx1"/>
            </w14:solidFill>
          </w14:textFill>
        </w:rPr>
        <w:tab/>
      </w:r>
      <w:r/>
    </w:p>
    <w:p>
      <w:pPr>
        <w:pStyle w:val="997"/>
        <w:ind w:firstLine="0"/>
        <w:jc w:val="center"/>
        <w:rPr>
          <w:rFonts w:ascii="宋体" w:hAnsi="宋体" w:cs="宋体"/>
          <w:b/>
          <w:color w:val="000000" w:themeColor="text1"/>
          <w:sz w:val="52"/>
          <w:szCs w:val="52"/>
          <w14:textFill>
            <w14:solidFill>
              <w14:schemeClr w14:val="tx1"/>
            </w14:solidFill>
          </w14:textFill>
        </w:rPr>
      </w:pPr>
      <w:r>
        <w:rPr>
          <w:rFonts w:ascii="宋体" w:hAnsi="宋体" w:cs="宋体"/>
          <w:b/>
          <w:color w:val="000000" w:themeColor="text1"/>
          <w:sz w:val="52"/>
          <w:szCs w:val="52"/>
          <w14:textFill>
            <w14:solidFill>
              <w14:schemeClr w14:val="tx1"/>
            </w14:solidFill>
          </w14:textFill>
        </w:rPr>
      </w:r>
      <w:r/>
    </w:p>
    <w:p>
      <w:pPr>
        <w:pStyle w:val="997"/>
        <w:ind w:firstLine="0"/>
        <w:jc w:val="center"/>
        <w:rPr>
          <w:rFonts w:ascii="宋体" w:hAnsi="宋体" w:cs="宋体"/>
          <w:b/>
          <w:bCs/>
          <w:color w:val="000000" w:themeColor="text1"/>
          <w:sz w:val="84"/>
          <w14:textFill>
            <w14:solidFill>
              <w14:schemeClr w14:val="tx1"/>
            </w14:solidFill>
          </w14:textFill>
        </w:rPr>
      </w:pPr>
      <w:r>
        <w:rPr>
          <w:rFonts w:hint="eastAsia" w:ascii="宋体" w:hAnsi="宋体" w:cs="宋体"/>
          <w:b/>
          <w:bCs/>
          <w:color w:val="000000" w:themeColor="text1"/>
          <w:sz w:val="84"/>
          <w14:textFill>
            <w14:solidFill>
              <w14:schemeClr w14:val="tx1"/>
            </w14:solidFill>
          </w14:textFill>
        </w:rPr>
        <w:t xml:space="preserve"> 竞争性磋商文件</w:t>
      </w:r>
      <w:r/>
    </w:p>
    <w:p>
      <w:pPr>
        <w:pStyle w:val="997"/>
        <w:ind w:firstLine="0"/>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pStyle w:val="997"/>
        <w:ind w:firstLine="0"/>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pStyle w:val="997"/>
        <w:ind w:firstLine="0"/>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pStyle w:val="997"/>
        <w:ind w:firstLine="0"/>
        <w:jc w:val="both"/>
        <w:rPr>
          <w:rFonts w:hint="eastAsia" w:ascii="宋体" w:hAnsi="宋体" w:cs="宋体" w:eastAsiaTheme="minorEastAsia"/>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项目名称：</w:t>
      </w:r>
      <w:r>
        <w:rPr>
          <w:rFonts w:hint="eastAsia" w:ascii="宋体" w:hAnsi="宋体" w:cs="宋体"/>
          <w:b/>
          <w:bCs/>
          <w:color w:val="000000" w:themeColor="text1"/>
          <w:sz w:val="32"/>
          <w:lang w:eastAsia="zh-CN"/>
          <w14:textFill>
            <w14:solidFill>
              <w14:schemeClr w14:val="tx1"/>
            </w14:solidFill>
          </w14:textFill>
        </w:rPr>
        <w:t xml:space="preserve">市一中西环路校区食堂改造工程</w:t>
      </w:r>
      <w:r/>
    </w:p>
    <w:p>
      <w:pPr>
        <w:pStyle w:val="997"/>
        <w:ind w:firstLine="0"/>
        <w:jc w:val="both"/>
        <w:rPr>
          <w:rFonts w:hint="eastAsia" w:ascii="宋体" w:hAnsi="宋体" w:cs="宋体" w:eastAsiaTheme="minorEastAsia"/>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项目编号：</w:t>
      </w:r>
      <w:r>
        <w:rPr>
          <w:rFonts w:hint="eastAsia" w:ascii="宋体" w:hAnsi="宋体" w:cs="宋体"/>
          <w:b/>
          <w:bCs/>
          <w:color w:val="000000" w:themeColor="text1"/>
          <w:sz w:val="32"/>
          <w:lang w:eastAsia="zh-CN"/>
          <w14:textFill>
            <w14:solidFill>
              <w14:schemeClr w14:val="tx1"/>
            </w14:solidFill>
          </w14:textFill>
        </w:rPr>
        <w:t xml:space="preserve">JSZC-320900-YCTX-C2026-0019</w:t>
      </w:r>
      <w:r/>
    </w:p>
    <w:p>
      <w:pPr>
        <w:pStyle w:val="997"/>
        <w:ind w:firstLine="0"/>
        <w:jc w:val="center"/>
        <w:rPr>
          <w:rFonts w:ascii="宋体" w:hAnsi="宋体" w:cs="宋体"/>
          <w:b/>
          <w:bCs/>
          <w:color w:val="000000" w:themeColor="text1"/>
          <w:sz w:val="32"/>
          <w14:textFill>
            <w14:solidFill>
              <w14:schemeClr w14:val="tx1"/>
            </w14:solidFill>
          </w14:textFill>
        </w:rPr>
      </w:pPr>
      <w:r>
        <w:rPr>
          <w:rFonts w:ascii="宋体" w:hAnsi="宋体" w:cs="宋体"/>
          <w:b/>
          <w:bCs/>
          <w:color w:val="000000" w:themeColor="text1"/>
          <w:sz w:val="32"/>
          <w14:textFill>
            <w14:solidFill>
              <w14:schemeClr w14:val="tx1"/>
            </w14:solidFill>
          </w14:textFill>
        </w:rPr>
      </w:r>
      <w:r/>
    </w:p>
    <w:p>
      <w:pPr>
        <w:pStyle w:val="997"/>
        <w:ind w:firstLine="0"/>
        <w:jc w:val="center"/>
        <w:rPr>
          <w:rFonts w:ascii="宋体" w:hAnsi="宋体" w:cs="宋体"/>
          <w:b/>
          <w:bCs/>
          <w:color w:val="000000" w:themeColor="text1"/>
          <w:sz w:val="32"/>
          <w14:textFill>
            <w14:solidFill>
              <w14:schemeClr w14:val="tx1"/>
            </w14:solidFill>
          </w14:textFill>
        </w:rPr>
      </w:pPr>
      <w:r>
        <w:rPr>
          <w:rFonts w:ascii="宋体" w:hAnsi="宋体" w:cs="宋体"/>
          <w:b/>
          <w:bCs/>
          <w:color w:val="000000" w:themeColor="text1"/>
          <w:sz w:val="32"/>
          <w14:textFill>
            <w14:solidFill>
              <w14:schemeClr w14:val="tx1"/>
            </w14:solidFill>
          </w14:textFill>
        </w:rPr>
      </w:r>
      <w:r/>
    </w:p>
    <w:p>
      <w:pPr>
        <w:pStyle w:val="997"/>
        <w:ind w:firstLine="0"/>
        <w:jc w:val="center"/>
        <w:rPr>
          <w:rFonts w:ascii="宋体" w:hAnsi="宋体" w:cs="宋体"/>
          <w:b/>
          <w:bCs/>
          <w:color w:val="000000" w:themeColor="text1"/>
          <w:sz w:val="32"/>
          <w14:textFill>
            <w14:solidFill>
              <w14:schemeClr w14:val="tx1"/>
            </w14:solidFill>
          </w14:textFill>
        </w:rPr>
      </w:pPr>
      <w:r>
        <w:rPr>
          <w:rFonts w:ascii="宋体" w:hAnsi="宋体" w:cs="宋体"/>
          <w:b/>
          <w:bCs/>
          <w:color w:val="000000" w:themeColor="text1"/>
          <w:sz w:val="32"/>
          <w14:textFill>
            <w14:solidFill>
              <w14:schemeClr w14:val="tx1"/>
            </w14:solidFill>
          </w14:textFill>
        </w:rPr>
      </w:r>
      <w:r/>
    </w:p>
    <w:p>
      <w:pPr>
        <w:pStyle w:val="997"/>
        <w:ind w:firstLine="0"/>
        <w:jc w:val="center"/>
        <w:rPr>
          <w:rFonts w:ascii="宋体" w:hAnsi="宋体" w:cs="宋体"/>
          <w:b/>
          <w:bCs/>
          <w:color w:val="000000" w:themeColor="text1"/>
          <w:sz w:val="32"/>
          <w14:textFill>
            <w14:solidFill>
              <w14:schemeClr w14:val="tx1"/>
            </w14:solidFill>
          </w14:textFill>
        </w:rPr>
      </w:pPr>
      <w:r>
        <w:rPr>
          <w:rFonts w:ascii="宋体" w:hAnsi="宋体" w:cs="宋体"/>
          <w:b/>
          <w:bCs/>
          <w:color w:val="000000" w:themeColor="text1"/>
          <w:sz w:val="32"/>
          <w14:textFill>
            <w14:solidFill>
              <w14:schemeClr w14:val="tx1"/>
            </w14:solidFill>
          </w14:textFill>
        </w:rPr>
      </w:r>
      <w:r/>
    </w:p>
    <w:p>
      <w:pPr>
        <w:pStyle w:val="997"/>
        <w:ind w:firstLine="0"/>
        <w:jc w:val="center"/>
        <w:rPr>
          <w:rFonts w:ascii="宋体" w:hAnsi="宋体" w:cs="宋体"/>
          <w:b/>
          <w:bCs/>
          <w:color w:val="000000" w:themeColor="text1"/>
          <w:sz w:val="32"/>
          <w14:textFill>
            <w14:solidFill>
              <w14:schemeClr w14:val="tx1"/>
            </w14:solidFill>
          </w14:textFill>
        </w:rPr>
      </w:pPr>
      <w:r>
        <w:rPr>
          <w:rFonts w:ascii="宋体" w:hAnsi="宋体" w:cs="宋体"/>
          <w:b/>
          <w:bCs/>
          <w:color w:val="000000" w:themeColor="text1"/>
          <w:sz w:val="32"/>
          <w14:textFill>
            <w14:solidFill>
              <w14:schemeClr w14:val="tx1"/>
            </w14:solidFill>
          </w14:textFill>
        </w:rPr>
      </w:r>
      <w:r/>
    </w:p>
    <w:p>
      <w:pPr>
        <w:pStyle w:val="997"/>
        <w:ind w:firstLine="0"/>
        <w:jc w:val="center"/>
        <w:rPr>
          <w:rFonts w:ascii="宋体" w:hAnsi="宋体" w:cs="宋体"/>
          <w:b/>
          <w:bCs/>
          <w:color w:val="000000" w:themeColor="text1"/>
          <w:sz w:val="32"/>
          <w14:textFill>
            <w14:solidFill>
              <w14:schemeClr w14:val="tx1"/>
            </w14:solidFill>
          </w14:textFill>
        </w:rPr>
      </w:pPr>
      <w:r>
        <w:rPr>
          <w:rFonts w:ascii="宋体" w:hAnsi="宋体" w:cs="宋体"/>
          <w:b/>
          <w:bCs/>
          <w:color w:val="000000" w:themeColor="text1"/>
          <w:sz w:val="32"/>
          <w14:textFill>
            <w14:solidFill>
              <w14:schemeClr w14:val="tx1"/>
            </w14:solidFill>
          </w14:textFill>
        </w:rPr>
      </w:r>
      <w:r/>
    </w:p>
    <w:p>
      <w:pPr>
        <w:pStyle w:val="997"/>
        <w:ind w:firstLine="0"/>
        <w:jc w:val="center"/>
        <w:rPr>
          <w:rFonts w:hint="eastAsia" w:ascii="宋体" w:hAnsi="宋体" w:cs="宋体" w:eastAsiaTheme="minorEastAsia"/>
          <w:b/>
          <w:bCs/>
          <w:color w:val="000000" w:themeColor="text1"/>
          <w:sz w:val="32"/>
          <w14:textFill>
            <w14:solidFill>
              <w14:schemeClr w14:val="tx1"/>
            </w14:solidFill>
          </w14:textFill>
        </w:rPr>
      </w:pPr>
      <w:r>
        <w:rPr>
          <w:rFonts w:hint="eastAsia" w:ascii="宋体" w:hAnsi="宋体" w:cs="宋体"/>
          <w:b/>
          <w:bCs/>
          <w:color w:val="000000" w:themeColor="text1"/>
          <w:sz w:val="32"/>
          <w:lang w:eastAsia="zh-CN"/>
          <w14:textFill>
            <w14:solidFill>
              <w14:schemeClr w14:val="tx1"/>
            </w14:solidFill>
          </w14:textFill>
        </w:rPr>
        <w:t xml:space="preserve">盐城市第一中学</w:t>
      </w:r>
      <w:r/>
    </w:p>
    <w:p>
      <w:pPr>
        <w:pStyle w:val="997"/>
        <w:ind w:firstLine="0"/>
        <w:jc w:val="center"/>
        <w:rPr>
          <w:rFonts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202</w:t>
      </w:r>
      <w:r>
        <w:rPr>
          <w:rFonts w:hint="eastAsia" w:ascii="宋体" w:hAnsi="宋体" w:eastAsia="宋体" w:cs="宋体"/>
          <w:b/>
          <w:bCs/>
          <w:color w:val="000000" w:themeColor="text1"/>
          <w:sz w:val="32"/>
          <w:lang w:val="en-US" w:eastAsia="zh-CN"/>
          <w14:textFill>
            <w14:solidFill>
              <w14:schemeClr w14:val="tx1"/>
            </w14:solidFill>
          </w14:textFill>
        </w:rPr>
        <w:t xml:space="preserve">6</w:t>
      </w:r>
      <w:r>
        <w:rPr>
          <w:rFonts w:hint="eastAsia" w:ascii="宋体" w:hAnsi="宋体" w:cs="宋体"/>
          <w:b/>
          <w:bCs/>
          <w:color w:val="000000" w:themeColor="text1"/>
          <w:sz w:val="32"/>
          <w14:textFill>
            <w14:solidFill>
              <w14:schemeClr w14:val="tx1"/>
            </w14:solidFill>
          </w14:textFill>
        </w:rPr>
        <w:t xml:space="preserve">年</w:t>
      </w:r>
      <w:r>
        <w:rPr>
          <w:rFonts w:hint="eastAsia" w:ascii="宋体" w:hAnsi="宋体" w:eastAsia="宋体" w:cs="宋体"/>
          <w:b/>
          <w:bCs/>
          <w:color w:val="000000" w:themeColor="text1"/>
          <w:sz w:val="32"/>
          <w:lang w:val="en-US" w:eastAsia="zh-CN"/>
          <w14:textFill>
            <w14:solidFill>
              <w14:schemeClr w14:val="tx1"/>
            </w14:solidFill>
          </w14:textFill>
        </w:rPr>
        <w:t xml:space="preserve">7</w:t>
      </w:r>
      <w:r>
        <w:rPr>
          <w:rFonts w:hint="eastAsia" w:ascii="宋体" w:hAnsi="宋体" w:cs="宋体"/>
          <w:b/>
          <w:bCs/>
          <w:color w:val="000000" w:themeColor="text1"/>
          <w:sz w:val="32"/>
          <w14:textFill>
            <w14:solidFill>
              <w14:schemeClr w14:val="tx1"/>
            </w14:solidFill>
          </w14:textFill>
        </w:rPr>
        <w:t xml:space="preserve">月</w:t>
      </w:r>
      <w:r/>
    </w:p>
    <w:p>
      <w:pPr>
        <w:jc w:val="left"/>
        <w:widowControl/>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pStyle w:val="955"/>
        <w:jc w:val="center"/>
        <w:rPr>
          <w:b/>
          <w:bCs/>
          <w:color w:val="000000" w:themeColor="text1"/>
          <w:sz w:val="44"/>
          <w:szCs w:val="44"/>
          <w14:textFill>
            <w14:solidFill>
              <w14:schemeClr w14:val="tx1"/>
            </w14:solidFill>
          </w14:textFill>
        </w:rPr>
      </w:pPr>
      <w:r>
        <w:rPr>
          <w:b/>
          <w:bCs/>
          <w:color w:val="000000" w:themeColor="text1"/>
          <w:sz w:val="44"/>
          <w:szCs w:val="44"/>
          <w:lang w:val="zh-CN"/>
          <w14:textFill>
            <w14:solidFill>
              <w14:schemeClr w14:val="tx1"/>
            </w14:solidFill>
          </w14:textFill>
        </w:rPr>
        <w:t xml:space="preserve">目录</w:t>
      </w:r>
      <w:r/>
    </w:p>
    <w:p>
      <w:pPr>
        <w:pStyle w:val="955"/>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pStyle w:val="730"/>
        <w:tabs>
          <w:tab w:val="right" w:pos="8948" w:leader="dot"/>
        </w:tabs>
        <w:rPr>
          <w:rFonts w:ascii="宋体" w:hAnsi="宋体" w:cstheme="minorBidi"/>
          <w:color w:val="000000" w:themeColor="text1"/>
          <w:sz w:val="28"/>
          <w:szCs w:val="28"/>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TOC \o "1-3" \u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第一章 </w:t>
      </w:r>
      <w:r>
        <w:rPr>
          <w:rFonts w:hint="eastAsia" w:ascii="宋体" w:hAnsi="宋体"/>
          <w:color w:val="000000" w:themeColor="text1"/>
          <w:sz w:val="28"/>
          <w:szCs w:val="28"/>
          <w:lang w:val="en-US" w:eastAsia="zh-CN"/>
          <w14:textFill>
            <w14:solidFill>
              <w14:schemeClr w14:val="tx1"/>
            </w14:solidFill>
          </w14:textFill>
        </w:rPr>
        <w:t xml:space="preserve"> </w:t>
      </w:r>
      <w:r>
        <w:rPr>
          <w:rFonts w:ascii="宋体" w:hAnsi="宋体"/>
          <w:color w:val="000000" w:themeColor="text1"/>
          <w:sz w:val="28"/>
          <w:szCs w:val="28"/>
          <w14:textFill>
            <w14:solidFill>
              <w14:schemeClr w14:val="tx1"/>
            </w14:solidFill>
          </w14:textFill>
        </w:rPr>
        <w:t xml:space="preserve">竞争性磋商采购公告</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_Toc203032683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fldChar w:fldCharType="end"/>
      </w:r>
      <w:r/>
    </w:p>
    <w:p>
      <w:pPr>
        <w:pStyle w:val="730"/>
        <w:tabs>
          <w:tab w:val="right" w:pos="8948" w:leader="dot"/>
        </w:tabs>
        <w:rPr>
          <w:rFonts w:ascii="宋体" w:hAnsi="宋体" w:cstheme="minorBidi"/>
          <w:color w:val="000000" w:themeColor="text1"/>
          <w:sz w:val="28"/>
          <w:szCs w:val="28"/>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 xml:space="preserve">第二章  磋商须知</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_Toc203032691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6</w:t>
      </w:r>
      <w:r>
        <w:rPr>
          <w:rFonts w:ascii="宋体" w:hAnsi="宋体"/>
          <w:color w:val="000000" w:themeColor="text1"/>
          <w:sz w:val="28"/>
          <w:szCs w:val="28"/>
          <w14:textFill>
            <w14:solidFill>
              <w14:schemeClr w14:val="tx1"/>
            </w14:solidFill>
          </w14:textFill>
        </w:rPr>
        <w:fldChar w:fldCharType="end"/>
      </w:r>
      <w:r/>
    </w:p>
    <w:p>
      <w:pPr>
        <w:pStyle w:val="730"/>
        <w:tabs>
          <w:tab w:val="right" w:pos="8948" w:leader="dot"/>
        </w:tabs>
        <w:rPr>
          <w:rFonts w:ascii="宋体" w:hAnsi="宋体" w:cstheme="minorBidi"/>
          <w:color w:val="000000" w:themeColor="text1"/>
          <w:sz w:val="28"/>
          <w:szCs w:val="28"/>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 xml:space="preserve">第三章  合同条款及格式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_Toc203032699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19</w:t>
      </w:r>
      <w:r>
        <w:rPr>
          <w:rFonts w:ascii="宋体" w:hAnsi="宋体"/>
          <w:color w:val="000000" w:themeColor="text1"/>
          <w:sz w:val="28"/>
          <w:szCs w:val="28"/>
          <w14:textFill>
            <w14:solidFill>
              <w14:schemeClr w14:val="tx1"/>
            </w14:solidFill>
          </w14:textFill>
        </w:rPr>
        <w:fldChar w:fldCharType="end"/>
      </w:r>
      <w:r/>
    </w:p>
    <w:p>
      <w:pPr>
        <w:pStyle w:val="730"/>
        <w:tabs>
          <w:tab w:val="right" w:pos="8948" w:leader="dot"/>
        </w:tabs>
        <w:rPr>
          <w:rFonts w:ascii="宋体" w:hAnsi="宋体" w:cstheme="minorBidi"/>
          <w:color w:val="000000" w:themeColor="text1"/>
          <w:sz w:val="28"/>
          <w:szCs w:val="28"/>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 xml:space="preserve">第四章  项目需求</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_Toc203032703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55</w:t>
      </w:r>
      <w:r>
        <w:rPr>
          <w:rFonts w:ascii="宋体" w:hAnsi="宋体"/>
          <w:color w:val="000000" w:themeColor="text1"/>
          <w:sz w:val="28"/>
          <w:szCs w:val="28"/>
          <w14:textFill>
            <w14:solidFill>
              <w14:schemeClr w14:val="tx1"/>
            </w14:solidFill>
          </w14:textFill>
        </w:rPr>
        <w:fldChar w:fldCharType="end"/>
      </w:r>
      <w:r/>
    </w:p>
    <w:p>
      <w:pPr>
        <w:pStyle w:val="730"/>
        <w:tabs>
          <w:tab w:val="right" w:pos="8948" w:leader="dot"/>
        </w:tabs>
        <w:rPr>
          <w:rFonts w:ascii="宋体" w:hAnsi="宋体" w:cstheme="minorBidi"/>
          <w:color w:val="000000" w:themeColor="text1"/>
          <w:sz w:val="28"/>
          <w:szCs w:val="28"/>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 xml:space="preserve">第五章 </w:t>
      </w:r>
      <w:r>
        <w:rPr>
          <w:rFonts w:hint="eastAsia" w:ascii="宋体" w:hAnsi="宋体"/>
          <w:color w:val="000000" w:themeColor="text1"/>
          <w:sz w:val="28"/>
          <w:szCs w:val="28"/>
          <w:lang w:val="en-US" w:eastAsia="zh-CN"/>
          <w14:textFill>
            <w14:solidFill>
              <w14:schemeClr w14:val="tx1"/>
            </w14:solidFill>
          </w14:textFill>
        </w:rPr>
        <w:t xml:space="preserve"> </w:t>
      </w:r>
      <w:r>
        <w:rPr>
          <w:rFonts w:ascii="宋体" w:hAnsi="宋体"/>
          <w:color w:val="000000" w:themeColor="text1"/>
          <w:sz w:val="28"/>
          <w:szCs w:val="28"/>
          <w14:textFill>
            <w14:solidFill>
              <w14:schemeClr w14:val="tx1"/>
            </w14:solidFill>
          </w14:textFill>
        </w:rPr>
        <w:t xml:space="preserve">定标原则和评审标准</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_Toc203032706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65</w:t>
      </w:r>
      <w:r>
        <w:rPr>
          <w:rFonts w:ascii="宋体" w:hAnsi="宋体"/>
          <w:color w:val="000000" w:themeColor="text1"/>
          <w:sz w:val="28"/>
          <w:szCs w:val="28"/>
          <w14:textFill>
            <w14:solidFill>
              <w14:schemeClr w14:val="tx1"/>
            </w14:solidFill>
          </w14:textFill>
        </w:rPr>
        <w:fldChar w:fldCharType="end"/>
      </w:r>
      <w:r/>
    </w:p>
    <w:p>
      <w:pPr>
        <w:pStyle w:val="730"/>
        <w:tabs>
          <w:tab w:val="right" w:pos="8948" w:leader="dot"/>
        </w:tabs>
        <w:rPr>
          <w:rFonts w:ascii="宋体" w:hAnsi="宋体" w:cstheme="minorBidi"/>
          <w:color w:val="000000" w:themeColor="text1"/>
          <w:sz w:val="28"/>
          <w:szCs w:val="28"/>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 xml:space="preserve">第六章  竞争性磋商响应文件格式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_Toc203032712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68</w:t>
      </w:r>
      <w:r>
        <w:rPr>
          <w:rFonts w:ascii="宋体" w:hAnsi="宋体"/>
          <w:color w:val="000000" w:themeColor="text1"/>
          <w:sz w:val="28"/>
          <w:szCs w:val="28"/>
          <w14:textFill>
            <w14:solidFill>
              <w14:schemeClr w14:val="tx1"/>
            </w14:solidFill>
          </w14:textFill>
        </w:rPr>
        <w:fldChar w:fldCharType="end"/>
      </w:r>
      <w:r/>
    </w:p>
    <w:p>
      <w:pPr>
        <w:rPr>
          <w:b/>
          <w:bCs/>
          <w:color w:val="000000" w:themeColor="text1"/>
          <w14:textFill>
            <w14:solidFill>
              <w14:schemeClr w14:val="tx1"/>
            </w14:solidFill>
          </w14:textFill>
        </w:rPr>
        <w:sectPr>
          <w:footerReference w:type="default" r:id="rId9"/>
          <w:footerReference w:type="first" r:id="rId10"/>
          <w:footnotePr/>
          <w:endnotePr/>
          <w:type w:val="nextPage"/>
          <w:pgSz w:w="11906" w:h="16838" w:orient="portrait"/>
          <w:pgMar w:top="1474" w:right="1474" w:bottom="1474" w:left="1474" w:header="851" w:footer="907" w:gutter="0"/>
          <w:pgNumType w:start="1"/>
          <w:cols w:num="1" w:sep="0" w:space="720" w:equalWidth="1"/>
          <w:docGrid w:linePitch="360"/>
          <w:titlePg/>
        </w:sectPr>
      </w:pPr>
      <w:r>
        <w:rPr>
          <w:rFonts w:ascii="宋体" w:hAnsi="宋体"/>
          <w:color w:val="000000" w:themeColor="text1"/>
          <w:sz w:val="28"/>
          <w:szCs w:val="28"/>
          <w14:textFill>
            <w14:solidFill>
              <w14:schemeClr w14:val="tx1"/>
            </w14:solidFill>
          </w14:textFill>
        </w:rPr>
        <w:fldChar w:fldCharType="end"/>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44"/>
        <w:rPr>
          <w:color w:val="000000" w:themeColor="text1"/>
          <w:sz w:val="36"/>
          <w:szCs w:val="36"/>
          <w14:textFill>
            <w14:solidFill>
              <w14:schemeClr w14:val="tx1"/>
            </w14:solidFill>
          </w14:textFill>
        </w:rPr>
      </w:pPr>
      <w:r/>
      <w:bookmarkStart w:id="0" w:name="_Toc203032683"/>
      <w:r>
        <w:rPr>
          <w:rFonts w:hint="eastAsia"/>
          <w:color w:val="000000" w:themeColor="text1"/>
          <w:sz w:val="36"/>
          <w:szCs w:val="36"/>
          <w14:textFill>
            <w14:solidFill>
              <w14:schemeClr w14:val="tx1"/>
            </w14:solidFill>
          </w14:textFill>
        </w:rPr>
        <w:t xml:space="preserve">第一章 竞争性磋商采购公告</w:t>
      </w:r>
      <w:bookmarkEnd w:id="0"/>
      <w:r/>
      <w:r/>
    </w:p>
    <w:p>
      <w:pPr>
        <w:rPr>
          <w:rFonts w:ascii="宋体" w:hAnsi="宋体" w:cs="宋体"/>
          <w:color w:val="000000" w:themeColor="text1"/>
          <w14:textFill>
            <w14:solidFill>
              <w14:schemeClr w14:val="tx1"/>
            </w14:solidFill>
          </w14:textFill>
        </w:rPr>
      </w:pPr>
      <w:r/>
      <w:bookmarkStart w:id="1" w:name="_Toc61149549"/>
      <w:r/>
      <w:bookmarkStart w:id="2" w:name="_Toc513029209"/>
      <w:r/>
      <w:bookmarkStart w:id="3" w:name="_Toc14577347"/>
      <w:r/>
      <w:r/>
    </w:p>
    <w:p>
      <w:pPr>
        <w:ind w:firstLine="480"/>
        <w:spacing w:line="500" w:lineRule="exact"/>
        <w:rPr>
          <w:rFonts w:ascii="宋体" w:hAnsi="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themeColor="text1"/>
          <w:sz w:val="24"/>
          <w14:textFill>
            <w14:solidFill>
              <w14:schemeClr w14:val="tx1"/>
            </w14:solidFill>
          </w14:textFill>
        </w:rPr>
        <w:t xml:space="preserve">项目概况</w:t>
      </w:r>
      <w:r/>
    </w:p>
    <w:p>
      <w:pPr>
        <w:ind w:firstLine="480"/>
        <w:jc w:val="left"/>
        <w:spacing w:line="500" w:lineRule="exact"/>
        <w:rPr>
          <w:rFonts w:ascii="宋体" w:hAnsi="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themeColor="text1"/>
          <w:sz w:val="24"/>
          <w:u w:val="single"/>
          <w:lang w:eastAsia="zh-CN"/>
          <w14:textFill>
            <w14:solidFill>
              <w14:schemeClr w14:val="tx1"/>
            </w14:solidFill>
          </w14:textFill>
        </w:rPr>
        <w:t xml:space="preserve">市一中西环路校区食堂改造工程</w:t>
      </w:r>
      <w:r>
        <w:rPr>
          <w:rFonts w:hint="eastAsia" w:ascii="宋体" w:hAnsi="宋体" w:cs="宋体"/>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lang w:eastAsia="zh-CN"/>
          <w14:textFill>
            <w14:solidFill>
              <w14:schemeClr w14:val="tx1"/>
            </w14:solidFill>
          </w14:textFill>
        </w:rPr>
        <w:t xml:space="preserve">JSZC-320900-YCTX-C2026-0019</w:t>
      </w:r>
      <w:r>
        <w:rPr>
          <w:rFonts w:hint="eastAsia" w:ascii="仿宋" w:hAnsi="仿宋" w:eastAsia="仿宋"/>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招标项目的潜在投标人应在“苏采云”系统内免费下载（投标人必须在苏采云系统中获取采购文件，方能参与政府采购项目）； 获取招标文件，并于</w:t>
      </w:r>
      <w:r>
        <w:rPr>
          <w:rFonts w:hint="eastAsia" w:ascii="宋体" w:hAnsi="宋体"/>
          <w:color w:val="000000" w:themeColor="text1"/>
          <w:sz w:val="24"/>
          <w:u w:val="single"/>
          <w14:textFill>
            <w14:solidFill>
              <w14:schemeClr w14:val="tx1"/>
            </w14:solidFill>
          </w14:textFill>
        </w:rPr>
        <w:t xml:space="preserve">202</w:t>
      </w:r>
      <w:r>
        <w:rPr>
          <w:rFonts w:hint="eastAsia" w:ascii="宋体" w:hAnsi="宋体"/>
          <w:color w:val="000000" w:themeColor="text1"/>
          <w:sz w:val="24"/>
          <w:u w:val="single"/>
          <w:lang w:val="en-US" w:eastAsia="zh-CN"/>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lang w:val="en-US" w:eastAsia="zh-CN"/>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lang w:val="en-US" w:eastAsia="zh-CN"/>
          <w14:textFill>
            <w14:solidFill>
              <w14:schemeClr w14:val="tx1"/>
            </w14:solidFill>
          </w14:textFill>
        </w:rPr>
        <w:t xml:space="preserve">29</w:t>
      </w:r>
      <w:r>
        <w:rPr>
          <w:rFonts w:hint="eastAsia"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u w:val="single"/>
          <w:lang w:val="en-US" w:eastAsia="zh-CN"/>
          <w14:textFill>
            <w14:solidFill>
              <w14:schemeClr w14:val="tx1"/>
            </w14:solidFill>
          </w14:textFill>
        </w:rPr>
        <w:t xml:space="preserve">9</w:t>
      </w:r>
      <w:r>
        <w:rPr>
          <w:rFonts w:hint="eastAsia" w:ascii="宋体" w:hAnsi="宋体"/>
          <w:color w:val="000000" w:themeColor="text1"/>
          <w:sz w:val="24"/>
          <w14:textFill>
            <w14:solidFill>
              <w14:schemeClr w14:val="tx1"/>
            </w14:solidFill>
          </w14:textFill>
        </w:rPr>
        <w:t xml:space="preserve">点</w:t>
      </w:r>
      <w:r>
        <w:rPr>
          <w:rFonts w:hint="eastAsia" w:ascii="宋体" w:hAnsi="宋体"/>
          <w:color w:val="000000" w:themeColor="text1"/>
          <w:sz w:val="24"/>
          <w:u w:val="single"/>
          <w:lang w:val="en-US" w:eastAsia="zh-CN"/>
          <w14:textFill>
            <w14:solidFill>
              <w14:schemeClr w14:val="tx1"/>
            </w14:solidFill>
          </w14:textFill>
        </w:rPr>
        <w:t xml:space="preserve">00</w:t>
      </w:r>
      <w:r>
        <w:rPr>
          <w:rFonts w:hint="eastAsia" w:ascii="宋体" w:hAnsi="宋体"/>
          <w:color w:val="000000" w:themeColor="text1"/>
          <w:sz w:val="24"/>
          <w14:textFill>
            <w14:solidFill>
              <w14:schemeClr w14:val="tx1"/>
            </w14:solidFill>
          </w14:textFill>
        </w:rPr>
        <w:t xml:space="preserve">分（北京时间）前递交投标文件。</w:t>
      </w:r>
      <w:r/>
    </w:p>
    <w:p>
      <w:pPr>
        <w:pStyle w:val="694"/>
        <w:jc w:val="both"/>
        <w:spacing w:before="0" w:after="0" w:line="520" w:lineRule="exact"/>
        <w:rPr>
          <w:rFonts w:ascii="宋体" w:hAnsi="宋体" w:eastAsia="宋体" w:cs="宋体"/>
          <w:bCs/>
          <w:color w:val="000000" w:themeColor="text1"/>
          <w:sz w:val="24"/>
          <w:szCs w:val="24"/>
          <w14:textFill>
            <w14:solidFill>
              <w14:schemeClr w14:val="tx1"/>
            </w14:solidFill>
          </w14:textFill>
        </w:rPr>
      </w:pPr>
      <w:r/>
      <w:bookmarkStart w:id="4" w:name="_Toc203032684"/>
      <w:r/>
      <w:bookmarkStart w:id="5" w:name="_Toc28359089"/>
      <w:r/>
      <w:bookmarkStart w:id="6" w:name="_Toc166856186"/>
      <w:r/>
      <w:bookmarkStart w:id="7" w:name="_Toc35393629"/>
      <w:r/>
      <w:bookmarkStart w:id="8" w:name="_Toc35393798"/>
      <w:r/>
      <w:bookmarkStart w:id="9" w:name="_Toc28359012"/>
      <w:r>
        <w:rPr>
          <w:rFonts w:hint="eastAsia" w:ascii="宋体" w:hAnsi="宋体" w:eastAsia="宋体" w:cs="宋体"/>
          <w:bCs/>
          <w:color w:val="000000" w:themeColor="text1"/>
          <w:sz w:val="24"/>
          <w:szCs w:val="24"/>
          <w14:textFill>
            <w14:solidFill>
              <w14:schemeClr w14:val="tx1"/>
            </w14:solidFill>
          </w14:textFill>
        </w:rPr>
        <w:t xml:space="preserve">一、项目基本情况</w:t>
      </w:r>
      <w:bookmarkEnd w:id="4"/>
      <w:r/>
      <w:bookmarkEnd w:id="5"/>
      <w:r/>
      <w:bookmarkEnd w:id="6"/>
      <w:r/>
      <w:bookmarkEnd w:id="7"/>
      <w:r/>
      <w:bookmarkEnd w:id="8"/>
      <w:r/>
      <w:bookmarkEnd w:id="9"/>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10" w:name="_Toc35393630"/>
      <w:r/>
      <w:bookmarkStart w:id="11" w:name="_Toc28359090"/>
      <w:r/>
      <w:bookmarkStart w:id="12" w:name="_Toc28359013"/>
      <w:r/>
      <w:bookmarkStart w:id="13" w:name="_Toc166856187"/>
      <w:r/>
      <w:bookmarkStart w:id="14" w:name="_Toc35393799"/>
      <w:r>
        <w:rPr>
          <w:rFonts w:hint="eastAsia" w:ascii="宋体" w:hAnsi="宋体" w:cs="宋体"/>
          <w:color w:val="000000" w:themeColor="text1"/>
          <w:sz w:val="24"/>
          <w14:textFill>
            <w14:solidFill>
              <w14:schemeClr w14:val="tx1"/>
            </w14:solidFill>
          </w14:textFill>
        </w:rPr>
        <w:t xml:space="preserve">1.项目编号：</w:t>
      </w:r>
      <w:r>
        <w:rPr>
          <w:rFonts w:hint="eastAsia" w:ascii="宋体" w:hAnsi="宋体" w:cs="宋体"/>
          <w:color w:val="000000" w:themeColor="text1"/>
          <w:sz w:val="24"/>
          <w:lang w:eastAsia="zh-CN"/>
          <w14:textFill>
            <w14:solidFill>
              <w14:schemeClr w14:val="tx1"/>
            </w14:solidFill>
          </w14:textFill>
        </w:rPr>
        <w:t xml:space="preserve">JSZC-320900-YCTX-C2026-0019</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2.项目名称：</w:t>
      </w:r>
      <w:r>
        <w:rPr>
          <w:rFonts w:hint="eastAsia" w:ascii="宋体" w:hAnsi="宋体" w:cs="宋体"/>
          <w:color w:val="000000" w:themeColor="text1"/>
          <w:sz w:val="24"/>
          <w:lang w:eastAsia="zh-CN"/>
          <w14:textFill>
            <w14:solidFill>
              <w14:schemeClr w14:val="tx1"/>
            </w14:solidFill>
          </w14:textFill>
        </w:rPr>
        <w:t xml:space="preserve">市一中西环路校区食堂改造工程</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3.采购方式：竞争性磋商</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4.预算金额：</w:t>
      </w:r>
      <w:r>
        <w:rPr>
          <w:rFonts w:hint="eastAsia" w:ascii="宋体" w:hAnsi="宋体" w:cs="宋体"/>
          <w:color w:val="000000" w:themeColor="text1"/>
          <w:sz w:val="24"/>
          <w:lang w:val="en-US" w:eastAsia="zh-CN"/>
          <w14:textFill>
            <w14:solidFill>
              <w14:schemeClr w14:val="tx1"/>
            </w14:solidFill>
          </w14:textFill>
        </w:rPr>
        <w:t xml:space="preserve">129.11万元</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5.最高限价：129</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09973</w:t>
      </w:r>
      <w:r>
        <w:rPr>
          <w:rFonts w:hint="eastAsia" w:ascii="宋体" w:hAnsi="宋体" w:cs="宋体"/>
          <w:color w:val="000000" w:themeColor="text1"/>
          <w:sz w:val="24"/>
          <w:lang w:val="en-US" w:eastAsia="zh-CN"/>
          <w14:textFill>
            <w14:solidFill>
              <w14:schemeClr w14:val="tx1"/>
            </w14:solidFill>
          </w14:textFill>
        </w:rPr>
        <w:t xml:space="preserve">万元</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采购需求：本工程建设地点位于盐城市第一中学校园内。工程项目内容包括：食堂内地面、墙面等拆除，格栅吊顶，食堂基础装修，水电改造等项目。具体详见本工程工程量清单，采购人保留对上述采购范围进行适当调整的权利。</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7.工期：</w:t>
      </w:r>
      <w:r>
        <w:rPr>
          <w:rFonts w:hint="eastAsia" w:ascii="宋体" w:hAnsi="宋体" w:cs="宋体"/>
          <w:color w:val="000000" w:themeColor="text1"/>
          <w:sz w:val="24"/>
          <w:lang w:val="en-US" w:eastAsia="zh-CN"/>
          <w14:textFill>
            <w14:solidFill>
              <w14:schemeClr w14:val="tx1"/>
            </w14:solidFill>
          </w14:textFill>
        </w:rPr>
        <w:t xml:space="preserve">30日历天</w:t>
      </w:r>
      <w:r>
        <w:rPr>
          <w:rFonts w:hint="eastAsia" w:ascii="宋体" w:hAnsi="宋体" w:cs="宋体"/>
          <w:color w:val="000000" w:themeColor="text1"/>
          <w:sz w:val="24"/>
          <w14:textFill>
            <w14:solidFill>
              <w14:schemeClr w14:val="tx1"/>
            </w14:solidFill>
          </w14:textFill>
        </w:rPr>
        <w:t xml:space="preserve">，具体开工日期以采购人的书面通知为准。</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8.本项目不接受联合体投标。</w:t>
      </w:r>
      <w:r/>
    </w:p>
    <w:p>
      <w:pPr>
        <w:pStyle w:val="694"/>
        <w:jc w:val="both"/>
        <w:spacing w:before="0" w:after="0" w:line="520" w:lineRule="exact"/>
        <w:rPr>
          <w:rFonts w:ascii="宋体" w:hAnsi="宋体" w:eastAsia="宋体" w:cs="宋体"/>
          <w:bCs/>
          <w:color w:val="000000" w:themeColor="text1"/>
          <w:sz w:val="24"/>
          <w:szCs w:val="24"/>
          <w14:textFill>
            <w14:solidFill>
              <w14:schemeClr w14:val="tx1"/>
            </w14:solidFill>
          </w14:textFill>
        </w:rPr>
      </w:pPr>
      <w:r/>
      <w:bookmarkStart w:id="15" w:name="_Toc203032685"/>
      <w:r>
        <w:rPr>
          <w:rFonts w:hint="eastAsia" w:ascii="宋体" w:hAnsi="宋体" w:eastAsia="宋体" w:cs="宋体"/>
          <w:bCs/>
          <w:color w:val="000000" w:themeColor="text1"/>
          <w:sz w:val="24"/>
          <w:szCs w:val="24"/>
          <w14:textFill>
            <w14:solidFill>
              <w14:schemeClr w14:val="tx1"/>
            </w14:solidFill>
          </w14:textFill>
        </w:rPr>
        <w:t xml:space="preserve">二、申请人的资格要求：</w:t>
      </w:r>
      <w:bookmarkEnd w:id="10"/>
      <w:r/>
      <w:bookmarkEnd w:id="11"/>
      <w:r/>
      <w:bookmarkEnd w:id="12"/>
      <w:r/>
      <w:bookmarkEnd w:id="13"/>
      <w:r/>
      <w:bookmarkEnd w:id="14"/>
      <w:r/>
      <w:bookmarkEnd w:id="15"/>
      <w:r/>
      <w:r/>
    </w:p>
    <w:p>
      <w:pPr>
        <w:ind w:firstLine="480"/>
        <w:spacing w:line="520" w:lineRule="exact"/>
        <w:rPr>
          <w:rFonts w:ascii="宋体" w:hAnsi="宋体" w:cs="宋体"/>
          <w:color w:val="000000" w:themeColor="text1"/>
          <w:sz w:val="24"/>
          <w14:textFill>
            <w14:solidFill>
              <w14:schemeClr w14:val="tx1"/>
            </w14:solidFill>
          </w14:textFill>
        </w:rPr>
      </w:pPr>
      <w:r/>
      <w:bookmarkStart w:id="16" w:name="_Toc28359091"/>
      <w:r/>
      <w:bookmarkStart w:id="17" w:name="_Toc35393800"/>
      <w:r/>
      <w:bookmarkStart w:id="18" w:name="_Toc28359014"/>
      <w:r/>
      <w:bookmarkStart w:id="19" w:name="_Toc35393631"/>
      <w:r/>
      <w:bookmarkStart w:id="20" w:name="_Toc166856188"/>
      <w:r>
        <w:rPr>
          <w:rFonts w:hint="eastAsia" w:ascii="宋体" w:hAnsi="宋体" w:cs="宋体"/>
          <w:color w:val="000000" w:themeColor="text1"/>
          <w:sz w:val="24"/>
          <w14:textFill>
            <w14:solidFill>
              <w14:schemeClr w14:val="tx1"/>
            </w14:solidFill>
          </w14:textFill>
        </w:rPr>
        <w:t xml:space="preserve">（一）满足《中华人民共和国政府采购法》第二十二条规定：</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1.法人或者其他组织的营业执照等证明文件，自然人的身份证明。</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2.上一年度的财务状况报表（至少提供资产负债表、利润表、现金流量表，成立不满一年不需提供）。</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3.依法缴纳税收和社会保障资金的相关材料（依法享受缓缴、免缴税收、社会保障金的提供证明材料）。</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4.具备履行合同所必需的设备和专业技术能力的书面声明。</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5.参加政府采购活动前3年内在经营活动中没有重大违法记录的书面声明。</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6.法律、行政法规规定的其他条件。</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7.未被“信用中国”网站（www.creditchina.gov.cn）列入失信被执行人、重大税收违法案件当事人名单、政府采购严重失信行为记录名单（响应文件中无需提供证明材料）。</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8.单位负责人为同一人或者存在直接控股、管理关系的不同供应商，不得参加同一合同项下的政府采购活动。</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（二）落实政府采购政策需满足的资格要求：</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本项目为专门面向中小企业采购的项目,供应商须为中小企业，不接受非中小型企业参与本项目投标。（具体中小企业划分标准详见《关于印发中小企业划型标准规定的通知》工信部联企业〔2011〕300号）文件。供应商投标时须提供《中小企业声明函》，否则按无效处理。采购标的的所属行业为建筑业。</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（三）本项目的特定资格要求：</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i/>
          <w:iCs/>
          <w:color w:val="000000" w:themeColor="text1"/>
          <w:sz w:val="24"/>
          <w:u w:val="single"/>
          <w14:textFill>
            <w14:solidFill>
              <w14:schemeClr w14:val="tx1"/>
            </w14:solidFill>
          </w14:textFill>
        </w:rPr>
        <w:t xml:space="preserve">投标人资格要求：投标人须具有有效的建设行政主管部门核发的建筑工程施工总承包三级及以上资质，并持有有效的行政主管部门核发的安全生产许可证。</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i/>
          <w:iCs/>
          <w:color w:val="000000" w:themeColor="text1"/>
          <w:sz w:val="24"/>
          <w:u w:val="single"/>
          <w14:textFill>
            <w14:solidFill>
              <w14:schemeClr w14:val="tx1"/>
            </w14:solidFill>
          </w14:textFill>
        </w:rPr>
        <w:t xml:space="preserve">项目负责人资格要求：项目负责人须是供应商本单位正式职工且无在建工程，具有有效的建筑工程专业二级及以上注册建造师资格，同时具有有效的行政主管部门核发的安全生产考核合格证（B类）。</w:t>
      </w:r>
      <w:r/>
    </w:p>
    <w:p>
      <w:pPr>
        <w:ind w:firstLine="480"/>
        <w:spacing w:line="520" w:lineRule="exact"/>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lang w:val="en-US" w:eastAsia="zh-CN"/>
          <w14:textFill>
            <w14:solidFill>
              <w14:schemeClr w14:val="tx1"/>
            </w14:solidFill>
          </w14:textFill>
        </w:rPr>
        <w:t xml:space="preserve">3.</w:t>
      </w:r>
      <w:r>
        <w:rPr>
          <w:rFonts w:hint="eastAsia" w:ascii="宋体" w:hAnsi="宋体" w:cs="宋体"/>
          <w:i/>
          <w:iCs/>
          <w:color w:val="000000" w:themeColor="text1"/>
          <w:sz w:val="24"/>
          <w:u w:val="single"/>
          <w14:textFill>
            <w14:solidFill>
              <w14:schemeClr w14:val="tx1"/>
            </w14:solidFill>
          </w14:textFill>
        </w:rPr>
        <w:t xml:space="preserve">项目负责人从本工程投标文件递交截止之日起必须满足下列条件：</w:t>
      </w:r>
      <w:r/>
    </w:p>
    <w:p>
      <w:pPr>
        <w:ind w:firstLine="480"/>
        <w:spacing w:line="520" w:lineRule="exact"/>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 xml:space="preserve">（1）项目负责人不得同时在两个或者两个以上单位受聘或者执业特指以下三种情形：</w:t>
      </w:r>
      <w:r/>
    </w:p>
    <w:p>
      <w:pPr>
        <w:ind w:firstLine="480"/>
        <w:spacing w:line="520" w:lineRule="exact"/>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 xml:space="preserve">①同时在两个及以上单位签订劳动合同或缴纳社会保险；</w:t>
      </w:r>
      <w:r/>
    </w:p>
    <w:p>
      <w:pPr>
        <w:ind w:firstLine="480"/>
        <w:spacing w:line="520" w:lineRule="exact"/>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 xml:space="preserve">②将本人执（职）业资格证书同时注册在两个及以上单位；</w:t>
      </w:r>
      <w:r/>
    </w:p>
    <w:p>
      <w:pPr>
        <w:ind w:firstLine="480"/>
        <w:spacing w:line="520" w:lineRule="exact"/>
        <w:rPr>
          <w:rFonts w:ascii="宋体" w:hAnsi="宋体" w:cs="宋体"/>
          <w:i/>
          <w:iCs/>
          <w:color w:val="000000" w:themeColor="text1"/>
          <w:sz w:val="24"/>
          <w:u w:val="single"/>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 xml:space="preserve">③项目负责人担任其他公司法定代表人（包括不限于投标人的子公司以及控股参股企业）、其他企业分公司负责人。（均以投标截止日注册登记为准）。</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负责人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项目负责人投标截止时不得同时在其他建设工程项目中担任现场管理人员、不在本项目兼任本项目的其它岗位。</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.投标人须保证项目负责人为本单位的正式职工，并提供从投标截止之日当月前1年内任意1个月在本单位缴纳养老保险的证明材料。（本项目不接受退休人员担任项目负责人）</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本工程施工项目负责人部主要管理人员包括项目负责人、技术负责人、施工员、安全员、质量员。投标时，仅需提供项目负责人相关资料，其他现场人员在中标签订施工合同备案时按苏建建管〔2017〕236号文要求配备到位。</w:t>
      </w:r>
      <w:r/>
    </w:p>
    <w:p>
      <w:pPr>
        <w:pStyle w:val="694"/>
        <w:jc w:val="both"/>
        <w:spacing w:before="0" w:after="0" w:line="520" w:lineRule="exact"/>
        <w:rPr>
          <w:rFonts w:ascii="宋体" w:hAnsi="宋体" w:eastAsia="宋体" w:cs="宋体"/>
          <w:bCs/>
          <w:color w:val="000000" w:themeColor="text1"/>
          <w:sz w:val="24"/>
          <w:szCs w:val="24"/>
          <w14:textFill>
            <w14:solidFill>
              <w14:schemeClr w14:val="tx1"/>
            </w14:solidFill>
          </w14:textFill>
        </w:rPr>
      </w:pPr>
      <w:r/>
      <w:bookmarkStart w:id="21" w:name="_Toc203032686"/>
      <w:r>
        <w:rPr>
          <w:rFonts w:hint="eastAsia" w:ascii="宋体" w:hAnsi="宋体" w:eastAsia="宋体" w:cs="宋体"/>
          <w:bCs/>
          <w:color w:val="000000" w:themeColor="text1"/>
          <w:sz w:val="24"/>
          <w:szCs w:val="24"/>
          <w14:textFill>
            <w14:solidFill>
              <w14:schemeClr w14:val="tx1"/>
            </w14:solidFill>
          </w14:textFill>
        </w:rPr>
        <w:t xml:space="preserve">三、获取</w:t>
      </w:r>
      <w:bookmarkEnd w:id="16"/>
      <w:r/>
      <w:bookmarkEnd w:id="17"/>
      <w:r/>
      <w:bookmarkEnd w:id="18"/>
      <w:r/>
      <w:bookmarkEnd w:id="19"/>
      <w:r>
        <w:rPr>
          <w:rFonts w:hint="eastAsia" w:ascii="宋体" w:hAnsi="宋体" w:eastAsia="宋体" w:cs="宋体"/>
          <w:bCs/>
          <w:color w:val="000000" w:themeColor="text1"/>
          <w:sz w:val="24"/>
          <w:szCs w:val="24"/>
          <w14:textFill>
            <w14:solidFill>
              <w14:schemeClr w14:val="tx1"/>
            </w14:solidFill>
          </w14:textFill>
        </w:rPr>
        <w:t xml:space="preserve">磋商文件</w:t>
      </w:r>
      <w:bookmarkEnd w:id="20"/>
      <w:r/>
      <w:bookmarkEnd w:id="21"/>
      <w:r/>
      <w:r/>
    </w:p>
    <w:p>
      <w:pPr>
        <w:ind w:firstLine="480"/>
        <w:spacing w:line="520" w:lineRule="exact"/>
        <w:rPr>
          <w:rFonts w:ascii="宋体" w:hAnsi="宋体" w:cs="宋体"/>
          <w:color w:val="000000" w:themeColor="text1"/>
          <w:sz w:val="24"/>
          <w14:textFill>
            <w14:solidFill>
              <w14:schemeClr w14:val="tx1"/>
            </w14:solidFill>
          </w14:textFill>
        </w:rPr>
      </w:pPr>
      <w:r/>
      <w:bookmarkStart w:id="22" w:name="_Toc35393801"/>
      <w:r/>
      <w:bookmarkStart w:id="23" w:name="_Toc28359015"/>
      <w:r/>
      <w:bookmarkStart w:id="24" w:name="_Toc28359092"/>
      <w:r/>
      <w:bookmarkStart w:id="25" w:name="_Toc166856189"/>
      <w:r/>
      <w:bookmarkStart w:id="26" w:name="_Toc35393632"/>
      <w:r>
        <w:rPr>
          <w:rFonts w:hint="eastAsia" w:ascii="宋体" w:hAnsi="宋体" w:cs="宋体"/>
          <w:color w:val="000000" w:themeColor="text1"/>
          <w:sz w:val="24"/>
          <w14:textFill>
            <w14:solidFill>
              <w14:schemeClr w14:val="tx1"/>
            </w14:solidFill>
          </w14:textFill>
        </w:rPr>
        <w:t xml:space="preserve">时间：自招标文件公告发布之日起5个工作日；</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地点：“苏采云”系统内免费下载（投标人必须在苏采云系统中获取采购文件，方能参与政府采购项目）；</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方式：本项目采用网上注册登记方式；</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售价：0.00元。</w:t>
      </w:r>
      <w:r/>
    </w:p>
    <w:p>
      <w:pPr>
        <w:pStyle w:val="694"/>
        <w:jc w:val="both"/>
        <w:spacing w:before="0" w:after="0" w:line="520" w:lineRule="exact"/>
        <w:rPr>
          <w:rFonts w:ascii="宋体" w:hAnsi="宋体" w:eastAsia="宋体" w:cs="宋体"/>
          <w:bCs/>
          <w:color w:val="000000" w:themeColor="text1"/>
          <w:sz w:val="24"/>
          <w:szCs w:val="24"/>
          <w14:textFill>
            <w14:solidFill>
              <w14:schemeClr w14:val="tx1"/>
            </w14:solidFill>
          </w14:textFill>
        </w:rPr>
      </w:pPr>
      <w:r/>
      <w:bookmarkStart w:id="27" w:name="_Toc203032687"/>
      <w:r>
        <w:rPr>
          <w:rFonts w:hint="eastAsia" w:ascii="宋体" w:hAnsi="宋体" w:eastAsia="宋体" w:cs="宋体"/>
          <w:bCs/>
          <w:color w:val="000000" w:themeColor="text1"/>
          <w:sz w:val="24"/>
          <w:szCs w:val="24"/>
          <w14:textFill>
            <w14:solidFill>
              <w14:schemeClr w14:val="tx1"/>
            </w14:solidFill>
          </w14:textFill>
        </w:rPr>
        <w:t xml:space="preserve">四、</w:t>
      </w:r>
      <w:bookmarkEnd w:id="22"/>
      <w:r/>
      <w:bookmarkEnd w:id="23"/>
      <w:r/>
      <w:bookmarkEnd w:id="24"/>
      <w:r/>
      <w:bookmarkEnd w:id="25"/>
      <w:r/>
      <w:bookmarkEnd w:id="26"/>
      <w:r/>
      <w:bookmarkEnd w:id="27"/>
      <w:r>
        <w:rPr>
          <w:rFonts w:hint="eastAsia" w:ascii="宋体" w:hAnsi="宋体" w:eastAsia="宋体" w:cs="宋体"/>
          <w:bCs/>
          <w:color w:val="000000" w:themeColor="text1"/>
          <w:sz w:val="24"/>
          <w:szCs w:val="24"/>
          <w14:textFill>
            <w14:solidFill>
              <w14:schemeClr w14:val="tx1"/>
            </w14:solidFill>
          </w14:textFill>
        </w:rPr>
        <w:t xml:space="preserve">响应文件提交</w:t>
      </w:r>
      <w:r/>
    </w:p>
    <w:p>
      <w:pPr>
        <w:ind w:firstLine="480"/>
        <w:spacing w:line="520" w:lineRule="exact"/>
        <w:rPr>
          <w:rFonts w:ascii="宋体" w:hAnsi="宋体" w:cs="宋体"/>
          <w:color w:val="000000" w:themeColor="text1"/>
          <w:sz w:val="24"/>
          <w14:textFill>
            <w14:solidFill>
              <w14:schemeClr w14:val="tx1"/>
            </w14:solidFill>
          </w14:textFill>
        </w:rPr>
      </w:pPr>
      <w:r/>
      <w:bookmarkStart w:id="28" w:name="_Toc28359016"/>
      <w:r/>
      <w:bookmarkStart w:id="29" w:name="_Toc166856190"/>
      <w:r/>
      <w:bookmarkStart w:id="30" w:name="_Toc28359093"/>
      <w:r/>
      <w:bookmarkStart w:id="31" w:name="_Toc35393633"/>
      <w:r/>
      <w:bookmarkStart w:id="32" w:name="_Toc35393802"/>
      <w:r/>
      <w:bookmarkStart w:id="33" w:name="_Toc35393803"/>
      <w:r/>
      <w:bookmarkStart w:id="34" w:name="_Toc28359017"/>
      <w:r/>
      <w:bookmarkStart w:id="35" w:name="_Toc28359094"/>
      <w:r/>
      <w:bookmarkStart w:id="36" w:name="_Toc35393634"/>
      <w:r>
        <w:rPr>
          <w:rFonts w:hint="eastAsia" w:ascii="宋体" w:hAnsi="宋体"/>
          <w:color w:val="000000" w:themeColor="text1"/>
          <w:sz w:val="24"/>
          <w:u w:val="none"/>
          <w14:textFill>
            <w14:solidFill>
              <w14:schemeClr w14:val="tx1"/>
            </w14:solidFill>
          </w14:textFill>
        </w:rPr>
        <w:t xml:space="preserve">2026年7月</w:t>
      </w:r>
      <w:r>
        <w:rPr>
          <w:rFonts w:hint="eastAsia" w:ascii="宋体" w:hAnsi="宋体"/>
          <w:color w:val="000000" w:themeColor="text1"/>
          <w:sz w:val="24"/>
          <w:u w:val="none"/>
          <w:lang w:val="en-US" w:eastAsia="zh-CN"/>
          <w14:textFill>
            <w14:solidFill>
              <w14:schemeClr w14:val="tx1"/>
            </w14:solidFill>
          </w14:textFill>
        </w:rPr>
        <w:t xml:space="preserve">29</w:t>
      </w:r>
      <w:r>
        <w:rPr>
          <w:rFonts w:hint="eastAsia" w:ascii="宋体" w:hAnsi="宋体"/>
          <w:color w:val="000000" w:themeColor="text1"/>
          <w:sz w:val="24"/>
          <w:u w:val="none"/>
          <w14:textFill>
            <w14:solidFill>
              <w14:schemeClr w14:val="tx1"/>
            </w14:solidFill>
          </w14:textFill>
        </w:rPr>
        <w:t xml:space="preserve">日9点00分（北京时间）</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地点：“苏采云”政府采购交易系统网上开标大厅 </w:t>
      </w:r>
      <w:bookmarkEnd w:id="28"/>
      <w:r/>
      <w:bookmarkEnd w:id="29"/>
      <w:r/>
      <w:bookmarkEnd w:id="30"/>
      <w:r/>
      <w:bookmarkEnd w:id="31"/>
      <w:r/>
      <w:bookmarkEnd w:id="32"/>
      <w:r/>
      <w:r/>
    </w:p>
    <w:p>
      <w:pPr>
        <w:pStyle w:val="694"/>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37" w:name="_Toc203032688"/>
      <w:r/>
      <w:bookmarkStart w:id="38" w:name="_Toc166856191"/>
      <w:r>
        <w:rPr>
          <w:rFonts w:hint="eastAsia" w:ascii="宋体" w:hAnsi="宋体" w:eastAsia="宋体" w:cs="宋体"/>
          <w:bCs/>
          <w:color w:val="000000" w:themeColor="text1"/>
          <w:sz w:val="24"/>
          <w:szCs w:val="24"/>
          <w14:textFill>
            <w14:solidFill>
              <w14:schemeClr w14:val="tx1"/>
            </w14:solidFill>
          </w14:textFill>
        </w:rPr>
        <w:t xml:space="preserve">五、开启</w:t>
      </w:r>
      <w:r/>
    </w:p>
    <w:p>
      <w:pPr>
        <w:ind w:firstLine="48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2026年7月</w:t>
      </w:r>
      <w:r>
        <w:rPr>
          <w:rFonts w:hint="eastAsia" w:ascii="宋体" w:hAnsi="宋体" w:cs="宋体"/>
          <w:color w:val="000000" w:themeColor="text1"/>
          <w:sz w:val="24"/>
          <w:lang w:val="en-US" w:eastAsia="zh-CN"/>
          <w14:textFill>
            <w14:solidFill>
              <w14:schemeClr w14:val="tx1"/>
            </w14:solidFill>
          </w14:textFill>
        </w:rPr>
        <w:t xml:space="preserve">29</w:t>
      </w:r>
      <w:r>
        <w:rPr>
          <w:rFonts w:hint="eastAsia" w:ascii="宋体" w:hAnsi="宋体" w:cs="宋体"/>
          <w:color w:val="000000" w:themeColor="text1"/>
          <w:sz w:val="24"/>
          <w14:textFill>
            <w14:solidFill>
              <w14:schemeClr w14:val="tx1"/>
            </w14:solidFill>
          </w14:textFill>
        </w:rPr>
        <w:t xml:space="preserve">日9点00分（北京时间）</w:t>
      </w:r>
      <w:r/>
    </w:p>
    <w:p>
      <w:pPr>
        <w:ind w:firstLine="48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地点：“苏采云”政府采购交易系统网上开标大厅</w:t>
      </w:r>
      <w:r/>
    </w:p>
    <w:p>
      <w:pPr>
        <w:pStyle w:val="694"/>
        <w:jc w:val="both"/>
        <w:spacing w:before="0" w:after="0" w:line="520" w:lineRule="exact"/>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14:textFill>
            <w14:solidFill>
              <w14:schemeClr w14:val="tx1"/>
            </w14:solidFill>
          </w14:textFill>
        </w:rPr>
        <w:t xml:space="preserve">公告期限</w:t>
      </w:r>
      <w:bookmarkEnd w:id="33"/>
      <w:r/>
      <w:bookmarkEnd w:id="34"/>
      <w:r/>
      <w:bookmarkEnd w:id="35"/>
      <w:r/>
      <w:bookmarkEnd w:id="36"/>
      <w:r/>
      <w:bookmarkEnd w:id="37"/>
      <w:r/>
      <w:bookmarkEnd w:id="38"/>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自本公告发布之日起3个工作日。</w:t>
      </w:r>
      <w:r/>
    </w:p>
    <w:p>
      <w:pPr>
        <w:pStyle w:val="694"/>
        <w:jc w:val="both"/>
        <w:spacing w:before="0" w:after="0" w:line="520" w:lineRule="exact"/>
        <w:rPr>
          <w:rFonts w:ascii="宋体" w:hAnsi="宋体" w:eastAsia="宋体" w:cs="宋体"/>
          <w:bCs/>
          <w:color w:val="000000" w:themeColor="text1"/>
          <w:sz w:val="24"/>
          <w:szCs w:val="24"/>
          <w14:textFill>
            <w14:solidFill>
              <w14:schemeClr w14:val="tx1"/>
            </w14:solidFill>
          </w14:textFill>
        </w:rPr>
      </w:pPr>
      <w:r/>
      <w:bookmarkStart w:id="39" w:name="_Toc35393635"/>
      <w:r/>
      <w:bookmarkStart w:id="40" w:name="_Toc166856192"/>
      <w:r/>
      <w:bookmarkStart w:id="41" w:name="_Toc35393804"/>
      <w:r/>
      <w:bookmarkStart w:id="42" w:name="_Toc203032689"/>
      <w:r>
        <w:rPr>
          <w:rFonts w:hint="eastAsia" w:ascii="宋体" w:hAnsi="宋体" w:eastAsia="宋体" w:cs="宋体"/>
          <w:bCs/>
          <w:color w:val="000000" w:themeColor="text1"/>
          <w:sz w:val="24"/>
          <w:szCs w:val="24"/>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14:textFill>
            <w14:solidFill>
              <w14:schemeClr w14:val="tx1"/>
            </w14:solidFill>
          </w14:textFill>
        </w:rPr>
        <w:t xml:space="preserve">、其他补充事宜</w:t>
      </w:r>
      <w:bookmarkEnd w:id="39"/>
      <w:r/>
      <w:bookmarkEnd w:id="40"/>
      <w:r/>
      <w:bookmarkEnd w:id="41"/>
      <w:r/>
      <w:bookmarkEnd w:id="42"/>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bookmarkStart w:id="43" w:name="_Toc35393636"/>
      <w:r/>
      <w:bookmarkStart w:id="44" w:name="_Toc28359095"/>
      <w:r/>
      <w:bookmarkStart w:id="45" w:name="_Toc28359018"/>
      <w:r/>
      <w:bookmarkStart w:id="46" w:name="_Toc166856193"/>
      <w:r/>
      <w:bookmarkStart w:id="47" w:name="_Toc35393805"/>
      <w:r>
        <w:rPr>
          <w:rFonts w:hint="eastAsia" w:ascii="宋体" w:hAnsi="宋体" w:cs="宋体"/>
          <w:color w:val="000000" w:themeColor="text1"/>
          <w:sz w:val="24"/>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潜在供应商访问电子招标响应交易平台的网络地址和方法：</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2.2潜在投标人访问“苏采云”系统方法：江苏省政府采购网首页-“苏采云”链接。 </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2.3采购文件（后缀名为“.kedt”）、供应商操作手册及政府采购客户端 工具可通过“苏采云”系统相应链接进行下载。 </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2.4采购代理机构将数据电文形式的采购文件加载至“苏采云”系统，供潜在供应商下载或者查阅。 </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2.5请潜在投标单位提前安装相应的控件（详见《“苏采云”系统供应商操作手册》）并使用谷歌浏览器登录“苏采云”系统参与不见面开评标。 </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如潜在投标人未按上述要求操作，将自行承担所产生的风险。</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3.有关本次磋商的事项若存在变动或修改，敬请及时关注采购人在“中国政府采购网”“江苏政府采购网”“盐城市政府采购网”发布的更正公告。</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4.本次磋商不收取磋商保证金。</w:t>
      </w:r>
      <w:r/>
    </w:p>
    <w:p>
      <w:pPr>
        <w:pStyle w:val="694"/>
        <w:jc w:val="both"/>
        <w:spacing w:before="0" w:after="0" w:line="520" w:lineRule="exact"/>
        <w:rPr>
          <w:rFonts w:ascii="宋体" w:hAnsi="宋体" w:eastAsia="宋体" w:cs="宋体"/>
          <w:bCs/>
          <w:color w:val="000000" w:themeColor="text1"/>
          <w:sz w:val="24"/>
          <w:szCs w:val="24"/>
          <w14:textFill>
            <w14:solidFill>
              <w14:schemeClr w14:val="tx1"/>
            </w14:solidFill>
          </w14:textFill>
        </w:rPr>
      </w:pPr>
      <w:r/>
      <w:bookmarkStart w:id="48" w:name="_Toc203032690"/>
      <w:r>
        <w:rPr>
          <w:rFonts w:hint="eastAsia" w:ascii="宋体" w:hAnsi="宋体" w:eastAsia="宋体" w:cs="宋体"/>
          <w:bCs/>
          <w:color w:val="000000" w:themeColor="text1"/>
          <w:sz w:val="24"/>
          <w:szCs w:val="24"/>
          <w14:textFill>
            <w14:solidFill>
              <w14:schemeClr w14:val="tx1"/>
            </w14:solidFill>
          </w14:textFill>
        </w:rPr>
        <w:t xml:space="preserve">七、凡对本次采购提出询问，请按以下方式联系。</w:t>
      </w:r>
      <w:bookmarkEnd w:id="43"/>
      <w:r/>
      <w:bookmarkEnd w:id="44"/>
      <w:r/>
      <w:bookmarkEnd w:id="45"/>
      <w:r/>
      <w:bookmarkEnd w:id="46"/>
      <w:r/>
      <w:bookmarkEnd w:id="47"/>
      <w:r/>
      <w:bookmarkEnd w:id="48"/>
      <w:r/>
      <w:r/>
    </w:p>
    <w:p>
      <w:pPr>
        <w:ind w:firstLine="480"/>
        <w:spacing w:line="520" w:lineRule="exact"/>
        <w:rPr>
          <w:rFonts w:ascii="宋体" w:hAnsi="宋体" w:cs="宋体"/>
          <w:color w:val="000000" w:themeColor="text1"/>
          <w:sz w:val="24"/>
          <w14:textFill>
            <w14:solidFill>
              <w14:schemeClr w14:val="tx1"/>
            </w14:solidFill>
          </w14:textFill>
        </w:rPr>
      </w:pPr>
      <w:r/>
      <w:bookmarkStart w:id="49" w:name="_Toc28359096"/>
      <w:r/>
      <w:bookmarkStart w:id="50" w:name="_Toc28359019"/>
      <w:r/>
      <w:bookmarkStart w:id="51" w:name="_Toc35393806"/>
      <w:r/>
      <w:bookmarkStart w:id="52" w:name="_Toc35393637"/>
      <w:r>
        <w:rPr>
          <w:rFonts w:hint="eastAsia" w:ascii="宋体" w:hAnsi="宋体" w:cs="宋体"/>
          <w:color w:val="000000" w:themeColor="text1"/>
          <w:sz w:val="24"/>
          <w14:textFill>
            <w14:solidFill>
              <w14:schemeClr w14:val="tx1"/>
            </w14:solidFill>
          </w14:textFill>
        </w:rPr>
        <w:t xml:space="preserve">1.采购人信息</w:t>
      </w:r>
      <w:bookmarkEnd w:id="49"/>
      <w:r/>
      <w:bookmarkEnd w:id="50"/>
      <w:r/>
      <w:bookmarkEnd w:id="51"/>
      <w:r/>
      <w:bookmarkEnd w:id="52"/>
      <w:r/>
      <w:bookmarkStart w:id="53" w:name="_Toc35393807"/>
      <w:r/>
      <w:bookmarkEnd w:id="53"/>
      <w:r/>
      <w:bookmarkStart w:id="54" w:name="_Toc35393638"/>
      <w:r/>
      <w:bookmarkEnd w:id="54"/>
      <w:r/>
      <w:bookmarkStart w:id="55" w:name="_Toc28359020"/>
      <w:r/>
      <w:bookmarkEnd w:id="55"/>
      <w:r/>
      <w:bookmarkStart w:id="56" w:name="_Toc28359097"/>
      <w:r/>
      <w:bookmarkEnd w:id="56"/>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57" w:name="_Toc35393639"/>
      <w:r/>
      <w:bookmarkStart w:id="58" w:name="_Toc28359021"/>
      <w:r/>
      <w:bookmarkStart w:id="59" w:name="_Toc35393808"/>
      <w:r/>
      <w:bookmarkStart w:id="60" w:name="_Toc28359098"/>
      <w:r>
        <w:rPr>
          <w:rFonts w:hint="eastAsia" w:ascii="宋体" w:hAnsi="宋体" w:cs="宋体"/>
          <w:color w:val="000000" w:themeColor="text1"/>
          <w:sz w:val="24"/>
          <w14:textFill>
            <w14:solidFill>
              <w14:schemeClr w14:val="tx1"/>
            </w14:solidFill>
          </w14:textFill>
        </w:rPr>
        <w:t xml:space="preserve">名</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称：</w:t>
      </w:r>
      <w:r>
        <w:rPr>
          <w:rFonts w:hint="eastAsia" w:ascii="宋体" w:hAnsi="宋体" w:cs="宋体"/>
          <w:color w:val="000000" w:themeColor="text1"/>
          <w:sz w:val="24"/>
          <w:lang w:eastAsia="zh-CN"/>
          <w14:textFill>
            <w14:solidFill>
              <w14:schemeClr w14:val="tx1"/>
            </w14:solidFill>
          </w14:textFill>
        </w:rPr>
        <w:t xml:space="preserve">盐城市第一中学</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址：</w:t>
      </w:r>
      <w:r>
        <w:rPr>
          <w:rFonts w:hint="eastAsia" w:ascii="宋体" w:hAnsi="宋体" w:cs="宋体"/>
          <w:color w:val="000000" w:themeColor="text1"/>
          <w:sz w:val="24"/>
          <w:szCs w:val="20"/>
          <w:lang w:eastAsia="zh-CN"/>
          <w14:textFill>
            <w14:solidFill>
              <w14:schemeClr w14:val="tx1"/>
            </w14:solidFill>
          </w14:textFill>
        </w:rPr>
        <w:t xml:space="preserve">盐城市西环南路6号</w:t>
      </w:r>
      <w:r/>
    </w:p>
    <w:p>
      <w:pPr>
        <w:ind w:firstLine="480"/>
        <w:spacing w:line="520" w:lineRule="exact"/>
        <w:rPr>
          <w:rFonts w:hint="default"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w:t>
      </w:r>
      <w:r>
        <w:rPr>
          <w:rFonts w:hint="eastAsia" w:ascii="宋体" w:hAnsi="宋体" w:cs="宋体"/>
          <w:color w:val="000000" w:themeColor="text1"/>
          <w:sz w:val="24"/>
          <w:lang w:val="en-US" w:eastAsia="zh-CN"/>
          <w14:textFill>
            <w14:solidFill>
              <w14:schemeClr w14:val="tx1"/>
            </w14:solidFill>
          </w14:textFill>
        </w:rPr>
        <w:t xml:space="preserve">胡老师</w:t>
      </w:r>
      <w:r/>
    </w:p>
    <w:p>
      <w:pPr>
        <w:ind w:firstLine="480"/>
        <w:spacing w:line="520" w:lineRule="exact"/>
        <w:rPr>
          <w:rFonts w:hint="default"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联系电话：13515141688</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2.采购代理机构信息</w:t>
      </w:r>
      <w:bookmarkEnd w:id="57"/>
      <w:r/>
      <w:bookmarkEnd w:id="58"/>
      <w:r/>
      <w:bookmarkEnd w:id="59"/>
      <w:r/>
      <w:bookmarkEnd w:id="60"/>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称：</w:t>
      </w:r>
      <w:r>
        <w:rPr>
          <w:rFonts w:hint="eastAsia" w:ascii="宋体" w:hAnsi="宋体" w:cs="宋体"/>
          <w:color w:val="000000" w:themeColor="text1"/>
          <w:sz w:val="24"/>
          <w:lang w:eastAsia="zh-CN"/>
          <w14:textFill>
            <w14:solidFill>
              <w14:schemeClr w14:val="tx1"/>
            </w14:solidFill>
          </w14:textFill>
        </w:rPr>
        <w:t xml:space="preserve">江苏天翔工程项目管理有限公司</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址：盐城市亭湖区长亭路3号长亭商厦1号楼南楼5楼（东电梯）</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w:t>
      </w:r>
      <w:r>
        <w:rPr>
          <w:rFonts w:hint="eastAsia" w:cs="宋体"/>
          <w:color w:val="000000" w:themeColor="text1"/>
          <w:sz w:val="24"/>
          <w:szCs w:val="20"/>
          <w:lang w:val="en-US" w:eastAsia="zh-CN"/>
          <w14:textFill>
            <w14:solidFill>
              <w14:schemeClr w14:val="tx1"/>
            </w14:solidFill>
          </w14:textFill>
        </w:rPr>
        <w:t xml:space="preserve">陈工</w:t>
      </w:r>
      <w:r/>
    </w:p>
    <w:p>
      <w:pPr>
        <w:ind w:firstLine="48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lang w:val="en-US" w:eastAsia="zh-CN"/>
          <w14:textFill>
            <w14:solidFill>
              <w14:schemeClr w14:val="tx1"/>
            </w14:solidFill>
          </w14:textFill>
        </w:rPr>
        <w:t xml:space="preserve">13961998418</w:t>
      </w:r>
      <w:r/>
    </w:p>
    <w:p>
      <w:pPr>
        <w:jc w:val="left"/>
        <w:widowControl/>
        <w:rPr>
          <w:rFonts w:ascii="Cambria" w:hAnsi="Cambria"/>
          <w:b/>
          <w:bCs/>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br w:type="page" w:clear="all"/>
      </w:r>
      <w:r/>
    </w:p>
    <w:p>
      <w:pPr>
        <w:pStyle w:val="744"/>
        <w:rPr>
          <w:color w:val="000000" w:themeColor="text1"/>
          <w:sz w:val="36"/>
          <w:szCs w:val="36"/>
          <w14:textFill>
            <w14:solidFill>
              <w14:schemeClr w14:val="tx1"/>
            </w14:solidFill>
          </w14:textFill>
        </w:rPr>
      </w:pPr>
      <w:r/>
      <w:bookmarkStart w:id="61" w:name="_Toc203032691"/>
      <w:r>
        <w:rPr>
          <w:rFonts w:hint="eastAsia"/>
          <w:color w:val="000000" w:themeColor="text1"/>
          <w:sz w:val="36"/>
          <w:szCs w:val="36"/>
          <w14:textFill>
            <w14:solidFill>
              <w14:schemeClr w14:val="tx1"/>
            </w14:solidFill>
          </w14:textFill>
        </w:rPr>
        <w:t xml:space="preserve">第二章  磋商须知</w:t>
      </w:r>
      <w:bookmarkEnd w:id="1"/>
      <w:r/>
      <w:bookmarkEnd w:id="2"/>
      <w:r/>
      <w:bookmarkEnd w:id="3"/>
      <w:r/>
      <w:bookmarkEnd w:id="61"/>
      <w:r/>
      <w:r/>
    </w:p>
    <w:p>
      <w:pPr>
        <w:ind w:firstLine="2040"/>
        <w:spacing w:after="143" w:line="360" w:lineRule="auto"/>
        <w:rPr>
          <w:rFonts w:ascii="宋体" w:hAnsi="宋体"/>
          <w:b/>
          <w:bCs/>
          <w:color w:val="000000" w:themeColor="text1"/>
          <w:sz w:val="24"/>
          <w14:textFill>
            <w14:solidFill>
              <w14:schemeClr w14:val="tx1"/>
            </w14:solidFill>
          </w14:textFill>
        </w:rPr>
      </w:pPr>
      <w:r/>
      <w:bookmarkStart w:id="62" w:name="_Toc20823309"/>
      <w:r/>
      <w:bookmarkStart w:id="63" w:name="_Toc16938553"/>
      <w:r/>
      <w:bookmarkStart w:id="64" w:name="_Toc513029237"/>
      <w:r>
        <w:rPr>
          <w:rFonts w:hint="eastAsia" w:ascii="宋体" w:hAnsi="宋体"/>
          <w:bCs/>
          <w:color w:val="000000" w:themeColor="text1"/>
          <w:sz w:val="24"/>
          <w14:textFill>
            <w14:solidFill>
              <w14:schemeClr w14:val="tx1"/>
            </w14:solidFill>
          </w14:textFill>
        </w:rPr>
        <w:t xml:space="preserve">（参加竞争性磋商的供应商以下简称“磋商供应商”）</w:t>
      </w:r>
      <w:r/>
    </w:p>
    <w:p>
      <w:pPr>
        <w:ind w:firstLine="482"/>
        <w:spacing w:line="440" w:lineRule="exact"/>
        <w:tabs>
          <w:tab w:val="left" w:pos="900" w:leader="none"/>
        </w:tabs>
        <w:rPr>
          <w:rFonts w:ascii="宋体" w:hAnsi="宋体"/>
          <w:color w:val="000000" w:themeColor="text1"/>
          <w:sz w:val="24"/>
          <w14:textFill>
            <w14:solidFill>
              <w14:schemeClr w14:val="tx1"/>
            </w14:solidFill>
          </w14:textFill>
        </w:rPr>
        <w:outlineLvl w:val="1"/>
      </w:pPr>
      <w:r/>
      <w:bookmarkStart w:id="65" w:name="_Toc203032692"/>
      <w:r>
        <w:rPr>
          <w:rFonts w:hint="eastAsia" w:ascii="宋体" w:hAnsi="宋体"/>
          <w:b/>
          <w:color w:val="000000" w:themeColor="text1"/>
          <w:sz w:val="24"/>
          <w14:textFill>
            <w14:solidFill>
              <w14:schemeClr w14:val="tx1"/>
            </w14:solidFill>
          </w14:textFill>
        </w:rPr>
        <w:t xml:space="preserve">一、总则</w:t>
      </w:r>
      <w:bookmarkEnd w:id="65"/>
      <w:r/>
      <w:r/>
    </w:p>
    <w:p>
      <w:pPr>
        <w:ind w:firstLine="480"/>
        <w:spacing w:line="440" w:lineRule="exact"/>
        <w:rPr>
          <w:rFonts w:ascii="宋体" w:hAnsi="宋体"/>
          <w:color w:val="000000" w:themeColor="text1"/>
          <w:sz w:val="24"/>
          <w14:textFill>
            <w14:solidFill>
              <w14:schemeClr w14:val="tx1"/>
            </w14:solidFill>
          </w14:textFill>
        </w:rPr>
      </w:pPr>
      <w:r/>
      <w:bookmarkStart w:id="66" w:name="_Hlt26668969"/>
      <w:r/>
      <w:bookmarkEnd w:id="66"/>
      <w:r/>
      <w:bookmarkStart w:id="67" w:name="_Hlt26670345"/>
      <w:r/>
      <w:bookmarkEnd w:id="67"/>
      <w:r/>
      <w:bookmarkStart w:id="68" w:name="_Hlt26954830"/>
      <w:r/>
      <w:bookmarkEnd w:id="68"/>
      <w:r/>
      <w:bookmarkStart w:id="69" w:name="_Hlt26670348"/>
      <w:r/>
      <w:bookmarkEnd w:id="69"/>
      <w:r/>
      <w:bookmarkStart w:id="70" w:name="_Hlt26954828"/>
      <w:r/>
      <w:bookmarkEnd w:id="70"/>
      <w:r/>
      <w:bookmarkStart w:id="71" w:name="_Hlt26670354"/>
      <w:r/>
      <w:bookmarkEnd w:id="71"/>
      <w:r/>
      <w:bookmarkStart w:id="72" w:name="_Hlt26954832"/>
      <w:r/>
      <w:bookmarkEnd w:id="72"/>
      <w:r/>
      <w:bookmarkStart w:id="73" w:name="_Toc14577351"/>
      <w:r/>
      <w:bookmarkStart w:id="74" w:name="_Toc462564072"/>
      <w:r/>
      <w:bookmarkStart w:id="75" w:name="_Toc61149553"/>
      <w:r/>
      <w:bookmarkStart w:id="76" w:name="_Toc513029213"/>
      <w:r>
        <w:rPr>
          <w:rFonts w:hint="eastAsia" w:ascii="宋体" w:hAnsi="宋体"/>
          <w:color w:val="000000" w:themeColor="text1"/>
          <w:sz w:val="24"/>
          <w14:textFill>
            <w14:solidFill>
              <w14:schemeClr w14:val="tx1"/>
            </w14:solidFill>
          </w14:textFill>
        </w:rPr>
        <w:t xml:space="preserve">1.采购方式</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1.1本次政府采购活动采取竞争性磋商(以下简称磋商)方式，本磋商文件仅适用于磋商公告中所述项目。</w:t>
      </w:r>
      <w:r/>
    </w:p>
    <w:p>
      <w:pPr>
        <w:ind w:firstLine="480"/>
        <w:spacing w:line="440" w:lineRule="exact"/>
        <w:rPr>
          <w:rFonts w:ascii="宋体" w:hAnsi="宋体"/>
          <w:color w:val="000000" w:themeColor="text1"/>
          <w:sz w:val="24"/>
          <w14:textFill>
            <w14:solidFill>
              <w14:schemeClr w14:val="tx1"/>
            </w14:solidFill>
          </w14:textFill>
        </w:rPr>
      </w:pPr>
      <w:r/>
      <w:bookmarkStart w:id="77" w:name="_Toc16938521"/>
      <w:r/>
      <w:bookmarkStart w:id="78" w:name="_Toc20823277"/>
      <w:r/>
      <w:bookmarkStart w:id="79" w:name="_Toc513029205"/>
      <w:r>
        <w:rPr>
          <w:rFonts w:hint="eastAsia" w:ascii="宋体" w:hAnsi="宋体"/>
          <w:color w:val="000000" w:themeColor="text1"/>
          <w:sz w:val="24"/>
          <w14:textFill>
            <w14:solidFill>
              <w14:schemeClr w14:val="tx1"/>
            </w14:solidFill>
          </w14:textFill>
        </w:rPr>
        <w:t xml:space="preserve">2.合格的</w:t>
      </w:r>
      <w:bookmarkEnd w:id="77"/>
      <w:r/>
      <w:bookmarkEnd w:id="78"/>
      <w:r/>
      <w:bookmarkEnd w:id="79"/>
      <w:r>
        <w:rPr>
          <w:rFonts w:hint="eastAsia" w:ascii="宋体" w:hAnsi="宋体"/>
          <w:color w:val="000000" w:themeColor="text1"/>
          <w:sz w:val="24"/>
          <w14:textFill>
            <w14:solidFill>
              <w14:schemeClr w14:val="tx1"/>
            </w14:solidFill>
          </w14:textFill>
        </w:rPr>
        <w:t xml:space="preserve">供应商</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2.1满足磋商公告中供应商资格要求的规定。</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满足本磋商文件实质性要求和条件的规定。</w:t>
      </w:r>
      <w:r/>
    </w:p>
    <w:p>
      <w:pPr>
        <w:ind w:firstLine="480"/>
        <w:spacing w:line="440" w:lineRule="exact"/>
        <w:rPr>
          <w:rFonts w:ascii="宋体" w:hAnsi="宋体"/>
          <w:color w:val="000000" w:themeColor="text1"/>
          <w:sz w:val="24"/>
          <w14:textFill>
            <w14:solidFill>
              <w14:schemeClr w14:val="tx1"/>
            </w14:solidFill>
          </w14:textFill>
        </w:rPr>
      </w:pPr>
      <w:r/>
      <w:bookmarkStart w:id="80" w:name="_Toc20823278"/>
      <w:r/>
      <w:bookmarkStart w:id="81" w:name="_Toc513029206"/>
      <w:r/>
      <w:bookmarkStart w:id="82" w:name="_Toc16938522"/>
      <w:r>
        <w:rPr>
          <w:rFonts w:hint="eastAsia" w:ascii="宋体" w:hAnsi="宋体"/>
          <w:color w:val="000000" w:themeColor="text1"/>
          <w:sz w:val="24"/>
          <w14:textFill>
            <w14:solidFill>
              <w14:schemeClr w14:val="tx1"/>
            </w14:solidFill>
          </w14:textFill>
        </w:rPr>
        <w:t xml:space="preserve">3.适用法律</w:t>
      </w:r>
      <w:bookmarkEnd w:id="80"/>
      <w:r/>
      <w:bookmarkEnd w:id="81"/>
      <w:r/>
      <w:bookmarkEnd w:id="82"/>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本次磋商及由此产生的合同受中华人民共和国有关的法律法规制约和保护。</w:t>
      </w:r>
      <w:r/>
    </w:p>
    <w:p>
      <w:pPr>
        <w:ind w:firstLine="480"/>
        <w:spacing w:line="440" w:lineRule="exact"/>
        <w:rPr>
          <w:rFonts w:ascii="宋体" w:hAnsi="宋体"/>
          <w:color w:val="000000" w:themeColor="text1"/>
          <w:sz w:val="24"/>
          <w14:textFill>
            <w14:solidFill>
              <w14:schemeClr w14:val="tx1"/>
            </w14:solidFill>
          </w14:textFill>
        </w:rPr>
      </w:pPr>
      <w:r/>
      <w:bookmarkStart w:id="83" w:name="_Toc462564067"/>
      <w:r/>
      <w:bookmarkStart w:id="84" w:name="_Toc20823279"/>
      <w:r/>
      <w:bookmarkStart w:id="85" w:name="_Toc513029207"/>
      <w:r/>
      <w:bookmarkStart w:id="86" w:name="_Toc16938523"/>
      <w:r>
        <w:rPr>
          <w:rFonts w:hint="eastAsia" w:ascii="宋体" w:hAnsi="宋体"/>
          <w:color w:val="000000" w:themeColor="text1"/>
          <w:sz w:val="24"/>
          <w14:textFill>
            <w14:solidFill>
              <w14:schemeClr w14:val="tx1"/>
            </w14:solidFill>
          </w14:textFill>
        </w:rPr>
        <w:t xml:space="preserve">4.磋商费用</w:t>
      </w:r>
      <w:bookmarkEnd w:id="83"/>
      <w:r/>
      <w:bookmarkEnd w:id="84"/>
      <w:r/>
      <w:bookmarkEnd w:id="85"/>
      <w:r/>
      <w:bookmarkEnd w:id="86"/>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4.1供应商应自行承担所有与参加本次磋商有关的费用，无论磋商过程中的做法和结果如何，采购人及采购代理公司（以下简称“代理公司”）任何情况下均无义务和责任承担这些费用。</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4.2本项目</w:t>
      </w:r>
      <w:r>
        <w:rPr>
          <w:rFonts w:hint="eastAsia" w:ascii="宋体" w:hAnsi="宋体"/>
          <w:color w:val="000000" w:themeColor="text1"/>
          <w:sz w:val="24"/>
          <w14:textFill>
            <w14:solidFill>
              <w14:schemeClr w14:val="tx1"/>
            </w14:solidFill>
          </w14:textFill>
        </w:rPr>
        <w:t xml:space="preserve">磋商服务费</w:t>
      </w:r>
      <w:r>
        <w:rPr>
          <w:rFonts w:hint="eastAsia" w:ascii="宋体" w:hAnsi="宋体"/>
          <w:bCs/>
          <w:color w:val="000000" w:themeColor="text1"/>
          <w:sz w:val="24"/>
          <w:u w:val="none"/>
          <w14:textFill>
            <w14:solidFill>
              <w14:schemeClr w14:val="tx1"/>
            </w14:solidFill>
          </w14:textFill>
        </w:rPr>
        <w:t xml:space="preserve">按</w:t>
      </w:r>
      <w:r>
        <w:rPr>
          <w:rFonts w:hint="eastAsia" w:ascii="宋体" w:hAnsi="宋体" w:cs="宋体"/>
          <w:color w:val="000000" w:themeColor="text1"/>
          <w:sz w:val="24"/>
          <w:u w:val="none"/>
          <w14:textFill>
            <w14:solidFill>
              <w14:schemeClr w14:val="tx1"/>
            </w14:solidFill>
          </w14:textFill>
        </w:rPr>
        <w:t xml:space="preserve">苏招协【2022】002号文件规定费用标准的</w:t>
      </w:r>
      <w:r>
        <w:rPr>
          <w:rFonts w:hint="eastAsia" w:ascii="宋体" w:hAnsi="宋体" w:cs="宋体"/>
          <w:color w:val="000000" w:themeColor="text1"/>
          <w:sz w:val="24"/>
          <w:u w:val="none"/>
          <w:lang w:val="en-US" w:eastAsia="zh-CN"/>
          <w14:textFill>
            <w14:solidFill>
              <w14:schemeClr w14:val="tx1"/>
            </w14:solidFill>
          </w14:textFill>
        </w:rPr>
        <w:t xml:space="preserve">8</w:t>
      </w:r>
      <w:bookmarkStart w:id="771" w:name="_GoBack"/>
      <w:r/>
      <w:bookmarkEnd w:id="771"/>
      <w:r>
        <w:rPr>
          <w:rFonts w:hint="eastAsia" w:ascii="宋体" w:hAnsi="宋体" w:cs="宋体"/>
          <w:color w:val="000000" w:themeColor="text1"/>
          <w:sz w:val="24"/>
          <w:u w:val="none"/>
          <w14:textFill>
            <w14:solidFill>
              <w14:schemeClr w14:val="tx1"/>
            </w14:solidFill>
          </w14:textFill>
        </w:rPr>
        <w:t xml:space="preserve">0%计算，</w:t>
      </w:r>
      <w:r>
        <w:rPr>
          <w:rFonts w:hint="eastAsia" w:ascii="宋体" w:hAnsi="宋体" w:cs="宋体"/>
          <w:color w:val="000000" w:themeColor="text1"/>
          <w:sz w:val="24"/>
          <w14:textFill>
            <w14:solidFill>
              <w14:schemeClr w14:val="tx1"/>
            </w14:solidFill>
          </w14:textFill>
        </w:rPr>
        <w:t xml:space="preserve">由中标人在与招标人签合同之前，向代理公司支付。请投标人考虑在投标报价</w:t>
      </w:r>
      <w:r>
        <w:rPr>
          <w:rFonts w:hint="eastAsia" w:ascii="宋体" w:hAnsi="宋体"/>
          <w:color w:val="000000" w:themeColor="text1"/>
          <w:sz w:val="24"/>
          <w14:textFill>
            <w14:solidFill>
              <w14:schemeClr w14:val="tx1"/>
            </w14:solidFill>
          </w14:textFill>
        </w:rPr>
        <w:t xml:space="preserve">中（此项费用投标人在投标报价中不得单独列出）。</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5.磋商文件的约束力</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5.1供应商一旦参加本项目采购活动，即被认为接受了本磋商文件的规定和约束。</w:t>
      </w:r>
      <w:r/>
    </w:p>
    <w:p>
      <w:pPr>
        <w:ind w:firstLine="482"/>
        <w:spacing w:line="440" w:lineRule="exact"/>
        <w:tabs>
          <w:tab w:val="left" w:pos="900" w:leader="none"/>
        </w:tabs>
        <w:rPr>
          <w:rFonts w:ascii="宋体" w:hAnsi="宋体"/>
          <w:b/>
          <w:color w:val="000000" w:themeColor="text1"/>
          <w:sz w:val="24"/>
          <w14:textFill>
            <w14:solidFill>
              <w14:schemeClr w14:val="tx1"/>
            </w14:solidFill>
          </w14:textFill>
        </w:rPr>
        <w:outlineLvl w:val="1"/>
      </w:pPr>
      <w:r/>
      <w:bookmarkStart w:id="87" w:name="_Toc203032693"/>
      <w:r>
        <w:rPr>
          <w:rFonts w:hint="eastAsia" w:ascii="宋体" w:hAnsi="宋体"/>
          <w:b/>
          <w:color w:val="000000" w:themeColor="text1"/>
          <w:sz w:val="24"/>
          <w14:textFill>
            <w14:solidFill>
              <w14:schemeClr w14:val="tx1"/>
            </w14:solidFill>
          </w14:textFill>
        </w:rPr>
        <w:t xml:space="preserve">二、磋商文件</w:t>
      </w:r>
      <w:bookmarkEnd w:id="73"/>
      <w:r/>
      <w:bookmarkEnd w:id="74"/>
      <w:r/>
      <w:bookmarkEnd w:id="75"/>
      <w:r/>
      <w:bookmarkEnd w:id="76"/>
      <w:r/>
      <w:bookmarkEnd w:id="87"/>
      <w:r/>
      <w:bookmarkStart w:id="88" w:name="_Toc14577361"/>
      <w:r/>
      <w:bookmarkEnd w:id="88"/>
      <w:r/>
      <w:bookmarkStart w:id="89" w:name="_Toc513029223"/>
      <w:r/>
      <w:bookmarkEnd w:id="89"/>
      <w:r/>
      <w:bookmarkStart w:id="90" w:name="_Toc61149561"/>
      <w:r/>
      <w:bookmarkEnd w:id="90"/>
      <w:r/>
      <w:r/>
    </w:p>
    <w:p>
      <w:pPr>
        <w:ind w:firstLine="480"/>
        <w:spacing w:line="440" w:lineRule="exact"/>
        <w:rPr>
          <w:rFonts w:ascii="宋体" w:hAnsi="宋体"/>
          <w:color w:val="000000" w:themeColor="text1"/>
          <w:sz w:val="24"/>
          <w14:textFill>
            <w14:solidFill>
              <w14:schemeClr w14:val="tx1"/>
            </w14:solidFill>
          </w14:textFill>
        </w:rPr>
      </w:pPr>
      <w:r/>
      <w:bookmarkStart w:id="91" w:name="_Toc513029210"/>
      <w:r/>
      <w:bookmarkStart w:id="92" w:name="_Toc16938526"/>
      <w:r/>
      <w:bookmarkStart w:id="93" w:name="_Toc20823282"/>
      <w:r/>
      <w:bookmarkStart w:id="94" w:name="_Toc14577352"/>
      <w:r/>
      <w:bookmarkStart w:id="95" w:name="_Toc61149554"/>
      <w:r/>
      <w:bookmarkStart w:id="96" w:name="_Toc513029214"/>
      <w:r/>
      <w:bookmarkStart w:id="97" w:name="_Toc462564074"/>
      <w:r/>
      <w:bookmarkStart w:id="98" w:name="_Toc462564073"/>
      <w:r/>
      <w:bookmarkStart w:id="99" w:name="_Toc14577353"/>
      <w:r/>
      <w:bookmarkStart w:id="100" w:name="_Toc61149555"/>
      <w:r/>
      <w:bookmarkStart w:id="101" w:name="_Toc513029215"/>
      <w:r/>
      <w:bookmarkStart w:id="102" w:name="_Toc20823285"/>
      <w:r/>
      <w:bookmarkStart w:id="103" w:name="_Toc120614216"/>
      <w:r/>
      <w:bookmarkStart w:id="104" w:name="_Toc16938529"/>
      <w:r>
        <w:rPr>
          <w:rFonts w:hint="eastAsia" w:ascii="宋体" w:hAnsi="宋体"/>
          <w:color w:val="000000" w:themeColor="text1"/>
          <w:sz w:val="24"/>
          <w14:textFill>
            <w14:solidFill>
              <w14:schemeClr w14:val="tx1"/>
            </w14:solidFill>
          </w14:textFill>
        </w:rPr>
        <w:t xml:space="preserve">6.磋商文件构成</w:t>
      </w:r>
      <w:bookmarkEnd w:id="91"/>
      <w:r/>
      <w:bookmarkEnd w:id="92"/>
      <w:r/>
      <w:bookmarkEnd w:id="93"/>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6.1磋商文件由以下部分组成：</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（1）磋商公告</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（2）供应商须知</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（3）合同文本</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（4）采购需求</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（5）评审方法与评审标准</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（6）响应文件格式</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请仔细检查磋商文件是否齐全，如有缺漏请立即与代理公司联系解决。</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ascii="宋体" w:hAnsi="宋体"/>
          <w:color w:val="000000" w:themeColor="text1"/>
          <w:sz w:val="24"/>
          <w14:textFill>
            <w14:solidFill>
              <w14:schemeClr w14:val="tx1"/>
            </w14:solidFill>
          </w14:textFill>
        </w:rPr>
      </w:pPr>
      <w:r/>
      <w:bookmarkStart w:id="105" w:name="_Toc513029211"/>
      <w:r/>
      <w:bookmarkStart w:id="106" w:name="_Toc20823283"/>
      <w:r/>
      <w:bookmarkStart w:id="107" w:name="_Toc16938527"/>
      <w:r/>
      <w:bookmarkStart w:id="108" w:name="_Toc462564070"/>
      <w:r>
        <w:rPr>
          <w:rFonts w:hint="eastAsia" w:ascii="宋体" w:hAnsi="宋体"/>
          <w:color w:val="000000" w:themeColor="text1"/>
          <w:sz w:val="24"/>
          <w14:textFill>
            <w14:solidFill>
              <w14:schemeClr w14:val="tx1"/>
            </w14:solidFill>
          </w14:textFill>
        </w:rPr>
        <w:t xml:space="preserve">7.磋商文件的澄清</w:t>
      </w:r>
      <w:bookmarkEnd w:id="105"/>
      <w:r/>
      <w:bookmarkEnd w:id="106"/>
      <w:r/>
      <w:bookmarkEnd w:id="107"/>
      <w:r/>
      <w:bookmarkEnd w:id="108"/>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7.1任何要求对磋商文件进行澄清的供应商，应在磋商截止期5日前按磋商公告中的通讯地址，以书面形式通知代理公司。</w:t>
      </w:r>
      <w:r/>
    </w:p>
    <w:p>
      <w:pPr>
        <w:ind w:firstLine="480"/>
        <w:spacing w:line="440" w:lineRule="exact"/>
        <w:rPr>
          <w:rFonts w:ascii="宋体" w:hAnsi="宋体"/>
          <w:color w:val="000000" w:themeColor="text1"/>
          <w:sz w:val="24"/>
          <w14:textFill>
            <w14:solidFill>
              <w14:schemeClr w14:val="tx1"/>
            </w14:solidFill>
          </w14:textFill>
        </w:rPr>
      </w:pPr>
      <w:r/>
      <w:bookmarkStart w:id="109" w:name="_Toc16938528"/>
      <w:r/>
      <w:bookmarkStart w:id="110" w:name="_Toc462564071"/>
      <w:r/>
      <w:bookmarkStart w:id="111" w:name="_Toc20823284"/>
      <w:r/>
      <w:bookmarkStart w:id="112" w:name="_Toc513029212"/>
      <w:r>
        <w:rPr>
          <w:rFonts w:hint="eastAsia" w:ascii="宋体" w:hAnsi="宋体"/>
          <w:color w:val="000000" w:themeColor="text1"/>
          <w:sz w:val="24"/>
          <w14:textFill>
            <w14:solidFill>
              <w14:schemeClr w14:val="tx1"/>
            </w14:solidFill>
          </w14:textFill>
        </w:rPr>
        <w:t xml:space="preserve">8.磋商文件的澄清和修改</w:t>
      </w:r>
      <w:bookmarkEnd w:id="109"/>
      <w:r/>
      <w:bookmarkEnd w:id="110"/>
      <w:r/>
      <w:bookmarkEnd w:id="111"/>
      <w:r/>
      <w:bookmarkEnd w:id="112"/>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8.1在响应文件提交截止时间前，代理公司可以对磋商文件进行澄清和修改,澄清或者修改的内容作为磋商文件的组成部分。澄清或者修改的内容可能影响响应文件编制的，代理公司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代理公司将顺延提交首次响应文件截止时间。</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8.2代理公司可以视采购项目的具体情况，组织供应商进行现场考察或召开磋商前答疑会，但不单独或分别组织只有一个供应商参加的现场考察和答疑会。</w:t>
      </w:r>
      <w:bookmarkEnd w:id="94"/>
      <w:r/>
      <w:bookmarkEnd w:id="95"/>
      <w:r/>
      <w:bookmarkEnd w:id="96"/>
      <w:r/>
      <w:bookmarkEnd w:id="97"/>
      <w:r/>
      <w:bookmarkEnd w:id="98"/>
      <w:r/>
      <w:bookmarkEnd w:id="99"/>
      <w:r/>
      <w:bookmarkEnd w:id="100"/>
      <w:r/>
      <w:bookmarkEnd w:id="101"/>
      <w:r/>
      <w:r/>
    </w:p>
    <w:p>
      <w:pPr>
        <w:ind w:firstLine="482"/>
        <w:spacing w:line="440" w:lineRule="exact"/>
        <w:tabs>
          <w:tab w:val="left" w:pos="900" w:leader="none"/>
        </w:tabs>
        <w:rPr>
          <w:rFonts w:ascii="宋体" w:hAnsi="宋体"/>
          <w:b/>
          <w:color w:val="000000" w:themeColor="text1"/>
          <w:sz w:val="24"/>
          <w14:textFill>
            <w14:solidFill>
              <w14:schemeClr w14:val="tx1"/>
            </w14:solidFill>
          </w14:textFill>
        </w:rPr>
        <w:outlineLvl w:val="1"/>
      </w:pPr>
      <w:r/>
      <w:bookmarkStart w:id="113" w:name="_Toc203032694"/>
      <w:r>
        <w:rPr>
          <w:rFonts w:hint="eastAsia" w:ascii="宋体" w:hAnsi="宋体"/>
          <w:b/>
          <w:color w:val="000000" w:themeColor="text1"/>
          <w:sz w:val="24"/>
          <w14:textFill>
            <w14:solidFill>
              <w14:schemeClr w14:val="tx1"/>
            </w14:solidFill>
          </w14:textFill>
        </w:rPr>
        <w:t xml:space="preserve">三、响应文件的编制</w:t>
      </w:r>
      <w:bookmarkEnd w:id="102"/>
      <w:r/>
      <w:bookmarkEnd w:id="103"/>
      <w:r/>
      <w:bookmarkEnd w:id="104"/>
      <w:r/>
      <w:bookmarkEnd w:id="113"/>
      <w:r/>
      <w:r/>
    </w:p>
    <w:p>
      <w:pPr>
        <w:ind w:firstLine="480"/>
        <w:spacing w:line="440" w:lineRule="exact"/>
        <w:rPr>
          <w:rFonts w:ascii="宋体" w:hAnsi="宋体" w:cs="宋体"/>
          <w:color w:val="000000" w:themeColor="text1"/>
          <w:sz w:val="24"/>
          <w14:textFill>
            <w14:solidFill>
              <w14:schemeClr w14:val="tx1"/>
            </w14:solidFill>
          </w14:textFill>
        </w:rPr>
      </w:pPr>
      <w:r/>
      <w:bookmarkStart w:id="114" w:name="_Toc16938530"/>
      <w:r/>
      <w:bookmarkStart w:id="115" w:name="_Toc20823286"/>
      <w:r>
        <w:rPr>
          <w:rFonts w:hint="eastAsia" w:ascii="宋体" w:hAnsi="宋体" w:cs="宋体"/>
          <w:color w:val="000000" w:themeColor="text1"/>
          <w:sz w:val="24"/>
          <w14:textFill>
            <w14:solidFill>
              <w14:schemeClr w14:val="tx1"/>
            </w14:solidFill>
          </w14:textFill>
        </w:rPr>
        <w:t xml:space="preserve">9.响应文件的语言及度量衡单位</w:t>
      </w:r>
      <w:bookmarkEnd w:id="114"/>
      <w:r/>
      <w:bookmarkEnd w:id="115"/>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9.1供应商提交的响应文件以及供应商与代理公司就有关磋商的所有来往通知、函件和文件均应使用简体中文。</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9.2 除技术性能另有规定外，响应文件所使用的度量衡单位，均须采用国家法定计量单位。</w:t>
      </w:r>
      <w:r/>
    </w:p>
    <w:p>
      <w:pPr>
        <w:ind w:firstLine="480"/>
        <w:spacing w:line="440" w:lineRule="exact"/>
        <w:rPr>
          <w:rFonts w:ascii="宋体" w:hAnsi="宋体" w:cs="宋体"/>
          <w:color w:val="000000" w:themeColor="text1"/>
          <w:sz w:val="24"/>
          <w14:textFill>
            <w14:solidFill>
              <w14:schemeClr w14:val="tx1"/>
            </w14:solidFill>
          </w14:textFill>
        </w:rPr>
      </w:pPr>
      <w:r/>
      <w:bookmarkStart w:id="116" w:name="_Toc16938531"/>
      <w:r/>
      <w:bookmarkStart w:id="117" w:name="_Toc20823287"/>
      <w:r>
        <w:rPr>
          <w:rFonts w:hint="eastAsia" w:ascii="宋体" w:hAnsi="宋体" w:cs="宋体"/>
          <w:color w:val="000000" w:themeColor="text1"/>
          <w:sz w:val="24"/>
          <w14:textFill>
            <w14:solidFill>
              <w14:schemeClr w14:val="tx1"/>
            </w14:solidFill>
          </w14:textFill>
        </w:rPr>
        <w:t xml:space="preserve">10.响应文件构成</w:t>
      </w:r>
      <w:bookmarkEnd w:id="116"/>
      <w:r/>
      <w:bookmarkEnd w:id="117"/>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10.1供应商编写的响应文件应包括资格证明文件、符合性证明文件、已标价的工程量清单报价表、技术要求响应及偏离表、商务要求响应及偏离表、其他证明文件、磋商响应函等部分。</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 如标书制作工具中格式和内容与</w:t>
      </w:r>
      <w:r>
        <w:rPr>
          <w:rFonts w:hint="eastAsia" w:ascii="宋体" w:hAnsi="宋体"/>
          <w:color w:val="000000" w:themeColor="text1"/>
          <w:sz w:val="24"/>
          <w14:textFill>
            <w14:solidFill>
              <w14:schemeClr w14:val="tx1"/>
            </w14:solidFill>
          </w14:textFill>
        </w:rPr>
        <w:t xml:space="preserve">“中国政府采购网”、“江苏政府采购网”、“盐城市政府采购网”</w:t>
      </w:r>
      <w:r>
        <w:rPr>
          <w:rFonts w:hint="eastAsia" w:ascii="宋体" w:hAnsi="宋体" w:cs="宋体"/>
          <w:color w:val="000000" w:themeColor="text1"/>
          <w:sz w:val="24"/>
          <w14:textFill>
            <w14:solidFill>
              <w14:schemeClr w14:val="tx1"/>
            </w14:solidFill>
          </w14:textFill>
        </w:rPr>
        <w:t xml:space="preserve">发布的磋商文件不一致，请以</w:t>
      </w:r>
      <w:r>
        <w:rPr>
          <w:rFonts w:hint="eastAsia" w:ascii="宋体" w:hAnsi="宋体"/>
          <w:color w:val="000000" w:themeColor="text1"/>
          <w:sz w:val="24"/>
          <w14:textFill>
            <w14:solidFill>
              <w14:schemeClr w14:val="tx1"/>
            </w14:solidFill>
          </w14:textFill>
        </w:rPr>
        <w:t xml:space="preserve">“中国政府采购网”、“江苏政府采购网”、“盐城市政府采购网”</w:t>
      </w:r>
      <w:r>
        <w:rPr>
          <w:rFonts w:hint="eastAsia" w:ascii="宋体" w:hAnsi="宋体" w:cs="宋体"/>
          <w:color w:val="000000" w:themeColor="text1"/>
          <w:sz w:val="24"/>
          <w14:textFill>
            <w14:solidFill>
              <w14:schemeClr w14:val="tx1"/>
            </w14:solidFill>
          </w14:textFill>
        </w:rPr>
        <w:t xml:space="preserve">发布的磋商文件为准。</w:t>
      </w:r>
      <w:r/>
    </w:p>
    <w:p>
      <w:pPr>
        <w:ind w:firstLine="480"/>
        <w:spacing w:line="440" w:lineRule="exact"/>
        <w:rPr>
          <w:rFonts w:ascii="宋体" w:hAnsi="宋体" w:cs="宋体"/>
          <w:color w:val="000000" w:themeColor="text1"/>
          <w:sz w:val="24"/>
          <w14:textFill>
            <w14:solidFill>
              <w14:schemeClr w14:val="tx1"/>
            </w14:solidFill>
          </w14:textFill>
        </w:rPr>
      </w:pPr>
      <w:r/>
      <w:bookmarkStart w:id="118" w:name="_Toc513029219"/>
      <w:r/>
      <w:bookmarkStart w:id="119" w:name="_Toc49090509"/>
      <w:r/>
      <w:bookmarkStart w:id="120" w:name="_Toc14577357"/>
      <w:r/>
      <w:bookmarkStart w:id="121" w:name="_Toc513029216"/>
      <w:r/>
      <w:bookmarkStart w:id="122" w:name="_Toc14577354"/>
      <w:r/>
      <w:bookmarkStart w:id="123" w:name="_Toc49090508"/>
      <w:r/>
      <w:bookmarkStart w:id="124" w:name="_Toc14577355"/>
      <w:r/>
      <w:bookmarkStart w:id="125" w:name="_Toc49090507"/>
      <w:r>
        <w:rPr>
          <w:rFonts w:hint="eastAsia" w:ascii="宋体" w:hAnsi="宋体" w:cs="宋体"/>
          <w:color w:val="000000" w:themeColor="text1"/>
          <w:sz w:val="24"/>
          <w14:textFill>
            <w14:solidFill>
              <w14:schemeClr w14:val="tx1"/>
            </w14:solidFill>
          </w14:textFill>
        </w:rPr>
        <w:t xml:space="preserve">11.证明磋商响应标的符合磋商文件规定的文件</w:t>
      </w:r>
      <w:bookmarkEnd w:id="118"/>
      <w:r/>
      <w:bookmarkEnd w:id="119"/>
      <w:r/>
      <w:bookmarkEnd w:id="120"/>
      <w:r/>
      <w:bookmarkEnd w:id="121"/>
      <w:r/>
      <w:bookmarkEnd w:id="122"/>
      <w:r/>
      <w:bookmarkEnd w:id="123"/>
      <w:r/>
      <w:bookmarkEnd w:id="124"/>
      <w:r/>
      <w:bookmarkEnd w:id="125"/>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11.1供应商应按照磋商文件要求提交证明文件，证明其及磋商响应标的符合磋商文件规定。</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11.2磋商文件对证明文件无明确形式要求的，证明文件可以以文字资料、图纸和数据等形式提交。</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12.已标价的工程量清单报价表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12.1供应商应按照磋商文件规定格式填报工程量清单报价表。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12.2磋商货币。响应文件中的单价和总价无特殊规定的采用人民币报价，以元为单位标注。磋商文件中另有规定的按规定执行。</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13、技术要求响应及偏离表、商务要求响应及偏离表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13.1供应商需对磋商文件中的技术要求与商务要求逐项作出响应或偏离，并说明原因。</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13.2供应商可在响应文件中提供认为需要的其他技术文件或说明。</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14.服务承诺、培训计划、人员安排及其他</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14.2供应商需根据磋商文件要求提供培训计划。</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14.3供应商需根据磋商文件要求提供磋商响应标的的主要组成部分、功能设计、实现思路及关键技术等。</w:t>
      </w:r>
      <w:r/>
    </w:p>
    <w:p>
      <w:pPr>
        <w:ind w:firstLine="480"/>
        <w:spacing w:line="440" w:lineRule="exact"/>
        <w:rPr>
          <w:rFonts w:ascii="宋体" w:hAnsi="宋体" w:cs="宋体"/>
          <w:color w:val="000000" w:themeColor="text1"/>
          <w:sz w:val="24"/>
          <w14:textFill>
            <w14:solidFill>
              <w14:schemeClr w14:val="tx1"/>
            </w14:solidFill>
          </w14:textFill>
        </w:rPr>
      </w:pPr>
      <w:r/>
      <w:bookmarkStart w:id="126" w:name="_Toc14577359"/>
      <w:r/>
      <w:bookmarkStart w:id="127" w:name="_Toc49090510"/>
      <w:r>
        <w:rPr>
          <w:rFonts w:hint="eastAsia" w:ascii="宋体" w:hAnsi="宋体" w:cs="宋体"/>
          <w:color w:val="000000" w:themeColor="text1"/>
          <w:sz w:val="24"/>
          <w14:textFill>
            <w14:solidFill>
              <w14:schemeClr w14:val="tx1"/>
            </w14:solidFill>
          </w14:textFill>
        </w:rPr>
        <w:t xml:space="preserve">15.磋商响应函</w:t>
      </w:r>
      <w:bookmarkEnd w:id="126"/>
      <w:r/>
      <w:bookmarkEnd w:id="127"/>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15.1供应商应按照磋商文件中提供的格式完整、正确填写磋商响应函。</w:t>
      </w:r>
      <w:r/>
    </w:p>
    <w:p>
      <w:pPr>
        <w:ind w:firstLine="480"/>
        <w:spacing w:line="440" w:lineRule="exact"/>
        <w:rPr>
          <w:rFonts w:ascii="宋体" w:hAnsi="宋体" w:cs="宋体"/>
          <w:color w:val="000000" w:themeColor="text1"/>
          <w:sz w:val="24"/>
          <w14:textFill>
            <w14:solidFill>
              <w14:schemeClr w14:val="tx1"/>
            </w14:solidFill>
          </w14:textFill>
        </w:rPr>
      </w:pPr>
      <w:r/>
      <w:bookmarkStart w:id="128" w:name="_Toc14577360"/>
      <w:r/>
      <w:bookmarkStart w:id="129" w:name="_Toc49090511"/>
      <w:r>
        <w:rPr>
          <w:rFonts w:hint="eastAsia" w:ascii="宋体" w:hAnsi="宋体" w:cs="宋体"/>
          <w:color w:val="000000" w:themeColor="text1"/>
          <w:sz w:val="24"/>
          <w14:textFill>
            <w14:solidFill>
              <w14:schemeClr w14:val="tx1"/>
            </w14:solidFill>
          </w14:textFill>
        </w:rPr>
        <w:t xml:space="preserve">16.磋商有效期</w:t>
      </w:r>
      <w:bookmarkEnd w:id="128"/>
      <w:r/>
      <w:bookmarkEnd w:id="129"/>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16.1磋商有效期为代理公司规定的提交响应文件截止之日后九十（90）天。磋商有效期比规定短的将被视为非实质性响应磋商文件而予以拒绝。</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17.磋商有效期的延长</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ascii="宋体" w:hAnsi="宋体"/>
          <w:b/>
          <w:color w:val="000000" w:themeColor="text1"/>
          <w:sz w:val="24"/>
          <w14:textFill>
            <w14:solidFill>
              <w14:schemeClr w14:val="tx1"/>
            </w14:solidFill>
          </w14:textFill>
        </w:rPr>
        <w:outlineLvl w:val="1"/>
      </w:pPr>
      <w:r/>
      <w:bookmarkStart w:id="130" w:name="_Toc513029224"/>
      <w:r/>
      <w:bookmarkStart w:id="131" w:name="_Toc16938540"/>
      <w:r/>
      <w:bookmarkStart w:id="132" w:name="_Toc20823296"/>
      <w:r/>
      <w:bookmarkStart w:id="133" w:name="_Toc203032695"/>
      <w:r/>
      <w:bookmarkStart w:id="134" w:name="_Toc120614217"/>
      <w:r>
        <w:rPr>
          <w:rFonts w:hint="eastAsia" w:ascii="宋体" w:hAnsi="宋体"/>
          <w:b/>
          <w:color w:val="000000" w:themeColor="text1"/>
          <w:sz w:val="24"/>
          <w14:textFill>
            <w14:solidFill>
              <w14:schemeClr w14:val="tx1"/>
            </w14:solidFill>
          </w14:textFill>
        </w:rPr>
        <w:t xml:space="preserve">四、响应文件的递交</w:t>
      </w:r>
      <w:bookmarkEnd w:id="130"/>
      <w:r/>
      <w:bookmarkEnd w:id="131"/>
      <w:r/>
      <w:bookmarkEnd w:id="132"/>
      <w:r/>
      <w:bookmarkEnd w:id="133"/>
      <w:r/>
      <w:bookmarkEnd w:id="134"/>
      <w:r/>
      <w:r/>
    </w:p>
    <w:p>
      <w:pPr>
        <w:ind w:firstLine="480"/>
        <w:spacing w:line="440" w:lineRule="exact"/>
        <w:rPr>
          <w:rFonts w:ascii="宋体" w:hAnsi="宋体" w:cs="宋体"/>
          <w:color w:val="000000" w:themeColor="text1"/>
          <w:sz w:val="24"/>
          <w14:textFill>
            <w14:solidFill>
              <w14:schemeClr w14:val="tx1"/>
            </w14:solidFill>
          </w14:textFill>
        </w:rPr>
      </w:pPr>
      <w:r/>
      <w:bookmarkStart w:id="135" w:name="_Toc20823297"/>
      <w:r/>
      <w:bookmarkStart w:id="136" w:name="_Toc16938541"/>
      <w:r/>
      <w:bookmarkStart w:id="137" w:name="_Toc513029225"/>
      <w:r/>
      <w:bookmarkStart w:id="138" w:name="_Toc462564084"/>
      <w:r>
        <w:rPr>
          <w:rFonts w:hint="eastAsia" w:ascii="宋体" w:hAnsi="宋体" w:cs="宋体"/>
          <w:color w:val="000000" w:themeColor="text1"/>
          <w:sz w:val="24"/>
          <w14:textFill>
            <w14:solidFill>
              <w14:schemeClr w14:val="tx1"/>
            </w14:solidFill>
          </w14:textFill>
        </w:rPr>
        <w:t xml:space="preserve">18.电子磋商</w:t>
      </w:r>
      <w:bookmarkEnd w:id="135"/>
      <w:r/>
      <w:bookmarkEnd w:id="136"/>
      <w:r/>
      <w:bookmarkEnd w:id="137"/>
      <w:r/>
      <w:bookmarkEnd w:id="138"/>
      <w:r>
        <w:rPr>
          <w:rFonts w:hint="eastAsia" w:ascii="宋体" w:hAnsi="宋体" w:cs="宋体"/>
          <w:color w:val="000000" w:themeColor="text1"/>
          <w:sz w:val="24"/>
          <w14:textFill>
            <w14:solidFill>
              <w14:schemeClr w14:val="tx1"/>
            </w14:solidFill>
          </w14:textFill>
        </w:rPr>
        <w:t xml:space="preserve">响应文件的递交</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18.1供应商应当按照《操作手册》规定，在提交响应文件截止时间前制作并上传电子响应文件。</w:t>
      </w:r>
      <w:bookmarkStart w:id="139" w:name="_Toc16938542"/>
      <w:r/>
      <w:bookmarkEnd w:id="139"/>
      <w:r/>
      <w:bookmarkStart w:id="140" w:name="_Toc20823298"/>
      <w:r/>
      <w:bookmarkEnd w:id="140"/>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19、提交响应文件截止时间</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19.1供应商上传电子响应文件的时间不得迟于磋商公告中规定的提交响应文件截止时间。</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19.2 代理公司可以按照规定，通过修改磋商文件酌情延长提交响应文件截止日期，在此情况下，供应商的所有权利和义务以及供应商受制的截止日期均应以延长后新的截止日期为准。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ascii="宋体" w:hAnsi="宋体" w:cs="宋体"/>
          <w:color w:val="000000" w:themeColor="text1"/>
          <w:sz w:val="24"/>
          <w14:textFill>
            <w14:solidFill>
              <w14:schemeClr w14:val="tx1"/>
            </w14:solidFill>
          </w14:textFill>
        </w:rPr>
      </w:pPr>
      <w:r/>
      <w:bookmarkStart w:id="141" w:name="_Toc16938543"/>
      <w:r/>
      <w:bookmarkStart w:id="142" w:name="_Toc20823299"/>
      <w:r/>
      <w:bookmarkStart w:id="143" w:name="_Toc513029227"/>
      <w:r>
        <w:rPr>
          <w:rFonts w:hint="eastAsia" w:ascii="宋体" w:hAnsi="宋体" w:cs="宋体"/>
          <w:color w:val="000000" w:themeColor="text1"/>
          <w:sz w:val="24"/>
          <w14:textFill>
            <w14:solidFill>
              <w14:schemeClr w14:val="tx1"/>
            </w14:solidFill>
          </w14:textFill>
        </w:rPr>
        <w:t xml:space="preserve">20.响应文件</w:t>
      </w:r>
      <w:bookmarkEnd w:id="141"/>
      <w:r/>
      <w:bookmarkEnd w:id="142"/>
      <w:r/>
      <w:bookmarkEnd w:id="143"/>
      <w:r>
        <w:rPr>
          <w:rFonts w:hint="eastAsia" w:ascii="宋体" w:hAnsi="宋体" w:cs="宋体"/>
          <w:color w:val="000000" w:themeColor="text1"/>
          <w:sz w:val="24"/>
          <w14:textFill>
            <w14:solidFill>
              <w14:schemeClr w14:val="tx1"/>
            </w14:solidFill>
          </w14:textFill>
        </w:rPr>
        <w:t xml:space="preserve">的拒收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20.1 代理公司拒绝接收在其规定的提交响应文件截止时间后上传的任何电子响应文件。</w:t>
      </w:r>
      <w:r/>
    </w:p>
    <w:p>
      <w:pPr>
        <w:ind w:firstLine="480"/>
        <w:spacing w:line="440" w:lineRule="exact"/>
        <w:rPr>
          <w:rFonts w:ascii="宋体" w:hAnsi="宋体" w:cs="宋体"/>
          <w:color w:val="000000" w:themeColor="text1"/>
          <w:sz w:val="24"/>
          <w14:textFill>
            <w14:solidFill>
              <w14:schemeClr w14:val="tx1"/>
            </w14:solidFill>
          </w14:textFill>
        </w:rPr>
      </w:pPr>
      <w:r/>
      <w:bookmarkStart w:id="144" w:name="_Toc16938544"/>
      <w:r/>
      <w:bookmarkStart w:id="145" w:name="_Toc513029228"/>
      <w:r/>
      <w:bookmarkStart w:id="146" w:name="_Toc20823300"/>
      <w:r>
        <w:rPr>
          <w:rFonts w:hint="eastAsia" w:ascii="宋体" w:hAnsi="宋体" w:cs="宋体"/>
          <w:color w:val="000000" w:themeColor="text1"/>
          <w:sz w:val="24"/>
          <w14:textFill>
            <w14:solidFill>
              <w14:schemeClr w14:val="tx1"/>
            </w14:solidFill>
          </w14:textFill>
        </w:rPr>
        <w:t xml:space="preserve">21.响应文件的撤回和修改</w:t>
      </w:r>
      <w:bookmarkEnd w:id="144"/>
      <w:r/>
      <w:bookmarkEnd w:id="145"/>
      <w:r/>
      <w:bookmarkEnd w:id="146"/>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21.1响应文件的撤回</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21.1.1 电子响应文件的撤回</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供应商可在提交响应文件截止时间前，撤回其电子响应文件，具体操作方法见《操作手册》。</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21.1.2供应商撤回电子响应文件，则认为其不再参与本项目磋商活动。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21.2响应文件的修改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供应商可在提交响应文件截止时间前，对其电子响应文件进行修改，具体操作方法见《操作手册》。</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21.3 在提交响应文件截止时间之后，供应商不得对其电子响应文件作任何修改。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21.4 在提交响应文件截止时间至磋商文件中规定的磋商有效期满之间的这段时间内，供应商不得撤回其响应文件。</w:t>
      </w:r>
      <w:r/>
    </w:p>
    <w:p>
      <w:pPr>
        <w:ind w:firstLine="482"/>
        <w:spacing w:line="440" w:lineRule="exact"/>
        <w:tabs>
          <w:tab w:val="left" w:pos="900" w:leader="none"/>
        </w:tabs>
        <w:rPr>
          <w:rFonts w:ascii="宋体" w:hAnsi="宋体"/>
          <w:b/>
          <w:color w:val="000000" w:themeColor="text1"/>
          <w:sz w:val="24"/>
          <w14:textFill>
            <w14:solidFill>
              <w14:schemeClr w14:val="tx1"/>
            </w14:solidFill>
          </w14:textFill>
        </w:rPr>
        <w:outlineLvl w:val="1"/>
      </w:pPr>
      <w:r/>
      <w:bookmarkStart w:id="147" w:name="_Toc203032696"/>
      <w:r/>
      <w:bookmarkStart w:id="148" w:name="_Toc513029229"/>
      <w:r/>
      <w:bookmarkStart w:id="149" w:name="_Toc120614218"/>
      <w:r/>
      <w:bookmarkStart w:id="150" w:name="_Toc16938545"/>
      <w:r/>
      <w:bookmarkStart w:id="151" w:name="_Toc20823301"/>
      <w:r>
        <w:rPr>
          <w:rFonts w:hint="eastAsia" w:ascii="宋体" w:hAnsi="宋体"/>
          <w:b/>
          <w:color w:val="000000" w:themeColor="text1"/>
          <w:sz w:val="24"/>
          <w14:textFill>
            <w14:solidFill>
              <w14:schemeClr w14:val="tx1"/>
            </w14:solidFill>
          </w14:textFill>
        </w:rPr>
        <w:t xml:space="preserve">五、响应文件的解密与评审</w:t>
      </w:r>
      <w:bookmarkEnd w:id="147"/>
      <w:r/>
      <w:bookmarkEnd w:id="148"/>
      <w:r/>
      <w:bookmarkEnd w:id="149"/>
      <w:r/>
      <w:bookmarkEnd w:id="150"/>
      <w:r/>
      <w:bookmarkEnd w:id="151"/>
      <w:r/>
      <w:r/>
    </w:p>
    <w:p>
      <w:pPr>
        <w:ind w:firstLine="480"/>
        <w:spacing w:line="440" w:lineRule="exact"/>
        <w:rPr>
          <w:rFonts w:ascii="宋体" w:hAnsi="宋体" w:cs="宋体"/>
          <w:color w:val="000000" w:themeColor="text1"/>
          <w:sz w:val="24"/>
          <w14:textFill>
            <w14:solidFill>
              <w14:schemeClr w14:val="tx1"/>
            </w14:solidFill>
          </w14:textFill>
        </w:rPr>
      </w:pPr>
      <w:r/>
      <w:bookmarkStart w:id="152" w:name="_Toc16938546"/>
      <w:r/>
      <w:bookmarkStart w:id="153" w:name="_Toc20823302"/>
      <w:r/>
      <w:bookmarkStart w:id="154" w:name="_Toc513029230"/>
      <w:r>
        <w:rPr>
          <w:rFonts w:hint="eastAsia" w:ascii="宋体" w:hAnsi="宋体" w:cs="宋体"/>
          <w:color w:val="000000" w:themeColor="text1"/>
          <w:sz w:val="24"/>
          <w14:textFill>
            <w14:solidFill>
              <w14:schemeClr w14:val="tx1"/>
            </w14:solidFill>
          </w14:textFill>
        </w:rPr>
        <w:t xml:space="preserve">22</w:t>
      </w:r>
      <w:bookmarkEnd w:id="152"/>
      <w:r/>
      <w:bookmarkEnd w:id="153"/>
      <w:r/>
      <w:bookmarkEnd w:id="154"/>
      <w:r>
        <w:rPr>
          <w:rFonts w:hint="eastAsia" w:ascii="宋体" w:hAnsi="宋体" w:cs="宋体"/>
          <w:color w:val="000000" w:themeColor="text1"/>
          <w:sz w:val="24"/>
          <w14:textFill>
            <w14:solidFill>
              <w14:schemeClr w14:val="tx1"/>
            </w14:solidFill>
          </w14:textFill>
        </w:rPr>
        <w:t xml:space="preserve">.响应文件解密</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22.1供应商应当按照《操作手册》规定，在苏采云系统规定的时间内对磋商响应文件进行解密。</w:t>
      </w:r>
      <w:r/>
    </w:p>
    <w:p>
      <w:pPr>
        <w:ind w:firstLine="480"/>
        <w:spacing w:line="440" w:lineRule="exact"/>
        <w:rPr>
          <w:rFonts w:ascii="宋体" w:hAnsi="宋体" w:cs="宋体"/>
          <w:color w:val="000000" w:themeColor="text1"/>
          <w:sz w:val="24"/>
          <w14:textFill>
            <w14:solidFill>
              <w14:schemeClr w14:val="tx1"/>
            </w14:solidFill>
          </w14:textFill>
        </w:rPr>
      </w:pPr>
      <w:r/>
      <w:bookmarkStart w:id="155" w:name="_Toc513029231"/>
      <w:r/>
      <w:bookmarkStart w:id="156" w:name="_Toc16938547"/>
      <w:r/>
      <w:bookmarkStart w:id="157" w:name="_Toc20823303"/>
      <w:r>
        <w:rPr>
          <w:rFonts w:hint="eastAsia" w:ascii="宋体" w:hAnsi="宋体" w:cs="宋体"/>
          <w:color w:val="000000" w:themeColor="text1"/>
          <w:sz w:val="24"/>
          <w14:textFill>
            <w14:solidFill>
              <w14:schemeClr w14:val="tx1"/>
            </w14:solidFill>
          </w14:textFill>
        </w:rPr>
        <w:t xml:space="preserve">23.磋商小组</w:t>
      </w:r>
      <w:bookmarkEnd w:id="155"/>
      <w:r/>
      <w:bookmarkEnd w:id="156"/>
      <w:r/>
      <w:bookmarkEnd w:id="157"/>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23.1代理公司将组织磋商小组对响应文件进行评审。磋商小组由采购人代表和有关技术、经济等方面的专家组成，且人员构成符合政府采购有关规定。</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23.2磋商小组独立工作，负责评审所有响应文件并确定成交候选人。</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24.评审过程的保密与公正</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24.1磋商小组、采购人和代理公司工作人员、相关监督人员等与评审工作有关的人员，对评审情况以及在评审过程中获悉的国家秘密、商业秘密负有保密责任。</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24.2在评审过程中，供应商不得以任何行为影响磋商评审过程，否则其响应文件将被作为无效响应文件。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24.3在项目评审期间，代理公司将设专门人员与供应商联系。</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24.4 代理公司和磋商小组不向未成交的供应商解释未成交原因，也不公布评审过程中的相关细节。</w:t>
      </w:r>
      <w:r/>
    </w:p>
    <w:p>
      <w:pPr>
        <w:ind w:firstLine="480"/>
        <w:spacing w:line="440" w:lineRule="exact"/>
        <w:rPr>
          <w:rFonts w:ascii="宋体" w:hAnsi="宋体" w:cs="宋体"/>
          <w:color w:val="000000" w:themeColor="text1"/>
          <w:sz w:val="24"/>
          <w14:textFill>
            <w14:solidFill>
              <w14:schemeClr w14:val="tx1"/>
            </w14:solidFill>
          </w14:textFill>
        </w:rPr>
      </w:pPr>
      <w:r/>
      <w:bookmarkStart w:id="158" w:name="_Toc20823304"/>
      <w:r/>
      <w:bookmarkStart w:id="159" w:name="_Toc16938548"/>
      <w:r/>
      <w:bookmarkStart w:id="160" w:name="_Toc513029232"/>
      <w:r>
        <w:rPr>
          <w:rFonts w:hint="eastAsia" w:ascii="宋体" w:hAnsi="宋体" w:cs="宋体"/>
          <w:color w:val="000000" w:themeColor="text1"/>
          <w:sz w:val="24"/>
          <w14:textFill>
            <w14:solidFill>
              <w14:schemeClr w14:val="tx1"/>
            </w14:solidFill>
          </w14:textFill>
        </w:rPr>
        <w:t xml:space="preserve">25.评审过程中的澄清</w:t>
      </w:r>
      <w:bookmarkEnd w:id="158"/>
      <w:r/>
      <w:bookmarkEnd w:id="159"/>
      <w:r/>
      <w:bookmarkEnd w:id="160"/>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磋商小组并非对每个供应商都作澄清要求。</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25.3接到磋商小组澄清、说明和更正要求的供应商如未按规定做出澄清、说明和更正，其风险由供应商自行承担。</w:t>
      </w:r>
      <w:r/>
    </w:p>
    <w:p>
      <w:pPr>
        <w:ind w:firstLine="480"/>
        <w:spacing w:line="440" w:lineRule="exact"/>
        <w:rPr>
          <w:rFonts w:ascii="宋体" w:hAnsi="宋体" w:cs="宋体"/>
          <w:color w:val="000000" w:themeColor="text1"/>
          <w:sz w:val="24"/>
          <w14:textFill>
            <w14:solidFill>
              <w14:schemeClr w14:val="tx1"/>
            </w14:solidFill>
          </w14:textFill>
        </w:rPr>
      </w:pPr>
      <w:r/>
      <w:bookmarkStart w:id="161" w:name="_Toc16938549"/>
      <w:r/>
      <w:bookmarkStart w:id="162" w:name="_Toc20823305"/>
      <w:r/>
      <w:bookmarkStart w:id="163" w:name="_Toc513029233"/>
      <w:r>
        <w:rPr>
          <w:rFonts w:hint="eastAsia" w:ascii="宋体" w:hAnsi="宋体" w:cs="宋体"/>
          <w:color w:val="000000" w:themeColor="text1"/>
          <w:sz w:val="24"/>
          <w14:textFill>
            <w14:solidFill>
              <w14:schemeClr w14:val="tx1"/>
            </w14:solidFill>
          </w14:textFill>
        </w:rPr>
        <w:t xml:space="preserve">26.对响应文件的审</w:t>
      </w:r>
      <w:bookmarkEnd w:id="161"/>
      <w:r/>
      <w:bookmarkEnd w:id="162"/>
      <w:r/>
      <w:bookmarkEnd w:id="163"/>
      <w:r>
        <w:rPr>
          <w:rFonts w:hint="eastAsia" w:ascii="宋体" w:hAnsi="宋体" w:cs="宋体"/>
          <w:color w:val="000000" w:themeColor="text1"/>
          <w:sz w:val="24"/>
          <w14:textFill>
            <w14:solidFill>
              <w14:schemeClr w14:val="tx1"/>
            </w14:solidFill>
          </w14:textFill>
        </w:rPr>
        <w:t xml:space="preserve">查</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26.1响应文件审查分为资格审查和符合性审查。</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26.3未实质性响应磋商文件的情形</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26.3.1供应商在苏采云系统规定的时间内未成功解密电子响应文件的。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26.3.2供应商未按照磋商文件要求上传电子响应文件的。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26.3.3同一供应商提交两个（含两个）以上不同的响应文件或者最后报价的。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26.3.4供应商不具备磋商文件中规定资格要求的。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26.3.5供应商的最后报价超过了采购最高限价。</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26.3.6不符合磋商文件中规定的实质性要求和条件的。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26.3.8响应文件含有采购人不能接受的附加条件的。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00" w:lineRule="exact"/>
        <w:rPr>
          <w:rFonts w:asciiTheme="minorEastAsia" w:hAnsiTheme="minorEastAsia"/>
          <w:b/>
          <w:color w:val="000000" w:themeColor="text1"/>
          <w:szCs w:val="21"/>
          <w:highlight w:val="non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26.3.10</w:t>
      </w:r>
      <w:r>
        <w:rPr>
          <w:rFonts w:hint="eastAsia" w:asciiTheme="minorEastAsia" w:hAnsiTheme="minorEastAsia"/>
          <w:b/>
          <w:color w:val="000000" w:themeColor="text1"/>
          <w:szCs w:val="21"/>
          <w:highlight w:val="none"/>
          <w14:textFill>
            <w14:solidFill>
              <w14:schemeClr w14:val="tx1"/>
            </w14:solidFill>
          </w14:textFill>
        </w:rPr>
        <w:t xml:space="preserve">供应商不能证明其报价合理性的，磋商小组应当将其作为无效响应处理。</w:t>
      </w:r>
      <w:r/>
    </w:p>
    <w:p>
      <w:pPr>
        <w:ind w:firstLine="422"/>
        <w:spacing w:line="400" w:lineRule="exact"/>
        <w:rPr>
          <w:rFonts w:asciiTheme="minorEastAsia" w:hAnsiTheme="minorEastAsia"/>
          <w:b/>
          <w:color w:val="000000" w:themeColor="text1"/>
          <w:szCs w:val="21"/>
          <w:highlight w:val="none"/>
          <w14:textFill>
            <w14:solidFill>
              <w14:schemeClr w14:val="tx1"/>
            </w14:solidFill>
          </w14:textFill>
        </w:rPr>
      </w:pPr>
      <w:r>
        <w:rPr>
          <w:rFonts w:hint="eastAsia" w:asciiTheme="minorEastAsia" w:hAnsiTheme="minorEastAsia"/>
          <w:b/>
          <w:color w:val="000000" w:themeColor="text1"/>
          <w:szCs w:val="21"/>
          <w:highlight w:val="none"/>
          <w14:textFill>
            <w14:solidFill>
              <w14:schemeClr w14:val="tx1"/>
            </w14:solidFill>
          </w14:textFill>
        </w:rPr>
        <w:t xml:space="preserve">（一）评审过程中出现下列情形之一的，磋商小组应当启动异常低价响应审查程序：</w:t>
      </w:r>
      <w:r/>
    </w:p>
    <w:p>
      <w:pPr>
        <w:ind w:firstLine="422"/>
        <w:spacing w:line="400" w:lineRule="exact"/>
        <w:rPr>
          <w:rFonts w:asciiTheme="minorEastAsia" w:hAnsiTheme="minorEastAsia"/>
          <w:b/>
          <w:color w:val="000000" w:themeColor="text1"/>
          <w:szCs w:val="21"/>
          <w:highlight w:val="none"/>
          <w14:textFill>
            <w14:solidFill>
              <w14:schemeClr w14:val="tx1"/>
            </w14:solidFill>
          </w14:textFill>
        </w:rPr>
      </w:pPr>
      <w:r>
        <w:rPr>
          <w:rFonts w:hint="eastAsia" w:asciiTheme="minorEastAsia" w:hAnsiTheme="minorEastAsia"/>
          <w:b/>
          <w:color w:val="000000" w:themeColor="text1"/>
          <w:szCs w:val="21"/>
          <w:highlight w:val="none"/>
          <w14:textFill>
            <w14:solidFill>
              <w14:schemeClr w14:val="tx1"/>
            </w14:solidFill>
          </w14:textFill>
        </w:rPr>
        <w:t xml:space="preserve">1.投标（响应）报价低于全部通过符合性审查供应商投标（响应）报价平均值60%的，即投标（响应）报价＜全部通过符合性审查供应商投标（响应）报价平均值×60%；</w:t>
      </w:r>
      <w:r/>
    </w:p>
    <w:p>
      <w:pPr>
        <w:ind w:firstLine="422"/>
        <w:spacing w:line="400" w:lineRule="exact"/>
        <w:rPr>
          <w:rFonts w:asciiTheme="minorEastAsia" w:hAnsiTheme="minorEastAsia"/>
          <w:b/>
          <w:color w:val="000000" w:themeColor="text1"/>
          <w:szCs w:val="21"/>
          <w:highlight w:val="none"/>
          <w14:textFill>
            <w14:solidFill>
              <w14:schemeClr w14:val="tx1"/>
            </w14:solidFill>
          </w14:textFill>
        </w:rPr>
      </w:pPr>
      <w:r>
        <w:rPr>
          <w:rFonts w:hint="eastAsia" w:asciiTheme="minorEastAsia" w:hAnsiTheme="minorEastAsia"/>
          <w:b/>
          <w:color w:val="000000" w:themeColor="text1"/>
          <w:szCs w:val="21"/>
          <w:highlight w:val="none"/>
          <w14:textFill>
            <w14:solidFill>
              <w14:schemeClr w14:val="tx1"/>
            </w14:solidFill>
          </w14:textFill>
        </w:rPr>
        <w:t xml:space="preserve">2.投标（响应）报价低于通过符合性审查的次低报价供应商投标（响应）报价60%的，即投标（响应）报价＜通过符合性审查的次低报价供应商投标（响应）报价×60%；</w:t>
      </w:r>
      <w:r/>
    </w:p>
    <w:p>
      <w:pPr>
        <w:ind w:firstLine="422"/>
        <w:spacing w:line="400" w:lineRule="exact"/>
        <w:rPr>
          <w:rFonts w:asciiTheme="minorEastAsia" w:hAnsiTheme="minorEastAsia"/>
          <w:b/>
          <w:color w:val="000000" w:themeColor="text1"/>
          <w:szCs w:val="21"/>
          <w:highlight w:val="none"/>
          <w14:textFill>
            <w14:solidFill>
              <w14:schemeClr w14:val="tx1"/>
            </w14:solidFill>
          </w14:textFill>
        </w:rPr>
      </w:pPr>
      <w:r>
        <w:rPr>
          <w:rFonts w:hint="eastAsia" w:asciiTheme="minorEastAsia" w:hAnsiTheme="minorEastAsia"/>
          <w:b/>
          <w:color w:val="000000" w:themeColor="text1"/>
          <w:szCs w:val="21"/>
          <w:highlight w:val="none"/>
          <w14:textFill>
            <w14:solidFill>
              <w14:schemeClr w14:val="tx1"/>
            </w14:solidFill>
          </w14:textFill>
        </w:rPr>
        <w:t xml:space="preserve">3.投标（响应）报价低于采购项目最高限价55%的，即投标（响应）报价＜采购项目最高限价×55%；</w:t>
      </w:r>
      <w:r/>
    </w:p>
    <w:p>
      <w:pPr>
        <w:ind w:firstLine="422"/>
        <w:spacing w:line="400" w:lineRule="exact"/>
        <w:rPr>
          <w:rFonts w:asciiTheme="minorEastAsia" w:hAnsiTheme="minorEastAsia"/>
          <w:b/>
          <w:color w:val="000000" w:themeColor="text1"/>
          <w:szCs w:val="21"/>
          <w:highlight w:val="none"/>
          <w14:textFill>
            <w14:solidFill>
              <w14:schemeClr w14:val="tx1"/>
            </w14:solidFill>
          </w14:textFill>
        </w:rPr>
      </w:pPr>
      <w:r>
        <w:rPr>
          <w:rFonts w:hint="eastAsia" w:asciiTheme="minorEastAsia" w:hAnsiTheme="minorEastAsia"/>
          <w:b/>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color w:val="000000" w:themeColor="text1"/>
          <w:szCs w:val="21"/>
          <w:highlight w:val="none"/>
          <w:u w:val="single"/>
          <w14:textFill>
            <w14:solidFill>
              <w14:schemeClr w14:val="tx1"/>
            </w14:solidFill>
          </w14:textFill>
        </w:rPr>
      </w:pPr>
      <w:r>
        <w:rPr>
          <w:rFonts w:hint="eastAsia" w:asciiTheme="minorEastAsia" w:hAnsiTheme="minorEastAsia"/>
          <w:b/>
          <w:color w:val="000000" w:themeColor="text1"/>
          <w:szCs w:val="21"/>
          <w:highlight w:val="none"/>
          <w:u w:val="single"/>
          <w14:textFill>
            <w14:solidFill>
              <w14:schemeClr w14:val="tx1"/>
            </w14:solidFill>
          </w14:textFill>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color w:val="000000" w:themeColor="text1"/>
          <w:szCs w:val="21"/>
          <w:highlight w:val="none"/>
          <w14:textFill>
            <w14:solidFill>
              <w14:schemeClr w14:val="tx1"/>
            </w14:solidFill>
          </w14:textFill>
        </w:rPr>
      </w:pPr>
      <w:r>
        <w:rPr>
          <w:rFonts w:hint="eastAsia" w:asciiTheme="minorEastAsia" w:hAnsiTheme="minorEastAsia"/>
          <w:b/>
          <w:color w:val="000000" w:themeColor="text1"/>
          <w:szCs w:val="21"/>
          <w:highlight w:val="none"/>
          <w14:textFill>
            <w14:solidFill>
              <w14:schemeClr w14:val="tx1"/>
            </w14:solidFill>
          </w14:textFill>
        </w:rPr>
        <w:t xml:space="preserve">相关法律法规对供应商报价有规定的，从其规定。</w:t>
      </w:r>
      <w:r/>
    </w:p>
    <w:p>
      <w:pPr>
        <w:ind w:firstLine="422"/>
        <w:spacing w:line="400" w:lineRule="exact"/>
        <w:rPr>
          <w:rFonts w:asciiTheme="minorEastAsia" w:hAnsiTheme="minorEastAsia"/>
          <w:b/>
          <w:color w:val="000000" w:themeColor="text1"/>
          <w:szCs w:val="21"/>
          <w:highlight w:val="none"/>
          <w14:textFill>
            <w14:solidFill>
              <w14:schemeClr w14:val="tx1"/>
            </w14:solidFill>
          </w14:textFill>
        </w:rPr>
      </w:pPr>
      <w:r>
        <w:rPr>
          <w:rFonts w:hint="eastAsia" w:asciiTheme="minorEastAsia" w:hAnsiTheme="minorEastAsia"/>
          <w:b/>
          <w:color w:val="000000" w:themeColor="text1"/>
          <w:szCs w:val="21"/>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color w:val="000000" w:themeColor="text1"/>
          <w:szCs w:val="21"/>
          <w:highlight w:val="none"/>
          <w14:textFill>
            <w14:solidFill>
              <w14:schemeClr w14:val="tx1"/>
            </w14:solidFill>
          </w14:textFill>
        </w:rPr>
      </w:pPr>
      <w:r>
        <w:rPr>
          <w:rFonts w:hint="eastAsia" w:asciiTheme="minorEastAsia" w:hAnsiTheme="minorEastAsia"/>
          <w:b/>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color w:val="000000" w:themeColor="text1"/>
          <w:szCs w:val="21"/>
          <w:highlight w:val="none"/>
          <w14:textFill>
            <w14:solidFill>
              <w14:schemeClr w14:val="tx1"/>
            </w14:solidFill>
          </w14:textFill>
        </w:rPr>
      </w:pPr>
      <w:r>
        <w:rPr>
          <w:rFonts w:hint="eastAsia" w:asciiTheme="minorEastAsia" w:hAnsiTheme="minorEastAsia"/>
          <w:b/>
          <w:color w:val="000000" w:themeColor="text1"/>
          <w:szCs w:val="2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hint="eastAsia" w:asciiTheme="minorEastAsia" w:hAnsiTheme="minorEastAsia"/>
          <w:b/>
          <w:color w:val="000000" w:themeColor="text1"/>
          <w:szCs w:val="21"/>
          <w:highlight w:val="none"/>
          <w14:textFill>
            <w14:solidFill>
              <w14:schemeClr w14:val="tx1"/>
            </w14:solidFill>
          </w14:textFill>
        </w:rPr>
      </w:pPr>
      <w:r>
        <w:rPr>
          <w:rFonts w:hint="eastAsia" w:asciiTheme="minorEastAsia" w:hAnsiTheme="minorEastAsia"/>
          <w:b/>
          <w:color w:val="000000" w:themeColor="text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26.3.11响应文件未按照磋商文件要求加盖CA电子公章的。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26.4未实质性响应磋商文件的响应文件按无效响应处理。</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26.5如果响应文件实质上没有响应磋商文件的要求，磋商小组将予以拒绝，供应商不得通过修改或撤销不符合要求的偏离或保留而使其成为实质性响应的文件。</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64" w:name="_Toc20823306"/>
      <w:r/>
      <w:bookmarkStart w:id="165" w:name="_Toc16938550"/>
      <w:r/>
      <w:bookmarkStart w:id="166" w:name="_Toc513029234"/>
      <w:r>
        <w:rPr>
          <w:rFonts w:hint="eastAsia" w:ascii="宋体" w:hAnsi="宋体" w:cs="宋体"/>
          <w:color w:val="000000" w:themeColor="text1"/>
          <w:sz w:val="24"/>
          <w14:textFill>
            <w14:solidFill>
              <w14:schemeClr w14:val="tx1"/>
            </w14:solidFill>
          </w14:textFill>
        </w:rPr>
        <w:t xml:space="preserve">26.6供应商在项目评审全过程中应保持通信畅通，并安排专人与代理机构及磋商小组联系。</w:t>
      </w:r>
      <w:bookmarkEnd w:id="164"/>
      <w:r/>
      <w:bookmarkEnd w:id="165"/>
      <w:r/>
      <w:bookmarkEnd w:id="166"/>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27.磋商程序及评审方法和评审标准</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27.1磋商程序</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27.2评审方法和评审标准</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27.2.2评审标准</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见本磋商文件第五章规定。</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27.3采购活动终止的情况</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出现下列情形之一的，本次竞争性磋商采购活动将被终止：</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27.3.1因情况变化，不再符合规定的竞争性磋商采购方式适用情形的。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27.3.2出现影响采购公正的违法、违规行为的。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27.3.3除本磋商文件第二章第27.1.2条第三款规定的情形外，在磋商过程中符合要求的供应商或者最后报价未超过采购预算的供应商不足3家的。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27.3.4在苏采云系统规定时间内成功解密电子响应文件的供应商不足3家的。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67" w:name="_Toc20823307"/>
      <w:r/>
      <w:bookmarkStart w:id="168" w:name="_Toc120614219"/>
      <w:r/>
      <w:bookmarkStart w:id="169" w:name="_Toc16938551"/>
      <w:r/>
      <w:bookmarkStart w:id="170" w:name="_Toc513029235"/>
      <w:r>
        <w:rPr>
          <w:rFonts w:hint="eastAsia" w:ascii="宋体" w:hAnsi="宋体" w:cs="宋体"/>
          <w:color w:val="000000" w:themeColor="text1"/>
          <w:sz w:val="24"/>
          <w14:textFill>
            <w14:solidFill>
              <w14:schemeClr w14:val="tx1"/>
            </w14:solidFill>
          </w14:textFill>
        </w:rPr>
        <w:t xml:space="preserve">六、</w:t>
      </w:r>
      <w:bookmarkEnd w:id="167"/>
      <w:r/>
      <w:bookmarkEnd w:id="168"/>
      <w:r/>
      <w:bookmarkEnd w:id="169"/>
      <w:r/>
      <w:bookmarkEnd w:id="170"/>
      <w:r>
        <w:rPr>
          <w:rFonts w:hint="eastAsia" w:ascii="宋体" w:hAnsi="宋体" w:cs="宋体"/>
          <w:color w:val="000000" w:themeColor="text1"/>
          <w:sz w:val="24"/>
          <w14:textFill>
            <w14:solidFill>
              <w14:schemeClr w14:val="tx1"/>
            </w14:solidFill>
          </w14:textFill>
        </w:rPr>
        <w:t xml:space="preserve">成交</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1" w:name="_Toc20823310"/>
      <w:r/>
      <w:bookmarkStart w:id="172" w:name="_Toc513029238"/>
      <w:r/>
      <w:bookmarkStart w:id="173" w:name="_Toc16938554"/>
      <w:r>
        <w:rPr>
          <w:rFonts w:hint="eastAsia" w:ascii="宋体" w:hAnsi="宋体" w:cs="宋体"/>
          <w:color w:val="000000" w:themeColor="text1"/>
          <w:sz w:val="24"/>
          <w14:textFill>
            <w14:solidFill>
              <w14:schemeClr w14:val="tx1"/>
            </w14:solidFill>
          </w14:textFill>
        </w:rPr>
        <w:t xml:space="preserve">28</w:t>
      </w:r>
      <w:bookmarkEnd w:id="171"/>
      <w:r>
        <w:rPr>
          <w:rFonts w:hint="eastAsia" w:ascii="宋体" w:hAnsi="宋体" w:cs="宋体"/>
          <w:color w:val="000000" w:themeColor="text1"/>
          <w:sz w:val="24"/>
          <w14:textFill>
            <w14:solidFill>
              <w14:schemeClr w14:val="tx1"/>
            </w14:solidFill>
          </w14:textFill>
        </w:rPr>
        <w:t xml:space="preserve">.确定</w:t>
      </w:r>
      <w:bookmarkEnd w:id="172"/>
      <w:r/>
      <w:bookmarkEnd w:id="173"/>
      <w:r>
        <w:rPr>
          <w:rFonts w:hint="eastAsia" w:ascii="宋体" w:hAnsi="宋体" w:cs="宋体"/>
          <w:color w:val="000000" w:themeColor="text1"/>
          <w:sz w:val="24"/>
          <w14:textFill>
            <w14:solidFill>
              <w14:schemeClr w14:val="tx1"/>
            </w14:solidFill>
          </w14:textFill>
        </w:rPr>
        <w:t xml:space="preserve">成交单位</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28.3若有充分证据证明，成交供应商出现下列情况之一的，一经查实，将被取消成交资格：</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28.3.1提供虚假材料谋取成交的。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28.3.2与评审专家、采购人、其他供应商或者代理机构工作人员恶意串通的。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28.3.3向评审专家、采购人或代理机构工作人员行贿或者提供其他不正当利益的。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28.3.4恶意竞争，最后报价明显低于其自身合理成本且又无法提供证明的。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28.3.5不满足本磋商文件规定的实质性要求，但在评审过程中又未被磋商小组发现的。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28.3.6成交后无正当理由拒不与采购人签订政府采购合同或者未按照磋商文件确定的事项签订政府采购合同的。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28.3.7将政府采购合同转包的。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4" w:name="_Toc200451960"/>
      <w:r>
        <w:rPr>
          <w:rFonts w:hint="eastAsia" w:ascii="宋体" w:hAnsi="宋体" w:cs="宋体"/>
          <w:color w:val="000000" w:themeColor="text1"/>
          <w:sz w:val="24"/>
          <w14:textFill>
            <w14:solidFill>
              <w14:schemeClr w14:val="tx1"/>
            </w14:solidFill>
          </w14:textFill>
        </w:rPr>
        <w:t xml:space="preserve">29.质疑处理</w:t>
      </w:r>
      <w:bookmarkEnd w:id="174"/>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29.1提出质疑的供应商应当是参与所质疑项目采购活动的供应商。潜在供应商依法获取其可质疑的磋商文件的，可以对磋商文件提出质疑。</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29.2供应商认为磋商文件、磋商过程和磋商结果使自己的权益受到损害的，可以在知道或应知其权益受到损害之日起七个工作日内，以书面形式根据下述29.4条款的规定向采人或代理机构提出质疑。上述应知其权益受到损害之日，是指：</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29.2.1对可以质疑的磋商文件提出质疑的，为收到磋商文件之日或者磋商文件公告期限届满之日。</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29.2.2对磋商过程提出质疑的，为各采购程序环节结束之日。</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29.2.3对成交结果提出质疑的，为成交结果公告期限届满之日。</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29.4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采购人及代理机构只接收以纸质原件形式送达的质疑，采购人和代理机构不接受未填写快递运单的快件。</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29.5以下情形的质疑不予受理</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29.5.1内容不符合《政府采购质疑和投诉办法》第十二条规定的质疑。</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29.5.2超出政府采购法定期限的质疑。</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29.5.3以传真、电子邮件等方式递交的非原件形式的质疑。</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29.5.4未参加磋商活动的供应商或在磋商活动中自身权益未受到损害的供应商所提出的质疑。</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29.5.5供应商组成联合体参加磋商，联合体中任何一方或多方未按要求签字、盖章、加盖公章的质疑。</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30.成交通知书</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5" w:name="_Toc20823308"/>
      <w:r/>
      <w:bookmarkStart w:id="176" w:name="_Toc120614220"/>
      <w:r/>
      <w:bookmarkStart w:id="177" w:name="_Toc513029236"/>
      <w:r/>
      <w:bookmarkStart w:id="178" w:name="_Toc16938552"/>
      <w:r>
        <w:rPr>
          <w:rFonts w:hint="eastAsia" w:ascii="宋体" w:hAnsi="宋体" w:cs="宋体"/>
          <w:color w:val="000000" w:themeColor="text1"/>
          <w:sz w:val="24"/>
          <w14:textFill>
            <w14:solidFill>
              <w14:schemeClr w14:val="tx1"/>
            </w14:solidFill>
          </w14:textFill>
        </w:rPr>
        <w:t xml:space="preserve">七、授予合同</w:t>
      </w:r>
      <w:bookmarkEnd w:id="175"/>
      <w:r/>
      <w:bookmarkEnd w:id="176"/>
      <w:r/>
      <w:bookmarkEnd w:id="177"/>
      <w:r/>
      <w:bookmarkEnd w:id="178"/>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31.签订合同</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31.l成交供应商应当在成交通知书发出之日起三十日内，按照磋商文件确定的事项与采购人签订政府采购合同。</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31.2磋商文件、成交供应商的响应文件及磋商过程中有关澄清、承诺文件均应作为合同附件。</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32.标的物的追加</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33.政府采购政策功能落实</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33.1政府采购线上合同信用融资政策</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33.2进口产品</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33.3中小企业、监狱企业及残疾人福利性单位</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33.3.1中小企业定义：</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中小</w:t>
      </w:r>
      <w:r>
        <w:rPr>
          <w:rFonts w:hint="eastAsia" w:ascii="宋体" w:hAnsi="宋体" w:cs="宋体"/>
          <w:color w:val="000000" w:themeColor="text1"/>
          <w:sz w:val="24"/>
          <w14:textFill>
            <w14:solidFill>
              <w14:schemeClr w14:val="tx1"/>
            </w14:solidFill>
          </w14:textFill>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33.3.2供应商提供的货物、工程或者服务符合下列情形的，享受中小企业扶持政策：</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33.3.2.1在货物采购项目中，货物由中小企业制造，即货物由中小企业生产且使用该中小企业商号或者注册商标；</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33.3.2.2在工程采购项目中，工程由中小企业承建，即工程施工单位为中小企业；</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33.3.3在货物采购项目中，供应商提供的货物既有中小企业制造货物，也有大型企业制造货物的，不享受中小企业扶持政策。</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33.3.6残疾人福利单位定义：享受政府采购支持政策的残疾人福利性单位应当同时满足以下条件：</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33.3.6.1安置的残疾人占本单位在职职工人数的比例不低于25%（含25%），并且安置的残疾人人数不少于10人（含10人）；</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33.3.6.2依法与安置的每位残疾人签订了一年以上（含一年）的劳动合同或服务协议；</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33.3.6.3为安置的每位残疾人按月足额缴纳了基本养老保险、基本医疗保险、失业保险、工伤保险和生育保险等社会保险费；</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33.3.7本项目是否专门面向中小企业预留采购份额见第一章《竞争性磋商公告》。</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33.3.8采购标的对应的中小企业划分标准所属行业见第四章《采购需求》。</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33.3.9小微企业价格评审优惠的政策：见第五章《评标方法和评标标准》。</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33.4政府采购节能产品、环境标志产品</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33.4.1严格执行政府采购关于支持</w:t>
      </w:r>
      <w:r>
        <w:rPr>
          <w:rFonts w:hint="eastAsia" w:ascii="宋体" w:hAnsi="宋体" w:cs="宋体"/>
          <w:color w:val="000000" w:themeColor="text1"/>
          <w:sz w:val="24"/>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33.5绿色包装</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33.6政府采购创新产品</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采购人优先采购各级政府部门公开发布的有效期内的创新产品、创新服务、首台套、首购首用等《目录》的创新产品。</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33.7绿色数据中心政策</w:t>
      </w:r>
      <w:r/>
    </w:p>
    <w:p>
      <w:pPr>
        <w:ind w:firstLine="480"/>
        <w:spacing w:line="440" w:lineRule="exac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33.8履约保证金政策</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确需收取履约保证金的，履约保证金的缴纳形式：</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34. 预付款制度</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本项目落实预付款制度，预付款比例为10%。在签订合同时，中标、成交供应商明确书面表示无需预付款或者主动要求降低预付款比例的，采购人可就预付款比例作相应调整。</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r>
      <w:r/>
    </w:p>
    <w:p>
      <w:pPr>
        <w:pStyle w:val="744"/>
        <w:rPr>
          <w:color w:val="000000" w:themeColor="text1"/>
          <w:sz w:val="36"/>
          <w:szCs w:val="36"/>
          <w14:textFill>
            <w14:solidFill>
              <w14:schemeClr w14:val="tx1"/>
            </w14:solidFill>
          </w14:textFill>
        </w:rPr>
      </w:pPr>
      <w:r>
        <w:rPr>
          <w:color w:val="000000" w:themeColor="text1"/>
          <w14:textFill>
            <w14:solidFill>
              <w14:schemeClr w14:val="tx1"/>
            </w14:solidFill>
          </w14:textFill>
        </w:rPr>
        <w:br w:type="page" w:clear="all"/>
      </w:r>
      <w:bookmarkEnd w:id="62"/>
      <w:r/>
      <w:bookmarkEnd w:id="63"/>
      <w:r/>
      <w:bookmarkEnd w:id="64"/>
      <w:r/>
      <w:bookmarkStart w:id="179" w:name="_Toc203032699"/>
      <w:r>
        <w:rPr>
          <w:rFonts w:hint="eastAsia"/>
          <w:color w:val="000000" w:themeColor="text1"/>
          <w:sz w:val="36"/>
          <w:szCs w:val="36"/>
          <w14:textFill>
            <w14:solidFill>
              <w14:schemeClr w14:val="tx1"/>
            </w14:solidFill>
          </w14:textFill>
        </w:rPr>
        <w:t xml:space="preserve">第三章  合同条款及格式</w:t>
      </w:r>
      <w:bookmarkEnd w:id="179"/>
      <w:r/>
      <w:r/>
    </w:p>
    <w:p>
      <w:pPr>
        <w:jc w:val="left"/>
        <w:rPr>
          <w:rFonts w:ascii="宋体" w:hAnsi="宋体" w:cs="宋体"/>
          <w:bCs/>
          <w:color w:val="000000" w:themeColor="text1"/>
          <w:sz w:val="28"/>
          <w:szCs w:val="28"/>
          <w14:textFill>
            <w14:solidFill>
              <w14:schemeClr w14:val="tx1"/>
            </w14:solidFill>
          </w14:textFill>
        </w:rPr>
      </w:pPr>
      <w:r/>
      <w:bookmarkStart w:id="180" w:name="_Toc61149622"/>
      <w:r/>
      <w:bookmarkStart w:id="181" w:name="_Toc23828480"/>
      <w:r/>
      <w:bookmarkStart w:id="182" w:name="_Toc26554097"/>
      <w:r/>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（GF—2017—0201）</w:t>
      </w:r>
      <w:r/>
    </w:p>
    <w:p>
      <w:pPr>
        <w:jc w:val="center"/>
        <w:rPr>
          <w:rFonts w:ascii="宋体" w:hAnsi="宋体" w:cs="宋体"/>
          <w:b/>
          <w:color w:val="000000" w:themeColor="text1"/>
          <w:sz w:val="52"/>
          <w:szCs w:val="52"/>
          <w14:textFill>
            <w14:solidFill>
              <w14:schemeClr w14:val="tx1"/>
            </w14:solidFill>
          </w14:textFill>
        </w:rPr>
      </w:pPr>
      <w:r>
        <w:rPr>
          <w:rFonts w:ascii="宋体" w:hAnsi="宋体" w:cs="宋体"/>
          <w:b/>
          <w:color w:val="000000" w:themeColor="text1"/>
          <w:sz w:val="52"/>
          <w:szCs w:val="5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b/>
          <w:color w:val="000000" w:themeColor="text1"/>
          <w:sz w:val="52"/>
          <w:szCs w:val="52"/>
          <w14:textFill>
            <w14:solidFill>
              <w14:schemeClr w14:val="tx1"/>
            </w14:solidFill>
          </w14:textFill>
        </w:rPr>
      </w:pPr>
      <w:r>
        <w:rPr>
          <w:rFonts w:hint="eastAsia" w:ascii="宋体" w:hAnsi="宋体" w:cs="宋体"/>
          <w:b/>
          <w:color w:val="000000" w:themeColor="text1"/>
          <w:sz w:val="52"/>
          <w:szCs w:val="52"/>
          <w14:textFill>
            <w14:solidFill>
              <w14:schemeClr w14:val="tx1"/>
            </w14:solidFill>
          </w14:textFill>
        </w:rPr>
        <w:t xml:space="preserve">建设工程施工合同</w:t>
      </w:r>
      <w:r/>
    </w:p>
    <w:p>
      <w:pPr>
        <w:pStyle w:val="712"/>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rPr>
          <w:rFonts w:ascii="宋体" w:hAnsi="宋体" w:cs="宋体"/>
          <w:b/>
          <w:color w:val="000000" w:themeColor="text1"/>
          <w:sz w:val="52"/>
          <w:szCs w:val="52"/>
          <w14:textFill>
            <w14:solidFill>
              <w14:schemeClr w14:val="tx1"/>
            </w14:solidFill>
          </w14:textFill>
        </w:rPr>
      </w:pPr>
      <w:r>
        <w:rPr>
          <w:rFonts w:ascii="宋体" w:hAnsi="宋体" w:cs="宋体"/>
          <w:b/>
          <w:color w:val="000000" w:themeColor="text1"/>
          <w:sz w:val="52"/>
          <w:szCs w:val="52"/>
          <w14:textFill>
            <w14:solidFill>
              <w14:schemeClr w14:val="tx1"/>
            </w14:solidFill>
          </w14:textFill>
        </w:rPr>
      </w:r>
      <w:r/>
    </w:p>
    <w:p>
      <w:pPr>
        <w:pStyle w:val="966"/>
        <w:ind w:firstLine="60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right="2719" w:firstLine="2738"/>
        <w:rPr>
          <w:rFonts w:ascii="宋体" w:hAnsi="宋体" w:cs="宋体"/>
          <w:b/>
          <w:color w:val="000000" w:themeColor="text1"/>
          <w:sz w:val="32"/>
          <w:szCs w:val="28"/>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ind w:firstLine="161"/>
                              <w:rPr>
                                <w:b/>
                                <w:bCs/>
                                <w:sz w:val="32"/>
                              </w:rPr>
                            </w:pPr>
                            <w:r>
                              <w:rPr>
                                <w:rFonts w:hint="eastAsia"/>
                                <w:b/>
                                <w:bCs/>
                                <w:sz w:val="32"/>
                              </w:rPr>
                              <w:t xml:space="preserve">制定</w:t>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ind w:firstLine="161"/>
                        <w:rPr>
                          <w:b/>
                          <w:bCs/>
                          <w:sz w:val="32"/>
                        </w:rPr>
                      </w:pPr>
                      <w:r>
                        <w:rPr>
                          <w:rFonts w:hint="eastAsia"/>
                          <w:b/>
                          <w:bCs/>
                          <w:sz w:val="32"/>
                        </w:rPr>
                        <w:t xml:space="preserve">制定</w:t>
                      </w:r>
                      <w:r/>
                    </w:p>
                    <w:p>
                      <w:r/>
                      <w:r/>
                    </w:p>
                  </w:txbxContent>
                </v:textbox>
              </v:shape>
            </w:pict>
          </mc:Fallback>
        </mc:AlternateContent>
      </w:r>
      <w:r>
        <w:rPr>
          <w:rFonts w:hint="eastAsia" w:ascii="宋体" w:hAnsi="宋体" w:cs="宋体"/>
          <w:b/>
          <w:color w:val="000000" w:themeColor="text1"/>
          <w:sz w:val="32"/>
          <w:szCs w:val="28"/>
          <w14:textFill>
            <w14:solidFill>
              <w14:schemeClr w14:val="tx1"/>
            </w14:solidFill>
          </w14:textFill>
        </w:rPr>
        <w:t xml:space="preserve">住房和城乡建设部</w:t>
      </w:r>
      <w:r/>
    </w:p>
    <w:p>
      <w:pPr>
        <w:ind w:right="2719" w:firstLine="2750"/>
        <w:rPr>
          <w:rFonts w:ascii="宋体" w:hAnsi="宋体" w:cs="宋体"/>
          <w:b/>
          <w:color w:val="000000" w:themeColor="text1"/>
          <w:sz w:val="32"/>
          <w:szCs w:val="28"/>
          <w14:textFill>
            <w14:solidFill>
              <w14:schemeClr w14:val="tx1"/>
            </w14:solidFill>
          </w14:textFill>
        </w:rPr>
      </w:pPr>
      <w:r>
        <w:rPr>
          <w:rFonts w:hint="eastAsia" w:ascii="宋体" w:hAnsi="宋体" w:cs="宋体"/>
          <w:b/>
          <w:color w:val="000000" w:themeColor="text1"/>
          <w:sz w:val="32"/>
          <w:szCs w:val="28"/>
          <w14:textFill>
            <w14:solidFill>
              <w14:schemeClr w14:val="tx1"/>
            </w14:solidFill>
          </w14:textFill>
        </w:rPr>
        <w:t xml:space="preserve">国家工商行政管理总局</w:t>
      </w:r>
      <w:r/>
    </w:p>
    <w:p>
      <w:pPr>
        <w:jc w:val="center"/>
        <w:keepLines/>
        <w:keepNext/>
        <w:rPr>
          <w:rFonts w:ascii="宋体" w:hAnsi="宋体" w:cs="宋体"/>
          <w:b/>
          <w:bCs/>
          <w:color w:val="000000" w:themeColor="text1"/>
          <w:sz w:val="32"/>
          <w:szCs w:val="28"/>
          <w14:textFill>
            <w14:solidFill>
              <w14:schemeClr w14:val="tx1"/>
            </w14:solidFill>
          </w14:textFill>
        </w:rPr>
        <w:outlineLvl w:val="1"/>
      </w:pPr>
      <w:r>
        <w:rPr>
          <w:rFonts w:hint="eastAsia" w:ascii="宋体" w:hAnsi="宋体" w:cs="宋体"/>
          <w:color w:val="000000" w:themeColor="text1"/>
          <w14:textFill>
            <w14:solidFill>
              <w14:schemeClr w14:val="tx1"/>
            </w14:solidFill>
          </w14:textFill>
        </w:rPr>
        <w:br w:type="page" w:clear="all"/>
      </w:r>
      <w:bookmarkStart w:id="183" w:name="_Toc203032700"/>
      <w:r>
        <w:rPr>
          <w:rFonts w:hint="eastAsia" w:ascii="宋体" w:hAnsi="宋体" w:cs="宋体"/>
          <w:b/>
          <w:bCs/>
          <w:color w:val="000000" w:themeColor="text1"/>
          <w:sz w:val="32"/>
          <w:szCs w:val="28"/>
          <w14:textFill>
            <w14:solidFill>
              <w14:schemeClr w14:val="tx1"/>
            </w14:solidFill>
          </w14:textFill>
        </w:rPr>
        <w:t xml:space="preserve">第一部分 合同协议书</w:t>
      </w:r>
      <w:bookmarkEnd w:id="183"/>
      <w:r/>
      <w:r/>
    </w:p>
    <w:p>
      <w:pPr>
        <w:ind w:firstLine="422"/>
        <w:jc w:val="left"/>
        <w:spacing w:line="360" w:lineRule="exact"/>
        <w:widowControl/>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left"/>
        <w:spacing w:line="360" w:lineRule="auto"/>
        <w:tabs>
          <w:tab w:val="left" w:pos="618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发包人(全称)：</w:t>
      </w:r>
      <w:r>
        <w:rPr>
          <w:rFonts w:hint="eastAsia" w:ascii="宋体" w:hAnsi="宋体" w:cs="宋体"/>
          <w:color w:val="000000" w:themeColor="text1"/>
          <w:sz w:val="24"/>
          <w:u w:val="single"/>
          <w:lang w:eastAsia="zh-CN"/>
          <w14:textFill>
            <w14:solidFill>
              <w14:schemeClr w14:val="tx1"/>
            </w14:solidFill>
          </w14:textFill>
        </w:rPr>
        <w:t xml:space="preserve">盐城市第一中学</w:t>
      </w:r>
      <w:r/>
    </w:p>
    <w:p>
      <w:pPr>
        <w:jc w:val="left"/>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承包人(全称)：</w:t>
      </w:r>
      <w:r>
        <w:rPr>
          <w:rFonts w:hint="eastAsia" w:ascii="宋体" w:hAnsi="宋体" w:cs="宋体"/>
          <w:color w:val="000000" w:themeColor="text1"/>
          <w:sz w:val="24"/>
          <w:u w:val="single"/>
          <w14:textFill>
            <w14:solidFill>
              <w14:schemeClr w14:val="tx1"/>
            </w14:solidFill>
          </w14:textFill>
        </w:rPr>
        <w:t xml:space="preserve"> 　　             </w:t>
      </w:r>
      <w:r/>
    </w:p>
    <w:p>
      <w:pPr>
        <w:ind w:right="120"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根据《中华人民共和国民法典》、《中华人民共和国建筑法》及有关法律规定，遵循 平等、自愿、公平和诚实信用的原则，双方就</w:t>
      </w:r>
      <w:r>
        <w:rPr>
          <w:rFonts w:hint="eastAsia" w:ascii="宋体" w:hAnsi="宋体" w:cs="宋体"/>
          <w:color w:val="000000" w:themeColor="text1"/>
          <w:sz w:val="24"/>
          <w:u w:val="single"/>
          <w:lang w:eastAsia="zh-CN"/>
          <w14:textFill>
            <w14:solidFill>
              <w14:schemeClr w14:val="tx1"/>
            </w14:solidFill>
          </w14:textFill>
        </w:rPr>
        <w:t xml:space="preserve">市一中西环路校区食堂改造工程</w:t>
      </w:r>
      <w:r>
        <w:rPr>
          <w:rFonts w:hint="eastAsia" w:ascii="宋体" w:hAnsi="宋体" w:cs="宋体"/>
          <w:color w:val="000000" w:themeColor="text1"/>
          <w:sz w:val="24"/>
          <w14:textFill>
            <w14:solidFill>
              <w14:schemeClr w14:val="tx1"/>
            </w14:solidFill>
          </w14:textFill>
        </w:rPr>
        <w:t xml:space="preserve">施工及有关事项协商一致，共同达成 如下协议：</w:t>
      </w:r>
      <w:r/>
    </w:p>
    <w:p>
      <w:pPr>
        <w:jc w:val="left"/>
        <w:spacing w:line="360" w:lineRule="auto"/>
        <w:tabs>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一、工程概况</w:t>
      </w:r>
      <w:r/>
    </w:p>
    <w:p>
      <w:pPr>
        <w:jc w:val="left"/>
        <w:spacing w:line="360" w:lineRule="auto"/>
        <w:tabs>
          <w:tab w:val="left" w:pos="2160" w:leader="none"/>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1.工程名称：</w:t>
      </w:r>
      <w:r>
        <w:rPr>
          <w:rFonts w:hint="eastAsia" w:ascii="宋体" w:hAnsi="宋体" w:cs="宋体"/>
          <w:color w:val="000000" w:themeColor="text1"/>
          <w:sz w:val="24"/>
          <w:u w:val="single"/>
          <w:lang w:eastAsia="zh-CN"/>
          <w14:textFill>
            <w14:solidFill>
              <w14:schemeClr w14:val="tx1"/>
            </w14:solidFill>
          </w14:textFill>
        </w:rPr>
        <w:t xml:space="preserve">市一中西环路校区食堂改造工程</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160" w:leader="none"/>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2.工程地点：</w:t>
      </w:r>
      <w:r>
        <w:rPr>
          <w:rFonts w:hint="eastAsia" w:ascii="宋体" w:hAnsi="宋体" w:cs="宋体"/>
          <w:color w:val="000000" w:themeColor="text1"/>
          <w:sz w:val="24"/>
          <w:u w:val="single"/>
          <w:lang w:eastAsia="zh-CN"/>
          <w14:textFill>
            <w14:solidFill>
              <w14:schemeClr w14:val="tx1"/>
            </w14:solidFill>
          </w14:textFill>
        </w:rPr>
        <w:t xml:space="preserve">盐城市第一中学</w:t>
      </w:r>
      <w:r>
        <w:rPr>
          <w:rFonts w:hint="eastAsia" w:ascii="宋体" w:hAnsi="宋体" w:cs="宋体"/>
          <w:color w:val="000000" w:themeColor="text1"/>
          <w:sz w:val="24"/>
          <w:u w:val="single"/>
          <w14:textFill>
            <w14:solidFill>
              <w14:schemeClr w14:val="tx1"/>
            </w14:solidFill>
          </w14:textFill>
        </w:rPr>
        <w:t xml:space="preserve">内</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3200" w:leader="none"/>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3.工程立项批准文号：</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160" w:leader="none"/>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4.资金来源：</w:t>
      </w:r>
      <w:r>
        <w:rPr>
          <w:rFonts w:hint="eastAsia" w:ascii="宋体" w:hAnsi="宋体" w:cs="宋体"/>
          <w:color w:val="000000" w:themeColor="text1"/>
          <w:sz w:val="24"/>
          <w:u w:val="single"/>
          <w14:textFill>
            <w14:solidFill>
              <w14:schemeClr w14:val="tx1"/>
            </w14:solidFill>
          </w14:textFill>
        </w:rPr>
        <w:t xml:space="preserve">财政</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600" w:leader="none"/>
          <w:tab w:val="left" w:pos="3200" w:leader="none"/>
          <w:tab w:val="left" w:pos="5080" w:leader="none"/>
          <w:tab w:val="left" w:pos="99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5.工程内容：</w:t>
      </w:r>
      <w:r>
        <w:rPr>
          <w:rFonts w:hint="eastAsia" w:ascii="宋体" w:hAnsi="宋体" w:cs="宋体"/>
          <w:color w:val="000000" w:themeColor="text1"/>
          <w:sz w:val="24"/>
          <w:u w:val="single"/>
          <w14:textFill>
            <w14:solidFill>
              <w14:schemeClr w14:val="tx1"/>
            </w14:solidFill>
          </w14:textFill>
        </w:rPr>
        <w:t xml:space="preserve">工程包工包料施工</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3018" w:leader="none"/>
          <w:tab w:val="left" w:pos="3200" w:leader="none"/>
          <w:tab w:val="left" w:pos="5080" w:leader="none"/>
          <w:tab w:val="left" w:pos="99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6.工程承包范围：</w:t>
      </w:r>
      <w:r>
        <w:rPr>
          <w:rFonts w:hint="eastAsia" w:ascii="宋体" w:hAnsi="宋体" w:cs="宋体"/>
          <w:bCs/>
          <w:color w:val="000000" w:themeColor="text1"/>
          <w:sz w:val="24"/>
          <w:lang w:eastAsia="zh-CN"/>
          <w14:textFill>
            <w14:solidFill>
              <w14:schemeClr w14:val="tx1"/>
            </w14:solidFill>
          </w14:textFill>
        </w:rPr>
        <w:t xml:space="preserve">市一中西环路校区食堂改造工程</w:t>
      </w:r>
      <w:r>
        <w:rPr>
          <w:rFonts w:hint="eastAsia" w:ascii="宋体" w:hAnsi="宋体" w:cs="宋体"/>
          <w:bCs/>
          <w:color w:val="000000" w:themeColor="text1"/>
          <w:sz w:val="24"/>
          <w14:textFill>
            <w14:solidFill>
              <w14:schemeClr w14:val="tx1"/>
            </w14:solidFill>
          </w14:textFill>
        </w:rPr>
        <w:t xml:space="preserve">。详见工程量清单，招标人有权对工作量进行增减。</w:t>
      </w:r>
      <w:r/>
    </w:p>
    <w:p>
      <w:pPr>
        <w:jc w:val="left"/>
        <w:spacing w:line="360" w:lineRule="auto"/>
        <w:tabs>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二、合同工期</w:t>
      </w:r>
      <w:r/>
    </w:p>
    <w:p>
      <w:pPr>
        <w:jc w:val="left"/>
        <w:spacing w:line="360" w:lineRule="auto"/>
        <w:tabs>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计划开工日期：</w:t>
      </w:r>
      <w:r>
        <w:rPr>
          <w:rFonts w:hint="eastAsia" w:ascii="宋体" w:hAnsi="宋体" w:cs="宋体"/>
          <w:color w:val="000000" w:themeColor="text1"/>
          <w:sz w:val="24"/>
          <w:u w:val="single"/>
          <w14:textFill>
            <w14:solidFill>
              <w14:schemeClr w14:val="tx1"/>
            </w14:solidFill>
          </w14:textFill>
        </w:rPr>
        <w:t xml:space="preserve">（以发包人书面通知为准）  </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600" w:leader="none"/>
          <w:tab w:val="left" w:pos="4458"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计划竣工日期：</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8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工期总日历天数：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天。工期总日历天数与根据前述计划开竣工日期计算的工期天数不一致的，以工期总日历天数为准。</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三、质量标准</w:t>
      </w:r>
      <w:r/>
    </w:p>
    <w:p>
      <w:pPr>
        <w:jc w:val="left"/>
        <w:spacing w:line="360" w:lineRule="auto"/>
        <w:tabs>
          <w:tab w:val="left" w:pos="2200" w:leader="none"/>
          <w:tab w:val="left" w:pos="2800" w:leader="none"/>
          <w:tab w:val="left" w:pos="4960" w:leader="none"/>
          <w:tab w:val="left" w:pos="95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工程质量符合</w:t>
      </w:r>
      <w:r>
        <w:rPr>
          <w:rFonts w:hint="eastAsia" w:ascii="宋体" w:hAnsi="宋体" w:cs="宋体"/>
          <w:color w:val="000000" w:themeColor="text1"/>
          <w:sz w:val="24"/>
          <w:u w:val="single"/>
          <w14:textFill>
            <w14:solidFill>
              <w14:schemeClr w14:val="tx1"/>
            </w14:solidFill>
          </w14:textFill>
        </w:rPr>
        <w:t xml:space="preserve"> 国家及地方相关验收规范的“合格”</w:t>
      </w:r>
      <w:r>
        <w:rPr>
          <w:rFonts w:hint="eastAsia" w:ascii="宋体" w:hAnsi="宋体" w:cs="宋体"/>
          <w:color w:val="000000" w:themeColor="text1"/>
          <w:sz w:val="24"/>
          <w14:textFill>
            <w14:solidFill>
              <w14:schemeClr w14:val="tx1"/>
            </w14:solidFill>
          </w14:textFill>
        </w:rPr>
        <w:t xml:space="preserve">标准，并符合招标人提出的具体质量要求。</w:t>
      </w:r>
      <w:r/>
    </w:p>
    <w:p>
      <w:pPr>
        <w:jc w:val="left"/>
        <w:spacing w:line="360" w:lineRule="auto"/>
        <w:tabs>
          <w:tab w:val="left" w:pos="950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四、签约合同</w:t>
      </w:r>
      <w:r>
        <w:rPr>
          <w:rFonts w:hint="eastAsia" w:ascii="宋体" w:hAnsi="宋体" w:cs="宋体"/>
          <w:color w:val="000000" w:themeColor="text1"/>
          <w:sz w:val="24"/>
          <w:lang w:val="en-US" w:eastAsia="zh-CN"/>
          <w14:textFill>
            <w14:solidFill>
              <w14:schemeClr w14:val="tx1"/>
            </w14:solidFill>
          </w14:textFill>
        </w:rPr>
        <w:t xml:space="preserve">含税</w:t>
      </w:r>
      <w:r>
        <w:rPr>
          <w:rFonts w:hint="eastAsia" w:ascii="宋体" w:hAnsi="宋体" w:cs="宋体"/>
          <w:color w:val="000000" w:themeColor="text1"/>
          <w:sz w:val="24"/>
          <w14:textFill>
            <w14:solidFill>
              <w14:schemeClr w14:val="tx1"/>
            </w14:solidFill>
          </w14:textFill>
        </w:rPr>
        <w:t xml:space="preserve">价与合同价格形式</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1.签约合同价为：</w:t>
      </w:r>
      <w:r/>
    </w:p>
    <w:p>
      <w:pPr>
        <w:jc w:val="left"/>
        <w:spacing w:line="360" w:lineRule="auto"/>
        <w:tabs>
          <w:tab w:val="left" w:pos="4343" w:leader="none"/>
          <w:tab w:val="left" w:pos="4478" w:leader="none"/>
          <w:tab w:val="left" w:pos="4940" w:leader="none"/>
          <w:tab w:val="left" w:pos="6940" w:leader="none"/>
          <w:tab w:val="left" w:pos="7960" w:leader="none"/>
          <w:tab w:val="left" w:pos="950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ind w:right="7320" w:firstLine="510"/>
        <w:jc w:val="left"/>
        <w:spacing w:line="360" w:lineRule="auto"/>
        <w:rPr>
          <w:rFonts w:ascii="宋体" w:hAnsi="宋体" w:cs="宋体"/>
          <w:color w:val="000000" w:themeColor="text1"/>
          <w:sz w:val="24"/>
          <w14:textFill>
            <w14:solidFill>
              <w14:schemeClr w14:val="tx1"/>
            </w14:solidFill>
          </w14:textFill>
        </w:rPr>
      </w:pPr>
      <w:r/>
      <w:bookmarkStart w:id="184" w:name="page3"/>
      <w:r/>
      <w:bookmarkEnd w:id="184"/>
      <w:r>
        <w:rPr>
          <w:rFonts w:hint="eastAsia" w:ascii="宋体" w:hAnsi="宋体" w:cs="宋体"/>
          <w:color w:val="000000" w:themeColor="text1"/>
          <w:sz w:val="24"/>
          <w14:textFill>
            <w14:solidFill>
              <w14:schemeClr w14:val="tx1"/>
            </w14:solidFill>
          </w14:textFill>
        </w:rPr>
        <w:t xml:space="preserve">其中： </w:t>
      </w:r>
      <w:r/>
    </w:p>
    <w:p>
      <w:pPr>
        <w:ind w:right="94"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(1)安全文明施工费：</w:t>
      </w:r>
      <w:r/>
    </w:p>
    <w:p>
      <w:pPr>
        <w:jc w:val="left"/>
        <w:spacing w:line="360" w:lineRule="auto"/>
        <w:tabs>
          <w:tab w:val="left" w:pos="7560" w:leader="none"/>
          <w:tab w:val="left" w:pos="99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(2)材料和工程设备暂估价金额：</w:t>
      </w:r>
      <w:r/>
    </w:p>
    <w:p>
      <w:pPr>
        <w:jc w:val="left"/>
        <w:spacing w:line="360" w:lineRule="auto"/>
        <w:tabs>
          <w:tab w:val="left" w:pos="7560" w:leader="none"/>
          <w:tab w:val="left" w:pos="99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(3)专业工程暂估价金额：</w:t>
      </w:r>
      <w:r/>
    </w:p>
    <w:p>
      <w:pPr>
        <w:jc w:val="left"/>
        <w:spacing w:line="360" w:lineRule="auto"/>
        <w:tabs>
          <w:tab w:val="left" w:pos="6195" w:leader="none"/>
          <w:tab w:val="left" w:pos="99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(4)暂列金额：</w:t>
      </w:r>
      <w:r/>
    </w:p>
    <w:p>
      <w:pPr>
        <w:jc w:val="left"/>
        <w:spacing w:line="360" w:lineRule="auto"/>
        <w:tabs>
          <w:tab w:val="left" w:pos="3945" w:leader="none"/>
          <w:tab w:val="left" w:pos="6730" w:leader="none"/>
          <w:tab w:val="left" w:pos="796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jc w:val="left"/>
        <w:spacing w:line="360" w:lineRule="auto"/>
        <w:tabs>
          <w:tab w:val="left" w:pos="2232" w:leader="none"/>
          <w:tab w:val="left" w:pos="4572" w:leader="none"/>
          <w:tab w:val="left" w:pos="5292" w:leader="none"/>
          <w:tab w:val="left" w:pos="796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2.合同价格形式：</w:t>
      </w:r>
      <w:r>
        <w:rPr>
          <w:rFonts w:hint="eastAsia" w:ascii="宋体" w:hAnsi="宋体" w:cs="宋体"/>
          <w:color w:val="000000" w:themeColor="text1"/>
          <w:sz w:val="24"/>
          <w:u w:val="single"/>
          <w14:textFill>
            <w14:solidFill>
              <w14:schemeClr w14:val="tx1"/>
            </w14:solidFill>
          </w14:textFill>
        </w:rPr>
        <w:t xml:space="preserve">固定单价合同</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900" w:leader="none"/>
          <w:tab w:val="left" w:pos="7580" w:leader="none"/>
          <w:tab w:val="left" w:pos="796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五、项目负责人</w:t>
      </w:r>
      <w:r/>
    </w:p>
    <w:p>
      <w:pPr>
        <w:jc w:val="left"/>
        <w:spacing w:line="360" w:lineRule="auto"/>
        <w:tabs>
          <w:tab w:val="left" w:pos="4240" w:leader="none"/>
          <w:tab w:val="left" w:pos="7835"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承包人项目负责人：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900" w:leader="none"/>
          <w:tab w:val="left" w:pos="7580" w:leader="none"/>
          <w:tab w:val="left" w:pos="796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六、合同文件构成</w:t>
      </w:r>
      <w:r/>
    </w:p>
    <w:p>
      <w:pPr>
        <w:ind w:left="510" w:right="-37"/>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本协议书与下列文件一起构成合同文件：</w:t>
      </w:r>
      <w:r/>
    </w:p>
    <w:p>
      <w:pPr>
        <w:ind w:firstLine="480"/>
        <w:jc w:val="left"/>
        <w:spacing w:line="360" w:lineRule="auto"/>
        <w:tabs>
          <w:tab w:val="left" w:pos="547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（1）中标通知书（如果有）；</w:t>
      </w:r>
      <w:r>
        <w:rPr>
          <w:rFonts w:ascii="宋体" w:hAnsi="宋体" w:cs="宋体"/>
          <w:color w:val="000000" w:themeColor="text1"/>
          <w:sz w:val="24"/>
          <w14:textFill>
            <w14:solidFill>
              <w14:schemeClr w14:val="tx1"/>
            </w14:solidFill>
          </w14:textFill>
        </w:rPr>
        <w:tab/>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（2）投标函及其附录（如果有）；</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（3）专用合同条款及其附件；</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（4）通用合同条款；</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（5）技术标准和要求；</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（6）图纸（如有）；</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（7）已标价工程量清单或预算书；</w:t>
      </w:r>
      <w:r>
        <w:rPr>
          <w:rFonts w:ascii="宋体" w:hAnsi="宋体" w:cs="宋体"/>
          <w:color w:val="000000" w:themeColor="text1"/>
          <w:sz w:val="24"/>
          <w14:textFill>
            <w14:solidFill>
              <w14:schemeClr w14:val="tx1"/>
            </w14:solidFill>
          </w14:textFill>
        </w:rPr>
        <w:t xml:space="preserve"> </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（8）其他合同文件。</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在合同订立及履行过程中形成的与合同有关的文件均构成合同文件组成部分。</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七、承诺</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1.发包人承诺按照法律规定履行项目审批手续、筹集工程建设资金并按照合同约定的 期限和方式支付合同价款。</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3.发包人和承包人通过招投标形式签订合同的，双方理解并承诺不再就同一工程另行 签订与合同实质性内容相背离的协议。</w:t>
      </w:r>
      <w:r/>
    </w:p>
    <w:p>
      <w:pPr>
        <w:jc w:val="left"/>
        <w:spacing w:line="360" w:lineRule="auto"/>
        <w:rPr>
          <w:rFonts w:ascii="宋体" w:hAnsi="宋体" w:cs="宋体"/>
          <w:color w:val="000000" w:themeColor="text1"/>
          <w:sz w:val="24"/>
          <w14:textFill>
            <w14:solidFill>
              <w14:schemeClr w14:val="tx1"/>
            </w14:solidFill>
          </w14:textFill>
        </w:rPr>
      </w:pPr>
      <w:r/>
      <w:bookmarkStart w:id="185" w:name="page4"/>
      <w:r/>
      <w:bookmarkEnd w:id="185"/>
      <w:r>
        <w:rPr>
          <w:rFonts w:hint="eastAsia" w:ascii="宋体" w:hAnsi="宋体" w:cs="宋体"/>
          <w:color w:val="000000" w:themeColor="text1"/>
          <w:sz w:val="24"/>
          <w14:textFill>
            <w14:solidFill>
              <w14:schemeClr w14:val="tx1"/>
            </w14:solidFill>
          </w14:textFill>
        </w:rPr>
        <w:t xml:space="preserve">　　八、词语含义</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本协议书中词语含义与第二部分通用合同条款中赋予的含义相同。</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九、签订时间</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本合同于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签订。</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十、签订地点</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本合同在</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签订。</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十一、补充协议 　　</w:t>
      </w:r>
      <w:r/>
    </w:p>
    <w:p>
      <w:pPr>
        <w:ind w:left="630" w:hanging="1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合同未尽事宜，合同当事人另行签订补充协议，补充协议是合同的组成部分。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十二、合同生效 　　</w:t>
      </w:r>
      <w:r/>
    </w:p>
    <w:p>
      <w:pPr>
        <w:ind w:left="630" w:hanging="1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本合同自</w:t>
      </w:r>
      <w:r>
        <w:rPr>
          <w:rFonts w:hint="eastAsia" w:ascii="宋体" w:hAnsi="宋体" w:cs="宋体"/>
          <w:color w:val="000000" w:themeColor="text1"/>
          <w:sz w:val="24"/>
          <w:u w:val="single"/>
          <w14:textFill>
            <w14:solidFill>
              <w14:schemeClr w14:val="tx1"/>
            </w14:solidFill>
          </w14:textFill>
        </w:rPr>
        <w:t xml:space="preserve"> 发、承包双方法定代表人或授权代表签字并加盖单位公章后 </w:t>
      </w:r>
      <w:r>
        <w:rPr>
          <w:rFonts w:hint="eastAsia" w:ascii="宋体" w:hAnsi="宋体" w:cs="宋体"/>
          <w:color w:val="000000" w:themeColor="text1"/>
          <w:sz w:val="24"/>
          <w14:textFill>
            <w14:solidFill>
              <w14:schemeClr w14:val="tx1"/>
            </w14:solidFill>
          </w14:textFill>
        </w:rPr>
        <w:t xml:space="preserve">生效。</w:t>
      </w:r>
      <w:r/>
    </w:p>
    <w:p>
      <w:pPr>
        <w:ind w:right="1240"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十三、合同份数 　　</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本合同一式</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捌  </w:t>
      </w:r>
      <w:r>
        <w:rPr>
          <w:rFonts w:hint="eastAsia" w:ascii="宋体" w:hAnsi="宋体" w:cs="宋体"/>
          <w:bCs/>
          <w:color w:val="000000" w:themeColor="text1"/>
          <w:sz w:val="24"/>
          <w14:textFill>
            <w14:solidFill>
              <w14:schemeClr w14:val="tx1"/>
            </w14:solidFill>
          </w14:textFill>
        </w:rPr>
        <w:t xml:space="preserve">份，均具有同等法律效力，发包人执</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肆  </w:t>
      </w:r>
      <w:r>
        <w:rPr>
          <w:rFonts w:hint="eastAsia" w:ascii="宋体" w:hAnsi="宋体" w:cs="宋体"/>
          <w:bCs/>
          <w:color w:val="000000" w:themeColor="text1"/>
          <w:sz w:val="24"/>
          <w14:textFill>
            <w14:solidFill>
              <w14:schemeClr w14:val="tx1"/>
            </w14:solidFill>
          </w14:textFill>
        </w:rPr>
        <w:t xml:space="preserve">份，承包人执</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肆  </w:t>
      </w:r>
      <w:r>
        <w:rPr>
          <w:rFonts w:hint="eastAsia" w:ascii="宋体" w:hAnsi="宋体" w:cs="宋体"/>
          <w:bCs/>
          <w:color w:val="000000" w:themeColor="text1"/>
          <w:sz w:val="24"/>
          <w14:textFill>
            <w14:solidFill>
              <w14:schemeClr w14:val="tx1"/>
            </w14:solidFill>
          </w14:textFill>
        </w:rPr>
        <w:t xml:space="preserve">份。</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  (公章)                             承包人：  (公章)</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法定代表人或其委托代理人：                   法定代表人或其委托代理人：</w:t>
      </w:r>
      <w:r/>
    </w:p>
    <w:p>
      <w:pPr>
        <w:ind w:firstLine="12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（签字）                                     （签字）</w:t>
      </w:r>
      <w:r/>
    </w:p>
    <w:p>
      <w:pPr>
        <w:ind w:firstLine="240"/>
        <w:spacing w:line="360" w:lineRule="auto"/>
        <w:tabs>
          <w:tab w:val="left" w:pos="441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组织机构代码：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组织机构代码：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地  址：</w:t>
      </w:r>
      <w:r>
        <w:rPr>
          <w:rFonts w:hint="eastAsia" w:ascii="宋体" w:hAnsi="宋体" w:cs="宋体"/>
          <w:color w:val="000000" w:themeColor="text1"/>
          <w:sz w:val="24"/>
          <w:u w:val="single"/>
          <w14:textFill>
            <w14:solidFill>
              <w14:schemeClr w14:val="tx1"/>
            </w14:solidFill>
          </w14:textFill>
        </w:rPr>
        <w:t xml:space="preserve">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邮政编码：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邮政编码：</w:t>
      </w:r>
      <w:r>
        <w:rPr>
          <w:rFonts w:hint="eastAsia" w:ascii="宋体" w:hAnsi="宋体" w:cs="宋体"/>
          <w:color w:val="000000" w:themeColor="text1"/>
          <w:sz w:val="24"/>
          <w:u w:val="single"/>
          <w14:textFill>
            <w14:solidFill>
              <w14:schemeClr w14:val="tx1"/>
            </w14:solidFill>
          </w14:textFill>
        </w:rPr>
        <w:t xml:space="preserve">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法定代表人：</w:t>
      </w:r>
      <w:r>
        <w:rPr>
          <w:rFonts w:hint="eastAsia" w:ascii="宋体" w:hAnsi="宋体" w:cs="宋体"/>
          <w:color w:val="000000" w:themeColor="text1"/>
          <w:sz w:val="24"/>
          <w:u w:val="single"/>
          <w14:textFill>
            <w14:solidFill>
              <w14:schemeClr w14:val="tx1"/>
            </w14:solidFill>
          </w14:textFill>
        </w:rPr>
        <w:t xml:space="preserve">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委托代理人：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委托代理人：</w:t>
      </w:r>
      <w:r>
        <w:rPr>
          <w:rFonts w:hint="eastAsia" w:ascii="宋体" w:hAnsi="宋体" w:cs="宋体"/>
          <w:color w:val="000000" w:themeColor="text1"/>
          <w:sz w:val="24"/>
          <w:u w:val="single"/>
          <w14:textFill>
            <w14:solidFill>
              <w14:schemeClr w14:val="tx1"/>
            </w14:solidFill>
          </w14:textFill>
        </w:rPr>
        <w:t xml:space="preserve">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电  话：</w:t>
      </w:r>
      <w:r>
        <w:rPr>
          <w:rFonts w:hint="eastAsia" w:ascii="宋体" w:hAnsi="宋体" w:cs="宋体"/>
          <w:color w:val="000000" w:themeColor="text1"/>
          <w:sz w:val="24"/>
          <w:u w:val="single"/>
          <w14:textFill>
            <w14:solidFill>
              <w14:schemeClr w14:val="tx1"/>
            </w14:solidFill>
          </w14:textFill>
        </w:rPr>
        <w:t xml:space="preserve">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传  真：</w:t>
      </w:r>
      <w:r>
        <w:rPr>
          <w:rFonts w:hint="eastAsia" w:ascii="宋体" w:hAnsi="宋体" w:cs="宋体"/>
          <w:color w:val="000000" w:themeColor="text1"/>
          <w:sz w:val="24"/>
          <w:u w:val="single"/>
          <w14:textFill>
            <w14:solidFill>
              <w14:schemeClr w14:val="tx1"/>
            </w14:solidFill>
          </w14:textFill>
        </w:rPr>
        <w:t xml:space="preserve">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电子信箱：</w:t>
      </w:r>
      <w:r>
        <w:rPr>
          <w:rFonts w:hint="eastAsia" w:ascii="宋体" w:hAnsi="宋体" w:cs="宋体"/>
          <w:color w:val="000000" w:themeColor="text1"/>
          <w:sz w:val="24"/>
          <w:u w:val="single"/>
          <w14:textFill>
            <w14:solidFill>
              <w14:schemeClr w14:val="tx1"/>
            </w14:solidFill>
          </w14:textFill>
        </w:rPr>
        <w:t xml:space="preserve">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开户银行：</w:t>
      </w:r>
      <w:r>
        <w:rPr>
          <w:rFonts w:hint="eastAsia" w:ascii="宋体" w:hAnsi="宋体" w:cs="宋体"/>
          <w:color w:val="000000" w:themeColor="text1"/>
          <w:sz w:val="24"/>
          <w:u w:val="single"/>
          <w14:textFill>
            <w14:solidFill>
              <w14:schemeClr w14:val="tx1"/>
            </w14:solidFill>
          </w14:textFill>
        </w:rPr>
        <w:t xml:space="preserve">           </w:t>
      </w:r>
      <w:r/>
    </w:p>
    <w:p>
      <w:pPr>
        <w:ind w:firstLine="24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  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账  号：</w:t>
      </w:r>
      <w:r>
        <w:rPr>
          <w:rFonts w:hint="eastAsia" w:ascii="宋体" w:hAnsi="宋体" w:cs="宋体"/>
          <w:color w:val="000000" w:themeColor="text1"/>
          <w:sz w:val="24"/>
          <w:u w:val="single"/>
          <w14:textFill>
            <w14:solidFill>
              <w14:schemeClr w14:val="tx1"/>
            </w14:solidFill>
          </w14:textFill>
        </w:rPr>
        <w:t xml:space="preserve">             </w:t>
      </w:r>
      <w:r/>
    </w:p>
    <w:p>
      <w:pPr>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center"/>
        <w:keepLines/>
        <w:keepNext/>
        <w:rPr>
          <w:rFonts w:ascii="宋体" w:hAnsi="宋体" w:cs="宋体"/>
          <w:b/>
          <w:bCs/>
          <w:color w:val="000000" w:themeColor="text1"/>
          <w:sz w:val="32"/>
          <w:szCs w:val="28"/>
          <w14:textFill>
            <w14:solidFill>
              <w14:schemeClr w14:val="tx1"/>
            </w14:solidFill>
          </w14:textFill>
        </w:rPr>
        <w:outlineLvl w:val="1"/>
      </w:pPr>
      <w:r/>
      <w:bookmarkStart w:id="186" w:name="page5"/>
      <w:r/>
      <w:bookmarkEnd w:id="186"/>
      <w:r>
        <w:rPr>
          <w:rFonts w:ascii="宋体" w:hAnsi="宋体" w:cs="宋体"/>
          <w:b/>
          <w:bCs/>
          <w:color w:val="000000" w:themeColor="text1"/>
          <w:sz w:val="40"/>
          <w:szCs w:val="40"/>
          <w14:textFill>
            <w14:solidFill>
              <w14:schemeClr w14:val="tx1"/>
            </w14:solidFill>
          </w14:textFill>
        </w:rPr>
        <w:br w:type="page" w:clear="all"/>
      </w:r>
      <w:bookmarkStart w:id="187" w:name="_Toc114424413"/>
      <w:r/>
      <w:bookmarkStart w:id="188" w:name="_Toc166856196"/>
      <w:r/>
      <w:bookmarkStart w:id="189" w:name="_Toc203032701"/>
      <w:r>
        <w:rPr>
          <w:rFonts w:ascii="宋体" w:hAnsi="宋体" w:cs="宋体"/>
          <w:b/>
          <w:bCs/>
          <w:color w:val="000000" w:themeColor="text1"/>
          <w:sz w:val="32"/>
          <w:szCs w:val="28"/>
          <w14:textFill>
            <w14:solidFill>
              <w14:schemeClr w14:val="tx1"/>
            </w14:solidFill>
          </w14:textFill>
        </w:rPr>
        <w:t xml:space="preserve">第二部分</w:t>
      </w:r>
      <w:r>
        <w:rPr>
          <w:rFonts w:hint="eastAsia" w:ascii="宋体" w:hAnsi="宋体" w:cs="宋体"/>
          <w:b/>
          <w:bCs/>
          <w:color w:val="000000" w:themeColor="text1"/>
          <w:sz w:val="32"/>
          <w:szCs w:val="28"/>
          <w14:textFill>
            <w14:solidFill>
              <w14:schemeClr w14:val="tx1"/>
            </w14:solidFill>
          </w14:textFill>
        </w:rPr>
        <w:t xml:space="preserve">  </w:t>
      </w:r>
      <w:r>
        <w:rPr>
          <w:rFonts w:ascii="宋体" w:hAnsi="宋体" w:cs="宋体"/>
          <w:b/>
          <w:bCs/>
          <w:color w:val="000000" w:themeColor="text1"/>
          <w:sz w:val="32"/>
          <w:szCs w:val="28"/>
          <w14:textFill>
            <w14:solidFill>
              <w14:schemeClr w14:val="tx1"/>
            </w14:solidFill>
          </w14:textFill>
        </w:rPr>
        <w:t xml:space="preserve">通用合同条款</w:t>
      </w:r>
      <w:bookmarkEnd w:id="187"/>
      <w:r/>
      <w:bookmarkEnd w:id="188"/>
      <w:r/>
      <w:bookmarkEnd w:id="189"/>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同建设工程施工合同（示范文本）（GF—201</w:t>
      </w:r>
      <w:r>
        <w:rPr>
          <w:rFonts w:hint="eastAsia" w:ascii="宋体" w:hAnsi="宋体"/>
          <w:color w:val="000000" w:themeColor="text1"/>
          <w:sz w:val="24"/>
          <w14:textFill>
            <w14:solidFill>
              <w14:schemeClr w14:val="tx1"/>
            </w14:solidFill>
          </w14:textFill>
        </w:rPr>
        <w:t xml:space="preserve">7</w:t>
      </w:r>
      <w:r>
        <w:rPr>
          <w:rFonts w:ascii="宋体" w:hAnsi="宋体"/>
          <w:color w:val="000000" w:themeColor="text1"/>
          <w:sz w:val="24"/>
          <w14:textFill>
            <w14:solidFill>
              <w14:schemeClr w14:val="tx1"/>
            </w14:solidFill>
          </w14:textFill>
        </w:rPr>
        <w:t xml:space="preserve">—0201）内的通用合同条款。</w:t>
      </w:r>
      <w:r/>
    </w:p>
    <w:p>
      <w:pPr>
        <w:ind w:left="3860"/>
        <w:jc w:val="lef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keepLines/>
        <w:keepNext/>
        <w:rPr>
          <w:rFonts w:ascii="宋体" w:hAnsi="宋体"/>
          <w:b/>
          <w:bCs/>
          <w:color w:val="000000" w:themeColor="text1"/>
          <w:szCs w:val="22"/>
          <w14:textFill>
            <w14:solidFill>
              <w14:schemeClr w14:val="tx1"/>
            </w14:solidFill>
          </w14:textFill>
        </w:rPr>
        <w:outlineLvl w:val="1"/>
      </w:pPr>
      <w:r/>
      <w:bookmarkStart w:id="190" w:name="_Toc114424414"/>
      <w:r/>
      <w:bookmarkStart w:id="191" w:name="_Toc203032702"/>
      <w:r/>
      <w:bookmarkStart w:id="192" w:name="_Toc166856197"/>
      <w:r>
        <w:rPr>
          <w:rFonts w:hint="eastAsia" w:ascii="宋体" w:hAnsi="宋体" w:cs="宋体"/>
          <w:b/>
          <w:bCs/>
          <w:color w:val="000000" w:themeColor="text1"/>
          <w:sz w:val="32"/>
          <w:szCs w:val="28"/>
          <w14:textFill>
            <w14:solidFill>
              <w14:schemeClr w14:val="tx1"/>
            </w14:solidFill>
          </w14:textFill>
        </w:rPr>
        <w:t xml:space="preserve">第三部分  专用合同条款</w:t>
      </w:r>
      <w:bookmarkEnd w:id="190"/>
      <w:r/>
      <w:bookmarkEnd w:id="191"/>
      <w:r/>
      <w:bookmarkEnd w:id="192"/>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193" w:name="_Toc351203633"/>
      <w:r>
        <w:rPr>
          <w:rFonts w:ascii="宋体" w:hAnsi="宋体"/>
          <w:bCs/>
          <w:color w:val="000000" w:themeColor="text1"/>
          <w:sz w:val="24"/>
          <w14:textFill>
            <w14:solidFill>
              <w14:schemeClr w14:val="tx1"/>
            </w14:solidFill>
          </w14:textFill>
        </w:rPr>
        <w:t xml:space="preserve">1</w:t>
      </w:r>
      <w:bookmarkStart w:id="194" w:name="_Toc292559866"/>
      <w:r/>
      <w:bookmarkStart w:id="195" w:name="_Toc296503156"/>
      <w:r/>
      <w:bookmarkStart w:id="196" w:name="_Toc296346657"/>
      <w:r/>
      <w:bookmarkStart w:id="197" w:name="_Toc292559361"/>
      <w:r/>
      <w:bookmarkStart w:id="198" w:name="_Toc296891196"/>
      <w:r/>
      <w:bookmarkStart w:id="199" w:name="_Toc296944495"/>
      <w:r/>
      <w:bookmarkStart w:id="200" w:name="_Toc297120456"/>
      <w:r/>
      <w:bookmarkStart w:id="201" w:name="_Toc296890984"/>
      <w:r/>
      <w:bookmarkStart w:id="202" w:name="_Toc297048342"/>
      <w:r/>
      <w:bookmarkStart w:id="203" w:name="_Toc296347155"/>
      <w:r>
        <w:rPr>
          <w:rFonts w:ascii="宋体" w:hAnsi="宋体"/>
          <w:bCs/>
          <w:color w:val="000000" w:themeColor="text1"/>
          <w:sz w:val="24"/>
          <w14:textFill>
            <w14:solidFill>
              <w14:schemeClr w14:val="tx1"/>
            </w14:solidFill>
          </w14:textFill>
        </w:rPr>
        <w:t xml:space="preserve">. 一般约定</w:t>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1.1 词语定义</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1.1.1合同</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1.1.1.10其他合同文件包括：</w:t>
      </w:r>
      <w:r>
        <w:rPr>
          <w:rFonts w:hint="eastAsia" w:ascii="宋体" w:hAnsi="宋体"/>
          <w:color w:val="000000" w:themeColor="text1"/>
          <w:sz w:val="24"/>
          <w:u w:val="single"/>
          <w14:textFill>
            <w14:solidFill>
              <w14:schemeClr w14:val="tx1"/>
            </w14:solidFill>
          </w14:textFill>
        </w:rPr>
        <w:t xml:space="preserve">本</w:t>
      </w:r>
      <w:r>
        <w:rPr>
          <w:rFonts w:ascii="宋体" w:hAnsi="宋体"/>
          <w:color w:val="000000" w:themeColor="text1"/>
          <w:sz w:val="24"/>
          <w:u w:val="single"/>
          <w14:textFill>
            <w14:solidFill>
              <w14:schemeClr w14:val="tx1"/>
            </w14:solidFill>
          </w14:textFill>
        </w:rPr>
        <w:t xml:space="preserve">工程</w:t>
      </w:r>
      <w:r>
        <w:rPr>
          <w:rFonts w:hint="eastAsia" w:ascii="宋体" w:hAnsi="宋体"/>
          <w:color w:val="000000" w:themeColor="text1"/>
          <w:sz w:val="24"/>
          <w:u w:val="single"/>
          <w14:textFill>
            <w14:solidFill>
              <w14:schemeClr w14:val="tx1"/>
            </w14:solidFill>
          </w14:textFill>
        </w:rPr>
        <w:t xml:space="preserve">磋商</w:t>
      </w:r>
      <w:r>
        <w:rPr>
          <w:rFonts w:ascii="宋体" w:hAnsi="宋体"/>
          <w:color w:val="000000" w:themeColor="text1"/>
          <w:sz w:val="24"/>
          <w:u w:val="single"/>
          <w14:textFill>
            <w14:solidFill>
              <w14:schemeClr w14:val="tx1"/>
            </w14:solidFill>
          </w14:textFill>
        </w:rPr>
        <w:t xml:space="preserve">文件、</w:t>
      </w:r>
      <w:r>
        <w:rPr>
          <w:rFonts w:hint="eastAsia" w:ascii="宋体" w:hAnsi="宋体"/>
          <w:color w:val="000000" w:themeColor="text1"/>
          <w:sz w:val="24"/>
          <w:u w:val="single"/>
          <w14:textFill>
            <w14:solidFill>
              <w14:schemeClr w14:val="tx1"/>
            </w14:solidFill>
          </w14:textFill>
        </w:rPr>
        <w:t xml:space="preserve">合同履行过程中双方确认的对合同有影响的会议纪要、签证、施工方案、设计变更等相关材料</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 合同当事人及其他相关方</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1.1.2.4监理人：</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1.1.2.5 设计人：</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1.1.3 工程和设备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1.1.3.7 作为施工现场组成部分的其他场所包括：</w:t>
      </w:r>
      <w:r>
        <w:rPr>
          <w:rFonts w:hint="eastAsia" w:ascii="宋体" w:hAnsi="宋体"/>
          <w:color w:val="000000" w:themeColor="text1"/>
          <w:sz w:val="24"/>
          <w:u w:val="single"/>
          <w14:textFill>
            <w14:solidFill>
              <w14:schemeClr w14:val="tx1"/>
            </w14:solidFill>
          </w14:textFill>
        </w:rPr>
        <w:t xml:space="preserve">发包人项目部、监理、设计、审计、检测等服务单位办公场所</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1.1.3.9 永久占地包括：</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1.1.3.10 临时占地包括：</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1.3法律 </w:t>
      </w:r>
      <w:r/>
    </w:p>
    <w:p>
      <w:pPr>
        <w:ind w:left="596"/>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适用于合同的其他规范性文件：</w:t>
      </w:r>
      <w:r>
        <w:rPr>
          <w:rFonts w:hint="eastAsia" w:ascii="宋体" w:hAnsi="宋体" w:cs="宋体"/>
          <w:color w:val="000000" w:themeColor="text1"/>
          <w:sz w:val="24"/>
          <w:u w:val="single"/>
          <w14:textFill>
            <w14:solidFill>
              <w14:schemeClr w14:val="tx1"/>
            </w14:solidFill>
          </w14:textFill>
        </w:rPr>
        <w:t xml:space="preserve">       /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1.4 标准和规范</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1.4.1适用于工程的标准规范包括：</w:t>
      </w:r>
      <w:r>
        <w:rPr>
          <w:rFonts w:hint="eastAsia" w:ascii="宋体" w:hAnsi="宋体"/>
          <w:color w:val="000000" w:themeColor="text1"/>
          <w:sz w:val="24"/>
          <w:u w:val="single"/>
          <w14:textFill>
            <w14:solidFill>
              <w14:schemeClr w14:val="tx1"/>
            </w14:solidFill>
          </w14:textFill>
        </w:rPr>
        <w:t xml:space="preserve">国家标准、行业标准、工程所在地的地方标准以及相应的规范、规程等</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bookmarkStart w:id="204" w:name="_Toc502788888"/>
      <w:r/>
      <w:bookmarkStart w:id="205" w:name="_Toc504379176"/>
      <w:r>
        <w:rPr>
          <w:rFonts w:hint="eastAsia" w:ascii="宋体" w:hAnsi="宋体" w:cs="宋体"/>
          <w:color w:val="000000" w:themeColor="text1"/>
          <w:sz w:val="24"/>
          <w14:textFill>
            <w14:solidFill>
              <w14:schemeClr w14:val="tx1"/>
            </w14:solidFill>
          </w14:textFill>
        </w:rPr>
        <w:t xml:space="preserve">1.4.2 发包人提供国外标准、规范的名称：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204"/>
      <w:r/>
      <w:bookmarkEnd w:id="205"/>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发包人提供国外标准、规范的份数：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发包人提供国外标准、规范的名称：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1.4.3发包人对工程的技术标准和功能要求的特殊要求：</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1.5 合同文件</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合同文件组成为：</w:t>
      </w:r>
      <w:r>
        <w:rPr>
          <w:rFonts w:hint="eastAsia" w:ascii="宋体" w:hAnsi="宋体"/>
          <w:color w:val="000000" w:themeColor="text1"/>
          <w:sz w:val="24"/>
          <w:u w:val="single"/>
          <w14:textFill>
            <w14:solidFill>
              <w14:schemeClr w14:val="tx1"/>
            </w14:solidFill>
          </w14:textFill>
        </w:rPr>
        <w:t xml:space="preserve">（1）合同协议书；（2）中标通知书；（3）招标文件、投标函及其附录；（4）专用合同条款及其附件；（5）通用合同条款；（6）技术标准和要求；（7）图纸；（8）已标价工程量清单；（9）其他合同文件。</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1.6 图纸（如有）和承包人文件</w:t>
      </w:r>
      <w:r>
        <w:rPr>
          <w:rFonts w:ascii="宋体" w:hAnsi="宋体"/>
          <w:b/>
          <w:bCs/>
          <w:color w:val="000000" w:themeColor="text1"/>
          <w:sz w:val="24"/>
          <w14:textFill>
            <w14:solidFill>
              <w14:schemeClr w14:val="tx1"/>
            </w14:solidFill>
          </w14:textFill>
        </w:rPr>
        <w:tab/>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 图纸的提供</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发包人向承包人提供图纸的期限：</w:t>
      </w:r>
      <w:r>
        <w:rPr>
          <w:rFonts w:hint="eastAsia" w:ascii="宋体" w:hAnsi="宋体"/>
          <w:color w:val="000000" w:themeColor="text1"/>
          <w:sz w:val="24"/>
          <w:u w:val="single"/>
          <w14:textFill>
            <w14:solidFill>
              <w14:schemeClr w14:val="tx1"/>
            </w14:solidFill>
          </w14:textFill>
        </w:rPr>
        <w:t xml:space="preserve">正式开工三天前</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发包人向承包人提供图纸的数量：</w:t>
      </w:r>
      <w:r>
        <w:rPr>
          <w:rFonts w:hint="eastAsia" w:ascii="宋体" w:hAnsi="宋体"/>
          <w:color w:val="000000" w:themeColor="text1"/>
          <w:sz w:val="24"/>
          <w:u w:val="single"/>
          <w14:textFill>
            <w14:solidFill>
              <w14:schemeClr w14:val="tx1"/>
            </w14:solidFill>
          </w14:textFill>
        </w:rPr>
        <w:t xml:space="preserve">提供全套施工图纸5套（含编制竣工资料用2套），未经发包人同意不得复制。不得向承包人以外的人员泄露图纸（如有）的有关内容</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发包人向承包人提供图纸的内容：</w:t>
      </w:r>
      <w:r>
        <w:rPr>
          <w:rFonts w:hint="eastAsia" w:ascii="宋体" w:hAnsi="宋体" w:cs="宋体"/>
          <w:color w:val="000000" w:themeColor="text1"/>
          <w:sz w:val="24"/>
          <w:u w:val="single"/>
          <w14:textFill>
            <w14:solidFill>
              <w14:schemeClr w14:val="tx1"/>
            </w14:solidFill>
          </w14:textFill>
        </w:rPr>
        <w:t xml:space="preserve">全套经审查的施工图</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1.6.4 承包人文件</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需要由承包人提供的文件，包括：</w:t>
      </w:r>
      <w:r>
        <w:rPr>
          <w:rFonts w:hint="eastAsia" w:ascii="宋体" w:hAnsi="宋体"/>
          <w:color w:val="000000" w:themeColor="text1"/>
          <w:sz w:val="24"/>
          <w:u w:val="single"/>
          <w14:textFill>
            <w14:solidFill>
              <w14:schemeClr w14:val="tx1"/>
            </w14:solidFill>
          </w14:textFill>
        </w:rPr>
        <w:t xml:space="preserve">施工组织设计、专项方案、深化设计等，以及发包人、监理要求提供的其他资料</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承包人提供的文件的期限为：</w:t>
      </w:r>
      <w:r>
        <w:rPr>
          <w:rFonts w:hint="eastAsia" w:ascii="宋体" w:hAnsi="宋体" w:cs="MingLiU_HKSCS"/>
          <w:color w:val="000000" w:themeColor="text1"/>
          <w:sz w:val="24"/>
          <w:u w:val="single"/>
          <w14:textFill>
            <w14:solidFill>
              <w14:schemeClr w14:val="tx1"/>
            </w14:solidFill>
          </w14:textFill>
        </w:rPr>
        <w:t xml:space="preserve">施工进场七天前</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承包人提供的文件的数量为：</w:t>
      </w:r>
      <w:r>
        <w:rPr>
          <w:rFonts w:hint="eastAsia" w:ascii="宋体" w:hAnsi="宋体" w:cs="宋体"/>
          <w:color w:val="000000" w:themeColor="text1"/>
          <w:sz w:val="24"/>
          <w:u w:val="single"/>
          <w14:textFill>
            <w14:solidFill>
              <w14:schemeClr w14:val="tx1"/>
            </w14:solidFill>
          </w14:textFill>
        </w:rPr>
        <w:t xml:space="preserve">三套</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承包人提供的文件的形式为：</w:t>
      </w:r>
      <w:r>
        <w:rPr>
          <w:rFonts w:hint="eastAsia" w:ascii="宋体" w:hAnsi="宋体" w:cs="宋体"/>
          <w:color w:val="000000" w:themeColor="text1"/>
          <w:sz w:val="24"/>
          <w:u w:val="single"/>
          <w14:textFill>
            <w14:solidFill>
              <w14:schemeClr w14:val="tx1"/>
            </w14:solidFill>
          </w14:textFill>
        </w:rPr>
        <w:t xml:space="preserve">书面及电子版</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发包人审批承包人文件的期限：</w:t>
      </w:r>
      <w:r>
        <w:rPr>
          <w:rFonts w:hint="eastAsia" w:ascii="宋体" w:hAnsi="宋体" w:cs="MingLiU_HKSCS"/>
          <w:color w:val="000000" w:themeColor="text1"/>
          <w:sz w:val="24"/>
          <w:u w:val="single"/>
          <w14:textFill>
            <w14:solidFill>
              <w14:schemeClr w14:val="tx1"/>
            </w14:solidFill>
          </w14:textFill>
        </w:rPr>
        <w:t xml:space="preserve">呈交齐全后一周内</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 现场图纸准备</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关于现场图纸准备的约定：</w:t>
      </w:r>
      <w:r>
        <w:rPr>
          <w:rFonts w:hint="eastAsia" w:ascii="宋体" w:hAnsi="宋体"/>
          <w:color w:val="000000" w:themeColor="text1"/>
          <w:sz w:val="24"/>
          <w:u w:val="single"/>
          <w14:textFill>
            <w14:solidFill>
              <w14:schemeClr w14:val="tx1"/>
            </w14:solidFill>
          </w14:textFill>
        </w:rPr>
        <w:t xml:space="preserve">承包人应在施工现场另外保存一套完整的图纸和承包人文件，供发包人、监理人及有关人员进行工程检查时使用</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1.7 联络</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1.7.1发包人和承包人应当在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七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天内将与合同有关的通知、批准、证明、证书、指示、指令、要求、请求、同意、意见、确定和决定等书面函件送达对方当事人</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1.7.2</w:t>
      </w:r>
      <w:r>
        <w:rPr>
          <w:rFonts w:hint="eastAsia" w:ascii="宋体" w:hAnsi="宋体" w:cs="宋体"/>
          <w:color w:val="000000" w:themeColor="text1"/>
          <w:sz w:val="24"/>
          <w14:textFill>
            <w14:solidFill>
              <w14:schemeClr w14:val="tx1"/>
            </w14:solidFill>
          </w14:textFill>
        </w:rPr>
        <w:t xml:space="preserve">发包人接收文件的地点：</w:t>
      </w:r>
      <w:r>
        <w:rPr>
          <w:rFonts w:hint="eastAsia" w:ascii="宋体" w:hAnsi="宋体"/>
          <w:color w:val="000000" w:themeColor="text1"/>
          <w:sz w:val="24"/>
          <w:u w:val="single"/>
          <w14:textFill>
            <w14:solidFill>
              <w14:schemeClr w14:val="tx1"/>
            </w14:solidFill>
          </w14:textFill>
        </w:rPr>
        <w:t xml:space="preserve">施工现场</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3500" w:leader="none"/>
          <w:tab w:val="left" w:pos="4240" w:leader="none"/>
          <w:tab w:val="left" w:pos="10180" w:leader="none"/>
        </w:tabs>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发包人指定的接收人为</w:t>
      </w:r>
      <w:r>
        <w:rPr>
          <w:rFonts w:hint="eastAsia" w:ascii="宋体" w:hAnsi="宋体" w:cs="MS PGothic"/>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发包人代表</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000000" w:themeColor="text1"/>
          <w:sz w:val="24"/>
          <w14:textFill>
            <w14:solidFill>
              <w14:schemeClr w14:val="tx1"/>
            </w14:solidFill>
          </w14:textFill>
        </w:rPr>
      </w:pPr>
      <w:r/>
      <w:bookmarkStart w:id="206" w:name="page7"/>
      <w:r/>
      <w:bookmarkEnd w:id="206"/>
      <w:r>
        <w:rPr>
          <w:rFonts w:hint="eastAsia" w:ascii="宋体" w:hAnsi="宋体" w:cs="宋体"/>
          <w:color w:val="000000" w:themeColor="text1"/>
          <w:sz w:val="24"/>
          <w14:textFill>
            <w14:solidFill>
              <w14:schemeClr w14:val="tx1"/>
            </w14:solidFill>
          </w14:textFill>
        </w:rPr>
        <w:t xml:space="preserve">　　承包人接收文件的地点</w:t>
      </w:r>
      <w:r>
        <w:rPr>
          <w:rFonts w:hint="eastAsia" w:ascii="宋体" w:hAnsi="宋体" w:cs="MS PGothic"/>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施工现场</w:t>
      </w:r>
      <w:r>
        <w:rPr>
          <w:rFonts w:hint="eastAsia" w:ascii="宋体" w:hAnsi="宋体" w:cs="MS PGothic"/>
          <w:color w:val="000000" w:themeColor="text1"/>
          <w:sz w:val="24"/>
          <w14:textFill>
            <w14:solidFill>
              <w14:schemeClr w14:val="tx1"/>
            </w14:solidFill>
          </w14:textFill>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承包人指定的接收人为</w:t>
      </w:r>
      <w:r>
        <w:rPr>
          <w:rFonts w:hint="eastAsia" w:ascii="宋体" w:hAnsi="宋体" w:cs="MS PGothic"/>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项目负责人</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监理人接收文件的地点</w:t>
      </w:r>
      <w:r>
        <w:rPr>
          <w:rFonts w:hint="eastAsia" w:ascii="宋体" w:hAnsi="宋体" w:cs="MS PGothic"/>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施工现场</w:t>
      </w:r>
      <w:r>
        <w:rPr>
          <w:rFonts w:hint="eastAsia" w:ascii="宋体" w:hAnsi="宋体" w:cs="MS PGothic"/>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监理人指定的接收人为</w:t>
      </w:r>
      <w:r>
        <w:rPr>
          <w:rFonts w:hint="eastAsia" w:ascii="宋体" w:hAnsi="宋体" w:cs="MS PGothic"/>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总监理工程师</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1.10 交通运输</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Start w:id="207" w:name="_Toc304295521"/>
      <w:r/>
      <w:bookmarkStart w:id="208" w:name="_Toc303539100"/>
      <w:r/>
      <w:bookmarkStart w:id="209" w:name="_Toc318581155"/>
      <w:r/>
      <w:bookmarkStart w:id="210" w:name="_Toc312677986"/>
      <w:r/>
      <w:bookmarkStart w:id="211" w:name="_Toc300934943"/>
      <w:r>
        <w:rPr>
          <w:rFonts w:ascii="宋体" w:hAnsi="宋体"/>
          <w:color w:val="000000" w:themeColor="text1"/>
          <w:sz w:val="24"/>
          <w14:textFill>
            <w14:solidFill>
              <w14:schemeClr w14:val="tx1"/>
            </w14:solidFill>
          </w14:textFill>
        </w:rPr>
        <w:t xml:space="preserve">.10.1 出入现场的权利</w:t>
      </w:r>
      <w:r/>
    </w:p>
    <w:p>
      <w:pPr>
        <w:ind w:firstLine="480"/>
        <w:jc w:val="left"/>
        <w:spacing w:line="360" w:lineRule="auto"/>
        <w:tabs>
          <w:tab w:val="left" w:pos="3500" w:leader="none"/>
          <w:tab w:val="left" w:pos="5980" w:leader="none"/>
          <w:tab w:val="left" w:pos="9960" w:leader="none"/>
          <w:tab w:val="left" w:pos="10180" w:leader="none"/>
        </w:tabs>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关于出入现场的权利的约定：</w:t>
      </w:r>
      <w:r>
        <w:rPr>
          <w:rFonts w:hint="eastAsia" w:ascii="宋体" w:hAnsi="宋体" w:cs="宋体"/>
          <w:color w:val="000000" w:themeColor="text1"/>
          <w:sz w:val="24"/>
          <w:u w:val="single"/>
          <w14:textFill>
            <w14:solidFill>
              <w14:schemeClr w14:val="tx1"/>
            </w14:solidFill>
          </w14:textFill>
        </w:rPr>
        <w:t xml:space="preserve">使用周边道路，不得损坏。如损坏负责保护并修复，同时做好现场环境保护和安全文明，在影响主要道路交通时及时向发包人汇报并听从发包人安排。</w:t>
      </w:r>
      <w:bookmarkEnd w:id="207"/>
      <w:r/>
      <w:bookmarkEnd w:id="208"/>
      <w:r/>
      <w:bookmarkEnd w:id="209"/>
      <w:r/>
      <w:bookmarkEnd w:id="210"/>
      <w:r/>
      <w:bookmarkEnd w:id="211"/>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Start w:id="212" w:name="_Toc304295522"/>
      <w:r/>
      <w:bookmarkStart w:id="213" w:name="_Toc312677987"/>
      <w:r/>
      <w:bookmarkStart w:id="214" w:name="_Toc303539101"/>
      <w:r/>
      <w:bookmarkStart w:id="215" w:name="_Toc300934944"/>
      <w:r/>
      <w:bookmarkStart w:id="216" w:name="_Toc318581156"/>
      <w:r>
        <w:rPr>
          <w:rFonts w:ascii="宋体" w:hAnsi="宋体"/>
          <w:color w:val="000000" w:themeColor="text1"/>
          <w:sz w:val="24"/>
          <w14:textFill>
            <w14:solidFill>
              <w14:schemeClr w14:val="tx1"/>
            </w14:solidFill>
          </w14:textFill>
        </w:rPr>
        <w:t xml:space="preserve">.10.3 场内交通</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关于场外交通和场内交通的边界的约定：</w:t>
      </w:r>
      <w:r>
        <w:rPr>
          <w:rFonts w:hint="eastAsia" w:ascii="宋体" w:hAnsi="宋体" w:cs="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关于发包人向承包人免费提供满足工程施工需要的场内道路和交通设施的约定：</w:t>
      </w:r>
      <w:r>
        <w:rPr>
          <w:rFonts w:hint="eastAsia" w:ascii="宋体" w:hAnsi="宋体" w:cs="宋体"/>
          <w:color w:val="000000" w:themeColor="text1"/>
          <w:sz w:val="24"/>
          <w:u w:val="single"/>
          <w14:textFill>
            <w14:solidFill>
              <w14:schemeClr w14:val="tx1"/>
            </w14:solidFill>
          </w14:textFill>
        </w:rPr>
        <w:t xml:space="preserve">除场地</w:t>
      </w:r>
      <w:r>
        <w:rPr>
          <w:rFonts w:ascii="宋体" w:hAnsi="宋体" w:cs="宋体"/>
          <w:color w:val="000000" w:themeColor="text1"/>
          <w:sz w:val="24"/>
          <w:u w:val="single"/>
          <w14:textFill>
            <w14:solidFill>
              <w14:schemeClr w14:val="tx1"/>
            </w14:solidFill>
          </w14:textFill>
        </w:rPr>
        <w:t xml:space="preserve">现状</w:t>
      </w:r>
      <w:r>
        <w:rPr>
          <w:rFonts w:hint="eastAsia" w:ascii="宋体" w:hAnsi="宋体" w:cs="宋体"/>
          <w:color w:val="000000" w:themeColor="text1"/>
          <w:sz w:val="24"/>
          <w:u w:val="single"/>
          <w14:textFill>
            <w14:solidFill>
              <w14:schemeClr w14:val="tx1"/>
            </w14:solidFill>
          </w14:textFill>
        </w:rPr>
        <w:t xml:space="preserve">条件外，</w:t>
      </w:r>
      <w:r>
        <w:rPr>
          <w:rFonts w:ascii="宋体" w:hAnsi="宋体" w:cs="宋体"/>
          <w:color w:val="000000" w:themeColor="text1"/>
          <w:sz w:val="24"/>
          <w:u w:val="single"/>
          <w14:textFill>
            <w14:solidFill>
              <w14:schemeClr w14:val="tx1"/>
            </w14:solidFill>
          </w14:textFill>
        </w:rPr>
        <w:t xml:space="preserve">工程施工需要的场地内道路和交通设施由承包人自行负责，费用自行承担</w:t>
      </w:r>
      <w:r>
        <w:rPr>
          <w:rFonts w:ascii="宋体" w:hAnsi="宋体"/>
          <w:color w:val="000000" w:themeColor="text1"/>
          <w:sz w:val="24"/>
          <w14:textFill>
            <w14:solidFill>
              <w14:schemeClr w14:val="tx1"/>
            </w14:solidFill>
          </w14:textFill>
        </w:rPr>
        <w:t xml:space="preserve">。</w:t>
      </w:r>
      <w:bookmarkEnd w:id="212"/>
      <w:r/>
      <w:bookmarkEnd w:id="213"/>
      <w:r/>
      <w:bookmarkEnd w:id="214"/>
      <w:r/>
      <w:bookmarkEnd w:id="215"/>
      <w:r/>
      <w:bookmarkEnd w:id="216"/>
      <w:r/>
      <w:bookmarkStart w:id="217" w:name="_Toc318581157"/>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1.10.4超大件和超重件的运输</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运输超大件或超重件所需的道路和桥梁临时加固改造费用和其他有关费用由</w:t>
      </w:r>
      <w:r>
        <w:rPr>
          <w:rFonts w:hint="eastAsia" w:ascii="宋体" w:hAnsi="宋体"/>
          <w:color w:val="000000" w:themeColor="text1"/>
          <w:sz w:val="24"/>
          <w:u w:val="single"/>
          <w14:textFill>
            <w14:solidFill>
              <w14:schemeClr w14:val="tx1"/>
            </w14:solidFill>
          </w14:textFill>
        </w:rPr>
        <w:t xml:space="preserve">承包人</w:t>
      </w:r>
      <w:r>
        <w:rPr>
          <w:rFonts w:ascii="宋体" w:hAnsi="宋体"/>
          <w:color w:val="000000" w:themeColor="text1"/>
          <w:sz w:val="24"/>
          <w14:textFill>
            <w14:solidFill>
              <w14:schemeClr w14:val="tx1"/>
            </w14:solidFill>
          </w14:textFill>
        </w:rPr>
        <w:t xml:space="preserve">承担。</w:t>
      </w:r>
      <w:bookmarkEnd w:id="217"/>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1.11 知识产权</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1.11.1关于发包人提供给承包人的图纸（如有）、发包人为实施工程自行编制或委托编制的技术规范以及反映发包人关于合同要求或其他类似性质的文件的著作权的归属：</w:t>
      </w:r>
      <w:r>
        <w:rPr>
          <w:rFonts w:hint="eastAsia" w:ascii="宋体" w:hAnsi="宋体" w:cs="宋体"/>
          <w:color w:val="000000" w:themeColor="text1"/>
          <w:sz w:val="24"/>
          <w:u w:val="single"/>
          <w14:textFill>
            <w14:solidFill>
              <w14:schemeClr w14:val="tx1"/>
            </w14:solidFill>
          </w14:textFill>
        </w:rPr>
        <w:t xml:space="preserve">发包人</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关于发包人提供的上述文件的使用限制的要求：</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1.11.2 关于承包人为实施工程所编制文件的著作权的归属：</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发包人</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关于承包人提供的上述文件的使用限制的要求：</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bookmarkStart w:id="218" w:name="_Toc504379185"/>
      <w:r/>
      <w:bookmarkStart w:id="219" w:name="_Toc502788897"/>
      <w:r>
        <w:rPr>
          <w:rFonts w:hint="eastAsia" w:ascii="宋体" w:hAnsi="宋体" w:cs="宋体"/>
          <w:color w:val="000000" w:themeColor="text1"/>
          <w:sz w:val="24"/>
          <w14:textFill>
            <w14:solidFill>
              <w14:schemeClr w14:val="tx1"/>
            </w14:solidFill>
          </w14:textFill>
        </w:rPr>
        <w:t xml:space="preserve">1.11.4 承包人在施工过程中所采用的专利、专有技术、技术秘密的使用费的承担方式：</w:t>
      </w:r>
      <w:r>
        <w:rPr>
          <w:rFonts w:hint="eastAsia" w:ascii="宋体" w:hAnsi="宋体"/>
          <w:color w:val="000000" w:themeColor="text1"/>
          <w:sz w:val="24"/>
          <w:u w:val="single"/>
          <w14:textFill>
            <w14:solidFill>
              <w14:schemeClr w14:val="tx1"/>
            </w14:solidFill>
          </w14:textFill>
        </w:rPr>
        <w:t xml:space="preserve">由承包人承担</w:t>
      </w:r>
      <w:r>
        <w:rPr>
          <w:rFonts w:hint="eastAsia" w:ascii="宋体" w:hAnsi="宋体" w:cs="宋体"/>
          <w:color w:val="000000" w:themeColor="text1"/>
          <w:sz w:val="24"/>
          <w14:textFill>
            <w14:solidFill>
              <w14:schemeClr w14:val="tx1"/>
            </w14:solidFill>
          </w14:textFill>
        </w:rPr>
        <w:t xml:space="preserve">。</w:t>
      </w:r>
      <w:bookmarkEnd w:id="218"/>
      <w:r/>
      <w:bookmarkEnd w:id="219"/>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1.13工程量清单错误的修正</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出现工程量清单错误时，是否调整合同价格：</w:t>
      </w:r>
      <w:r>
        <w:rPr>
          <w:rFonts w:hint="eastAsia" w:ascii="宋体" w:hAnsi="宋体"/>
          <w:color w:val="000000" w:themeColor="text1"/>
          <w:sz w:val="24"/>
          <w:u w:val="single"/>
          <w14:textFill>
            <w14:solidFill>
              <w14:schemeClr w14:val="tx1"/>
            </w14:solidFill>
          </w14:textFill>
        </w:rPr>
        <w:t xml:space="preserve">无论招标时工程量清单中项目特征描述是否完整或准确，发包人要求承包人的投标报价应为完成施工图纸的全部内容，若无相关设计变更，中标的综合单价不予调整。</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允许调整合同价格的工程量偏差范围：</w:t>
      </w:r>
      <w:r>
        <w:rPr>
          <w:rFonts w:hint="eastAsia" w:ascii="宋体" w:hAnsi="宋体"/>
          <w:color w:val="000000" w:themeColor="text1"/>
          <w:sz w:val="24"/>
          <w:u w:val="single"/>
          <w14:textFill>
            <w14:solidFill>
              <w14:schemeClr w14:val="tx1"/>
            </w14:solidFill>
          </w14:textFill>
        </w:rPr>
        <w:t xml:space="preserve">原工程量清单的误差、漏项、非承包人原因造成的工程变更（含设计变更、工程数量调整）或其它不可预见的工程量。</w:t>
      </w:r>
      <w:r/>
    </w:p>
    <w:p>
      <w:pPr>
        <w:ind w:firstLine="482"/>
        <w:keepLines/>
        <w:keepNext/>
        <w:spacing w:line="360" w:lineRule="auto"/>
        <w:rPr>
          <w:rFonts w:ascii="宋体" w:hAnsi="宋体"/>
          <w:b/>
          <w:bCs/>
          <w:color w:val="000000" w:themeColor="text1"/>
          <w:sz w:val="24"/>
          <w14:textFill>
            <w14:solidFill>
              <w14:schemeClr w14:val="tx1"/>
            </w14:solidFill>
          </w14:textFill>
        </w:rPr>
        <w:outlineLvl w:val="3"/>
      </w:pPr>
      <w:r/>
      <w:bookmarkStart w:id="220" w:name="_Toc351203634"/>
      <w:r>
        <w:rPr>
          <w:rFonts w:ascii="宋体" w:hAnsi="宋体"/>
          <w:b/>
          <w:bCs/>
          <w:color w:val="000000" w:themeColor="text1"/>
          <w:sz w:val="24"/>
          <w14:textFill>
            <w14:solidFill>
              <w14:schemeClr w14:val="tx1"/>
            </w14:solidFill>
          </w14:textFill>
        </w:rPr>
        <w:t xml:space="preserve">2</w:t>
      </w:r>
      <w:bookmarkStart w:id="221" w:name="_Toc297120457"/>
      <w:r/>
      <w:bookmarkStart w:id="222" w:name="_Toc296503157"/>
      <w:r/>
      <w:bookmarkStart w:id="223" w:name="_Toc292559362"/>
      <w:r/>
      <w:bookmarkStart w:id="224" w:name="_Toc296890985"/>
      <w:r/>
      <w:bookmarkStart w:id="225" w:name="_Toc296944496"/>
      <w:r/>
      <w:bookmarkStart w:id="226" w:name="_Toc296891197"/>
      <w:r/>
      <w:bookmarkStart w:id="227" w:name="_Toc296346658"/>
      <w:r/>
      <w:bookmarkStart w:id="228" w:name="_Toc292559867"/>
      <w:r/>
      <w:bookmarkStart w:id="229" w:name="_Toc296347156"/>
      <w:r/>
      <w:bookmarkStart w:id="230" w:name="_Toc297048343"/>
      <w:r>
        <w:rPr>
          <w:rFonts w:ascii="宋体" w:hAnsi="宋体"/>
          <w:b/>
          <w:bCs/>
          <w:color w:val="000000" w:themeColor="text1"/>
          <w:sz w:val="24"/>
          <w14:textFill>
            <w14:solidFill>
              <w14:schemeClr w14:val="tx1"/>
            </w14:solidFill>
          </w14:textFill>
        </w:rPr>
        <w:t xml:space="preserve">. 发包人</w:t>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2.2 发包人代表</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发包人代表：</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身份证号：</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职    务：</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b/>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发包人对发包人代表的授权范围如下：</w:t>
      </w:r>
      <w:r>
        <w:rPr>
          <w:rFonts w:hint="eastAsia" w:ascii="宋体" w:hAnsi="宋体"/>
          <w:color w:val="000000" w:themeColor="text1"/>
          <w:sz w:val="24"/>
          <w:u w:val="single"/>
          <w14:textFill>
            <w14:solidFill>
              <w14:schemeClr w14:val="tx1"/>
            </w14:solidFill>
          </w14:textFill>
        </w:rPr>
        <w:t xml:space="preserve">代表发包人负责工程现场质量、安全、进度等管理工程，负责协调各参见方之间的矛盾及外围事物；所有的签证及设计变更等事项按规章制度及工作流程办理。</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2.4 施工现场、施工条件和基础资料的提供</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2.4.1 提供施工现场</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关于发包人移交施工现场的期限要求：</w:t>
      </w:r>
      <w:r>
        <w:rPr>
          <w:rFonts w:hint="eastAsia" w:ascii="宋体" w:hAnsi="宋体"/>
          <w:color w:val="000000" w:themeColor="text1"/>
          <w:sz w:val="24"/>
          <w:u w:val="single"/>
          <w14:textFill>
            <w14:solidFill>
              <w14:schemeClr w14:val="tx1"/>
            </w14:solidFill>
          </w14:textFill>
        </w:rPr>
        <w:t xml:space="preserve">书面正式通知后三天内</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2.4.2 提供施工条件</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关于发包人应负责提供施工</w:t>
      </w:r>
      <w:r>
        <w:rPr>
          <w:rFonts w:hint="eastAsia" w:ascii="宋体" w:hAnsi="宋体"/>
          <w:color w:val="000000" w:themeColor="text1"/>
          <w:sz w:val="24"/>
          <w14:textFill>
            <w14:solidFill>
              <w14:schemeClr w14:val="tx1"/>
            </w14:solidFill>
          </w14:textFill>
        </w:rPr>
        <w:t xml:space="preserve">所需要的条件，</w:t>
      </w:r>
      <w:r>
        <w:rPr>
          <w:rFonts w:ascii="宋体" w:hAnsi="宋体"/>
          <w:color w:val="000000" w:themeColor="text1"/>
          <w:sz w:val="24"/>
          <w14:textFill>
            <w14:solidFill>
              <w14:schemeClr w14:val="tx1"/>
            </w14:solidFill>
          </w14:textFill>
        </w:rPr>
        <w:t xml:space="preserve">包括：</w:t>
      </w:r>
      <w:r>
        <w:rPr>
          <w:rFonts w:hint="eastAsia" w:ascii="宋体" w:hAnsi="宋体"/>
          <w:color w:val="000000" w:themeColor="text1"/>
          <w:sz w:val="24"/>
          <w:u w:val="single"/>
          <w14:textFill>
            <w14:solidFill>
              <w14:schemeClr w14:val="tx1"/>
            </w14:solidFill>
          </w14:textFill>
        </w:rPr>
        <w:t xml:space="preserve">按现状条件发包，如不具备，则由承包人实施，并承担费用</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2.5 资金来源证明及支付担保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发包人提供资金来源证明的期限要求：</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发包人是否提供支付担保：</w:t>
      </w:r>
      <w:r>
        <w:rPr>
          <w:rFonts w:hint="eastAsia" w:ascii="宋体" w:hAnsi="宋体" w:cs="宋体"/>
          <w:color w:val="000000" w:themeColor="text1"/>
          <w:sz w:val="24"/>
          <w:u w:val="single"/>
          <w14:textFill>
            <w14:solidFill>
              <w14:schemeClr w14:val="tx1"/>
            </w14:solidFill>
          </w14:textFill>
        </w:rPr>
        <w:t xml:space="preserve">          不提供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发包人提供支付担保的形式：</w:t>
      </w:r>
      <w:r>
        <w:rPr>
          <w:rFonts w:hint="eastAsia" w:ascii="宋体" w:hAnsi="宋体" w:cs="宋体"/>
          <w:color w:val="000000" w:themeColor="text1"/>
          <w:sz w:val="24"/>
          <w:u w:val="single"/>
          <w14:textFill>
            <w14:solidFill>
              <w14:schemeClr w14:val="tx1"/>
            </w14:solidFill>
          </w14:textFill>
        </w:rPr>
        <w:t xml:space="preserve">           /            </w:t>
      </w:r>
      <w:r>
        <w:rPr>
          <w:rFonts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231" w:name="_Toc351203635"/>
      <w:r>
        <w:rPr>
          <w:rFonts w:ascii="宋体" w:hAnsi="宋体"/>
          <w:bCs/>
          <w:color w:val="000000" w:themeColor="text1"/>
          <w:sz w:val="24"/>
          <w14:textFill>
            <w14:solidFill>
              <w14:schemeClr w14:val="tx1"/>
            </w14:solidFill>
          </w14:textFill>
        </w:rPr>
        <w:t xml:space="preserve">3</w:t>
      </w:r>
      <w:bookmarkStart w:id="232" w:name="_Toc296944497"/>
      <w:r/>
      <w:bookmarkStart w:id="233" w:name="_Toc297048344"/>
      <w:r/>
      <w:bookmarkStart w:id="234" w:name="_Toc292559868"/>
      <w:r/>
      <w:bookmarkStart w:id="235" w:name="_Toc296891198"/>
      <w:r/>
      <w:bookmarkStart w:id="236" w:name="_Toc297120458"/>
      <w:r/>
      <w:bookmarkStart w:id="237" w:name="_Toc292559363"/>
      <w:r/>
      <w:bookmarkStart w:id="238" w:name="_Toc296346659"/>
      <w:r/>
      <w:bookmarkStart w:id="239" w:name="_Toc296347157"/>
      <w:r/>
      <w:bookmarkStart w:id="240" w:name="_Toc296890986"/>
      <w:r/>
      <w:bookmarkStart w:id="241" w:name="_Toc296503158"/>
      <w:r>
        <w:rPr>
          <w:rFonts w:ascii="宋体" w:hAnsi="宋体"/>
          <w:bCs/>
          <w:color w:val="000000" w:themeColor="text1"/>
          <w:sz w:val="24"/>
          <w14:textFill>
            <w14:solidFill>
              <w14:schemeClr w14:val="tx1"/>
            </w14:solidFill>
          </w14:textFill>
        </w:rPr>
        <w:t xml:space="preserve">. 承包人</w:t>
      </w:r>
      <w:bookmarkEnd w:id="231"/>
      <w:r/>
      <w:bookmarkEnd w:id="232"/>
      <w:r/>
      <w:bookmarkEnd w:id="233"/>
      <w:r/>
      <w:bookmarkEnd w:id="234"/>
      <w:r/>
      <w:bookmarkEnd w:id="235"/>
      <w:r/>
      <w:bookmarkEnd w:id="236"/>
      <w:r/>
      <w:bookmarkEnd w:id="237"/>
      <w:r/>
      <w:bookmarkEnd w:id="238"/>
      <w:r/>
      <w:bookmarkEnd w:id="239"/>
      <w:r/>
      <w:bookmarkEnd w:id="240"/>
      <w:r/>
      <w:bookmarkEnd w:id="241"/>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3.1 承包人的一般义务</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）承包人提交的竣工资料的内容：</w:t>
      </w:r>
      <w:r>
        <w:rPr>
          <w:rFonts w:hint="eastAsia" w:ascii="宋体" w:hAnsi="宋体"/>
          <w:color w:val="000000" w:themeColor="text1"/>
          <w:sz w:val="24"/>
          <w:u w:val="single"/>
          <w14:textFill>
            <w14:solidFill>
              <w14:schemeClr w14:val="tx1"/>
            </w14:solidFill>
          </w14:textFill>
        </w:rPr>
        <w:t xml:space="preserve">按发包人要求提交全套施工资料及竣工图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承包人需要提交的竣工资料套数：</w:t>
      </w:r>
      <w:r>
        <w:rPr>
          <w:rFonts w:hint="eastAsia" w:ascii="宋体" w:hAnsi="宋体"/>
          <w:color w:val="000000" w:themeColor="text1"/>
          <w:sz w:val="24"/>
          <w:u w:val="single"/>
          <w14:textFill>
            <w14:solidFill>
              <w14:schemeClr w14:val="tx1"/>
            </w14:solidFill>
          </w14:textFill>
        </w:rPr>
        <w:t xml:space="preserve">按发包人要求提供。</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承包人提交的竣工资料的费用承担：</w:t>
      </w:r>
      <w:r>
        <w:rPr>
          <w:rFonts w:hint="eastAsia" w:ascii="宋体" w:hAnsi="宋体"/>
          <w:color w:val="000000" w:themeColor="text1"/>
          <w:sz w:val="24"/>
          <w:u w:val="single"/>
          <w14:textFill>
            <w14:solidFill>
              <w14:schemeClr w14:val="tx1"/>
            </w14:solidFill>
          </w14:textFill>
        </w:rPr>
        <w:t xml:space="preserve">由承包人</w:t>
      </w:r>
      <w:r>
        <w:rPr>
          <w:rFonts w:hint="eastAsia" w:ascii="宋体" w:hAnsi="宋体" w:cs="宋体"/>
          <w:color w:val="000000" w:themeColor="text1"/>
          <w:sz w:val="24"/>
          <w:u w:val="single"/>
          <w14:textFill>
            <w14:solidFill>
              <w14:schemeClr w14:val="tx1"/>
            </w14:solidFill>
          </w14:textFill>
        </w:rPr>
        <w:t xml:space="preserve">承担 </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承包人提交的竣工资料移交时间：</w:t>
      </w:r>
      <w:r>
        <w:rPr>
          <w:rFonts w:hint="eastAsia" w:ascii="宋体" w:hAnsi="宋体"/>
          <w:color w:val="000000" w:themeColor="text1"/>
          <w:sz w:val="24"/>
          <w:u w:val="single"/>
          <w14:textFill>
            <w14:solidFill>
              <w14:schemeClr w14:val="tx1"/>
            </w14:solidFill>
          </w14:textFill>
        </w:rPr>
        <w:t xml:space="preserve">工程竣工验收合格后</w:t>
      </w:r>
      <w:r>
        <w:rPr>
          <w:rFonts w:ascii="宋体" w:hAnsi="宋体"/>
          <w:color w:val="000000" w:themeColor="text1"/>
          <w:sz w:val="24"/>
          <w:u w:val="single"/>
          <w14:textFill>
            <w14:solidFill>
              <w14:schemeClr w14:val="tx1"/>
            </w14:solidFill>
          </w14:textFill>
        </w:rPr>
        <w:t xml:space="preserve">28</w:t>
      </w:r>
      <w:r>
        <w:rPr>
          <w:rFonts w:hint="eastAsia" w:ascii="宋体" w:hAnsi="宋体"/>
          <w:color w:val="000000" w:themeColor="text1"/>
          <w:sz w:val="24"/>
          <w:u w:val="single"/>
          <w14:textFill>
            <w14:solidFill>
              <w14:schemeClr w14:val="tx1"/>
            </w14:solidFill>
          </w14:textFill>
        </w:rPr>
        <w:t xml:space="preserve">日内</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承包人提交的竣工资料形式要求：</w:t>
      </w:r>
      <w:r>
        <w:rPr>
          <w:rFonts w:hint="eastAsia" w:ascii="宋体" w:hAnsi="宋体"/>
          <w:color w:val="000000" w:themeColor="text1"/>
          <w:sz w:val="24"/>
          <w:u w:val="single"/>
          <w14:textFill>
            <w14:solidFill>
              <w14:schemeClr w14:val="tx1"/>
            </w14:solidFill>
          </w14:textFill>
        </w:rPr>
        <w:t xml:space="preserve">书面资料及电子档资料</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10</w:t>
      </w:r>
      <w:r>
        <w:rPr>
          <w:rFonts w:ascii="宋体" w:hAnsi="宋体"/>
          <w:color w:val="000000" w:themeColor="text1"/>
          <w:sz w:val="24"/>
          <w14:textFill>
            <w14:solidFill>
              <w14:schemeClr w14:val="tx1"/>
            </w14:solidFill>
          </w14:textFill>
        </w:rPr>
        <w:t xml:space="preserve">）承包人应履行的其他义务：</w:t>
      </w:r>
      <w:r>
        <w:rPr>
          <w:rFonts w:hint="eastAsia" w:ascii="宋体" w:hAnsi="宋体"/>
          <w:color w:val="000000" w:themeColor="text1"/>
          <w:sz w:val="24"/>
          <w:u w:val="single"/>
          <w14:textFill>
            <w14:solidFill>
              <w14:schemeClr w14:val="tx1"/>
            </w14:solidFill>
          </w14:textFill>
        </w:rPr>
        <w:t xml:space="preserve">①安排专人24小时负责安全保卫工作，非夜间施工照明应注意安全要求，费用由承包人承担；②承包人必须按规定对施工现场成品进行保护，专业施工项目验收合格之日起交付给发包人止，专业工程施工现场成品保护由专业工</w:t>
      </w:r>
      <w:r>
        <w:rPr>
          <w:rFonts w:hint="eastAsia" w:ascii="宋体" w:hAnsi="宋体"/>
          <w:color w:val="000000" w:themeColor="text1"/>
          <w:sz w:val="24"/>
          <w:u w:val="single"/>
          <w14:textFill>
            <w14:solidFill>
              <w14:schemeClr w14:val="tx1"/>
            </w14:solidFill>
          </w14:textFill>
        </w:rPr>
        <w:t xml:space="preserve">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Pr>
          <w:rFonts w:ascii="宋体" w:hAnsi="宋体"/>
          <w:color w:val="000000" w:themeColor="text1"/>
          <w:sz w:val="24"/>
          <w:u w:val="single"/>
          <w14:textFill>
            <w14:solidFill>
              <w14:schemeClr w14:val="tx1"/>
            </w14:solidFill>
          </w14:textFill>
        </w:rPr>
        <w:fldChar w:fldCharType="begin"/>
      </w:r>
      <w:r>
        <w:rPr>
          <w:rFonts w:ascii="宋体" w:hAnsi="宋体"/>
          <w:color w:val="000000" w:themeColor="text1"/>
          <w:sz w:val="24"/>
          <w:u w:val="single"/>
          <w14:textFill>
            <w14:solidFill>
              <w14:schemeClr w14:val="tx1"/>
            </w14:solidFill>
          </w14:textFill>
        </w:rPr>
        <w:instrText xml:space="preserve"> </w:instrText>
      </w:r>
      <w:r>
        <w:rPr>
          <w:rFonts w:hint="eastAsia" w:ascii="宋体" w:hAnsi="宋体"/>
          <w:color w:val="000000" w:themeColor="text1"/>
          <w:sz w:val="24"/>
          <w:u w:val="single"/>
          <w14:textFill>
            <w14:solidFill>
              <w14:schemeClr w14:val="tx1"/>
            </w14:solidFill>
          </w14:textFill>
        </w:rPr>
        <w:instrText xml:space="preserve">eq \o\ac(○,7)</w:instrText>
      </w:r>
      <w:r>
        <w:rPr>
          <w:rFonts w:ascii="宋体" w:hAnsi="宋体"/>
          <w:color w:val="000000" w:themeColor="text1"/>
          <w:sz w:val="24"/>
          <w:u w:val="single"/>
          <w14:textFill>
            <w14:solidFill>
              <w14:schemeClr w14:val="tx1"/>
            </w14:solidFill>
          </w14:textFill>
        </w:rPr>
        <w:fldChar w:fldCharType="end"/>
      </w:r>
      <w:r>
        <w:rPr>
          <w:rFonts w:hint="eastAsia" w:ascii="宋体" w:hAnsi="宋体"/>
          <w:color w:val="000000" w:themeColor="text1"/>
          <w:sz w:val="24"/>
          <w:u w:val="single"/>
          <w14:textFill>
            <w14:solidFill>
              <w14:schemeClr w14:val="tx1"/>
            </w14:solidFill>
          </w14:textFill>
        </w:rPr>
        <w:t xml:space="preserve">本工程向建设主管部门办理的工程施工许可手续，由承包人代为办理，发包人协助，费用按规定承担；</w:t>
      </w:r>
      <w:r>
        <w:rPr>
          <w:rFonts w:ascii="宋体" w:hAnsi="宋体"/>
          <w:color w:val="000000" w:themeColor="text1"/>
          <w:sz w:val="24"/>
          <w:u w:val="single"/>
          <w14:textFill>
            <w14:solidFill>
              <w14:schemeClr w14:val="tx1"/>
            </w14:solidFill>
          </w14:textFill>
        </w:rPr>
        <w:fldChar w:fldCharType="begin"/>
      </w:r>
      <w:r>
        <w:rPr>
          <w:rFonts w:ascii="宋体" w:hAnsi="宋体"/>
          <w:color w:val="000000" w:themeColor="text1"/>
          <w:sz w:val="24"/>
          <w:u w:val="single"/>
          <w14:textFill>
            <w14:solidFill>
              <w14:schemeClr w14:val="tx1"/>
            </w14:solidFill>
          </w14:textFill>
        </w:rPr>
        <w:instrText xml:space="preserve"> </w:instrText>
      </w:r>
      <w:r>
        <w:rPr>
          <w:rFonts w:hint="eastAsia" w:ascii="宋体" w:hAnsi="宋体"/>
          <w:color w:val="000000" w:themeColor="text1"/>
          <w:sz w:val="24"/>
          <w:u w:val="single"/>
          <w14:textFill>
            <w14:solidFill>
              <w14:schemeClr w14:val="tx1"/>
            </w14:solidFill>
          </w14:textFill>
        </w:rPr>
        <w:instrText xml:space="preserve">eq \o\ac(○,8)</w:instrText>
      </w:r>
      <w:r>
        <w:rPr>
          <w:rFonts w:ascii="宋体" w:hAnsi="宋体"/>
          <w:color w:val="000000" w:themeColor="text1"/>
          <w:sz w:val="24"/>
          <w:u w:val="single"/>
          <w14:textFill>
            <w14:solidFill>
              <w14:schemeClr w14:val="tx1"/>
            </w14:solidFill>
          </w14:textFill>
        </w:rPr>
        <w:fldChar w:fldCharType="end"/>
      </w:r>
      <w:r>
        <w:rPr>
          <w:rFonts w:hint="eastAsia" w:ascii="宋体" w:hAnsi="宋体"/>
          <w:color w:val="000000" w:themeColor="text1"/>
          <w:sz w:val="24"/>
          <w:u w:val="single"/>
          <w14:textFill>
            <w14:solidFill>
              <w14:schemeClr w14:val="tx1"/>
            </w14:solidFill>
          </w14:textFill>
        </w:rPr>
        <w:t xml:space="preserve">施工单位须对施工现场的所有从业人员，建立电脑用工台帐，实行日常考勤管理，施工单位必须第一时间向建设单位、监理单位主动提供与劳务公司签订的用工合同或主动提供班组人员与施工单位签订的用工合同。</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3.2 项目负责人</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3.2.1 项目负责人：</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姓    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身份证号：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建造师执业资格等级：</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建造师执业印章号：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安全生产考核合格证书号：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承包人对项目负责人的授权范围如下：</w:t>
      </w:r>
      <w:r>
        <w:rPr>
          <w:rFonts w:hint="eastAsia" w:ascii="宋体" w:hAnsi="宋体"/>
          <w:color w:val="000000" w:themeColor="text1"/>
          <w:sz w:val="24"/>
          <w:u w:val="single"/>
          <w14:textFill>
            <w14:solidFill>
              <w14:schemeClr w14:val="tx1"/>
            </w14:solidFill>
          </w14:textFill>
        </w:rPr>
        <w:t xml:space="preserve">全面负责本工程施工合同的履行</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关于项目负责人每月在施工现场的时间要求：</w:t>
      </w:r>
      <w:r>
        <w:rPr>
          <w:rFonts w:hint="eastAsia" w:ascii="宋体" w:hAnsi="宋体"/>
          <w:color w:val="000000" w:themeColor="text1"/>
          <w:sz w:val="24"/>
          <w:u w:val="single"/>
          <w14:textFill>
            <w14:solidFill>
              <w14:schemeClr w14:val="tx1"/>
            </w14:solidFill>
          </w14:textFill>
        </w:rPr>
        <w:t xml:space="preserve">该工程施工过程中项目负责人必须常驻现场实施施工管理，不因任何情形而更换，且出勤率不少于100%,如发生更换或出勤率少于100%，除接受竞争性磋商文件约定的处罚外，自愿另行承担3000/人/天的违约金，最高20万元。</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承包人未提交劳动合同，以及没有为项目负责人缴纳社会保险证明的违约责任：</w:t>
      </w:r>
      <w:r>
        <w:rPr>
          <w:rFonts w:hint="eastAsia" w:ascii="宋体" w:hAnsi="宋体"/>
          <w:color w:val="000000" w:themeColor="text1"/>
          <w:sz w:val="24"/>
          <w:u w:val="single"/>
          <w14:textFill>
            <w14:solidFill>
              <w14:schemeClr w14:val="tx1"/>
            </w14:solidFill>
          </w14:textFill>
        </w:rPr>
        <w:t xml:space="preserve">经发包人提出后，承包人未整改的，发包人有权终止合同。</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项目负责人未经批准，擅自离开施工现场的违约责任：</w:t>
      </w:r>
      <w:r>
        <w:rPr>
          <w:rFonts w:hint="eastAsia" w:ascii="宋体" w:hAnsi="宋体"/>
          <w:color w:val="000000" w:themeColor="text1"/>
          <w:sz w:val="24"/>
          <w:u w:val="single"/>
          <w14:textFill>
            <w14:solidFill>
              <w14:schemeClr w14:val="tx1"/>
            </w14:solidFill>
          </w14:textFill>
        </w:rPr>
        <w:t xml:space="preserve">中途项目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3.2.3 承包人擅自更换项目负责人的违约责任：</w:t>
      </w:r>
      <w:r>
        <w:rPr>
          <w:rFonts w:hint="eastAsia" w:ascii="宋体" w:hAnsi="宋体"/>
          <w:color w:val="000000" w:themeColor="text1"/>
          <w:sz w:val="24"/>
          <w:u w:val="single"/>
          <w14:textFill>
            <w14:solidFill>
              <w14:schemeClr w14:val="tx1"/>
            </w14:solidFill>
          </w14:textFill>
        </w:rPr>
        <w:t xml:space="preserve">发包人有权终止合同，因此给发包人造成损失的，发包人将依法追偿</w:t>
      </w:r>
      <w:r>
        <w:rPr>
          <w:rFonts w:ascii="宋体" w:hAnsi="宋体"/>
          <w:color w:val="000000" w:themeColor="text1"/>
          <w:sz w:val="24"/>
          <w14:textFill>
            <w14:solidFill>
              <w14:schemeClr w14:val="tx1"/>
            </w14:solidFill>
          </w14:textFill>
        </w:rPr>
        <w:t xml:space="preserve">。</w:t>
      </w:r>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3.2.4 承包人无正当理由拒绝更换项目负责人的违约责任：</w:t>
      </w:r>
      <w:r>
        <w:rPr>
          <w:rFonts w:hint="eastAsia" w:ascii="宋体" w:hAnsi="宋体"/>
          <w:color w:val="000000" w:themeColor="text1"/>
          <w:sz w:val="24"/>
          <w:u w:val="single"/>
          <w14:textFill>
            <w14:solidFill>
              <w14:schemeClr w14:val="tx1"/>
            </w14:solidFill>
          </w14:textFill>
        </w:rPr>
        <w:t xml:space="preserve">发包人有权终止合同，因此给发包人造成损失的，发包人将依法追偿</w:t>
      </w:r>
      <w:r>
        <w:rPr>
          <w:rFonts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4"/>
      </w:pPr>
      <w:r>
        <w:rPr>
          <w:rFonts w:ascii="宋体" w:hAnsi="宋体"/>
          <w:bCs/>
          <w:color w:val="000000" w:themeColor="text1"/>
          <w:sz w:val="24"/>
          <w14:textFill>
            <w14:solidFill>
              <w14:schemeClr w14:val="tx1"/>
            </w14:solidFill>
          </w14:textFill>
        </w:rPr>
        <w:t xml:space="preserve">3.3 承包人人员</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3.3.1 承包人提交项目管理机构及施工现场管理人员安排报告的期限：</w:t>
      </w:r>
      <w:r>
        <w:rPr>
          <w:rFonts w:hint="eastAsia" w:ascii="宋体" w:hAnsi="宋体" w:cs="MingLiU_HKSCS"/>
          <w:color w:val="000000" w:themeColor="text1"/>
          <w:sz w:val="24"/>
          <w:u w:val="single"/>
          <w14:textFill>
            <w14:solidFill>
              <w14:schemeClr w14:val="tx1"/>
            </w14:solidFill>
          </w14:textFill>
        </w:rPr>
        <w:t xml:space="preserve">施工进场七日内</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施工现场主要管理人员：技术负责人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，质检员</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，安全员</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，施工员</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3.3.3 承包人无正当理由拒绝撤换主要施工管理人员的违约责任：</w:t>
      </w:r>
      <w:r>
        <w:rPr>
          <w:rFonts w:hint="eastAsia" w:ascii="宋体" w:hAnsi="宋体"/>
          <w:color w:val="000000" w:themeColor="text1"/>
          <w:sz w:val="24"/>
          <w:u w:val="single"/>
          <w14:textFill>
            <w14:solidFill>
              <w14:schemeClr w14:val="tx1"/>
            </w14:solidFill>
          </w14:textFill>
        </w:rPr>
        <w:t xml:space="preserve">发包人有权终止合同，因此给发包人造成损失的，发包人将依法追偿</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3.3.4 承包人主要施工管理人员离开施工现场的批准要求：</w:t>
      </w:r>
      <w:r>
        <w:rPr>
          <w:rFonts w:hint="eastAsia" w:ascii="宋体" w:hAnsi="宋体" w:cs="宋体"/>
          <w:color w:val="000000" w:themeColor="text1"/>
          <w:sz w:val="24"/>
          <w:u w:val="single"/>
          <w14:textFill>
            <w14:solidFill>
              <w14:schemeClr w14:val="tx1"/>
            </w14:solidFill>
          </w14:textFill>
        </w:rPr>
        <w:t xml:space="preserve">中途离岗必须履行书面请假手续并经发包人同意</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3.3.5承包人擅自更换主要施工管理人员的违约责任：</w:t>
      </w:r>
      <w:r>
        <w:rPr>
          <w:rFonts w:hint="eastAsia" w:ascii="宋体" w:hAnsi="宋体"/>
          <w:color w:val="000000" w:themeColor="text1"/>
          <w:sz w:val="24"/>
          <w:u w:val="single"/>
          <w14:textFill>
            <w14:solidFill>
              <w14:schemeClr w14:val="tx1"/>
            </w14:solidFill>
          </w14:textFill>
        </w:rPr>
        <w:t xml:space="preserve">发包人有权终止合同，因此给发包人造成损失的，发包人将依法追偿</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承包人主要施工管理人员擅自离开施工现场的违约责任：</w:t>
      </w:r>
      <w:r>
        <w:rPr>
          <w:rFonts w:hint="eastAsia" w:ascii="宋体" w:hAnsi="宋体"/>
          <w:color w:val="000000" w:themeColor="text1"/>
          <w:sz w:val="24"/>
          <w:u w:val="single"/>
          <w14:textFill>
            <w14:solidFill>
              <w14:schemeClr w14:val="tx1"/>
            </w14:solidFill>
          </w14:textFill>
        </w:rPr>
        <w:t xml:space="preserve">若未经发包人同意而擅自离岗的，除项目负责人外，将处以每人每天 5</w:t>
      </w:r>
      <w:r>
        <w:rPr>
          <w:rFonts w:ascii="宋体" w:hAnsi="宋体"/>
          <w:color w:val="000000" w:themeColor="text1"/>
          <w:sz w:val="24"/>
          <w:u w:val="single"/>
          <w14:textFill>
            <w14:solidFill>
              <w14:schemeClr w14:val="tx1"/>
            </w14:solidFill>
          </w14:textFill>
        </w:rPr>
        <w:t xml:space="preserve">00</w:t>
      </w:r>
      <w:r>
        <w:rPr>
          <w:rFonts w:hint="eastAsia" w:ascii="宋体" w:hAnsi="宋体"/>
          <w:color w:val="000000" w:themeColor="text1"/>
          <w:sz w:val="24"/>
          <w:u w:val="single"/>
          <w14:textFill>
            <w14:solidFill>
              <w14:schemeClr w14:val="tx1"/>
            </w14:solidFill>
          </w14:textFill>
        </w:rPr>
        <w:t xml:space="preserve">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投标专职安全员若中标，不因任何情形而更换，且出勤率不少于100%,如发生更换或出勤率少于100%，除接受竞争性磋商文件约定的处罚外，自愿另行承担3000/人/天的违约金，最高20万元。</w:t>
      </w:r>
      <w:r/>
    </w:p>
    <w:p>
      <w:pPr>
        <w:ind w:firstLine="482"/>
        <w:spacing w:line="360" w:lineRule="auto"/>
        <w:rPr>
          <w:rFonts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工程项目部管理人员必须严格按招投标文件要求及时配备到位。所有人员有持证要求的必须持证上岗，在项目负责人的统一领导下，尽心尽职地做好本职工作。如不能胜任工作的，发包人将有权建议更换，直到更换至能胜任现场管理工作为止。</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3</w:t>
      </w:r>
      <w:bookmarkStart w:id="242" w:name="_Toc297123492"/>
      <w:r/>
      <w:bookmarkStart w:id="243" w:name="_Toc304295523"/>
      <w:r/>
      <w:bookmarkStart w:id="244" w:name="_Toc297048345"/>
      <w:r/>
      <w:bookmarkStart w:id="245" w:name="_Toc303539102"/>
      <w:r/>
      <w:bookmarkStart w:id="246" w:name="_Toc312677988"/>
      <w:r/>
      <w:bookmarkStart w:id="247" w:name="_Toc292559364"/>
      <w:r/>
      <w:bookmarkStart w:id="248" w:name="_Toc296503159"/>
      <w:r/>
      <w:bookmarkStart w:id="249" w:name="_Toc292559869"/>
      <w:r/>
      <w:bookmarkStart w:id="250" w:name="_Toc296346660"/>
      <w:r/>
      <w:bookmarkStart w:id="251" w:name="_Toc296891199"/>
      <w:r/>
      <w:bookmarkStart w:id="252" w:name="_Toc296347158"/>
      <w:r/>
      <w:bookmarkStart w:id="253" w:name="_Toc300934945"/>
      <w:r/>
      <w:bookmarkStart w:id="254" w:name="_Toc296944498"/>
      <w:r/>
      <w:bookmarkStart w:id="255" w:name="_Toc297120459"/>
      <w:r/>
      <w:bookmarkStart w:id="256" w:name="_Toc296890987"/>
      <w:r/>
      <w:bookmarkStart w:id="257" w:name="_Toc297216151"/>
      <w:r>
        <w:rPr>
          <w:rFonts w:ascii="宋体" w:hAnsi="宋体"/>
          <w:b/>
          <w:bCs/>
          <w:color w:val="000000" w:themeColor="text1"/>
          <w:sz w:val="24"/>
          <w14:textFill>
            <w14:solidFill>
              <w14:schemeClr w14:val="tx1"/>
            </w14:solidFill>
          </w14:textFill>
        </w:rPr>
        <w:t xml:space="preserve">.5 分包</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bookmarkStart w:id="258" w:name="_Toc296890988"/>
      <w:r/>
      <w:bookmarkStart w:id="259" w:name="_Toc304295524"/>
      <w:r/>
      <w:bookmarkStart w:id="260" w:name="_Toc318581158"/>
      <w:r/>
      <w:bookmarkStart w:id="261" w:name="_Toc296346661"/>
      <w:r/>
      <w:bookmarkStart w:id="262" w:name="_Toc297123493"/>
      <w:r/>
      <w:bookmarkStart w:id="263" w:name="_Toc296347159"/>
      <w:r/>
      <w:bookmarkStart w:id="264" w:name="_Toc297048346"/>
      <w:r/>
      <w:bookmarkStart w:id="265" w:name="_Toc297120460"/>
      <w:r/>
      <w:bookmarkStart w:id="266" w:name="_Toc296503160"/>
      <w:r/>
      <w:bookmarkStart w:id="267" w:name="_Toc296944499"/>
      <w:r/>
      <w:bookmarkStart w:id="268" w:name="_Toc312677989"/>
      <w:r/>
      <w:bookmarkStart w:id="269" w:name="_Toc297216152"/>
      <w:r/>
      <w:bookmarkStart w:id="270" w:name="_Toc303539103"/>
      <w:r/>
      <w:bookmarkStart w:id="271" w:name="_Toc292559365"/>
      <w:r/>
      <w:bookmarkStart w:id="272" w:name="_Toc300934946"/>
      <w:r/>
      <w:bookmarkStart w:id="273" w:name="_Toc292559870"/>
      <w:r/>
      <w:bookmarkStart w:id="274" w:name="_Toc296891200"/>
      <w:r>
        <w:rPr>
          <w:rFonts w:ascii="宋体" w:hAnsi="宋体"/>
          <w:color w:val="000000" w:themeColor="text1"/>
          <w:sz w:val="24"/>
          <w14:textFill>
            <w14:solidFill>
              <w14:schemeClr w14:val="tx1"/>
            </w14:solidFill>
          </w14:textFill>
        </w:rPr>
        <w:t xml:space="preserve">.5.1 分包的一般约定</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禁止分包的工程包括：</w:t>
      </w:r>
      <w:r>
        <w:rPr>
          <w:rFonts w:hint="eastAsia" w:ascii="宋体" w:hAnsi="宋体" w:cs="MingLiU_HKSCS"/>
          <w:color w:val="000000" w:themeColor="text1"/>
          <w:sz w:val="24"/>
          <w:u w:val="single"/>
          <w14:textFill>
            <w14:solidFill>
              <w14:schemeClr w14:val="tx1"/>
            </w14:solidFill>
          </w14:textFill>
        </w:rPr>
        <w:t xml:space="preserve">国家法律法规禁止分包的工程</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主体结构、关键性工作的范围：</w:t>
      </w:r>
      <w:r>
        <w:rPr>
          <w:rFonts w:hint="eastAsia" w:ascii="宋体" w:hAnsi="宋体"/>
          <w:color w:val="000000" w:themeColor="text1"/>
          <w:sz w:val="24"/>
          <w:u w:val="single"/>
          <w14:textFill>
            <w14:solidFill>
              <w14:schemeClr w14:val="tx1"/>
            </w14:solidFill>
          </w14:textFill>
        </w:rPr>
        <w:t xml:space="preserve">依据有关法律法规、规定、标准等的规定</w:t>
      </w:r>
      <w:r>
        <w:rPr>
          <w:rFonts w:ascii="宋体" w:hAnsi="宋体"/>
          <w:color w:val="000000" w:themeColor="text1"/>
          <w:sz w:val="24"/>
          <w14:textFill>
            <w14:solidFill>
              <w14:schemeClr w14:val="tx1"/>
            </w14:solidFill>
          </w14:textFill>
        </w:rPr>
        <w:t xml:space="preserve">。</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75" w:name="_Toc303539104"/>
      <w:r/>
      <w:bookmarkEnd w:id="275"/>
      <w:r/>
      <w:bookmarkStart w:id="276" w:name="_Toc296347160"/>
      <w:r/>
      <w:bookmarkEnd w:id="276"/>
      <w:r/>
      <w:bookmarkStart w:id="277" w:name="_Toc296890989"/>
      <w:r/>
      <w:bookmarkEnd w:id="277"/>
      <w:r/>
      <w:bookmarkStart w:id="278" w:name="_Toc296503161"/>
      <w:r/>
      <w:bookmarkEnd w:id="278"/>
      <w:r/>
      <w:bookmarkStart w:id="279" w:name="_Toc297048347"/>
      <w:r/>
      <w:bookmarkEnd w:id="279"/>
      <w:r/>
      <w:bookmarkStart w:id="280" w:name="_Toc297120461"/>
      <w:r/>
      <w:bookmarkEnd w:id="280"/>
      <w:r/>
      <w:bookmarkStart w:id="281" w:name="_Toc296346662"/>
      <w:r/>
      <w:bookmarkEnd w:id="281"/>
      <w:r/>
      <w:bookmarkStart w:id="282" w:name="_Toc296891201"/>
      <w:r/>
      <w:bookmarkEnd w:id="282"/>
      <w:r/>
      <w:bookmarkStart w:id="283" w:name="_Toc297216153"/>
      <w:r/>
      <w:bookmarkEnd w:id="283"/>
      <w:r/>
      <w:bookmarkStart w:id="284" w:name="_Toc296944500"/>
      <w:r/>
      <w:bookmarkEnd w:id="284"/>
      <w:r/>
      <w:bookmarkStart w:id="285" w:name="_Toc304295525"/>
      <w:r/>
      <w:bookmarkEnd w:id="285"/>
      <w:r/>
      <w:bookmarkStart w:id="286" w:name="_Toc300934947"/>
      <w:r/>
      <w:bookmarkEnd w:id="286"/>
      <w:r/>
      <w:bookmarkStart w:id="287" w:name="_Toc297123494"/>
      <w:r/>
      <w:bookmarkEnd w:id="287"/>
      <w:r/>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3</w:t>
      </w:r>
      <w:bookmarkStart w:id="288" w:name="_Toc318581159"/>
      <w:r/>
      <w:bookmarkStart w:id="289" w:name="_Toc312677990"/>
      <w:r>
        <w:rPr>
          <w:rFonts w:ascii="宋体" w:hAnsi="宋体"/>
          <w:color w:val="000000" w:themeColor="text1"/>
          <w:sz w:val="24"/>
          <w14:textFill>
            <w14:solidFill>
              <w14:schemeClr w14:val="tx1"/>
            </w14:solidFill>
          </w14:textFill>
        </w:rPr>
        <w:t xml:space="preserve">.5.2分包的确定</w:t>
      </w:r>
      <w:r/>
    </w:p>
    <w:p>
      <w:pPr>
        <w:ind w:firstLine="480"/>
        <w:jc w:val="left"/>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允许分包的专业工程包括</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如确有主体结构、关键性工作之外的专业工程需要分包，分包前须经发包人</w:t>
      </w:r>
      <w:r>
        <w:rPr>
          <w:rFonts w:hint="eastAsia" w:ascii="宋体" w:hAnsi="宋体"/>
          <w:color w:val="000000" w:themeColor="text1"/>
          <w:sz w:val="24"/>
          <w:u w:val="single"/>
          <w:lang w:val="en-US" w:eastAsia="zh-CN"/>
          <w14:textFill>
            <w14:solidFill>
              <w14:schemeClr w14:val="tx1"/>
            </w14:solidFill>
          </w14:textFill>
        </w:rPr>
        <w:t xml:space="preserve">书面同意</w:t>
      </w:r>
      <w:r>
        <w:rPr>
          <w:rFonts w:hint="eastAsia" w:ascii="宋体" w:hAnsi="宋体"/>
          <w:color w:val="000000" w:themeColor="text1"/>
          <w:sz w:val="24"/>
          <w:u w:val="single"/>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其他关于分包的约定：</w:t>
      </w:r>
      <w:r>
        <w:rPr>
          <w:rFonts w:hint="eastAsia" w:ascii="宋体" w:hAnsi="宋体"/>
          <w:color w:val="000000" w:themeColor="text1"/>
          <w:sz w:val="24"/>
          <w:u w:val="single"/>
          <w14:textFill>
            <w14:solidFill>
              <w14:schemeClr w14:val="tx1"/>
            </w14:solidFill>
          </w14:textFill>
        </w:rPr>
        <w:t xml:space="preserve">分包前须征得发包人书面认可。发包人谢绝一切形式的挂靠和违法分包，如发现承包人有转包或违法分包行为，限令改正。否则，发包人有权立即终止合同</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3.5.4 分包合同价款</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关于分包合同价款支付的约定：</w:t>
      </w:r>
      <w:r>
        <w:rPr>
          <w:rFonts w:hint="eastAsia" w:ascii="宋体" w:hAnsi="宋体" w:cs="宋体"/>
          <w:color w:val="000000" w:themeColor="text1"/>
          <w:sz w:val="24"/>
          <w:u w:val="single"/>
          <w14:textFill>
            <w14:solidFill>
              <w14:schemeClr w14:val="tx1"/>
            </w14:solidFill>
          </w14:textFill>
        </w:rPr>
        <w:t xml:space="preserve">按分包合同约定</w:t>
      </w:r>
      <w:r>
        <w:rPr>
          <w:rFonts w:ascii="宋体" w:hAnsi="宋体"/>
          <w:color w:val="000000" w:themeColor="text1"/>
          <w:sz w:val="24"/>
          <w14:textFill>
            <w14:solidFill>
              <w14:schemeClr w14:val="tx1"/>
            </w14:solidFill>
          </w14:textFill>
        </w:rPr>
        <w:t xml:space="preserve">。</w:t>
      </w:r>
      <w:bookmarkEnd w:id="288"/>
      <w:r/>
      <w:bookmarkEnd w:id="289"/>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3.6 工程照管与成品、半成品保护</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承包人负责照管工程及工程相关的材料、工程设备的起始时间：</w:t>
      </w:r>
      <w:r>
        <w:rPr>
          <w:rFonts w:hint="eastAsia" w:ascii="宋体" w:hAnsi="宋体"/>
          <w:color w:val="000000" w:themeColor="text1"/>
          <w:sz w:val="24"/>
          <w14:textFill>
            <w14:solidFill>
              <w14:schemeClr w14:val="tx1"/>
            </w14:solidFill>
          </w14:textFill>
        </w:rPr>
        <w:t xml:space="preserve">从</w:t>
      </w:r>
      <w:r>
        <w:rPr>
          <w:rFonts w:hint="eastAsia" w:ascii="宋体" w:hAnsi="宋体"/>
          <w:color w:val="000000" w:themeColor="text1"/>
          <w:sz w:val="24"/>
          <w:u w:val="single"/>
          <w14:textFill>
            <w14:solidFill>
              <w14:schemeClr w14:val="tx1"/>
            </w14:solidFill>
          </w14:textFill>
        </w:rPr>
        <w:t xml:space="preserve">进场直至施工完成交付使用，费用由承包人承担</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3.7 履约担保</w:t>
      </w:r>
      <w:r/>
    </w:p>
    <w:p>
      <w:pPr>
        <w:ind w:firstLine="480"/>
        <w:jc w:val="left"/>
        <w:spacing w:line="360" w:lineRule="auto"/>
        <w:rPr>
          <w:rFonts w:ascii="宋体" w:hAnsi="宋体"/>
          <w:color w:val="000000" w:themeColor="text1"/>
          <w:sz w:val="24"/>
          <w14:textFill>
            <w14:solidFill>
              <w14:schemeClr w14:val="tx1"/>
            </w14:solidFill>
          </w14:textFill>
        </w:rPr>
      </w:pPr>
      <w:r/>
      <w:bookmarkStart w:id="290" w:name="_Toc351203636"/>
      <w:r>
        <w:rPr>
          <w:rFonts w:hint="eastAsia" w:ascii="宋体" w:hAnsi="宋体"/>
          <w:color w:val="000000" w:themeColor="text1"/>
          <w:sz w:val="24"/>
          <w14:textFill>
            <w14:solidFill>
              <w14:schemeClr w14:val="tx1"/>
            </w14:solidFill>
          </w14:textFill>
        </w:rPr>
        <w:t xml:space="preserve">承包人是否提供履约担保：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是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承包人提供履约担保的形式</w:t>
      </w:r>
      <w:r>
        <w:rPr>
          <w:rFonts w:hint="eastAsia" w:ascii="宋体" w:hAnsi="宋体"/>
          <w:color w:val="000000" w:themeColor="text1"/>
          <w:sz w:val="24"/>
          <w14:textFill>
            <w14:solidFill>
              <w14:schemeClr w14:val="tx1"/>
            </w14:solidFill>
          </w14:textFill>
        </w:rPr>
        <w:t xml:space="preserve">、金额及期限的</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本工程履约保证金为中标价的10%，中标人签订合同前</w:t>
      </w:r>
      <w:r>
        <w:rPr>
          <w:rFonts w:ascii="宋体" w:hAnsi="宋体" w:cs="宋体"/>
          <w:color w:val="000000" w:themeColor="text1"/>
          <w:sz w:val="24"/>
          <w:u w:val="single"/>
          <w14:textFill>
            <w14:solidFill>
              <w14:schemeClr w14:val="tx1"/>
            </w14:solidFill>
          </w14:textFill>
        </w:rPr>
        <w:t xml:space="preserve">，履约保证金承包人自主选择以支票、汇票、本票或者金融机构、担保机构出具的保函等非现金形式提交至发包人指定</w:t>
      </w:r>
      <w:r>
        <w:rPr>
          <w:rFonts w:hint="eastAsia" w:ascii="宋体" w:hAnsi="宋体" w:cs="宋体"/>
          <w:color w:val="000000" w:themeColor="text1"/>
          <w:sz w:val="24"/>
          <w:u w:val="single"/>
          <w14:textFill>
            <w14:solidFill>
              <w14:schemeClr w14:val="tx1"/>
            </w14:solidFill>
          </w14:textFill>
        </w:rPr>
        <w:t xml:space="preserve">账户</w:t>
      </w:r>
      <w:r>
        <w:rPr>
          <w:rFonts w:ascii="宋体" w:hAnsi="宋体" w:cs="宋体"/>
          <w:color w:val="000000" w:themeColor="text1"/>
          <w:sz w:val="24"/>
          <w:u w:val="single"/>
          <w14:textFill>
            <w14:solidFill>
              <w14:schemeClr w14:val="tx1"/>
            </w14:solidFill>
          </w14:textFill>
        </w:rPr>
        <w:t xml:space="preserve">并存于发包人处，待工程结束并通过验收合格后且无违约情况方可退还（无息）</w:t>
      </w:r>
      <w:r>
        <w:rPr>
          <w:rFonts w:hint="eastAsia" w:ascii="宋体" w:hAnsi="宋体"/>
          <w:color w:val="000000" w:themeColor="text1"/>
          <w:sz w:val="24"/>
          <w:u w:val="single"/>
          <w14:textFill>
            <w14:solidFill>
              <w14:schemeClr w14:val="tx1"/>
            </w14:solidFill>
          </w14:textFill>
        </w:rPr>
        <w:t xml:space="preserve">。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对AA评级及以上政府采购供应商，需提供信用管理部门备案的第三方信用报告，经采购人审核无误后，减半收取履约保证金（5%）。</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3.7.1</w:t>
      </w:r>
      <w:r>
        <w:rPr>
          <w:rFonts w:ascii="宋体" w:hAnsi="宋体" w:cs="宋体"/>
          <w:color w:val="000000" w:themeColor="text1"/>
          <w:sz w:val="24"/>
          <w14:textFill>
            <w14:solidFill>
              <w14:schemeClr w14:val="tx1"/>
            </w14:solidFill>
          </w14:textFill>
        </w:rPr>
        <w:t xml:space="preserve">确需收取履约保证金的，履约保证金的缴纳形式：</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①承包人</w:t>
      </w:r>
      <w:r>
        <w:rPr>
          <w:rFonts w:ascii="宋体" w:hAnsi="宋体" w:cs="宋体"/>
          <w:color w:val="000000" w:themeColor="text1"/>
          <w:sz w:val="24"/>
          <w14:textFill>
            <w14:solidFill>
              <w14:schemeClr w14:val="tx1"/>
            </w14:solidFill>
          </w14:textFill>
        </w:rPr>
        <w:t xml:space="preserve">以</w:t>
      </w:r>
      <w:r>
        <w:rPr>
          <w:rFonts w:hint="eastAsia" w:ascii="宋体" w:hAnsi="宋体" w:cs="宋体"/>
          <w:color w:val="000000" w:themeColor="text1"/>
          <w:sz w:val="24"/>
          <w14:textFill>
            <w14:solidFill>
              <w14:schemeClr w14:val="tx1"/>
            </w14:solidFill>
          </w14:textFill>
        </w:rPr>
        <w:t xml:space="preserve">银行转账</w:t>
      </w:r>
      <w:r>
        <w:rPr>
          <w:rFonts w:ascii="宋体" w:hAnsi="宋体" w:cs="宋体"/>
          <w:color w:val="000000" w:themeColor="text1"/>
          <w:sz w:val="24"/>
          <w14:textFill>
            <w14:solidFill>
              <w14:schemeClr w14:val="tx1"/>
            </w14:solidFill>
          </w14:textFill>
        </w:rPr>
        <w:t xml:space="preserve">形式</w:t>
      </w:r>
      <w:r>
        <w:rPr>
          <w:rFonts w:hint="eastAsia" w:ascii="宋体" w:hAnsi="宋体" w:cs="宋体"/>
          <w:color w:val="000000" w:themeColor="text1"/>
          <w:sz w:val="24"/>
          <w14:textFill>
            <w14:solidFill>
              <w14:schemeClr w14:val="tx1"/>
            </w14:solidFill>
          </w14:textFill>
        </w:rPr>
        <w:t xml:space="preserve">将</w:t>
      </w:r>
      <w:r>
        <w:rPr>
          <w:rFonts w:ascii="宋体" w:hAnsi="宋体" w:cs="宋体"/>
          <w:color w:val="000000" w:themeColor="text1"/>
          <w:sz w:val="24"/>
          <w14:textFill>
            <w14:solidFill>
              <w14:schemeClr w14:val="tx1"/>
            </w14:solidFill>
          </w14:textFill>
        </w:rPr>
        <w:t xml:space="preserve">履约保证金</w:t>
      </w:r>
      <w:r>
        <w:rPr>
          <w:rFonts w:hint="eastAsia" w:ascii="宋体" w:hAnsi="宋体" w:cs="宋体"/>
          <w:color w:val="000000" w:themeColor="text1"/>
          <w:sz w:val="24"/>
          <w14:textFill>
            <w14:solidFill>
              <w14:schemeClr w14:val="tx1"/>
            </w14:solidFill>
          </w14:textFill>
        </w:rPr>
        <w:t xml:space="preserve">汇入发包人指定账户</w:t>
      </w:r>
      <w:r>
        <w:rPr>
          <w:rFonts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w:t>
      </w:r>
      <w:r>
        <w:rPr>
          <w:rFonts w:ascii="宋体" w:hAnsi="宋体" w:cs="宋体"/>
          <w:color w:val="000000" w:themeColor="text1"/>
          <w:sz w:val="24"/>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③合同履行结束后，发包人应及时退还交纳的履约保证金。</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④履约保证金的退还：</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方式：无息退还至承包人缴纳履约保证金的账户。如为保函，在到期时自行失效。</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时间：验收合格且发包人收到发票后30日内。</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条件：按合同要求全部履约完成并经发包人验收合格，且发包人收到承包人出具的发票。</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⑤不予退还情形：</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除不可抗力情况外，承包人出现下列情形之一的，其履约保证金，发包人将视情节决定不予退还或部分不予退还。</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(1)承包人无正当理由拒绝签订合同的，或者在签订合同时向发包人提出附加条件或者更改合同实质性内容要求的；</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(2)承包人不履行与发包人订立的合同的，承包人未能履行合同规定的相关义务，或因承包人责任应由承包人承担的赔偿未完成；</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(3)承包人所供货物或服务或工程不符合招标文件规定要求的；</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(4)承包人采取欺骗、弄虚作假方式投标的或与其它投标人串通投标的；</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(5)承包人将合同内容转包、违法分包的；</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(6)承包人故意捏造事实或伪造证明材料，进行虚假恶意投诉或反映的。</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⑥逾期退还的违约责任：发包人逾期无故未退还履约保证金的，按中国人民银行同期贷款基准利率上浮20%后的利率支付超期资金占用费，但因供应商自身原因导致无法及时退还的除外。</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4</w:t>
      </w:r>
      <w:bookmarkStart w:id="291" w:name="_Toc296347161"/>
      <w:r/>
      <w:bookmarkStart w:id="292" w:name="_Toc296890990"/>
      <w:r/>
      <w:bookmarkStart w:id="293" w:name="_Toc292559366"/>
      <w:r/>
      <w:bookmarkStart w:id="294" w:name="_Toc296944501"/>
      <w:r/>
      <w:bookmarkStart w:id="295" w:name="_Toc292559871"/>
      <w:r/>
      <w:bookmarkStart w:id="296" w:name="_Toc267251413"/>
      <w:r/>
      <w:bookmarkStart w:id="297" w:name="_Toc297048348"/>
      <w:r/>
      <w:bookmarkStart w:id="298" w:name="_Toc296503162"/>
      <w:r/>
      <w:bookmarkStart w:id="299" w:name="_Toc296891202"/>
      <w:r/>
      <w:bookmarkStart w:id="300" w:name="_Toc296346663"/>
      <w:r/>
      <w:bookmarkStart w:id="301" w:name="_Toc297120462"/>
      <w:r>
        <w:rPr>
          <w:rFonts w:ascii="宋体" w:hAnsi="宋体"/>
          <w:b/>
          <w:bCs/>
          <w:color w:val="000000" w:themeColor="text1"/>
          <w:sz w:val="24"/>
          <w14:textFill>
            <w14:solidFill>
              <w14:schemeClr w14:val="tx1"/>
            </w14:solidFill>
          </w14:textFill>
        </w:rPr>
        <w:t xml:space="preserve">. 监</w:t>
      </w:r>
      <w:bookmarkEnd w:id="291"/>
      <w:r/>
      <w:bookmarkEnd w:id="292"/>
      <w:r/>
      <w:bookmarkEnd w:id="293"/>
      <w:r/>
      <w:bookmarkEnd w:id="294"/>
      <w:r/>
      <w:bookmarkEnd w:id="295"/>
      <w:r/>
      <w:bookmarkEnd w:id="296"/>
      <w:r/>
      <w:bookmarkEnd w:id="297"/>
      <w:r/>
      <w:bookmarkEnd w:id="298"/>
      <w:r/>
      <w:bookmarkEnd w:id="299"/>
      <w:r/>
      <w:bookmarkEnd w:id="300"/>
      <w:r/>
      <w:bookmarkEnd w:id="301"/>
      <w:r>
        <w:rPr>
          <w:rFonts w:ascii="宋体" w:hAnsi="宋体"/>
          <w:b/>
          <w:bCs/>
          <w:color w:val="000000" w:themeColor="text1"/>
          <w:sz w:val="24"/>
          <w14:textFill>
            <w14:solidFill>
              <w14:schemeClr w14:val="tx1"/>
            </w14:solidFill>
          </w14:textFill>
        </w:rPr>
        <w:t xml:space="preserve">理人</w:t>
      </w:r>
      <w:bookmarkEnd w:id="290"/>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4.1监理人的一般规定</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关于监理人的监理内容：</w:t>
      </w:r>
      <w:r>
        <w:rPr>
          <w:rFonts w:hint="eastAsia" w:ascii="宋体" w:hAnsi="宋体"/>
          <w:color w:val="000000" w:themeColor="text1"/>
          <w:sz w:val="24"/>
          <w:u w:val="single"/>
          <w14:textFill>
            <w14:solidFill>
              <w14:schemeClr w14:val="tx1"/>
            </w14:solidFill>
          </w14:textFill>
        </w:rPr>
        <w:t xml:space="preserve">根据发包人</w:t>
      </w:r>
      <w:r>
        <w:rPr>
          <w:rFonts w:ascii="宋体" w:hAnsi="宋体"/>
          <w:color w:val="000000" w:themeColor="text1"/>
          <w:sz w:val="24"/>
          <w:u w:val="single"/>
          <w14:textFill>
            <w14:solidFill>
              <w14:schemeClr w14:val="tx1"/>
            </w14:solidFill>
          </w14:textFill>
        </w:rPr>
        <w:t xml:space="preserve">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关于监理人的监理权限：</w:t>
      </w:r>
      <w:r>
        <w:rPr>
          <w:rFonts w:hint="eastAsia" w:ascii="宋体" w:hAnsi="宋体"/>
          <w:color w:val="000000" w:themeColor="text1"/>
          <w:sz w:val="24"/>
          <w:u w:val="single"/>
          <w14:textFill>
            <w14:solidFill>
              <w14:schemeClr w14:val="tx1"/>
            </w14:solidFill>
          </w14:textFill>
        </w:rPr>
        <w:t xml:space="preserve">根据《建设工程监理合同》约定</w:t>
      </w:r>
      <w:r>
        <w:rPr>
          <w:rFonts w:hint="eastAsia" w:ascii="宋体" w:hAnsi="宋体" w:cs="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关于监理人在施工现场的办公场所、生活场所的提供和费用承担的约定：</w:t>
      </w:r>
      <w:r>
        <w:rPr>
          <w:rFonts w:hint="eastAsia" w:ascii="宋体" w:hAnsi="宋体"/>
          <w:color w:val="000000" w:themeColor="text1"/>
          <w:sz w:val="24"/>
          <w:u w:val="single"/>
          <w14:textFill>
            <w14:solidFill>
              <w14:schemeClr w14:val="tx1"/>
            </w14:solidFill>
          </w14:textFill>
        </w:rPr>
        <w:t xml:space="preserve"> 由承包人提供，相关费用包含在签约合同价中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4.2 监理人员</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总监理工程师：</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姓    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职    务：</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监理工程师执业资格证书号：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联系电话：</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电子信箱：</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通信地址：</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关于监理人的其他约定：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4.4 商定或确定</w:t>
      </w:r>
      <w:r/>
    </w:p>
    <w:p>
      <w:pPr>
        <w:ind w:firstLine="480"/>
        <w:spacing w:line="360" w:lineRule="auto"/>
        <w:rPr>
          <w:rFonts w:ascii="宋体" w:hAnsi="宋体"/>
          <w:color w:val="000000" w:themeColor="text1"/>
          <w:sz w:val="24"/>
          <w14:textFill>
            <w14:solidFill>
              <w14:schemeClr w14:val="tx1"/>
            </w14:solidFill>
          </w14:textFill>
        </w:rPr>
      </w:pPr>
      <w:r/>
      <w:bookmarkStart w:id="302" w:name="_Toc267251418"/>
      <w:r>
        <w:rPr>
          <w:rFonts w:ascii="宋体" w:hAnsi="宋体"/>
          <w:color w:val="000000" w:themeColor="text1"/>
          <w:sz w:val="24"/>
          <w14:textFill>
            <w14:solidFill>
              <w14:schemeClr w14:val="tx1"/>
            </w14:solidFill>
          </w14:textFill>
        </w:rPr>
        <w:t xml:space="preserve">在发包人和承包人不能通过协商达成一致意见时，发包人授权监理人对以下事项进行确定：</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根据监理合同约定执行</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303" w:name="_Toc351203637"/>
      <w:r>
        <w:rPr>
          <w:rFonts w:ascii="宋体" w:hAnsi="宋体"/>
          <w:bCs/>
          <w:color w:val="000000" w:themeColor="text1"/>
          <w:sz w:val="24"/>
          <w14:textFill>
            <w14:solidFill>
              <w14:schemeClr w14:val="tx1"/>
            </w14:solidFill>
          </w14:textFill>
        </w:rPr>
        <w:t xml:space="preserve">5</w:t>
      </w:r>
      <w:bookmarkEnd w:id="302"/>
      <w:r/>
      <w:bookmarkStart w:id="304" w:name="_Toc296890991"/>
      <w:r/>
      <w:bookmarkStart w:id="305" w:name="_Toc292559367"/>
      <w:r/>
      <w:bookmarkStart w:id="306" w:name="_Toc297120463"/>
      <w:r/>
      <w:bookmarkStart w:id="307" w:name="_Toc296503163"/>
      <w:r/>
      <w:bookmarkStart w:id="308" w:name="_Toc292559872"/>
      <w:r/>
      <w:bookmarkStart w:id="309" w:name="_Toc296346664"/>
      <w:r/>
      <w:bookmarkStart w:id="310" w:name="_Toc296891203"/>
      <w:r/>
      <w:bookmarkStart w:id="311" w:name="_Toc296944502"/>
      <w:r/>
      <w:bookmarkStart w:id="312" w:name="_Toc296347162"/>
      <w:r/>
      <w:bookmarkStart w:id="313" w:name="_Toc297048349"/>
      <w:r>
        <w:rPr>
          <w:rFonts w:ascii="宋体" w:hAnsi="宋体"/>
          <w:bCs/>
          <w:color w:val="000000" w:themeColor="text1"/>
          <w:sz w:val="24"/>
          <w14:textFill>
            <w14:solidFill>
              <w14:schemeClr w14:val="tx1"/>
            </w14:solidFill>
          </w14:textFill>
        </w:rPr>
        <w:t xml:space="preserve">. 工程质量</w:t>
      </w:r>
      <w:bookmarkEnd w:id="303"/>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5.1 质量要求</w:t>
      </w:r>
      <w:r/>
    </w:p>
    <w:p>
      <w:pPr>
        <w:pStyle w:val="712"/>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olor w:val="000000" w:themeColor="text1"/>
          <w:sz w:val="24"/>
          <w:szCs w:val="24"/>
          <w:u w:val="single"/>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5</w:t>
      </w:r>
      <w:bookmarkStart w:id="314" w:name="_Toc318581164"/>
      <w:r/>
      <w:bookmarkStart w:id="315" w:name="_Toc312677997"/>
      <w:r/>
      <w:bookmarkStart w:id="316" w:name="_Toc297216155"/>
      <w:r/>
      <w:bookmarkStart w:id="317" w:name="_Toc304295527"/>
      <w:r/>
      <w:bookmarkStart w:id="318" w:name="_Toc297123496"/>
      <w:r/>
      <w:bookmarkStart w:id="319" w:name="_Toc300934949"/>
      <w:r/>
      <w:bookmarkStart w:id="320" w:name="_Toc303539106"/>
      <w:r>
        <w:rPr>
          <w:rFonts w:ascii="宋体" w:hAnsi="宋体" w:eastAsia="宋体"/>
          <w:color w:val="000000" w:themeColor="text1"/>
          <w:sz w:val="24"/>
          <w:szCs w:val="24"/>
          <w14:textFill>
            <w14:solidFill>
              <w14:schemeClr w14:val="tx1"/>
            </w14:solidFill>
          </w14:textFill>
        </w:rPr>
        <w:t xml:space="preserve">.1.1 特殊质量标准和要求：</w:t>
      </w:r>
      <w:r>
        <w:rPr>
          <w:rFonts w:hint="eastAsia" w:ascii="宋体" w:hAnsi="宋体" w:eastAsia="宋体"/>
          <w:color w:val="000000" w:themeColor="text1"/>
          <w:sz w:val="24"/>
          <w:szCs w:val="24"/>
          <w:u w:val="single"/>
          <w14:textFill>
            <w14:solidFill>
              <w14:schemeClr w14:val="tx1"/>
            </w14:solidFill>
          </w14:textFill>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r/>
    </w:p>
    <w:p>
      <w:pPr>
        <w:pStyle w:val="712"/>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u w:val="single"/>
          <w14:textFill>
            <w14:solidFill>
              <w14:schemeClr w14:val="tx1"/>
            </w14:solidFill>
          </w14:textFill>
        </w:rPr>
        <w:t xml:space="preserve">2、非发包人原因，质量整改所发生的费用不予增加。</w:t>
      </w:r>
      <w:r/>
    </w:p>
    <w:p>
      <w:pPr>
        <w:pStyle w:val="712"/>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u w:val="single"/>
          <w14:textFill>
            <w14:solidFill>
              <w14:schemeClr w14:val="tx1"/>
            </w14:solidFill>
          </w14:textFill>
        </w:rPr>
        <w:t xml:space="preserve">3、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付5000元的违约金，承包人必须在发包人处罚决定后3日内以现金形式交</w:t>
      </w:r>
      <w:r>
        <w:rPr>
          <w:rFonts w:hint="eastAsia" w:ascii="宋体" w:hAnsi="宋体" w:eastAsia="宋体"/>
          <w:color w:val="000000" w:themeColor="text1"/>
          <w:sz w:val="24"/>
          <w:szCs w:val="24"/>
          <w:u w:val="single"/>
          <w14:textFill>
            <w14:solidFill>
              <w14:schemeClr w14:val="tx1"/>
            </w14:solidFill>
          </w14:textFill>
        </w:rPr>
        <w:t xml:space="preserve">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w:t>
      </w:r>
      <w:r>
        <w:rPr>
          <w:rFonts w:hint="eastAsia" w:ascii="宋体" w:hAnsi="宋体" w:eastAsia="宋体"/>
          <w:color w:val="000000" w:themeColor="text1"/>
          <w:sz w:val="24"/>
          <w:szCs w:val="24"/>
          <w:u w:val="single"/>
          <w14:textFill>
            <w14:solidFill>
              <w14:schemeClr w14:val="tx1"/>
            </w14:solidFill>
          </w14:textFill>
        </w:rPr>
        <w:t xml:space="preserve">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元的违约金，承包人必须在招标人处罚决定后3日内以现金形式交由发包人。</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承包人须按法律法规及相关规定要求将建筑材料、建筑构配件、设备和商品混凝土，涉及安全的试块、试件及有关材料等送有相应资质的检测单位检测，承包人最终将凭具有相应资质的检测单位出具的检测报告作为对工程质量评定的依据。对关键部位、关键工序及隐蔽部位须按相关规定要求报市质量监督部门验收，并出具合格的质量监督证明，否则发包人不予认可。</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关于工程奖项的约定：</w:t>
      </w:r>
      <w:r>
        <w:rPr>
          <w:rFonts w:hint="eastAsia" w:ascii="宋体" w:hAnsi="宋体"/>
          <w:color w:val="000000" w:themeColor="text1"/>
          <w:sz w:val="24"/>
          <w:u w:val="single"/>
          <w14:textFill>
            <w14:solidFill>
              <w14:schemeClr w14:val="tx1"/>
            </w14:solidFill>
          </w14:textFill>
        </w:rPr>
        <w:t xml:space="preserve"> 无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5.3 隐蔽工程检查</w:t>
      </w:r>
      <w:r/>
    </w:p>
    <w:p>
      <w:pPr>
        <w:ind w:firstLine="480"/>
        <w:jc w:val="left"/>
        <w:spacing w:line="360" w:lineRule="auto"/>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5.3.2</w:t>
      </w:r>
      <w:r>
        <w:rPr>
          <w:rFonts w:hint="eastAsia" w:ascii="宋体" w:hAnsi="宋体" w:cs="宋体"/>
          <w:color w:val="000000" w:themeColor="text1"/>
          <w:sz w:val="24"/>
          <w14:textFill>
            <w14:solidFill>
              <w14:schemeClr w14:val="tx1"/>
            </w14:solidFill>
          </w14:textFill>
        </w:rPr>
        <w:t xml:space="preserve">承包人提前通知监理人隐蔽工程检查的期限的约定：</w:t>
      </w:r>
      <w:r>
        <w:rPr>
          <w:rFonts w:hint="eastAsia" w:ascii="宋体" w:hAnsi="宋体"/>
          <w:color w:val="000000" w:themeColor="text1"/>
          <w:sz w:val="24"/>
          <w:u w:val="single"/>
          <w14:textFill>
            <w14:solidFill>
              <w14:schemeClr w14:val="tx1"/>
            </w14:solidFill>
          </w14:textFill>
        </w:rPr>
        <w:t xml:space="preserve">按通用条款执行</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监理人不能按时进行检查时，应提前</w:t>
      </w:r>
      <w:r>
        <w:rPr>
          <w:rFonts w:hint="eastAsia" w:ascii="宋体" w:hAnsi="宋体" w:cs="宋体"/>
          <w:color w:val="000000" w:themeColor="text1"/>
          <w:sz w:val="24"/>
          <w:u w:val="single"/>
          <w14:textFill>
            <w14:solidFill>
              <w14:schemeClr w14:val="tx1"/>
            </w14:solidFill>
          </w14:textFill>
        </w:rPr>
        <w:t xml:space="preserve">  24 </w:t>
      </w:r>
      <w:r>
        <w:rPr>
          <w:rFonts w:hint="eastAsia" w:ascii="宋体" w:hAnsi="宋体" w:cs="宋体"/>
          <w:color w:val="000000" w:themeColor="text1"/>
          <w:sz w:val="24"/>
          <w14:textFill>
            <w14:solidFill>
              <w14:schemeClr w14:val="tx1"/>
            </w14:solidFill>
          </w14:textFill>
        </w:rPr>
        <w:t xml:space="preserve">小时提交书面延期要求。</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关于延期最长不得超过：</w:t>
      </w:r>
      <w:r>
        <w:rPr>
          <w:rFonts w:hint="eastAsia" w:ascii="宋体" w:hAnsi="宋体" w:cs="宋体"/>
          <w:color w:val="000000" w:themeColor="text1"/>
          <w:sz w:val="24"/>
          <w:u w:val="single"/>
          <w14:textFill>
            <w14:solidFill>
              <w14:schemeClr w14:val="tx1"/>
            </w14:solidFill>
          </w14:textFill>
        </w:rPr>
        <w:t xml:space="preserve"> 48 </w:t>
      </w:r>
      <w:r>
        <w:rPr>
          <w:rFonts w:hint="eastAsia" w:ascii="宋体" w:hAnsi="宋体" w:cs="宋体"/>
          <w:color w:val="000000" w:themeColor="text1"/>
          <w:sz w:val="24"/>
          <w14:textFill>
            <w14:solidFill>
              <w14:schemeClr w14:val="tx1"/>
            </w14:solidFill>
          </w14:textFill>
        </w:rPr>
        <w:t xml:space="preserve">小时</w:t>
      </w:r>
      <w:r>
        <w:rPr>
          <w:rFonts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321" w:name="_Toc351203638"/>
      <w:r>
        <w:rPr>
          <w:rFonts w:ascii="宋体" w:hAnsi="宋体"/>
          <w:bCs/>
          <w:color w:val="000000" w:themeColor="text1"/>
          <w:sz w:val="24"/>
          <w14:textFill>
            <w14:solidFill>
              <w14:schemeClr w14:val="tx1"/>
            </w14:solidFill>
          </w14:textFill>
        </w:rPr>
        <w:t xml:space="preserve">6. 安全文明施工与环境保护</w:t>
      </w:r>
      <w:bookmarkEnd w:id="321"/>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6.1安全文明施工</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6.1.1 项目安全生产的达标目标及相应事项的约定：</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（3）发包人将定期对承包人的施工质量、安全、文明施工进行检查，如发现工程现场及生活区</w:t>
      </w:r>
      <w:r>
        <w:rPr>
          <w:rFonts w:hint="eastAsia" w:ascii="宋体" w:hAnsi="宋体"/>
          <w:color w:val="000000" w:themeColor="text1"/>
          <w:sz w:val="24"/>
          <w:u w:val="single"/>
          <w14:textFill>
            <w14:solidFill>
              <w14:schemeClr w14:val="tx1"/>
            </w14:solidFill>
          </w14:textFill>
        </w:rPr>
        <w:t xml:space="preserve">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带好安全帽,如发现有一人次进入施工现场未带安全帽,发包人则按200元/人次对承包人处以违约金,如一天发现3人以上进入施工现场未带安全帽, 发包人则按500元/人次对承包人处以违约金。承包人不得在施工现场发生打架、斗殴、偷窃行为，发生一次，发包人可对承包人处3000元/次违约金。</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6.1.4 关于治安保卫的特别约定：</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关于编制施工场地治安管理计划的约定：</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6.1.5 文明施工</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合同当事人对文明施工的要求：（</w:t>
      </w:r>
      <w:r>
        <w:rPr>
          <w:rFonts w:hint="eastAsia" w:ascii="宋体" w:hAnsi="宋体"/>
          <w:color w:val="000000" w:themeColor="text1"/>
          <w:sz w:val="24"/>
          <w:u w:val="single"/>
          <w14:textFill>
            <w14:solidFill>
              <w14:schemeClr w14:val="tx1"/>
            </w14:solidFill>
          </w14:textFill>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r/>
    </w:p>
    <w:p>
      <w:pPr>
        <w:ind w:firstLine="360"/>
        <w:jc w:val="left"/>
        <w:spacing w:line="360" w:lineRule="auto"/>
        <w:rPr>
          <w:rFonts w:ascii="宋体" w:hAnsi="宋体"/>
          <w:bCs/>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bCs/>
          <w:color w:val="000000" w:themeColor="text1"/>
          <w:sz w:val="24"/>
          <w14:textFill>
            <w14:solidFill>
              <w14:schemeClr w14:val="tx1"/>
            </w14:solidFill>
          </w14:textFill>
        </w:rPr>
        <w:t xml:space="preserve">。</w:t>
      </w:r>
      <w:r/>
    </w:p>
    <w:p>
      <w:pPr>
        <w:ind w:firstLine="360"/>
        <w:jc w:val="left"/>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3）施工过程中须考虑成品保护措施费用以及材料运输过程中防尘、密闭运输、安全等措施费用、路面清洁、洒水等相关费用及与建设、城管等部门之间的矛盾协调、处罚及应上缴的相关规费等相关费用均由承包人自行承担。</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施工场地周围地下管线和邻近建筑物、构筑物、绿化的保护要求及费用承担：对一个有经验的承包人能预见到的项目，其费用由承包人负责。如造成损坏，均由投标单位自行实施修复，费用同时含在工程投标报价内。</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（5）施工场地清洁卫生的要求：承包人应负责整个场地的安全文明卫生管理，做到文明施工、保持施工场地清洁。本工程所有施工建筑垃圾均应全部清运出现场。</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6.1.6 关于安全文明施工费支付比例和支付期限的约定：</w:t>
      </w:r>
      <w:r>
        <w:rPr>
          <w:rFonts w:hint="eastAsia" w:ascii="宋体" w:hAnsi="宋体"/>
          <w:color w:val="000000" w:themeColor="text1"/>
          <w:sz w:val="24"/>
          <w:u w:val="single"/>
          <w14:textFill>
            <w14:solidFill>
              <w14:schemeClr w14:val="tx1"/>
            </w14:solidFill>
          </w14:textFill>
        </w:rPr>
        <w:t xml:space="preserve">本工程安全文明施工费不单独支付，包含在工程款中支付，详见12.4.1约定</w:t>
      </w:r>
      <w:r>
        <w:rPr>
          <w:rFonts w:ascii="宋体" w:hAnsi="宋体"/>
          <w:color w:val="000000" w:themeColor="text1"/>
          <w:sz w:val="24"/>
          <w14:textFill>
            <w14:solidFill>
              <w14:schemeClr w14:val="tx1"/>
            </w14:solidFill>
          </w14:textFill>
        </w:rPr>
        <w:t xml:space="preserve">。</w:t>
      </w:r>
      <w:bookmarkEnd w:id="314"/>
      <w:r/>
      <w:bookmarkEnd w:id="315"/>
      <w:r/>
      <w:bookmarkEnd w:id="316"/>
      <w:r/>
      <w:bookmarkEnd w:id="317"/>
      <w:r/>
      <w:bookmarkEnd w:id="318"/>
      <w:r/>
      <w:bookmarkEnd w:id="319"/>
      <w:r/>
      <w:bookmarkEnd w:id="320"/>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bookmarkStart w:id="322" w:name="_Toc351203639"/>
      <w:r>
        <w:rPr>
          <w:rFonts w:ascii="宋体" w:hAnsi="宋体"/>
          <w:b/>
          <w:bCs/>
          <w:color w:val="000000" w:themeColor="text1"/>
          <w:sz w:val="24"/>
          <w14:textFill>
            <w14:solidFill>
              <w14:schemeClr w14:val="tx1"/>
            </w14:solidFill>
          </w14:textFill>
        </w:rPr>
        <w:t xml:space="preserve">7. 工期和进度</w:t>
      </w:r>
      <w:bookmarkEnd w:id="322"/>
      <w:r/>
      <w:r/>
    </w:p>
    <w:p>
      <w:pPr>
        <w:ind w:firstLine="480"/>
        <w:keepLines/>
        <w:keepNext/>
        <w:spacing w:line="360" w:lineRule="auto"/>
        <w:rPr>
          <w:rFonts w:ascii="宋体" w:hAnsi="宋体"/>
          <w:color w:val="000000" w:themeColor="text1"/>
          <w:sz w:val="24"/>
          <w14:textFill>
            <w14:solidFill>
              <w14:schemeClr w14:val="tx1"/>
            </w14:solidFill>
          </w14:textFill>
        </w:rPr>
        <w:outlineLvl w:val="4"/>
      </w:pPr>
      <w:r>
        <w:rPr>
          <w:rFonts w:ascii="宋体" w:hAnsi="宋体"/>
          <w:color w:val="000000" w:themeColor="text1"/>
          <w:sz w:val="24"/>
          <w14:textFill>
            <w14:solidFill>
              <w14:schemeClr w14:val="tx1"/>
            </w14:solidFill>
          </w14:textFill>
        </w:rPr>
        <w:t xml:space="preserve">7.1 施工组织设计</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7.1.</w:t>
      </w:r>
      <w:r>
        <w:rPr>
          <w:rFonts w:hint="eastAsia" w:ascii="宋体" w:hAnsi="宋体"/>
          <w:color w:val="000000" w:themeColor="text1"/>
          <w:sz w:val="24"/>
          <w14:textFill>
            <w14:solidFill>
              <w14:schemeClr w14:val="tx1"/>
            </w14:solidFill>
          </w14:textFill>
        </w:rPr>
        <w:t xml:space="preserve">1 合同当事人约定的</w:t>
      </w:r>
      <w:r>
        <w:rPr>
          <w:rFonts w:ascii="宋体" w:hAnsi="宋体"/>
          <w:color w:val="000000" w:themeColor="text1"/>
          <w:sz w:val="24"/>
          <w14:textFill>
            <w14:solidFill>
              <w14:schemeClr w14:val="tx1"/>
            </w14:solidFill>
          </w14:textFill>
        </w:rPr>
        <w:t xml:space="preserve">施工组织设计</w:t>
      </w:r>
      <w:r>
        <w:rPr>
          <w:rFonts w:hint="eastAsia" w:ascii="宋体" w:hAnsi="宋体"/>
          <w:color w:val="000000" w:themeColor="text1"/>
          <w:sz w:val="24"/>
          <w14:textFill>
            <w14:solidFill>
              <w14:schemeClr w14:val="tx1"/>
            </w14:solidFill>
          </w14:textFill>
        </w:rPr>
        <w:t xml:space="preserve">应包括的其他内容</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根据工程的实际情况及发包人、监理单位的要求</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7.1.2 施工组织设计的提交和修改</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承包人提交详细施工组织设计的期限的约定：</w:t>
      </w:r>
      <w:r>
        <w:rPr>
          <w:rFonts w:ascii="宋体" w:hAnsi="宋体"/>
          <w:color w:val="000000" w:themeColor="text1"/>
          <w:sz w:val="24"/>
          <w:u w:val="single"/>
          <w14:textFill>
            <w14:solidFill>
              <w14:schemeClr w14:val="tx1"/>
            </w14:solidFill>
          </w14:textFill>
        </w:rPr>
        <w:t xml:space="preserve">在合同签订后3日内</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发包人和监理人在收到</w:t>
      </w:r>
      <w:r>
        <w:rPr>
          <w:rFonts w:hint="eastAsia" w:ascii="宋体" w:hAnsi="宋体"/>
          <w:color w:val="000000" w:themeColor="text1"/>
          <w:sz w:val="24"/>
          <w14:textFill>
            <w14:solidFill>
              <w14:schemeClr w14:val="tx1"/>
            </w14:solidFill>
          </w14:textFill>
        </w:rPr>
        <w:t xml:space="preserve">详细的施工组织设计</w:t>
      </w:r>
      <w:r>
        <w:rPr>
          <w:rFonts w:ascii="宋体" w:hAnsi="宋体"/>
          <w:color w:val="000000" w:themeColor="text1"/>
          <w:sz w:val="24"/>
          <w14:textFill>
            <w14:solidFill>
              <w14:schemeClr w14:val="tx1"/>
            </w14:solidFill>
          </w14:textFill>
        </w:rPr>
        <w:t xml:space="preserve">后确认或提出修改意见的期限：</w:t>
      </w:r>
      <w:r>
        <w:rPr>
          <w:rFonts w:hint="eastAsia" w:ascii="宋体" w:hAnsi="宋体"/>
          <w:color w:val="000000" w:themeColor="text1"/>
          <w:sz w:val="24"/>
          <w:u w:val="single"/>
          <w14:textFill>
            <w14:solidFill>
              <w14:schemeClr w14:val="tx1"/>
            </w14:solidFill>
          </w14:textFill>
        </w:rPr>
        <w:t xml:space="preserve"> 3天</w:t>
      </w:r>
      <w:r>
        <w:rPr>
          <w:rFonts w:ascii="宋体" w:hAnsi="宋体"/>
          <w:color w:val="000000" w:themeColor="text1"/>
          <w:sz w:val="24"/>
          <w:u w:val="single"/>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w:t>
      </w:r>
      <w:bookmarkStart w:id="323" w:name="_Toc303539123"/>
      <w:r/>
      <w:bookmarkStart w:id="324" w:name="_Toc312678005"/>
      <w:r/>
      <w:bookmarkStart w:id="325" w:name="_Toc297123514"/>
      <w:r/>
      <w:bookmarkStart w:id="326" w:name="_Toc304295541"/>
      <w:r/>
      <w:bookmarkStart w:id="327" w:name="_Toc297216173"/>
      <w:r/>
      <w:bookmarkStart w:id="328" w:name="_Toc312677479"/>
      <w:r/>
      <w:bookmarkStart w:id="329" w:name="_Toc300934966"/>
      <w:r>
        <w:rPr>
          <w:rFonts w:ascii="宋体" w:hAnsi="宋体"/>
          <w:b/>
          <w:bCs/>
          <w:color w:val="000000" w:themeColor="text1"/>
          <w:sz w:val="24"/>
          <w14:textFill>
            <w14:solidFill>
              <w14:schemeClr w14:val="tx1"/>
            </w14:solidFill>
          </w14:textFill>
        </w:rPr>
        <w:t xml:space="preserve">.2 施工进度计划</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7.2.2 施工进度计划的修订</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发包人和监理人在收到修订的施工进度计划后确认或提出修改意见的期限：</w:t>
      </w:r>
      <w:r>
        <w:rPr>
          <w:rFonts w:hint="eastAsia" w:ascii="宋体" w:hAnsi="宋体"/>
          <w:color w:val="000000" w:themeColor="text1"/>
          <w:sz w:val="24"/>
          <w:u w:val="single"/>
          <w14:textFill>
            <w14:solidFill>
              <w14:schemeClr w14:val="tx1"/>
            </w14:solidFill>
          </w14:textFill>
        </w:rPr>
        <w:t xml:space="preserve"> 3天</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7.3 开工</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7.3.1 开工准备</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关于承包人提交工程开工报审表的期限：</w:t>
      </w:r>
      <w:r>
        <w:rPr>
          <w:rFonts w:hint="eastAsia" w:ascii="宋体" w:hAnsi="宋体"/>
          <w:color w:val="000000" w:themeColor="text1"/>
          <w:sz w:val="24"/>
          <w:u w:val="single"/>
          <w14:textFill>
            <w14:solidFill>
              <w14:schemeClr w14:val="tx1"/>
            </w14:solidFill>
          </w14:textFill>
        </w:rPr>
        <w:t xml:space="preserve">计划开工日期前7天提交开工报审表或开工报告</w:t>
      </w:r>
      <w:r>
        <w:rPr>
          <w:rFonts w:ascii="宋体" w:hAnsi="宋体"/>
          <w:color w:val="000000" w:themeColor="text1"/>
          <w:sz w:val="24"/>
          <w:u w:val="single"/>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关于发包人应完成的其他开工准备工作及期限：</w:t>
      </w:r>
      <w:r>
        <w:rPr>
          <w:rFonts w:hint="eastAsia" w:ascii="宋体" w:hAnsi="宋体"/>
          <w:color w:val="000000" w:themeColor="text1"/>
          <w:sz w:val="24"/>
          <w:u w:val="single"/>
          <w14:textFill>
            <w14:solidFill>
              <w14:schemeClr w14:val="tx1"/>
            </w14:solidFill>
          </w14:textFill>
        </w:rPr>
        <w:t xml:space="preserve">开工前配合承包人将施工所需的水、电接至施工场地 ；办理施工所需证件、批件；交验水准点与坐标控制点。费用由承包人承担</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关于承包人应完成的其他开工准备工作及期限：</w:t>
      </w:r>
      <w:r>
        <w:rPr>
          <w:rFonts w:hint="eastAsia" w:ascii="宋体" w:hAnsi="宋体"/>
          <w:color w:val="000000" w:themeColor="text1"/>
          <w:sz w:val="24"/>
          <w:u w:val="single"/>
          <w14:textFill>
            <w14:solidFill>
              <w14:schemeClr w14:val="tx1"/>
            </w14:solidFill>
          </w14:textFill>
        </w:rPr>
        <w:t xml:space="preserve">开工前必须向发包人提供施工进度计划、材料清单、材料进场计划、劳动力计划</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7.3.2开工通知</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因发包人原因造成监理人未能在计划开工日期之日起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天内发出开工通知的，承包人有权提出价格调整要求，或者解除合同。</w:t>
      </w:r>
      <w:bookmarkEnd w:id="323"/>
      <w:r/>
      <w:bookmarkEnd w:id="324"/>
      <w:r/>
      <w:bookmarkEnd w:id="325"/>
      <w:r/>
      <w:bookmarkEnd w:id="326"/>
      <w:r/>
      <w:bookmarkEnd w:id="327"/>
      <w:r/>
      <w:bookmarkEnd w:id="328"/>
      <w:r/>
      <w:bookmarkEnd w:id="329"/>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7.4 测量放线</w:t>
      </w:r>
      <w:r/>
    </w:p>
    <w:p>
      <w:pPr>
        <w:ind w:right="-109"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7.4.1发包人通过监理人向承包人提供测量基准点、基准线和水准点及其书面资料的期限：</w:t>
      </w:r>
      <w:r>
        <w:rPr>
          <w:rFonts w:hint="eastAsia" w:ascii="宋体" w:hAnsi="宋体"/>
          <w:color w:val="000000" w:themeColor="text1"/>
          <w:sz w:val="24"/>
          <w:u w:val="single"/>
          <w14:textFill>
            <w14:solidFill>
              <w14:schemeClr w14:val="tx1"/>
            </w14:solidFill>
          </w14:textFill>
        </w:rPr>
        <w:t xml:space="preserve">交验水准点与坐标控制点。</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w:t>
      </w:r>
      <w:bookmarkStart w:id="330" w:name="_Toc297123516"/>
      <w:r/>
      <w:bookmarkStart w:id="331" w:name="_Toc304295546"/>
      <w:r/>
      <w:bookmarkStart w:id="332" w:name="_Toc300934968"/>
      <w:r/>
      <w:bookmarkStart w:id="333" w:name="_Toc312677484"/>
      <w:r/>
      <w:bookmarkStart w:id="334" w:name="_Toc303539125"/>
      <w:r/>
      <w:bookmarkStart w:id="335" w:name="_Toc297216175"/>
      <w:r/>
      <w:bookmarkStart w:id="336" w:name="_Toc312678010"/>
      <w:r>
        <w:rPr>
          <w:rFonts w:ascii="宋体" w:hAnsi="宋体"/>
          <w:b/>
          <w:bCs/>
          <w:color w:val="000000" w:themeColor="text1"/>
          <w:sz w:val="24"/>
          <w14:textFill>
            <w14:solidFill>
              <w14:schemeClr w14:val="tx1"/>
            </w14:solidFill>
          </w14:textFill>
        </w:rPr>
        <w:t xml:space="preserve">.5 工期延误</w:t>
      </w:r>
      <w:bookmarkEnd w:id="330"/>
      <w:r/>
      <w:bookmarkEnd w:id="331"/>
      <w:r/>
      <w:bookmarkEnd w:id="332"/>
      <w:r/>
      <w:bookmarkEnd w:id="333"/>
      <w:r/>
      <w:bookmarkEnd w:id="334"/>
      <w:r/>
      <w:bookmarkEnd w:id="335"/>
      <w:r/>
      <w:bookmarkEnd w:id="336"/>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7.5.1 因发包人原因导致工期延误</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因发包人原因导致工期延误的其他情形：</w:t>
      </w:r>
      <w:r>
        <w:rPr>
          <w:rFonts w:ascii="宋体" w:hAnsi="宋体" w:cs="宋体"/>
          <w:color w:val="000000" w:themeColor="text1"/>
          <w:spacing w:val="-2"/>
          <w:sz w:val="24"/>
          <w:u w:val="single"/>
          <w14:textFill>
            <w14:solidFill>
              <w14:schemeClr w14:val="tx1"/>
            </w14:solidFill>
          </w14:textFill>
        </w:rPr>
        <w:t xml:space="preserve">因</w:t>
      </w:r>
      <w:r>
        <w:rPr>
          <w:rFonts w:hint="eastAsia" w:ascii="宋体" w:hAnsi="宋体"/>
          <w:color w:val="000000" w:themeColor="text1"/>
          <w:sz w:val="24"/>
          <w:u w:val="single"/>
          <w14:textFill>
            <w14:solidFill>
              <w14:schemeClr w14:val="tx1"/>
            </w14:solidFill>
          </w14:textFill>
        </w:rPr>
        <w:t xml:space="preserve">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w:t>
      </w:r>
      <w:bookmarkStart w:id="337" w:name="_Toc318581169"/>
      <w:r/>
      <w:bookmarkStart w:id="338" w:name="_Toc312678012"/>
      <w:r/>
      <w:bookmarkStart w:id="339" w:name="_Toc312677486"/>
      <w:r/>
      <w:bookmarkStart w:id="340" w:name="_Toc297123518"/>
      <w:r/>
      <w:bookmarkStart w:id="341" w:name="_Toc304295548"/>
      <w:r/>
      <w:bookmarkStart w:id="342" w:name="_Toc300934970"/>
      <w:r/>
      <w:bookmarkStart w:id="343" w:name="_Toc297216177"/>
      <w:r/>
      <w:bookmarkStart w:id="344" w:name="_Toc303539127"/>
      <w:r>
        <w:rPr>
          <w:rFonts w:ascii="宋体" w:hAnsi="宋体"/>
          <w:color w:val="000000" w:themeColor="text1"/>
          <w:sz w:val="24"/>
          <w14:textFill>
            <w14:solidFill>
              <w14:schemeClr w14:val="tx1"/>
            </w14:solidFill>
          </w14:textFill>
        </w:rPr>
        <w:t xml:space="preserve">.5.2 因承包人原因导致工期延误</w:t>
      </w:r>
      <w:bookmarkEnd w:id="337"/>
      <w:r/>
      <w:bookmarkEnd w:id="338"/>
      <w:r/>
      <w:bookmarkEnd w:id="339"/>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因</w:t>
      </w:r>
      <w:bookmarkStart w:id="345" w:name="_Toc312678013"/>
      <w:r/>
      <w:bookmarkStart w:id="346" w:name="_Toc312677487"/>
      <w:r/>
      <w:bookmarkStart w:id="347" w:name="_Toc318581170"/>
      <w:r>
        <w:rPr>
          <w:rFonts w:ascii="宋体" w:hAnsi="宋体"/>
          <w:color w:val="000000" w:themeColor="text1"/>
          <w:sz w:val="24"/>
          <w14:textFill>
            <w14:solidFill>
              <w14:schemeClr w14:val="tx1"/>
            </w14:solidFill>
          </w14:textFill>
        </w:rPr>
        <w:t xml:space="preserve">承包人原因造成工期延误，逾期竣工违约金的计算方法为：</w:t>
      </w:r>
      <w:r/>
    </w:p>
    <w:p>
      <w:pPr>
        <w:ind w:firstLine="480"/>
        <w:jc w:val="left"/>
        <w:spacing w:line="360" w:lineRule="auto"/>
        <w:rPr>
          <w:rFonts w:ascii="宋体" w:hAnsi="宋体"/>
          <w:color w:val="000000" w:themeColor="text1"/>
          <w:sz w:val="24"/>
          <w14:textFill>
            <w14:solidFill>
              <w14:schemeClr w14:val="tx1"/>
            </w14:solidFill>
          </w14:textFill>
        </w:rPr>
      </w:pPr>
      <w:r/>
      <w:bookmarkStart w:id="348" w:name="OLE_LINK4"/>
      <w:r>
        <w:rPr>
          <w:rFonts w:hint="eastAsia" w:ascii="宋体" w:hAnsi="宋体"/>
          <w:color w:val="000000" w:themeColor="text1"/>
          <w:sz w:val="24"/>
          <w:u w:val="single"/>
          <w14:textFill>
            <w14:solidFill>
              <w14:schemeClr w14:val="tx1"/>
            </w14:solidFill>
          </w14:textFill>
        </w:rPr>
        <w:t xml:space="preserve">（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（2）中标通知书发出后，承包人的法定代表人（或委托代理人）和项目负责人应在三日内与发包人草签施工合同，同时做好开工前准备。开工日期以本项目总监理工程师签发并经发包人确定的开工令为准。</w:t>
      </w:r>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3）中标后，承包人应重新编制详细的工程施工进度计划报发包方批准。开工后承包人应在每月25日向发包人和监理工程师提供当月完成施工工程统计表和下个月工程施工进度计划一式四份。承包人严格按照经发包方批准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（4）在经监理、发包人审核认可的进度计划表，并以此作为合同工期履约条款的依据，发包人将严格对照进度计划表的工期安排督促</w:t>
      </w:r>
      <w:r>
        <w:rPr>
          <w:rFonts w:hint="eastAsia" w:ascii="宋体" w:hAnsi="宋体"/>
          <w:color w:val="000000" w:themeColor="text1"/>
          <w:sz w:val="24"/>
          <w:u w:val="single"/>
          <w14:textFill>
            <w14:solidFill>
              <w14:schemeClr w14:val="tx1"/>
            </w14:solidFill>
          </w14:textFill>
        </w:rPr>
        <w:t xml:space="preserve">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r/>
    </w:p>
    <w:p>
      <w:pPr>
        <w:ind w:firstLine="42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5）承包人施工组织设计中编制进度计划时，应按日历天为单位考虑工作量，中标后发包人将对照该进度计划进行考核，以每7日历天为一个考核周期。在合同专用条款中明确约定：中标后发包人将对照该进度计划进行考核，以每7日历天为一个考核周期。连续达三个（不含）以上考核期没完成的工程进度计划的，发包人有权委托第三方代为赶工，发生的费用直接从承包人款项中扣除。</w:t>
      </w:r>
      <w:r/>
    </w:p>
    <w:p>
      <w:pPr>
        <w:ind w:firstLine="42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（6）如承包人怠工导致形象进度受到影响，发包人有权安排其他队伍进行抢工，所发生的抢工费在承包人的工程款中扣除。</w:t>
      </w:r>
      <w:bookmarkEnd w:id="340"/>
      <w:r/>
      <w:bookmarkEnd w:id="341"/>
      <w:r/>
      <w:bookmarkEnd w:id="342"/>
      <w:r/>
      <w:bookmarkEnd w:id="343"/>
      <w:r/>
      <w:bookmarkEnd w:id="344"/>
      <w:r/>
      <w:bookmarkEnd w:id="345"/>
      <w:r/>
      <w:bookmarkEnd w:id="346"/>
      <w:r/>
      <w:bookmarkEnd w:id="347"/>
      <w:r/>
      <w:bookmarkEnd w:id="348"/>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因承包人原因造成工期延误，逾</w:t>
      </w:r>
      <w:bookmarkStart w:id="349" w:name="_Toc312678014"/>
      <w:r/>
      <w:bookmarkStart w:id="350" w:name="_Toc318581171"/>
      <w:r>
        <w:rPr>
          <w:rFonts w:ascii="宋体" w:hAnsi="宋体"/>
          <w:color w:val="000000" w:themeColor="text1"/>
          <w:sz w:val="24"/>
          <w14:textFill>
            <w14:solidFill>
              <w14:schemeClr w14:val="tx1"/>
            </w14:solidFill>
          </w14:textFill>
        </w:rPr>
        <w:t xml:space="preserve">期竣工违约金的上限：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bookmarkEnd w:id="349"/>
      <w:r/>
      <w:bookmarkEnd w:id="350"/>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w:t>
      </w:r>
      <w:bookmarkStart w:id="351" w:name="_Toc297123519"/>
      <w:r/>
      <w:bookmarkStart w:id="352" w:name="_Toc303539128"/>
      <w:r/>
      <w:bookmarkStart w:id="353" w:name="_Toc304295549"/>
      <w:r/>
      <w:bookmarkStart w:id="354" w:name="_Toc300934971"/>
      <w:r/>
      <w:bookmarkStart w:id="355" w:name="_Toc297216178"/>
      <w:r/>
      <w:bookmarkStart w:id="356" w:name="_Toc312678015"/>
      <w:r>
        <w:rPr>
          <w:rFonts w:ascii="宋体" w:hAnsi="宋体"/>
          <w:b/>
          <w:bCs/>
          <w:color w:val="000000" w:themeColor="text1"/>
          <w:sz w:val="24"/>
          <w14:textFill>
            <w14:solidFill>
              <w14:schemeClr w14:val="tx1"/>
            </w14:solidFill>
          </w14:textFill>
        </w:rPr>
        <w:t xml:space="preserve">.6 不</w:t>
      </w:r>
      <w:bookmarkEnd w:id="351"/>
      <w:r/>
      <w:bookmarkEnd w:id="352"/>
      <w:r/>
      <w:bookmarkEnd w:id="353"/>
      <w:r/>
      <w:bookmarkEnd w:id="354"/>
      <w:r/>
      <w:bookmarkEnd w:id="355"/>
      <w:r/>
      <w:bookmarkEnd w:id="356"/>
      <w:r>
        <w:rPr>
          <w:rFonts w:ascii="宋体" w:hAnsi="宋体"/>
          <w:b/>
          <w:bCs/>
          <w:color w:val="000000" w:themeColor="text1"/>
          <w:sz w:val="24"/>
          <w14:textFill>
            <w14:solidFill>
              <w14:schemeClr w14:val="tx1"/>
            </w14:solidFill>
          </w14:textFill>
        </w:rPr>
        <w:t xml:space="preserve">利物质条件</w:t>
      </w:r>
      <w:r/>
    </w:p>
    <w:p>
      <w:pPr>
        <w:ind w:firstLine="480"/>
        <w:jc w:val="left"/>
        <w:spacing w:line="360" w:lineRule="auto"/>
        <w:rPr>
          <w:rFonts w:ascii="宋体" w:hAnsi="宋体"/>
          <w:color w:val="000000" w:themeColor="text1"/>
          <w:sz w:val="24"/>
          <w14:textFill>
            <w14:solidFill>
              <w14:schemeClr w14:val="tx1"/>
            </w14:solidFill>
          </w14:textFill>
        </w:rPr>
      </w:pPr>
      <w:r/>
      <w:bookmarkStart w:id="357" w:name="_Toc297123520"/>
      <w:r/>
      <w:bookmarkStart w:id="358" w:name="_Toc300934972"/>
      <w:r/>
      <w:bookmarkStart w:id="359" w:name="_Toc304295550"/>
      <w:r/>
      <w:bookmarkStart w:id="360" w:name="_Toc303539129"/>
      <w:r/>
      <w:bookmarkStart w:id="361" w:name="_Toc297216179"/>
      <w:r/>
      <w:bookmarkStart w:id="362" w:name="_Toc318581172"/>
      <w:r/>
      <w:bookmarkStart w:id="363" w:name="_Toc312678016"/>
      <w:r>
        <w:rPr>
          <w:rFonts w:ascii="宋体" w:hAnsi="宋体"/>
          <w:color w:val="000000" w:themeColor="text1"/>
          <w:sz w:val="24"/>
          <w14:textFill>
            <w14:solidFill>
              <w14:schemeClr w14:val="tx1"/>
            </w14:solidFill>
          </w14:textFill>
        </w:rPr>
        <w:t xml:space="preserve">不利物质条件的其他情形和有关约定：</w:t>
      </w:r>
      <w:r>
        <w:rPr>
          <w:rFonts w:hint="eastAsia" w:ascii="宋体" w:hAnsi="宋体"/>
          <w:color w:val="000000" w:themeColor="text1"/>
          <w:sz w:val="24"/>
          <w:u w:val="single"/>
          <w14:textFill>
            <w14:solidFill>
              <w14:schemeClr w14:val="tx1"/>
            </w14:solidFill>
          </w14:textFill>
        </w:rPr>
        <w:t xml:space="preserve">按照通用条款</w:t>
      </w:r>
      <w:r>
        <w:rPr>
          <w:rFonts w:ascii="宋体" w:hAnsi="宋体"/>
          <w:color w:val="000000" w:themeColor="text1"/>
          <w:sz w:val="24"/>
          <w14:textFill>
            <w14:solidFill>
              <w14:schemeClr w14:val="tx1"/>
            </w14:solidFill>
          </w14:textFill>
        </w:rPr>
        <w:t xml:space="preserve">。</w:t>
      </w:r>
      <w:bookmarkEnd w:id="357"/>
      <w:r/>
      <w:bookmarkEnd w:id="358"/>
      <w:r/>
      <w:bookmarkEnd w:id="359"/>
      <w:r/>
      <w:bookmarkEnd w:id="360"/>
      <w:r/>
      <w:bookmarkEnd w:id="361"/>
      <w:r/>
      <w:bookmarkEnd w:id="362"/>
      <w:r/>
      <w:bookmarkEnd w:id="363"/>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w:t>
      </w:r>
      <w:bookmarkStart w:id="364" w:name="_Toc297216180"/>
      <w:r/>
      <w:bookmarkStart w:id="365" w:name="_Toc312678017"/>
      <w:r/>
      <w:bookmarkStart w:id="366" w:name="_Toc300934973"/>
      <w:r/>
      <w:bookmarkStart w:id="367" w:name="_Toc303539130"/>
      <w:r/>
      <w:bookmarkStart w:id="368" w:name="_Toc304295551"/>
      <w:r/>
      <w:bookmarkStart w:id="369" w:name="_Toc297123521"/>
      <w:r>
        <w:rPr>
          <w:rFonts w:ascii="宋体" w:hAnsi="宋体"/>
          <w:b/>
          <w:bCs/>
          <w:color w:val="000000" w:themeColor="text1"/>
          <w:sz w:val="24"/>
          <w14:textFill>
            <w14:solidFill>
              <w14:schemeClr w14:val="tx1"/>
            </w14:solidFill>
          </w14:textFill>
        </w:rPr>
        <w:t xml:space="preserve">.7</w:t>
      </w:r>
      <w:r>
        <w:rPr>
          <w:rFonts w:hint="eastAsia" w:ascii="宋体" w:hAnsi="宋体"/>
          <w:b/>
          <w:bCs/>
          <w:color w:val="000000" w:themeColor="text1"/>
          <w:sz w:val="24"/>
          <w14:textFill>
            <w14:solidFill>
              <w14:schemeClr w14:val="tx1"/>
            </w14:solidFill>
          </w14:textFill>
        </w:rPr>
        <w:t xml:space="preserve"> </w:t>
      </w:r>
      <w:r>
        <w:rPr>
          <w:rFonts w:ascii="宋体" w:hAnsi="宋体"/>
          <w:b/>
          <w:bCs/>
          <w:color w:val="000000" w:themeColor="text1"/>
          <w:sz w:val="24"/>
          <w14:textFill>
            <w14:solidFill>
              <w14:schemeClr w14:val="tx1"/>
            </w14:solidFill>
          </w14:textFill>
        </w:rPr>
        <w:t xml:space="preserve">异常恶劣的气候条件</w:t>
      </w:r>
      <w:bookmarkEnd w:id="364"/>
      <w:r/>
      <w:bookmarkEnd w:id="365"/>
      <w:r/>
      <w:bookmarkEnd w:id="366"/>
      <w:r/>
      <w:bookmarkEnd w:id="367"/>
      <w:r/>
      <w:bookmarkEnd w:id="368"/>
      <w:r/>
      <w:bookmarkEnd w:id="369"/>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发包人和承包人同意以下情形视为异常恶劣的气候条件：</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7.9 提前竣工的奖励</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7.9.2提前竣工的奖励：</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370" w:name="_Toc351203640"/>
      <w:r>
        <w:rPr>
          <w:rFonts w:ascii="宋体" w:hAnsi="宋体"/>
          <w:bCs/>
          <w:color w:val="000000" w:themeColor="text1"/>
          <w:sz w:val="24"/>
          <w14:textFill>
            <w14:solidFill>
              <w14:schemeClr w14:val="tx1"/>
            </w14:solidFill>
          </w14:textFill>
        </w:rPr>
        <w:t xml:space="preserve">8. 材料与设备</w:t>
      </w:r>
      <w:bookmarkEnd w:id="304"/>
      <w:r/>
      <w:bookmarkEnd w:id="305"/>
      <w:r/>
      <w:bookmarkEnd w:id="306"/>
      <w:r/>
      <w:bookmarkEnd w:id="307"/>
      <w:r/>
      <w:bookmarkEnd w:id="308"/>
      <w:r/>
      <w:bookmarkEnd w:id="309"/>
      <w:r/>
      <w:bookmarkEnd w:id="310"/>
      <w:r/>
      <w:bookmarkEnd w:id="311"/>
      <w:r/>
      <w:bookmarkEnd w:id="312"/>
      <w:r/>
      <w:bookmarkEnd w:id="313"/>
      <w:r/>
      <w:bookmarkEnd w:id="370"/>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8</w:t>
      </w:r>
      <w:bookmarkStart w:id="371" w:name="_Toc296890995"/>
      <w:r/>
      <w:bookmarkStart w:id="372" w:name="_Toc300934979"/>
      <w:r/>
      <w:bookmarkStart w:id="373" w:name="_Toc297048353"/>
      <w:r/>
      <w:bookmarkStart w:id="374" w:name="_Toc312678019"/>
      <w:r/>
      <w:bookmarkStart w:id="375" w:name="_Toc296346668"/>
      <w:r/>
      <w:bookmarkStart w:id="376" w:name="_Toc296944506"/>
      <w:r/>
      <w:bookmarkStart w:id="377" w:name="_Toc303539136"/>
      <w:r/>
      <w:bookmarkStart w:id="378" w:name="_Toc280868654"/>
      <w:r/>
      <w:bookmarkStart w:id="379" w:name="_Toc297216186"/>
      <w:r/>
      <w:bookmarkStart w:id="380" w:name="_Toc297120467"/>
      <w:r/>
      <w:bookmarkStart w:id="381" w:name="_Toc292559877"/>
      <w:r/>
      <w:bookmarkStart w:id="382" w:name="_Toc296891207"/>
      <w:r/>
      <w:bookmarkStart w:id="383" w:name="_Toc296347166"/>
      <w:r/>
      <w:bookmarkStart w:id="384" w:name="_Toc297123527"/>
      <w:r/>
      <w:bookmarkStart w:id="385" w:name="_Toc312677493"/>
      <w:r/>
      <w:bookmarkStart w:id="386" w:name="_Toc296503167"/>
      <w:r/>
      <w:bookmarkStart w:id="387" w:name="_Toc292559372"/>
      <w:r/>
      <w:bookmarkStart w:id="388" w:name="_Toc304295556"/>
      <w:r/>
      <w:bookmarkStart w:id="389" w:name="_Toc280868656"/>
      <w:r/>
      <w:bookmarkStart w:id="390" w:name="_Toc267251424"/>
      <w:r/>
      <w:bookmarkStart w:id="391" w:name="_Toc280868655"/>
      <w:r>
        <w:rPr>
          <w:rFonts w:ascii="宋体" w:hAnsi="宋体"/>
          <w:b/>
          <w:bCs/>
          <w:color w:val="000000" w:themeColor="text1"/>
          <w:sz w:val="24"/>
          <w14:textFill>
            <w14:solidFill>
              <w14:schemeClr w14:val="tx1"/>
            </w14:solidFill>
          </w14:textFill>
        </w:rPr>
        <w:t xml:space="preserve">.4材料与工程设备的保管与使用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8</w:t>
      </w:r>
      <w:bookmarkStart w:id="392" w:name="_Toc292559373"/>
      <w:r/>
      <w:bookmarkStart w:id="393" w:name="_Toc292559878"/>
      <w:r/>
      <w:bookmarkStart w:id="394" w:name="_Toc297123528"/>
      <w:r/>
      <w:bookmarkStart w:id="395" w:name="_Toc296891208"/>
      <w:r/>
      <w:bookmarkStart w:id="396" w:name="_Toc312677494"/>
      <w:r/>
      <w:bookmarkStart w:id="397" w:name="_Toc296347167"/>
      <w:r/>
      <w:bookmarkStart w:id="398" w:name="_Toc297120468"/>
      <w:r/>
      <w:bookmarkStart w:id="399" w:name="_Toc303539137"/>
      <w:r/>
      <w:bookmarkStart w:id="400" w:name="_Toc312678020"/>
      <w:r/>
      <w:bookmarkStart w:id="401" w:name="_Toc296346669"/>
      <w:r/>
      <w:bookmarkStart w:id="402" w:name="_Toc318581173"/>
      <w:r/>
      <w:bookmarkStart w:id="403" w:name="_Toc304295557"/>
      <w:r/>
      <w:bookmarkStart w:id="404" w:name="_Toc296503168"/>
      <w:r/>
      <w:bookmarkStart w:id="405" w:name="_Toc296890996"/>
      <w:r/>
      <w:bookmarkStart w:id="406" w:name="_Toc296944507"/>
      <w:r/>
      <w:bookmarkStart w:id="407" w:name="_Toc297216187"/>
      <w:r/>
      <w:bookmarkStart w:id="408" w:name="_Toc300934980"/>
      <w:r/>
      <w:bookmarkStart w:id="409" w:name="_Toc297048354"/>
      <w:r>
        <w:rPr>
          <w:rFonts w:ascii="宋体" w:hAnsi="宋体"/>
          <w:color w:val="000000" w:themeColor="text1"/>
          <w:sz w:val="24"/>
          <w14:textFill>
            <w14:solidFill>
              <w14:schemeClr w14:val="tx1"/>
            </w14:solidFill>
          </w14:textFill>
        </w:rPr>
        <w:t xml:space="preserve">.4.1发包人供应的材料设备的保管费用的承担：</w:t>
      </w:r>
      <w:r>
        <w:rPr>
          <w:rFonts w:hint="eastAsia" w:ascii="宋体" w:hAnsi="宋体"/>
          <w:color w:val="000000" w:themeColor="text1"/>
          <w:sz w:val="24"/>
          <w:u w:val="single"/>
          <w14:textFill>
            <w14:solidFill>
              <w14:schemeClr w14:val="tx1"/>
            </w14:solidFill>
          </w14:textFill>
        </w:rPr>
        <w:t xml:space="preserve">由发包人承担，并按发包人供应材料设备价格的1%计取</w:t>
      </w:r>
      <w:r>
        <w:rPr>
          <w:rFonts w:hint="eastAsia" w:ascii="宋体" w:hAnsi="宋体"/>
          <w:color w:val="000000" w:themeColor="text1"/>
          <w:sz w:val="24"/>
          <w14:textFill>
            <w14:solidFill>
              <w14:schemeClr w14:val="tx1"/>
            </w14:solidFill>
          </w14:textFill>
        </w:rPr>
        <w:t xml:space="preserve">。 </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材料与工程设备的其他约定：除招标文件中确定的</w:t>
      </w:r>
      <w:r>
        <w:rPr>
          <w:rFonts w:hint="eastAsia" w:ascii="宋体" w:hAnsi="宋体"/>
          <w:color w:val="000000" w:themeColor="text1"/>
          <w:sz w:val="24"/>
          <w:u w:val="single"/>
          <w14:textFill>
            <w14:solidFill>
              <w14:schemeClr w14:val="tx1"/>
            </w14:solidFill>
          </w14:textFill>
        </w:rPr>
        <w:t xml:space="preserve">《其他项目清单计价与汇总表》中的“暂估价”的材料外，其它材料均由承包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hint="eastAsia" w:ascii="宋体" w:hAnsi="宋体"/>
          <w:color w:val="000000" w:themeColor="text1"/>
          <w:sz w:val="24"/>
          <w14:textFill>
            <w14:solidFill>
              <w14:schemeClr w14:val="tx1"/>
            </w14:solidFill>
          </w14:textFill>
        </w:rPr>
        <w:t xml:space="preserve">。</w:t>
      </w:r>
      <w:bookmarkEnd w:id="392"/>
      <w:r/>
      <w:bookmarkEnd w:id="393"/>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8.6 样品</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8.6.1</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样品的报送</w:t>
      </w:r>
      <w:r>
        <w:rPr>
          <w:rFonts w:hint="eastAsia" w:ascii="宋体" w:hAnsi="宋体"/>
          <w:color w:val="000000" w:themeColor="text1"/>
          <w:sz w:val="24"/>
          <w14:textFill>
            <w14:solidFill>
              <w14:schemeClr w14:val="tx1"/>
            </w14:solidFill>
          </w14:textFill>
        </w:rPr>
        <w:t xml:space="preserve">与封存</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需要承包人报送样品的材料或工程设备，样品的种类、名称、规格、数量要求：</w:t>
      </w:r>
      <w:r>
        <w:rPr>
          <w:rFonts w:hint="eastAsia" w:ascii="宋体" w:hAnsi="宋体" w:cs="宋体"/>
          <w:color w:val="000000" w:themeColor="text1"/>
          <w:sz w:val="24"/>
          <w:u w:val="single"/>
          <w14:textFill>
            <w14:solidFill>
              <w14:schemeClr w14:val="tx1"/>
            </w14:solidFill>
          </w14:textFill>
        </w:rPr>
        <w:t xml:space="preserve">按国家相关规定和发包人要求</w:t>
      </w:r>
      <w:r>
        <w:rPr>
          <w:rFonts w:hint="eastAsia" w:ascii="宋体" w:hAnsi="宋体" w:cs="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8.8 施工设备和临时设施</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8.8.1 承包人提供的施工设备和临时设施</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关于修建临时设施费用承担的约定：</w:t>
      </w:r>
      <w:r>
        <w:rPr>
          <w:rFonts w:hint="eastAsia" w:ascii="宋体" w:hAnsi="宋体"/>
          <w:color w:val="000000" w:themeColor="text1"/>
          <w:sz w:val="24"/>
          <w:u w:val="single"/>
          <w14:textFill>
            <w14:solidFill>
              <w14:schemeClr w14:val="tx1"/>
            </w14:solidFill>
          </w14:textFill>
        </w:rPr>
        <w:t xml:space="preserve">承包人自行修建施工设备和临时设施，费用自理</w:t>
      </w:r>
      <w:r>
        <w:rPr>
          <w:rFonts w:ascii="宋体" w:hAnsi="宋体"/>
          <w:color w:val="000000" w:themeColor="text1"/>
          <w:sz w:val="24"/>
          <w14:textFill>
            <w14:solidFill>
              <w14:schemeClr w14:val="tx1"/>
            </w14:solidFill>
          </w14:textFill>
        </w:rPr>
        <w:t xml:space="preserve">。</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410" w:name="_Toc351203641"/>
      <w:r>
        <w:rPr>
          <w:rFonts w:ascii="宋体" w:hAnsi="宋体"/>
          <w:bCs/>
          <w:color w:val="000000" w:themeColor="text1"/>
          <w:sz w:val="24"/>
          <w14:textFill>
            <w14:solidFill>
              <w14:schemeClr w14:val="tx1"/>
            </w14:solidFill>
          </w14:textFill>
        </w:rPr>
        <w:t xml:space="preserve">9</w:t>
      </w:r>
      <w:bookmarkEnd w:id="389"/>
      <w:r/>
      <w:bookmarkEnd w:id="390"/>
      <w:r/>
      <w:bookmarkEnd w:id="391"/>
      <w:r/>
      <w:bookmarkStart w:id="411" w:name="_Toc304295559"/>
      <w:r/>
      <w:bookmarkStart w:id="412" w:name="_Toc312678021"/>
      <w:r/>
      <w:bookmarkStart w:id="413" w:name="_Toc297123533"/>
      <w:r/>
      <w:bookmarkStart w:id="414" w:name="_Toc297216192"/>
      <w:r/>
      <w:bookmarkStart w:id="415" w:name="_Toc303539139"/>
      <w:r/>
      <w:bookmarkStart w:id="416" w:name="_Toc300934982"/>
      <w:r/>
      <w:bookmarkStart w:id="417" w:name="_Toc312677495"/>
      <w:r/>
      <w:bookmarkStart w:id="418" w:name="_Toc296347172"/>
      <w:r/>
      <w:bookmarkStart w:id="419" w:name="_Toc297048359"/>
      <w:r/>
      <w:bookmarkStart w:id="420" w:name="_Toc292559378"/>
      <w:r/>
      <w:bookmarkStart w:id="421" w:name="_Toc296891213"/>
      <w:r/>
      <w:bookmarkStart w:id="422" w:name="_Toc297120473"/>
      <w:r/>
      <w:bookmarkStart w:id="423" w:name="_Toc296346674"/>
      <w:r/>
      <w:bookmarkStart w:id="424" w:name="_Toc296503173"/>
      <w:r/>
      <w:bookmarkStart w:id="425" w:name="_Toc296891001"/>
      <w:r/>
      <w:bookmarkStart w:id="426" w:name="_Toc292559883"/>
      <w:r/>
      <w:bookmarkStart w:id="427" w:name="_Toc296944512"/>
      <w:r/>
      <w:bookmarkStart w:id="428" w:name="_Toc267251428"/>
      <w:r/>
      <w:bookmarkStart w:id="429" w:name="_Toc267251427"/>
      <w:r>
        <w:rPr>
          <w:rFonts w:ascii="宋体" w:hAnsi="宋体"/>
          <w:bCs/>
          <w:color w:val="000000" w:themeColor="text1"/>
          <w:sz w:val="24"/>
          <w14:textFill>
            <w14:solidFill>
              <w14:schemeClr w14:val="tx1"/>
            </w14:solidFill>
          </w14:textFill>
        </w:rPr>
        <w:t xml:space="preserve">. 试验与检验</w:t>
      </w:r>
      <w:bookmarkEnd w:id="410"/>
      <w:r/>
      <w:bookmarkEnd w:id="411"/>
      <w:r/>
      <w:bookmarkEnd w:id="412"/>
      <w:r/>
      <w:bookmarkEnd w:id="413"/>
      <w:r/>
      <w:bookmarkEnd w:id="414"/>
      <w:r/>
      <w:bookmarkEnd w:id="415"/>
      <w:r/>
      <w:bookmarkEnd w:id="416"/>
      <w:r/>
      <w:bookmarkEnd w:id="417"/>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9</w:t>
      </w:r>
      <w:bookmarkStart w:id="430" w:name="_Toc303539140"/>
      <w:r/>
      <w:bookmarkStart w:id="431" w:name="_Toc312677496"/>
      <w:r/>
      <w:bookmarkStart w:id="432" w:name="_Toc297123534"/>
      <w:r/>
      <w:bookmarkStart w:id="433" w:name="_Toc297216193"/>
      <w:r/>
      <w:bookmarkStart w:id="434" w:name="_Toc304295560"/>
      <w:r/>
      <w:bookmarkStart w:id="435" w:name="_Toc300934983"/>
      <w:r/>
      <w:bookmarkStart w:id="436" w:name="_Toc312678022"/>
      <w:r>
        <w:rPr>
          <w:rFonts w:ascii="宋体" w:hAnsi="宋体"/>
          <w:b/>
          <w:bCs/>
          <w:color w:val="000000" w:themeColor="text1"/>
          <w:sz w:val="24"/>
          <w14:textFill>
            <w14:solidFill>
              <w14:schemeClr w14:val="tx1"/>
            </w14:solidFill>
          </w14:textFill>
        </w:rPr>
        <w:t xml:space="preserve">.1试验设备与试验人员</w:t>
      </w:r>
      <w:bookmarkEnd w:id="430"/>
      <w:r/>
      <w:bookmarkEnd w:id="431"/>
      <w:r/>
      <w:bookmarkEnd w:id="432"/>
      <w:r/>
      <w:bookmarkEnd w:id="433"/>
      <w:r/>
      <w:bookmarkEnd w:id="434"/>
      <w:r/>
      <w:bookmarkEnd w:id="435"/>
      <w:r/>
      <w:bookmarkEnd w:id="436"/>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w:t>
      </w:r>
      <w:bookmarkStart w:id="437" w:name="_Toc304295561"/>
      <w:r/>
      <w:bookmarkStart w:id="438" w:name="_Toc300934984"/>
      <w:r/>
      <w:bookmarkStart w:id="439" w:name="_Toc297216194"/>
      <w:r/>
      <w:bookmarkStart w:id="440" w:name="_Toc312678023"/>
      <w:r/>
      <w:bookmarkStart w:id="441" w:name="_Toc303539141"/>
      <w:r/>
      <w:bookmarkStart w:id="442" w:name="_Toc312677497"/>
      <w:r/>
      <w:bookmarkStart w:id="443" w:name="_Toc297123535"/>
      <w:r/>
      <w:bookmarkStart w:id="444" w:name="_Toc318581174"/>
      <w:r>
        <w:rPr>
          <w:rFonts w:ascii="宋体" w:hAnsi="宋体"/>
          <w:color w:val="000000" w:themeColor="text1"/>
          <w:sz w:val="24"/>
          <w14:textFill>
            <w14:solidFill>
              <w14:schemeClr w14:val="tx1"/>
            </w14:solidFill>
          </w14:textFill>
        </w:rPr>
        <w:t xml:space="preserve">.1.2 试验设备</w:t>
      </w:r>
      <w:bookmarkEnd w:id="437"/>
      <w:r/>
      <w:bookmarkEnd w:id="438"/>
      <w:r/>
      <w:bookmarkEnd w:id="439"/>
      <w:r/>
      <w:bookmarkEnd w:id="440"/>
      <w:r/>
      <w:bookmarkEnd w:id="441"/>
      <w:r/>
      <w:bookmarkEnd w:id="442"/>
      <w:r/>
      <w:bookmarkEnd w:id="443"/>
      <w:r/>
      <w:r/>
    </w:p>
    <w:p>
      <w:pPr>
        <w:ind w:firstLine="480"/>
        <w:jc w:val="left"/>
        <w:spacing w:line="360" w:lineRule="auto"/>
        <w:rPr>
          <w:rFonts w:ascii="宋体" w:hAnsi="宋体"/>
          <w:color w:val="000000" w:themeColor="text1"/>
          <w:sz w:val="24"/>
          <w:u w:val="single"/>
          <w14:textFill>
            <w14:solidFill>
              <w14:schemeClr w14:val="tx1"/>
            </w14:solidFill>
          </w14:textFill>
        </w:rPr>
      </w:pPr>
      <w:r/>
      <w:bookmarkStart w:id="445" w:name="_Toc297123536"/>
      <w:r/>
      <w:bookmarkStart w:id="446" w:name="_Toc303539142"/>
      <w:r/>
      <w:bookmarkStart w:id="447" w:name="_Toc300934985"/>
      <w:r/>
      <w:bookmarkStart w:id="448" w:name="_Toc312677498"/>
      <w:r/>
      <w:bookmarkStart w:id="449" w:name="_Toc304295562"/>
      <w:r/>
      <w:bookmarkStart w:id="450" w:name="_Toc312678024"/>
      <w:r/>
      <w:bookmarkStart w:id="451" w:name="_Toc297216195"/>
      <w:r>
        <w:rPr>
          <w:rFonts w:hint="eastAsia" w:ascii="宋体" w:hAnsi="宋体"/>
          <w:color w:val="000000" w:themeColor="text1"/>
          <w:sz w:val="24"/>
          <w14:textFill>
            <w14:solidFill>
              <w14:schemeClr w14:val="tx1"/>
            </w14:solidFill>
          </w14:textFill>
        </w:rPr>
        <w:t xml:space="preserve">施工现场需要配置的试验场所：</w:t>
      </w:r>
      <w:r>
        <w:rPr>
          <w:rFonts w:hint="eastAsia" w:ascii="宋体" w:hAnsi="宋体"/>
          <w:color w:val="000000" w:themeColor="text1"/>
          <w:sz w:val="24"/>
          <w:u w:val="single"/>
          <w14:textFill>
            <w14:solidFill>
              <w14:schemeClr w14:val="tx1"/>
            </w14:solidFill>
          </w14:textFill>
        </w:rPr>
        <w:t xml:space="preserve">按通用条款</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施工现场需要配备的试验设备：</w:t>
      </w:r>
      <w:r>
        <w:rPr>
          <w:rFonts w:hint="eastAsia" w:ascii="宋体" w:hAnsi="宋体"/>
          <w:color w:val="000000" w:themeColor="text1"/>
          <w:sz w:val="24"/>
          <w:u w:val="single"/>
          <w14:textFill>
            <w14:solidFill>
              <w14:schemeClr w14:val="tx1"/>
            </w14:solidFill>
          </w14:textFill>
        </w:rPr>
        <w:t xml:space="preserve">按通用条款</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施工现场需要具备的其他试验条件：</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9.4 现场工艺试验</w:t>
      </w:r>
      <w:r>
        <w:rPr>
          <w:rFonts w:hint="eastAsia" w:ascii="宋体" w:hAnsi="宋体"/>
          <w:b/>
          <w:bCs/>
          <w:color w:val="000000" w:themeColor="text1"/>
          <w:sz w:val="24"/>
          <w14:textFill>
            <w14:solidFill>
              <w14:schemeClr w14:val="tx1"/>
            </w14:solidFill>
          </w14:textFill>
        </w:rPr>
        <w:t xml:space="preserve">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现场工艺试验的有关约定：</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bookmarkEnd w:id="444"/>
      <w:r/>
      <w:bookmarkEnd w:id="445"/>
      <w:r/>
      <w:bookmarkEnd w:id="446"/>
      <w:r/>
      <w:bookmarkEnd w:id="447"/>
      <w:r/>
      <w:bookmarkEnd w:id="448"/>
      <w:r/>
      <w:bookmarkEnd w:id="449"/>
      <w:r/>
      <w:bookmarkEnd w:id="450"/>
      <w:r/>
      <w:bookmarkEnd w:id="451"/>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452" w:name="_Toc351203642"/>
      <w:r>
        <w:rPr>
          <w:rFonts w:ascii="宋体" w:hAnsi="宋体"/>
          <w:bCs/>
          <w:color w:val="000000" w:themeColor="text1"/>
          <w:sz w:val="24"/>
          <w14:textFill>
            <w14:solidFill>
              <w14:schemeClr w14:val="tx1"/>
            </w14:solidFill>
          </w14:textFill>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53" w:name="_Toc296891233"/>
      <w:r/>
      <w:bookmarkStart w:id="454" w:name="_Toc297048379"/>
      <w:r/>
      <w:bookmarkStart w:id="455" w:name="_Toc312678025"/>
      <w:r/>
      <w:bookmarkStart w:id="456" w:name="_Toc292559903"/>
      <w:r/>
      <w:bookmarkStart w:id="457" w:name="_Toc297120493"/>
      <w:r/>
      <w:bookmarkStart w:id="458" w:name="_Toc292559398"/>
      <w:r/>
      <w:bookmarkStart w:id="459" w:name="_Toc296347192"/>
      <w:r/>
      <w:bookmarkStart w:id="460" w:name="_Toc297123540"/>
      <w:r/>
      <w:bookmarkStart w:id="461" w:name="_Toc300934989"/>
      <w:r/>
      <w:bookmarkStart w:id="462" w:name="_Toc312677499"/>
      <w:r/>
      <w:bookmarkStart w:id="463" w:name="_Toc296346694"/>
      <w:r/>
      <w:bookmarkStart w:id="464" w:name="_Toc297216199"/>
      <w:r/>
      <w:bookmarkStart w:id="465" w:name="_Toc296891021"/>
      <w:r/>
      <w:bookmarkStart w:id="466" w:name="_Toc296503193"/>
      <w:r/>
      <w:bookmarkStart w:id="467" w:name="_Toc296944532"/>
      <w:r/>
      <w:bookmarkStart w:id="468" w:name="_Toc303539146"/>
      <w:r/>
      <w:bookmarkStart w:id="469" w:name="_Toc304295566"/>
      <w:r/>
      <w:bookmarkStart w:id="470" w:name="_Toc267251435"/>
      <w:r/>
      <w:bookmarkStart w:id="471" w:name="_Toc267251441"/>
      <w:r/>
      <w:bookmarkStart w:id="472" w:name="_Toc267251437"/>
      <w:r/>
      <w:bookmarkStart w:id="473" w:name="_Toc267251433"/>
      <w:r/>
      <w:bookmarkStart w:id="474" w:name="_Toc267251439"/>
      <w:r/>
      <w:bookmarkStart w:id="475" w:name="_Toc267251440"/>
      <w:r/>
      <w:bookmarkStart w:id="476" w:name="_Toc267251442"/>
      <w:r>
        <w:rPr>
          <w:rFonts w:ascii="宋体" w:hAnsi="宋体"/>
          <w:bCs/>
          <w:color w:val="000000" w:themeColor="text1"/>
          <w:sz w:val="24"/>
          <w14:textFill>
            <w14:solidFill>
              <w14:schemeClr w14:val="tx1"/>
            </w14:solidFill>
          </w14:textFill>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w:t>
      </w:r>
      <w:bookmarkStart w:id="477" w:name="_Toc296503194"/>
      <w:r/>
      <w:bookmarkStart w:id="478" w:name="_Toc312677500"/>
      <w:r/>
      <w:bookmarkStart w:id="479" w:name="_Toc303539147"/>
      <w:r/>
      <w:bookmarkStart w:id="480" w:name="_Toc297048380"/>
      <w:r/>
      <w:bookmarkStart w:id="481" w:name="_Toc312678026"/>
      <w:r/>
      <w:bookmarkStart w:id="482" w:name="_Toc297123541"/>
      <w:r/>
      <w:bookmarkStart w:id="483" w:name="_Toc296944533"/>
      <w:r/>
      <w:bookmarkStart w:id="484" w:name="_Toc296346695"/>
      <w:r/>
      <w:bookmarkStart w:id="485" w:name="_Toc297216200"/>
      <w:r/>
      <w:bookmarkStart w:id="486" w:name="_Toc292559399"/>
      <w:r/>
      <w:bookmarkStart w:id="487" w:name="_Toc296891234"/>
      <w:r/>
      <w:bookmarkStart w:id="488" w:name="_Toc296347193"/>
      <w:r/>
      <w:bookmarkStart w:id="489" w:name="_Toc304295567"/>
      <w:r/>
      <w:bookmarkStart w:id="490" w:name="_Toc300934990"/>
      <w:r/>
      <w:bookmarkStart w:id="491" w:name="_Toc296891022"/>
      <w:r/>
      <w:bookmarkStart w:id="492" w:name="_Toc297120494"/>
      <w:r/>
      <w:bookmarkStart w:id="493" w:name="_Toc292559904"/>
      <w:r>
        <w:rPr>
          <w:rFonts w:ascii="宋体" w:hAnsi="宋体"/>
          <w:b/>
          <w:bCs/>
          <w:color w:val="000000" w:themeColor="text1"/>
          <w:sz w:val="24"/>
          <w14:textFill>
            <w14:solidFill>
              <w14:schemeClr w14:val="tx1"/>
            </w14:solidFill>
          </w14:textFill>
        </w:rPr>
        <w:t xml:space="preserve">0.1变更的范围</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关于变更的范围的约定：</w:t>
      </w:r>
      <w:r>
        <w:rPr>
          <w:rFonts w:hint="eastAsia" w:ascii="宋体" w:hAnsi="宋体"/>
          <w:color w:val="000000" w:themeColor="text1"/>
          <w:sz w:val="24"/>
          <w:u w:val="single"/>
          <w14:textFill>
            <w14:solidFill>
              <w14:schemeClr w14:val="tx1"/>
            </w14:solidFill>
          </w14:textFill>
        </w:rPr>
        <w:t xml:space="preserve">①所有设计变更应当符合相应的设计、施工、安全技术规范，设计变更须发包人、设计单位、监理单位三方签字及加盖各单位公章后方可生效，承包人按照发包人发出的设计变更通知及有关要求进行变更。</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②在施工过程中，当发现本工程内容因场地条件、地质水文、发包人要求等不一致时，承包人应提供相关的资料，并提交发包人签证。</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③工程签证均须发包人、承包人和监理单位三方签字及加盖各单位公章后方可生效，未经确认的工程量发包人有权不予结算。</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10.4 变更估价</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10.4.1 变更估价原则</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关于变更估价的约定: </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（2）签证的时限要求。发生设计变更、经济签证事件时, 承包人须在事件发生14日内将书面</w:t>
      </w:r>
      <w:r>
        <w:rPr>
          <w:rFonts w:ascii="宋体" w:hAnsi="宋体"/>
          <w:color w:val="000000" w:themeColor="text1"/>
          <w:sz w:val="24"/>
          <w:u w:val="single"/>
          <w14:textFill>
            <w14:solidFill>
              <w14:schemeClr w14:val="tx1"/>
            </w14:solidFill>
          </w14:textFill>
        </w:rPr>
        <w:t xml:space="preserve">变更资料（</w:t>
      </w:r>
      <w:r>
        <w:rPr>
          <w:rFonts w:hint="eastAsia" w:ascii="宋体" w:hAnsi="宋体"/>
          <w:color w:val="000000" w:themeColor="text1"/>
          <w:sz w:val="24"/>
          <w:u w:val="single"/>
          <w14:textFill>
            <w14:solidFill>
              <w14:schemeClr w14:val="tx1"/>
            </w14:solidFill>
          </w14:textFill>
        </w:rPr>
        <w:t xml:space="preserve">变更工程量、变更部分综合单价、拟增加的经济费用原由、计取方式及依据）书面报送经监理方、</w:t>
      </w:r>
      <w:r>
        <w:rPr>
          <w:rFonts w:ascii="宋体" w:hAnsi="宋体"/>
          <w:color w:val="000000" w:themeColor="text1"/>
          <w:sz w:val="24"/>
          <w:u w:val="single"/>
          <w14:textFill>
            <w14:solidFill>
              <w14:schemeClr w14:val="tx1"/>
            </w14:solidFill>
          </w14:textFill>
        </w:rPr>
        <w:t xml:space="preserve">发包人</w:t>
      </w:r>
      <w:r>
        <w:rPr>
          <w:rFonts w:hint="eastAsia" w:ascii="宋体" w:hAnsi="宋体"/>
          <w:color w:val="000000" w:themeColor="text1"/>
          <w:sz w:val="24"/>
          <w:u w:val="single"/>
          <w14:textFill>
            <w14:solidFill>
              <w14:schemeClr w14:val="tx1"/>
            </w14:solidFill>
          </w14:textFill>
        </w:rPr>
        <w:t xml:space="preserve">签字认可后作为结算依据，过期不予认可，责任由承包人自行承担。</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（3）由于承包人原因导致的工程变更，承包人无权要求签证赔偿。</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（4）签证单的签证程序必须严格按照发包人规定执行，否则，视为无效签证单。无效签证单发包人不予承认，责任由承包人自负。</w:t>
      </w:r>
      <w:r/>
    </w:p>
    <w:p>
      <w:pPr>
        <w:ind w:firstLine="470"/>
        <w:spacing w:line="360" w:lineRule="auto"/>
        <w:tabs>
          <w:tab w:val="left" w:pos="900" w:leader="none"/>
        </w:tabs>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（5）若发包人有明确的工作指令，承包人不应以工程签证未办理完成为借口，延误工作进展。</w:t>
      </w:r>
      <w:r/>
    </w:p>
    <w:p>
      <w:pPr>
        <w:ind w:firstLine="480"/>
        <w:jc w:val="left"/>
        <w:spacing w:line="360" w:lineRule="auto"/>
        <w:rPr>
          <w:rFonts w:ascii="ÐÂËÎÌå" w:hAnsi="ÐÂËÎÌå" w:eastAsia="ÐÂËÎÌå"/>
          <w:color w:val="000000" w:themeColor="text1"/>
          <w:sz w:val="24"/>
          <w14:textFill>
            <w14:solidFill>
              <w14:schemeClr w14:val="tx1"/>
            </w14:solidFill>
          </w14:textFill>
        </w:rPr>
      </w:pPr>
      <w:r>
        <w:rPr>
          <w:rFonts w:hint="eastAsia" w:ascii="新宋体" w:hAnsi="新宋体" w:eastAsia="新宋体"/>
          <w:color w:val="000000" w:themeColor="text1"/>
          <w:sz w:val="24"/>
          <w14:textFill>
            <w14:solidFill>
              <w14:schemeClr w14:val="tx1"/>
            </w14:solidFill>
          </w14:textFill>
        </w:rPr>
        <w:t xml:space="preserve">关于变更估价的约定</w:t>
      </w:r>
      <w:r>
        <w:rPr>
          <w:rFonts w:ascii="ÐÂËÎÌå" w:hAnsi="ÐÂËÎÌå" w:eastAsia="ÐÂËÎÌå"/>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p>
    <w:p>
      <w:pPr>
        <w:ind w:firstLine="482"/>
        <w:spacing w:line="42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中标价（扣除暂列金额、专业工程暂估价、暂估材料总价、</w:t>
      </w:r>
      <w:r/>
    </w:p>
    <w:p>
      <w:pPr>
        <w:ind w:firstLine="482"/>
        <w:spacing w:line="42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发包人供应材料总价及上述四项的规费税金）</w:t>
      </w:r>
      <w:r/>
    </w:p>
    <w:p>
      <w:pPr>
        <w:ind w:firstLine="482"/>
        <w:spacing w:line="42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下浮率</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1 - </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100%</w:t>
      </w:r>
      <w:r/>
    </w:p>
    <w:p>
      <w:pPr>
        <w:ind w:firstLine="480"/>
        <w:spacing w:line="420" w:lineRule="exact"/>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预算价（扣除暂列金额、专业工程暂估价、暂估材料总价、</w:t>
      </w:r>
      <w:r/>
    </w:p>
    <w:p>
      <w:pPr>
        <w:ind w:firstLine="482"/>
        <w:spacing w:line="42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发包人供应材料总价及上述四项的规费税金）</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注：上述公式中的预算价是指发包人委托编制的工程预算价。</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297048383"/>
      <w:r/>
      <w:bookmarkStart w:id="495" w:name="_Toc297216203"/>
      <w:r/>
      <w:bookmarkStart w:id="496" w:name="_Toc296891237"/>
      <w:r/>
      <w:bookmarkStart w:id="497" w:name="_Toc296944536"/>
      <w:r/>
      <w:bookmarkStart w:id="498" w:name="_Toc296347196"/>
      <w:r/>
      <w:bookmarkStart w:id="499" w:name="_Toc297123544"/>
      <w:r/>
      <w:bookmarkStart w:id="500" w:name="_Toc296503197"/>
      <w:r/>
      <w:bookmarkStart w:id="501" w:name="_Toc303539150"/>
      <w:r/>
      <w:bookmarkStart w:id="502" w:name="_Toc300934993"/>
      <w:r/>
      <w:bookmarkStart w:id="503" w:name="_Toc297120497"/>
      <w:r/>
      <w:bookmarkStart w:id="504" w:name="_Toc292559907"/>
      <w:r/>
      <w:bookmarkStart w:id="505" w:name="_Toc292559402"/>
      <w:r/>
      <w:bookmarkStart w:id="506" w:name="_Toc296346698"/>
      <w:r/>
      <w:bookmarkStart w:id="507" w:name="_Toc296891025"/>
      <w:r/>
      <w:bookmarkStart w:id="508" w:name="_Toc312677503"/>
      <w:r/>
      <w:bookmarkStart w:id="509" w:name="_Toc312678029"/>
      <w:r/>
      <w:bookmarkStart w:id="510" w:name="_Toc304295570"/>
      <w:r>
        <w:rPr>
          <w:rFonts w:ascii="宋体" w:hAnsi="宋体"/>
          <w:b/>
          <w:bCs/>
          <w:color w:val="000000" w:themeColor="text1"/>
          <w:sz w:val="24"/>
          <w14:textFill>
            <w14:solidFill>
              <w14:schemeClr w14:val="tx1"/>
            </w14:solidFill>
          </w14:textFill>
        </w:rPr>
        <w:t xml:space="preserve">0.5</w:t>
      </w:r>
      <w:r>
        <w:rPr>
          <w:rFonts w:hint="eastAsia" w:ascii="宋体" w:hAnsi="宋体"/>
          <w:b/>
          <w:bCs/>
          <w:color w:val="000000" w:themeColor="text1"/>
          <w:sz w:val="24"/>
          <w14:textFill>
            <w14:solidFill>
              <w14:schemeClr w14:val="tx1"/>
            </w14:solidFill>
          </w14:textFill>
        </w:rPr>
        <w:t xml:space="preserve"> </w:t>
      </w:r>
      <w:r>
        <w:rPr>
          <w:rFonts w:ascii="宋体" w:hAnsi="宋体"/>
          <w:b/>
          <w:bCs/>
          <w:color w:val="000000" w:themeColor="text1"/>
          <w:sz w:val="24"/>
          <w14:textFill>
            <w14:solidFill>
              <w14:schemeClr w14:val="tx1"/>
            </w14:solidFill>
          </w14:textFill>
        </w:rPr>
        <w:t xml:space="preserve">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303539151"/>
      <w:r/>
      <w:bookmarkStart w:id="512" w:name="_Toc296891243"/>
      <w:r/>
      <w:bookmarkStart w:id="513" w:name="_Toc296347202"/>
      <w:r/>
      <w:bookmarkStart w:id="514" w:name="_Toc300934994"/>
      <w:r/>
      <w:bookmarkStart w:id="515" w:name="_Toc297216204"/>
      <w:r/>
      <w:bookmarkStart w:id="516" w:name="_Toc297123545"/>
      <w:r/>
      <w:bookmarkStart w:id="517" w:name="_Toc292559408"/>
      <w:r/>
      <w:bookmarkStart w:id="518" w:name="_Toc296346704"/>
      <w:r/>
      <w:bookmarkStart w:id="519" w:name="_Toc292559913"/>
      <w:r/>
      <w:bookmarkStart w:id="520" w:name="_Toc297120503"/>
      <w:r/>
      <w:bookmarkStart w:id="521" w:name="_Toc296891031"/>
      <w:r/>
      <w:bookmarkStart w:id="522" w:name="_Toc296503203"/>
      <w:r/>
      <w:bookmarkStart w:id="523" w:name="_Toc296944542"/>
      <w:r/>
      <w:bookmarkStart w:id="524" w:name="_Toc297048389"/>
      <w:r>
        <w:rPr>
          <w:rFonts w:ascii="宋体" w:hAnsi="宋体"/>
          <w:b/>
          <w:bCs/>
          <w:color w:val="000000" w:themeColor="text1"/>
          <w:sz w:val="24"/>
          <w14:textFill>
            <w14:solidFill>
              <w14:schemeClr w14:val="tx1"/>
            </w14:solidFill>
          </w14:textFill>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80"/>
        <w:jc w:val="left"/>
        <w:spacing w:line="360" w:lineRule="auto"/>
        <w:rPr>
          <w:rFonts w:ascii="宋体" w:hAnsi="宋体" w:cs="宋体"/>
          <w:color w:val="000000" w:themeColor="text1"/>
          <w:sz w:val="24"/>
          <w14:textFill>
            <w14:solidFill>
              <w14:schemeClr w14:val="tx1"/>
            </w14:solidFill>
          </w14:textFill>
        </w:rPr>
      </w:pPr>
      <w:r/>
      <w:bookmarkStart w:id="525" w:name="_Toc292559409"/>
      <w:r/>
      <w:bookmarkStart w:id="526" w:name="_Toc297048390"/>
      <w:r/>
      <w:bookmarkStart w:id="527" w:name="_Toc296944543"/>
      <w:r/>
      <w:bookmarkStart w:id="528" w:name="_Toc303539152"/>
      <w:r/>
      <w:bookmarkStart w:id="529" w:name="_Toc297216205"/>
      <w:r/>
      <w:bookmarkStart w:id="530" w:name="_Toc312678030"/>
      <w:r/>
      <w:bookmarkStart w:id="531" w:name="_Toc296503204"/>
      <w:r/>
      <w:bookmarkStart w:id="532" w:name="_Toc318581175"/>
      <w:r/>
      <w:bookmarkStart w:id="533" w:name="_Toc300934995"/>
      <w:r/>
      <w:bookmarkStart w:id="534" w:name="_Toc296891244"/>
      <w:r/>
      <w:bookmarkStart w:id="535" w:name="_Toc312677504"/>
      <w:r/>
      <w:bookmarkStart w:id="536" w:name="_Toc304295571"/>
      <w:r/>
      <w:bookmarkStart w:id="537" w:name="_Toc297123546"/>
      <w:r/>
      <w:bookmarkStart w:id="538" w:name="_Toc296346705"/>
      <w:r/>
      <w:bookmarkStart w:id="539" w:name="_Toc292559914"/>
      <w:r/>
      <w:bookmarkStart w:id="540" w:name="_Toc296347203"/>
      <w:r/>
      <w:bookmarkStart w:id="541" w:name="_Toc297120504"/>
      <w:r/>
      <w:bookmarkStart w:id="542" w:name="_Toc296891032"/>
      <w:r>
        <w:rPr>
          <w:rFonts w:hint="eastAsia" w:ascii="宋体" w:hAnsi="宋体" w:cs="宋体"/>
          <w:color w:val="000000" w:themeColor="text1"/>
          <w:sz w:val="24"/>
          <w14:textFill>
            <w14:solidFill>
              <w14:schemeClr w14:val="tx1"/>
            </w14:solidFill>
          </w14:textFill>
        </w:rPr>
        <w:t xml:space="preserve">监理人审查承包人合理化建议的期限：</w:t>
      </w:r>
      <w:r>
        <w:rPr>
          <w:rFonts w:hint="eastAsia" w:ascii="宋体" w:hAnsi="宋体"/>
          <w:color w:val="000000" w:themeColor="text1"/>
          <w:sz w:val="24"/>
          <w:u w:val="single"/>
          <w14:textFill>
            <w14:solidFill>
              <w14:schemeClr w14:val="tx1"/>
            </w14:solidFill>
          </w14:textFill>
        </w:rPr>
        <w:t xml:space="preserve"> 7 </w:t>
      </w:r>
      <w:r>
        <w:rPr>
          <w:rFonts w:hint="eastAsia" w:ascii="宋体" w:hAnsi="宋体"/>
          <w:color w:val="000000" w:themeColor="text1"/>
          <w:sz w:val="24"/>
          <w14:textFill>
            <w14:solidFill>
              <w14:schemeClr w14:val="tx1"/>
            </w14:solidFill>
          </w14:textFill>
        </w:rPr>
        <w:t xml:space="preserve">天</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发包人审批承包人合理化建议的期限：</w:t>
      </w:r>
      <w:r>
        <w:rPr>
          <w:rFonts w:hint="eastAsia" w:ascii="宋体" w:hAnsi="宋体"/>
          <w:color w:val="000000" w:themeColor="text1"/>
          <w:sz w:val="24"/>
          <w:u w:val="single"/>
          <w14:textFill>
            <w14:solidFill>
              <w14:schemeClr w14:val="tx1"/>
            </w14:solidFill>
          </w14:textFill>
        </w:rPr>
        <w:t xml:space="preserve"> 7 </w:t>
      </w:r>
      <w:r>
        <w:rPr>
          <w:rFonts w:hint="eastAsia" w:ascii="宋体" w:hAnsi="宋体"/>
          <w:color w:val="000000" w:themeColor="text1"/>
          <w:sz w:val="24"/>
          <w14:textFill>
            <w14:solidFill>
              <w14:schemeClr w14:val="tx1"/>
            </w14:solidFill>
          </w14:textFill>
        </w:rPr>
        <w:t xml:space="preserve">天</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承包人提出的合理化建议降低了合同价格或者提高了工程经济效益的奖励的方法和金额为：</w:t>
      </w:r>
      <w:r>
        <w:rPr>
          <w:rFonts w:hint="eastAsia" w:ascii="宋体" w:hAnsi="宋体" w:cs="宋体"/>
          <w:color w:val="000000" w:themeColor="text1"/>
          <w:sz w:val="24"/>
          <w:u w:val="single"/>
          <w14:textFill>
            <w14:solidFill>
              <w14:schemeClr w14:val="tx1"/>
            </w14:solidFill>
          </w14:textFill>
        </w:rPr>
        <w:t xml:space="preserve">无 </w:t>
      </w:r>
      <w:r>
        <w:rPr>
          <w:rFonts w:hint="eastAsia" w:ascii="宋体" w:hAnsi="宋体" w:cs="宋体"/>
          <w:color w:val="000000" w:themeColor="text1"/>
          <w:sz w:val="24"/>
          <w14:textFill>
            <w14:solidFill>
              <w14:schemeClr w14:val="tx1"/>
            </w14:solidFill>
          </w14:textFill>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w:t>
      </w:r>
      <w:bookmarkStart w:id="543" w:name="_Toc296891239"/>
      <w:r/>
      <w:bookmarkStart w:id="544" w:name="_Toc312678033"/>
      <w:r/>
      <w:bookmarkStart w:id="545" w:name="_Toc297048385"/>
      <w:r/>
      <w:bookmarkStart w:id="546" w:name="_Toc296347198"/>
      <w:r/>
      <w:bookmarkStart w:id="547" w:name="_Toc292559909"/>
      <w:r/>
      <w:bookmarkStart w:id="548" w:name="_Toc300934997"/>
      <w:r/>
      <w:bookmarkStart w:id="549" w:name="_Toc296346700"/>
      <w:r/>
      <w:bookmarkStart w:id="550" w:name="_Toc312677507"/>
      <w:r/>
      <w:bookmarkStart w:id="551" w:name="_Toc296891027"/>
      <w:r/>
      <w:bookmarkStart w:id="552" w:name="_Toc296944538"/>
      <w:r/>
      <w:bookmarkStart w:id="553" w:name="_Toc297123548"/>
      <w:r/>
      <w:bookmarkStart w:id="554" w:name="_Toc296503199"/>
      <w:r/>
      <w:bookmarkStart w:id="555" w:name="_Toc304295574"/>
      <w:r/>
      <w:bookmarkStart w:id="556" w:name="_Toc297120499"/>
      <w:r/>
      <w:bookmarkStart w:id="557" w:name="_Toc303539154"/>
      <w:r/>
      <w:bookmarkStart w:id="558" w:name="_Toc297216207"/>
      <w:r/>
      <w:bookmarkStart w:id="559" w:name="_Toc292559404"/>
      <w:r>
        <w:rPr>
          <w:rFonts w:ascii="宋体" w:hAnsi="宋体"/>
          <w:b/>
          <w:bCs/>
          <w:color w:val="000000" w:themeColor="text1"/>
          <w:sz w:val="24"/>
          <w14:textFill>
            <w14:solidFill>
              <w14:schemeClr w14:val="tx1"/>
            </w14:solidFill>
          </w14:textFill>
        </w:rPr>
        <w:t xml:space="preserve">0.7 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暂</w:t>
      </w:r>
      <w:bookmarkStart w:id="560" w:name="_Toc312678034"/>
      <w:r/>
      <w:bookmarkStart w:id="561" w:name="_Toc312677508"/>
      <w:r/>
      <w:bookmarkStart w:id="562" w:name="_Toc318581176"/>
      <w:r>
        <w:rPr>
          <w:rFonts w:ascii="宋体" w:hAnsi="宋体"/>
          <w:color w:val="000000" w:themeColor="text1"/>
          <w:sz w:val="24"/>
          <w14:textFill>
            <w14:solidFill>
              <w14:schemeClr w14:val="tx1"/>
            </w14:solidFill>
          </w14:textFill>
        </w:rPr>
        <w:t xml:space="preserve">估价材料和工程设备的明细详见附件</w:t>
      </w:r>
      <w:r>
        <w:rPr>
          <w:rFonts w:hint="eastAsia" w:ascii="宋体" w:hAnsi="宋体"/>
          <w:color w:val="000000" w:themeColor="text1"/>
          <w:sz w:val="24"/>
          <w14:textFill>
            <w14:solidFill>
              <w14:schemeClr w14:val="tx1"/>
            </w14:solidFill>
          </w14:textFill>
        </w:rPr>
        <w:t xml:space="preserve">11：《</w:t>
      </w:r>
      <w:r>
        <w:rPr>
          <w:rFonts w:ascii="宋体" w:hAnsi="宋体"/>
          <w:color w:val="000000" w:themeColor="text1"/>
          <w:sz w:val="24"/>
          <w14:textFill>
            <w14:solidFill>
              <w14:schemeClr w14:val="tx1"/>
            </w14:solidFill>
          </w14:textFill>
        </w:rPr>
        <w:t xml:space="preserve">暂估价一览表</w:t>
      </w:r>
      <w:r>
        <w:rPr>
          <w:rFonts w:hint="eastAsia" w:ascii="宋体" w:hAnsi="宋体"/>
          <w:color w:val="000000" w:themeColor="text1"/>
          <w:sz w:val="24"/>
          <w14:textFill>
            <w14:solidFill>
              <w14:schemeClr w14:val="tx1"/>
            </w14:solidFill>
          </w14:textFill>
        </w:rPr>
        <w:t xml:space="preserve">》。</w:t>
      </w:r>
      <w:bookmarkEnd w:id="560"/>
      <w:r/>
      <w:bookmarkEnd w:id="561"/>
      <w:r/>
      <w:bookmarkEnd w:id="562"/>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Start w:id="563" w:name="_Toc312678035"/>
      <w:r/>
      <w:bookmarkStart w:id="564" w:name="_Toc318581177"/>
      <w:r/>
      <w:bookmarkStart w:id="565" w:name="_Toc312677509"/>
      <w:r>
        <w:rPr>
          <w:rFonts w:ascii="宋体" w:hAnsi="宋体"/>
          <w:color w:val="000000" w:themeColor="text1"/>
          <w:sz w:val="24"/>
          <w14:textFill>
            <w14:solidFill>
              <w14:schemeClr w14:val="tx1"/>
            </w14:solidFill>
          </w14:textFill>
        </w:rPr>
        <w:t xml:space="preserve">0.7.1 依法必须招标的暂估价项目</w:t>
      </w:r>
      <w:bookmarkEnd w:id="563"/>
      <w:r/>
      <w:bookmarkEnd w:id="564"/>
      <w:r/>
      <w:bookmarkEnd w:id="565"/>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对于依法必须招标的暂估价项目的确认和批准采取第</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14:textFill>
            <w14:solidFill>
              <w14:schemeClr w14:val="tx1"/>
            </w14:solidFill>
          </w14:textFill>
        </w:rPr>
        <w:t xml:space="preserve">种方式确定。</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10.7.2 不属于依法必须招标的暂估价项目</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对于不属于依法必须招标的暂估价项目的确认和批准采取第</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14:textFill>
            <w14:solidFill>
              <w14:schemeClr w14:val="tx1"/>
            </w14:solidFill>
          </w14:textFill>
        </w:rPr>
        <w:t xml:space="preserve">种方式确定。</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第3种方式：承包人直接实施的暂估价项目</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承包人直接实施的暂估价项目的约定：</w:t>
      </w:r>
      <w:r>
        <w:rPr>
          <w:rFonts w:hint="eastAsia" w:ascii="宋体" w:hAnsi="宋体"/>
          <w:color w:val="000000" w:themeColor="text1"/>
          <w:sz w:val="24"/>
          <w:u w:val="single"/>
          <w14:textFill>
            <w14:solidFill>
              <w14:schemeClr w14:val="tx1"/>
            </w14:solidFill>
          </w14:textFill>
        </w:rPr>
        <w:t xml:space="preserve">与本工程合同条件一致</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10.8 暂列金额</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合同当事人关于暂列金额使用的约定：</w:t>
      </w:r>
      <w:r>
        <w:rPr>
          <w:rFonts w:hint="eastAsia" w:ascii="宋体" w:hAnsi="宋体"/>
          <w:color w:val="000000" w:themeColor="text1"/>
          <w:sz w:val="24"/>
          <w:u w:val="single"/>
          <w14:textFill>
            <w14:solidFill>
              <w14:schemeClr w14:val="tx1"/>
            </w14:solidFill>
          </w14:textFill>
        </w:rPr>
        <w:t xml:space="preserve">与本工程合同条件一致</w:t>
      </w:r>
      <w:r>
        <w:rPr>
          <w:rFonts w:hint="eastAsia"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566" w:name="_Toc351203643"/>
      <w:r>
        <w:rPr>
          <w:rFonts w:ascii="宋体" w:hAnsi="宋体"/>
          <w:bCs/>
          <w:color w:val="000000" w:themeColor="text1"/>
          <w:sz w:val="24"/>
          <w14:textFill>
            <w14:solidFill>
              <w14:schemeClr w14:val="tx1"/>
            </w14:solidFill>
          </w14:textFill>
        </w:rPr>
        <w:t xml:space="preserve">11. 价格调整</w:t>
      </w:r>
      <w:bookmarkEnd w:id="566"/>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bookmarkStart w:id="567" w:name="_Toc297123550"/>
      <w:r/>
      <w:bookmarkStart w:id="568" w:name="_Toc296891029"/>
      <w:r/>
      <w:bookmarkStart w:id="569" w:name="_Toc303539157"/>
      <w:r/>
      <w:bookmarkStart w:id="570" w:name="_Toc296944540"/>
      <w:r/>
      <w:bookmarkStart w:id="571" w:name="_Toc312678039"/>
      <w:r/>
      <w:bookmarkStart w:id="572" w:name="_Toc292559406"/>
      <w:r/>
      <w:bookmarkStart w:id="573" w:name="_Toc292559911"/>
      <w:r/>
      <w:bookmarkStart w:id="574" w:name="_Toc300935000"/>
      <w:r/>
      <w:bookmarkStart w:id="575" w:name="_Toc297120501"/>
      <w:r/>
      <w:bookmarkStart w:id="576" w:name="_Toc296346702"/>
      <w:r/>
      <w:bookmarkStart w:id="577" w:name="_Toc296891241"/>
      <w:r/>
      <w:bookmarkStart w:id="578" w:name="_Toc296503201"/>
      <w:r/>
      <w:bookmarkStart w:id="579" w:name="_Toc304295577"/>
      <w:r/>
      <w:bookmarkStart w:id="580" w:name="_Toc297216209"/>
      <w:r/>
      <w:bookmarkStart w:id="581" w:name="_Toc296347200"/>
      <w:r/>
      <w:bookmarkStart w:id="582" w:name="_Toc297048387"/>
      <w:r>
        <w:rPr>
          <w:rFonts w:ascii="宋体" w:hAnsi="宋体"/>
          <w:b/>
          <w:bCs/>
          <w:color w:val="000000" w:themeColor="text1"/>
          <w:sz w:val="24"/>
          <w14:textFill>
            <w14:solidFill>
              <w14:schemeClr w14:val="tx1"/>
            </w14:solidFill>
          </w14:textFill>
        </w:rPr>
        <w:t xml:space="preserve">11.1 市场价格波动引起的调整</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市场价格波动是否调整合同价格的约定：</w:t>
      </w:r>
      <w:r>
        <w:rPr>
          <w:rFonts w:hint="eastAsia" w:ascii="宋体" w:hAnsi="宋体"/>
          <w:color w:val="000000" w:themeColor="text1"/>
          <w:sz w:val="24"/>
          <w:u w:val="single"/>
          <w14:textFill>
            <w14:solidFill>
              <w14:schemeClr w14:val="tx1"/>
            </w14:solidFill>
          </w14:textFill>
        </w:rPr>
        <w:t xml:space="preserve"> 不调整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因市场价格波动调整合同价格，采用以下第</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种方式对合同价格进行调整：</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第1种方式：采用价格指数</w:t>
      </w:r>
      <w:r>
        <w:rPr>
          <w:rFonts w:hint="eastAsia" w:ascii="宋体" w:hAnsi="宋体"/>
          <w:color w:val="000000" w:themeColor="text1"/>
          <w:sz w:val="24"/>
          <w14:textFill>
            <w14:solidFill>
              <w14:schemeClr w14:val="tx1"/>
            </w14:solidFill>
          </w14:textFill>
        </w:rPr>
        <w:t xml:space="preserve">进行价格</w:t>
      </w:r>
      <w:r>
        <w:rPr>
          <w:rFonts w:ascii="宋体" w:hAnsi="宋体"/>
          <w:color w:val="000000" w:themeColor="text1"/>
          <w:sz w:val="24"/>
          <w14:textFill>
            <w14:solidFill>
              <w14:schemeClr w14:val="tx1"/>
            </w14:solidFill>
          </w14:textFill>
        </w:rPr>
        <w:t xml:space="preserve">调整。</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关于各可调因子、定值和变值权重，以及基本价格指数及其来源的约定：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第2种方式：采用造价信息</w:t>
      </w:r>
      <w:r>
        <w:rPr>
          <w:rFonts w:hint="eastAsia" w:ascii="宋体" w:hAnsi="宋体"/>
          <w:color w:val="000000" w:themeColor="text1"/>
          <w:sz w:val="24"/>
          <w14:textFill>
            <w14:solidFill>
              <w14:schemeClr w14:val="tx1"/>
            </w14:solidFill>
          </w14:textFill>
        </w:rPr>
        <w:t xml:space="preserve">进行价格</w:t>
      </w:r>
      <w:r>
        <w:rPr>
          <w:rFonts w:ascii="宋体" w:hAnsi="宋体"/>
          <w:color w:val="000000" w:themeColor="text1"/>
          <w:sz w:val="24"/>
          <w14:textFill>
            <w14:solidFill>
              <w14:schemeClr w14:val="tx1"/>
            </w14:solidFill>
          </w14:textFill>
        </w:rPr>
        <w:t xml:space="preserve">调整。</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（2）关于基准价格的约定：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专用合同条款</w:t>
      </w:r>
      <w:r>
        <w:rPr>
          <w:rFonts w:hint="eastAsia" w:ascii="宋体" w:hAnsi="宋体" w:cs="宋体"/>
          <w:color w:val="000000" w:themeColor="text1"/>
          <w:sz w:val="24"/>
          <w14:textFill>
            <w14:solidFill>
              <w14:schemeClr w14:val="tx1"/>
            </w14:solidFill>
          </w14:textFill>
        </w:rPr>
        <w:t xml:space="preserve">①</w:t>
      </w:r>
      <w:r>
        <w:rPr>
          <w:rFonts w:ascii="宋体" w:hAnsi="宋体"/>
          <w:color w:val="000000" w:themeColor="text1"/>
          <w:sz w:val="24"/>
          <w14:textFill>
            <w14:solidFill>
              <w14:schemeClr w14:val="tx1"/>
            </w14:solidFill>
          </w14:textFill>
        </w:rPr>
        <w:t xml:space="preserve">承包人在已标价工程量清单或预算书中载明的材料单价低于基准价格的：专用合同条款合同履行期间材料单价涨幅以基准价格为基础超过</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%时，或材料单价跌幅以已标价工程量清单或预算书中载明材料单价为基础超过</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%时，其超过部分据实调整。</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w:t>
      </w:r>
      <w:r>
        <w:rPr>
          <w:rFonts w:ascii="宋体" w:hAnsi="宋体"/>
          <w:color w:val="000000" w:themeColor="text1"/>
          <w:sz w:val="24"/>
          <w14:textFill>
            <w14:solidFill>
              <w14:schemeClr w14:val="tx1"/>
            </w14:solidFill>
          </w14:textFill>
        </w:rPr>
        <w:t xml:space="preserve">承包人在已标价工程量清单或预算书中载明的材料单价高于基准价格的：专用合同条款合同履行期间材料单价跌幅以基准价格为基础超过</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%时，材料单价涨幅以已标价工程量清单或预算书中载明材料单价为基础超过</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%时，其超过部分据实调整。</w:t>
      </w:r>
      <w:r/>
    </w:p>
    <w:p>
      <w:pPr>
        <w:ind w:firstLine="645"/>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w:t>
      </w:r>
      <w:r>
        <w:rPr>
          <w:rFonts w:ascii="宋体" w:hAnsi="宋体"/>
          <w:color w:val="000000" w:themeColor="text1"/>
          <w:sz w:val="24"/>
          <w14:textFill>
            <w14:solidFill>
              <w14:schemeClr w14:val="tx1"/>
            </w14:solidFill>
          </w14:textFill>
        </w:rPr>
        <w:t xml:space="preserve">承包人在已标价工程量清单或预算书中载明的材料单价等于基准单价的：专用合同条款合同履行期间材料单价涨跌幅以基准单价为基础超过±</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%时，其超过部分据实调整。</w:t>
      </w:r>
      <w:r/>
    </w:p>
    <w:p>
      <w:pPr>
        <w:ind w:firstLine="645"/>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第3种方式：其他价格调整方式：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bookmarkEnd w:id="470"/>
      <w:r/>
      <w:bookmarkEnd w:id="471"/>
      <w:r/>
      <w:bookmarkEnd w:id="472"/>
      <w:r/>
      <w:bookmarkEnd w:id="473"/>
      <w:r/>
      <w:bookmarkEnd w:id="474"/>
      <w:r/>
      <w:bookmarkEnd w:id="475"/>
      <w:r/>
      <w:r/>
    </w:p>
    <w:p>
      <w:pPr>
        <w:ind w:firstLine="482"/>
        <w:keepLines/>
        <w:keepNext/>
        <w:spacing w:line="360" w:lineRule="auto"/>
        <w:rPr>
          <w:rFonts w:ascii="宋体" w:hAnsi="宋体"/>
          <w:b/>
          <w:color w:val="000000" w:themeColor="text1"/>
          <w:sz w:val="24"/>
          <w14:textFill>
            <w14:solidFill>
              <w14:schemeClr w14:val="tx1"/>
            </w14:solidFill>
          </w14:textFill>
        </w:rPr>
        <w:outlineLvl w:val="3"/>
      </w:pPr>
      <w:r/>
      <w:bookmarkStart w:id="583" w:name="_Toc297048391"/>
      <w:r/>
      <w:bookmarkStart w:id="584" w:name="_Toc296944544"/>
      <w:r/>
      <w:bookmarkStart w:id="585" w:name="_Toc296346706"/>
      <w:r/>
      <w:bookmarkStart w:id="586" w:name="_Toc296891245"/>
      <w:r/>
      <w:bookmarkStart w:id="587" w:name="_Toc296347204"/>
      <w:r/>
      <w:bookmarkStart w:id="588" w:name="_Toc292559915"/>
      <w:r/>
      <w:bookmarkStart w:id="589" w:name="_Toc296503205"/>
      <w:r/>
      <w:bookmarkStart w:id="590" w:name="_Toc297120505"/>
      <w:r/>
      <w:bookmarkStart w:id="591" w:name="_Toc292559410"/>
      <w:r/>
      <w:bookmarkStart w:id="592" w:name="_Toc296891033"/>
      <w:r/>
      <w:bookmarkStart w:id="593" w:name="_Toc300935002"/>
      <w:r/>
      <w:bookmarkStart w:id="594" w:name="_Toc303539159"/>
      <w:r/>
      <w:bookmarkStart w:id="595" w:name="_Toc297123552"/>
      <w:r/>
      <w:bookmarkStart w:id="596" w:name="_Toc312678040"/>
      <w:r/>
      <w:bookmarkStart w:id="597" w:name="_Toc297216211"/>
      <w:r/>
      <w:bookmarkStart w:id="598" w:name="_Toc351203644"/>
      <w:r/>
      <w:bookmarkStart w:id="599" w:name="_Toc304295579"/>
      <w:r>
        <w:rPr>
          <w:rFonts w:ascii="宋体" w:hAnsi="宋体"/>
          <w:b/>
          <w:color w:val="000000" w:themeColor="text1"/>
          <w:sz w:val="24"/>
          <w14:textFill>
            <w14:solidFill>
              <w14:schemeClr w14:val="tx1"/>
            </w14:solidFill>
          </w14:textFill>
        </w:rPr>
        <w:t xml:space="preserve">12. </w:t>
      </w:r>
      <w:bookmarkEnd w:id="583"/>
      <w:r/>
      <w:bookmarkEnd w:id="584"/>
      <w:r/>
      <w:bookmarkEnd w:id="585"/>
      <w:r/>
      <w:bookmarkEnd w:id="586"/>
      <w:r/>
      <w:bookmarkEnd w:id="587"/>
      <w:r/>
      <w:bookmarkEnd w:id="588"/>
      <w:r/>
      <w:bookmarkEnd w:id="589"/>
      <w:r/>
      <w:bookmarkEnd w:id="590"/>
      <w:r/>
      <w:bookmarkEnd w:id="591"/>
      <w:r/>
      <w:bookmarkEnd w:id="592"/>
      <w:r>
        <w:rPr>
          <w:rFonts w:ascii="宋体" w:hAnsi="宋体"/>
          <w:b/>
          <w:color w:val="000000" w:themeColor="text1"/>
          <w:sz w:val="24"/>
          <w14:textFill>
            <w14:solidFill>
              <w14:schemeClr w14:val="tx1"/>
            </w14:solidFill>
          </w14:textFill>
        </w:rPr>
        <w:t xml:space="preserve">合同价格、计量与支付</w:t>
      </w:r>
      <w:bookmarkEnd w:id="593"/>
      <w:r/>
      <w:bookmarkEnd w:id="594"/>
      <w:r/>
      <w:bookmarkEnd w:id="595"/>
      <w:r/>
      <w:bookmarkEnd w:id="596"/>
      <w:r/>
      <w:bookmarkEnd w:id="597"/>
      <w:r/>
      <w:bookmarkEnd w:id="598"/>
      <w:r/>
      <w:bookmarkEnd w:id="599"/>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bookmarkStart w:id="600" w:name="_Toc267251461"/>
      <w:r/>
      <w:bookmarkStart w:id="601" w:name="_Toc292559411"/>
      <w:r/>
      <w:bookmarkStart w:id="602" w:name="_Toc292559916"/>
      <w:r/>
      <w:bookmarkStart w:id="603" w:name="_Toc296503206"/>
      <w:r/>
      <w:bookmarkStart w:id="604" w:name="_Toc296891246"/>
      <w:r/>
      <w:bookmarkStart w:id="605" w:name="_Toc296944545"/>
      <w:r/>
      <w:bookmarkStart w:id="606" w:name="_Toc296347205"/>
      <w:r/>
      <w:bookmarkStart w:id="607" w:name="_Toc297120506"/>
      <w:r/>
      <w:bookmarkStart w:id="608" w:name="_Toc296346707"/>
      <w:r/>
      <w:bookmarkStart w:id="609" w:name="_Toc296891034"/>
      <w:r/>
      <w:bookmarkStart w:id="610" w:name="_Toc297048392"/>
      <w:r/>
      <w:bookmarkStart w:id="611" w:name="_Toc303539160"/>
      <w:r/>
      <w:bookmarkStart w:id="612" w:name="_Toc297216212"/>
      <w:r/>
      <w:bookmarkStart w:id="613" w:name="_Toc312678041"/>
      <w:r/>
      <w:bookmarkStart w:id="614" w:name="_Toc297123553"/>
      <w:r/>
      <w:bookmarkStart w:id="615" w:name="_Toc304295580"/>
      <w:r/>
      <w:bookmarkStart w:id="616" w:name="_Toc300935003"/>
      <w:r>
        <w:rPr>
          <w:rFonts w:ascii="宋体" w:hAnsi="宋体"/>
          <w:b/>
          <w:bCs/>
          <w:color w:val="000000" w:themeColor="text1"/>
          <w:sz w:val="24"/>
          <w14:textFill>
            <w14:solidFill>
              <w14:schemeClr w14:val="tx1"/>
            </w14:solidFill>
          </w14:textFill>
        </w:rPr>
        <w:t xml:space="preserve">12.1 合</w:t>
      </w:r>
      <w:bookmarkEnd w:id="600"/>
      <w:r/>
      <w:bookmarkEnd w:id="601"/>
      <w:r/>
      <w:bookmarkEnd w:id="602"/>
      <w:r>
        <w:rPr>
          <w:rFonts w:ascii="宋体" w:hAnsi="宋体"/>
          <w:b/>
          <w:bCs/>
          <w:color w:val="000000" w:themeColor="text1"/>
          <w:sz w:val="24"/>
          <w14:textFill>
            <w14:solidFill>
              <w14:schemeClr w14:val="tx1"/>
            </w14:solidFill>
          </w14:textFill>
        </w:rPr>
        <w:t xml:space="preserve">同价</w:t>
      </w:r>
      <w:bookmarkEnd w:id="603"/>
      <w:r/>
      <w:bookmarkEnd w:id="604"/>
      <w:r/>
      <w:bookmarkEnd w:id="605"/>
      <w:r/>
      <w:bookmarkEnd w:id="606"/>
      <w:r/>
      <w:bookmarkEnd w:id="607"/>
      <w:r/>
      <w:bookmarkEnd w:id="608"/>
      <w:r/>
      <w:bookmarkEnd w:id="609"/>
      <w:r/>
      <w:bookmarkEnd w:id="610"/>
      <w:r>
        <w:rPr>
          <w:rFonts w:ascii="宋体" w:hAnsi="宋体"/>
          <w:b/>
          <w:bCs/>
          <w:color w:val="000000" w:themeColor="text1"/>
          <w:sz w:val="24"/>
          <w14:textFill>
            <w14:solidFill>
              <w14:schemeClr w14:val="tx1"/>
            </w14:solidFill>
          </w14:textFill>
        </w:rPr>
        <w:t xml:space="preserve">格形式</w:t>
      </w:r>
      <w:bookmarkEnd w:id="611"/>
      <w:r/>
      <w:bookmarkEnd w:id="612"/>
      <w:r/>
      <w:bookmarkEnd w:id="613"/>
      <w:r/>
      <w:bookmarkEnd w:id="614"/>
      <w:r/>
      <w:bookmarkEnd w:id="615"/>
      <w:r/>
      <w:bookmarkEnd w:id="616"/>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1、单价合同。</w:t>
      </w:r>
      <w:r/>
    </w:p>
    <w:p>
      <w:pPr>
        <w:ind w:firstLine="482"/>
        <w:jc w:val="left"/>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本工程采用“固定单价”合同，合同实施过程中除招标文件和合同约定允许调整外，其余的综合单价不作调整。</w:t>
      </w:r>
      <w:r/>
    </w:p>
    <w:p>
      <w:pPr>
        <w:ind w:firstLine="482"/>
        <w:jc w:val="left"/>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工程竣工结算价</w:t>
      </w:r>
      <w:r>
        <w:rPr>
          <w:rFonts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24"/>
          <w:u w:val="single"/>
          <w14:textFill>
            <w14:solidFill>
              <w14:schemeClr w14:val="tx1"/>
            </w14:solidFill>
          </w14:textFill>
        </w:rPr>
        <w:t xml:space="preserve">实际工程量</w:t>
      </w:r>
      <w:r>
        <w:rPr>
          <w:rFonts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24"/>
          <w:u w:val="single"/>
          <w14:textFill>
            <w14:solidFill>
              <w14:schemeClr w14:val="tx1"/>
            </w14:solidFill>
          </w14:textFill>
        </w:rPr>
        <w:t xml:space="preserve">中标综合单价</w:t>
      </w:r>
      <w:r>
        <w:rPr>
          <w:rFonts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24"/>
          <w:u w:val="single"/>
          <w14:textFill>
            <w14:solidFill>
              <w14:schemeClr w14:val="tx1"/>
            </w14:solidFill>
          </w14:textFill>
        </w:rPr>
        <w:t xml:space="preserve">措施项目费</w:t>
      </w:r>
      <w:r>
        <w:rPr>
          <w:rFonts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24"/>
          <w:u w:val="single"/>
          <w14:textFill>
            <w14:solidFill>
              <w14:schemeClr w14:val="tx1"/>
            </w14:solidFill>
          </w14:textFill>
        </w:rPr>
        <w:t xml:space="preserve">其他项目费</w:t>
      </w:r>
      <w:r>
        <w:rPr>
          <w:rFonts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24"/>
          <w:u w:val="single"/>
          <w14:textFill>
            <w14:solidFill>
              <w14:schemeClr w14:val="tx1"/>
            </w14:solidFill>
          </w14:textFill>
        </w:rPr>
        <w:t xml:space="preserve">规费</w:t>
      </w:r>
      <w:r>
        <w:rPr>
          <w:rFonts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24"/>
          <w:u w:val="single"/>
          <w14:textFill>
            <w14:solidFill>
              <w14:schemeClr w14:val="tx1"/>
            </w14:solidFill>
          </w14:textFill>
        </w:rPr>
        <w:t xml:space="preserve">税金</w:t>
      </w:r>
      <w:r>
        <w:rPr>
          <w:rFonts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24"/>
          <w:u w:val="single"/>
          <w14:textFill>
            <w14:solidFill>
              <w14:schemeClr w14:val="tx1"/>
            </w14:solidFill>
          </w14:textFill>
        </w:rPr>
        <w:t xml:space="preserve">合同与招标文件可以调整的价格。</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综合单价包含的风险范围：</w:t>
      </w:r>
      <w:r>
        <w:rPr>
          <w:rFonts w:hint="eastAsia" w:ascii="宋体" w:hAnsi="宋体"/>
          <w:color w:val="000000" w:themeColor="text1"/>
          <w:sz w:val="24"/>
          <w:u w:val="single"/>
          <w14:textFill>
            <w14:solidFill>
              <w14:schemeClr w14:val="tx1"/>
            </w14:solidFill>
          </w14:textFill>
        </w:rPr>
        <w:t xml:space="preserve">1、合同实施期间的政策性调整（规费及税金除外）、人工费调整、市场风险及其他风险，合同实施期间的材料及设备价格风险均由承包人承担，结算时一律不调整。</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无论招标时工程量清单中项目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风险费用的计算方法：</w:t>
      </w:r>
      <w:r>
        <w:rPr>
          <w:rFonts w:hint="eastAsia" w:ascii="宋体" w:hAnsi="宋体"/>
          <w:color w:val="000000" w:themeColor="text1"/>
          <w:sz w:val="24"/>
          <w:u w:val="single"/>
          <w14:textFill>
            <w14:solidFill>
              <w14:schemeClr w14:val="tx1"/>
            </w14:solidFill>
          </w14:textFill>
        </w:rPr>
        <w:t xml:space="preserve">已包含在中标综合单价中</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风险范围以外合同价格的调整方法：</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2、因招标工程量清单缺项、设计图纸（如有）（含设计变更）与招标工程量清单项目的特征描述不符、</w:t>
      </w:r>
      <w:r>
        <w:rPr>
          <w:rFonts w:hint="eastAsia" w:ascii="宋体" w:hAnsi="宋体"/>
          <w:color w:val="000000" w:themeColor="text1"/>
          <w:sz w:val="24"/>
          <w:u w:val="single"/>
          <w14:textFill>
            <w14:solidFill>
              <w14:schemeClr w14:val="tx1"/>
            </w14:solidFill>
          </w14:textFill>
        </w:rPr>
        <w:t xml:space="preserve">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材料设备价格按2024年第8期《盐城工程造价》）和取费标准提出变更工程项目的单价，经发包人确认后作为结算依据(该项目单价的下浮率按照中标时的下浮率执行)。中标下浮率计算公式如下：</w:t>
      </w:r>
      <w:r/>
    </w:p>
    <w:p>
      <w:pPr>
        <w:ind w:firstLine="480"/>
        <w:jc w:val="cente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预算价- 中标价</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下浮率 ＝------------------------------------------------×100%</w:t>
      </w:r>
      <w:r/>
    </w:p>
    <w:p>
      <w:pPr>
        <w:ind w:firstLine="480"/>
        <w:jc w:val="cente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预算价</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注：1、下浮率的计算均需扣除暂列金额、专业工程暂估价、暂估材料总价、发包人供应材料总价及上述四项的规费税金。</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2、上述公式中的预算价是指发包人委托编制的工程招标预算价（即工程的预算审核价）。</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3、措施项目费</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2）单价措施项目：执行投标时的综合单价。</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3）总价措施项目：</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除安全文明施工措施费根据核定结果结算外，采用费率报价的按原组价方式执行投标时的费率。未按费率报价的，按《计价定额》规定组价的措施项目按原组价方法调整，未按《计价定额》规定组价的措施项目按投标时价格折算成费率调整。</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5）因分部分项工程量清单缺项或非承包人原因的工程变更，引起施工方案改变并使措施项目发生变化时，拟实施的方案经发承包双方确认后执行，并按照下列规定调整措施项目费：</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①</w:t>
      </w:r>
      <w:r>
        <w:rPr>
          <w:rFonts w:hint="eastAsia" w:ascii="宋体" w:hAnsi="宋体"/>
          <w:color w:val="000000" w:themeColor="text1"/>
          <w:sz w:val="24"/>
          <w:u w:val="single"/>
          <w14:textFill>
            <w14:solidFill>
              <w14:schemeClr w14:val="tx1"/>
            </w14:solidFill>
          </w14:textFill>
        </w:rPr>
        <w:t xml:space="preserve">安全文明施工措施费按照工程造价管理机构核定的费率执行。</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w:t>
      </w:r>
      <w:r>
        <w:rPr>
          <w:rFonts w:hint="eastAsia" w:ascii="宋体" w:hAnsi="宋体"/>
          <w:color w:val="000000" w:themeColor="text1"/>
          <w:sz w:val="24"/>
          <w:u w:val="single"/>
          <w14:textFill>
            <w14:solidFill>
              <w14:schemeClr w14:val="tx1"/>
            </w14:solidFill>
          </w14:textFill>
        </w:rPr>
        <w:t xml:space="preserve">单价措施项目变更原则同分部分项工程。</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w:t>
      </w:r>
      <w:r>
        <w:rPr>
          <w:rFonts w:hint="eastAsia" w:ascii="宋体" w:hAnsi="宋体"/>
          <w:color w:val="000000" w:themeColor="text1"/>
          <w:sz w:val="24"/>
          <w:u w:val="single"/>
          <w14:textFill>
            <w14:solidFill>
              <w14:schemeClr w14:val="tx1"/>
            </w14:solidFill>
          </w14:textFill>
        </w:rPr>
        <w:t xml:space="preserve">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该项目单价的下浮率按照中标时的下浮率执行)。</w:t>
      </w:r>
      <w:r>
        <w:rPr>
          <w:rFonts w:hint="eastAsia" w:ascii="宋体" w:hAnsi="宋体"/>
          <w:color w:val="000000" w:themeColor="text1"/>
          <w:sz w:val="24"/>
          <w14:textFill>
            <w14:solidFill>
              <w14:schemeClr w14:val="tx1"/>
            </w14:solidFill>
          </w14:textFill>
        </w:rPr>
        <w:t xml:space="preserve"> </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w:t>
      </w:r>
      <w:r>
        <w:rPr>
          <w:rFonts w:hint="eastAsia" w:ascii="宋体" w:hAnsi="宋体"/>
          <w:b/>
          <w:color w:val="000000" w:themeColor="text1"/>
          <w:sz w:val="24"/>
          <w:u w:val="single"/>
          <w14:textFill>
            <w14:solidFill>
              <w14:schemeClr w14:val="tx1"/>
            </w14:solidFill>
          </w14:textFill>
        </w:rPr>
        <w:t xml:space="preserve">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p>
    <w:p>
      <w:pPr>
        <w:ind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招标期间及合同实施期间，涉及人工工资调整的相关政策性、指导性文件一律不予以执行，承包人在合同价中已充分考虑此风险费用。</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5、招标时暂定（暂估）价格在结算时按实调整。</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1)</w:t>
      </w:r>
      <w:r>
        <w:rPr>
          <w:rFonts w:hint="eastAsia" w:ascii="宋体" w:hAnsi="宋体"/>
          <w:color w:val="000000" w:themeColor="text1"/>
          <w:sz w:val="24"/>
          <w:u w:val="single"/>
          <w14:textFill>
            <w14:solidFill>
              <w14:schemeClr w14:val="tx1"/>
            </w14:solidFill>
          </w14:textFill>
        </w:rPr>
        <w:t xml:space="preserve">计日工按发包人实际签证确认的事项计算；</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2)</w:t>
      </w:r>
      <w:r>
        <w:rPr>
          <w:rFonts w:hint="eastAsia" w:ascii="宋体" w:hAnsi="宋体"/>
          <w:color w:val="000000" w:themeColor="text1"/>
          <w:sz w:val="24"/>
          <w:u w:val="single"/>
          <w14:textFill>
            <w14:solidFill>
              <w14:schemeClr w14:val="tx1"/>
            </w14:solidFill>
          </w14:textFill>
        </w:rPr>
        <w:t xml:space="preserve">暂估价中的材料单价按发、承包双方最终确认价在综合单价中调整；</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3)</w:t>
      </w:r>
      <w:r>
        <w:rPr>
          <w:rFonts w:hint="eastAsia" w:ascii="宋体" w:hAnsi="宋体"/>
          <w:color w:val="000000" w:themeColor="text1"/>
          <w:sz w:val="24"/>
          <w:u w:val="single"/>
          <w14:textFill>
            <w14:solidFill>
              <w14:schemeClr w14:val="tx1"/>
            </w14:solidFill>
          </w14:textFill>
        </w:rPr>
        <w:t xml:space="preserve">专业工程暂估价按专业工程招标中标价或发包人、承包人与分包人最终确认价计算；</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4)</w:t>
      </w:r>
      <w:r>
        <w:rPr>
          <w:rFonts w:hint="eastAsia" w:ascii="宋体" w:hAnsi="宋体"/>
          <w:color w:val="000000" w:themeColor="text1"/>
          <w:sz w:val="24"/>
          <w:u w:val="single"/>
          <w14:textFill>
            <w14:solidFill>
              <w14:schemeClr w14:val="tx1"/>
            </w14:solidFill>
          </w14:textFill>
        </w:rPr>
        <w:t xml:space="preserve">暂列金额减去工程价款调整与索赔、现场签证金额计算，如有余额归发包人；</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5)</w:t>
      </w:r>
      <w:r>
        <w:rPr>
          <w:rFonts w:hint="eastAsia" w:ascii="宋体" w:hAnsi="宋体"/>
          <w:color w:val="000000" w:themeColor="text1"/>
          <w:sz w:val="24"/>
          <w:u w:val="single"/>
          <w14:textFill>
            <w14:solidFill>
              <w14:schemeClr w14:val="tx1"/>
            </w14:solidFill>
          </w14:textFill>
        </w:rPr>
        <w:t xml:space="preserve">竣工结算时若承包人完成了发包人所要求的且为合同以外的零星工作或发生非承包人责任事件的工程量按现场实际完成的工程量经发包人签证确定。</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6、总承包</w:t>
      </w:r>
      <w:r>
        <w:rPr>
          <w:rFonts w:ascii="宋体" w:hAnsi="宋体"/>
          <w:color w:val="000000" w:themeColor="text1"/>
          <w:sz w:val="24"/>
          <w:u w:val="single"/>
          <w14:textFill>
            <w14:solidFill>
              <w14:schemeClr w14:val="tx1"/>
            </w14:solidFill>
          </w14:textFill>
        </w:rPr>
        <w:t xml:space="preserve">服务费</w:t>
      </w:r>
      <w:r>
        <w:rPr>
          <w:rFonts w:hint="eastAsia" w:ascii="宋体" w:hAnsi="宋体"/>
          <w:color w:val="000000" w:themeColor="text1"/>
          <w:sz w:val="24"/>
          <w:u w:val="single"/>
          <w14:textFill>
            <w14:solidFill>
              <w14:schemeClr w14:val="tx1"/>
            </w14:solidFill>
          </w14:textFill>
        </w:rPr>
        <w:t xml:space="preserve">的</w:t>
      </w:r>
      <w:r>
        <w:rPr>
          <w:rFonts w:ascii="宋体" w:hAnsi="宋体"/>
          <w:color w:val="000000" w:themeColor="text1"/>
          <w:sz w:val="24"/>
          <w:u w:val="single"/>
          <w14:textFill>
            <w14:solidFill>
              <w14:schemeClr w14:val="tx1"/>
            </w14:solidFill>
          </w14:textFill>
        </w:rPr>
        <w:t xml:space="preserve">约定：本工程不计总承包服务费。</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7、双方约定合同价款不予调整的情形，包括但不仅限于下列情形：</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1</w:t>
      </w:r>
      <w:r>
        <w:rPr>
          <w:rFonts w:hint="eastAsia" w:ascii="宋体" w:hAnsi="宋体"/>
          <w:color w:val="000000" w:themeColor="text1"/>
          <w:sz w:val="24"/>
          <w:u w:val="single"/>
          <w14:textFill>
            <w14:solidFill>
              <w14:schemeClr w14:val="tx1"/>
            </w14:solidFill>
          </w14:textFill>
        </w:rPr>
        <w:t xml:space="preserve">)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2）承包人原因造成工期延误，延误期间发生的材料价格上涨差额由承包人承担，不予调整；</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3）因承包人自身原因导致的工程变更、返工，造成工程价款增加的，不予调整；</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4）工程签证和变更根据建设主体工程变更和签证有关规定执行；</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5）签证内容不全、与事实不符或不符合技术标准、规范要求、施工常规、正常施工方法及已在招标文件要求计入投标报价范围的不予调整；</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6）不符合工程结算相关的法律、法规、规范性文件规定的价款不予调整。</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8、所有的设计变更均须发包人、设计单位和监理单位三方签字后方可生效；变更的工程量签证均须发包人、承包人和监理单位三方签字后方可生效，未经确认的工程量发包人有权不予结算。</w:t>
      </w:r>
      <w:r/>
    </w:p>
    <w:p>
      <w:pPr>
        <w:ind w:firstLine="480"/>
        <w:jc w:val="left"/>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9、</w:t>
      </w:r>
      <w:r>
        <w:rPr>
          <w:rFonts w:hint="eastAsia" w:ascii="宋体" w:hAnsi="宋体" w:cs="宋体"/>
          <w:bCs/>
          <w:color w:val="000000" w:themeColor="text1"/>
          <w:sz w:val="24"/>
          <w:u w:val="single"/>
          <w14:textFill>
            <w14:solidFill>
              <w14:schemeClr w14:val="tx1"/>
            </w14:solidFill>
          </w14:textFill>
        </w:rPr>
        <w:t xml:space="preserve">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10、</w:t>
      </w:r>
      <w:r>
        <w:rPr>
          <w:rFonts w:hint="eastAsia" w:ascii="宋体" w:hAnsi="宋体" w:cs="宋体"/>
          <w:color w:val="000000" w:themeColor="text1"/>
          <w:sz w:val="24"/>
          <w:u w:val="single"/>
          <w14:textFill>
            <w14:solidFill>
              <w14:schemeClr w14:val="tx1"/>
            </w14:solidFill>
          </w14:textFill>
        </w:rPr>
        <w:t xml:space="preserve">施工便道：投标人在投标报价时应自行充分考虑便道自行建设费用，项目实施过程中关于此项费用</w:t>
      </w:r>
      <w:r>
        <w:rPr>
          <w:rFonts w:hint="eastAsia" w:ascii="宋体" w:hAnsi="宋体"/>
          <w:color w:val="000000" w:themeColor="text1"/>
          <w:sz w:val="24"/>
          <w:u w:val="single"/>
          <w14:textFill>
            <w14:solidFill>
              <w14:schemeClr w14:val="tx1"/>
            </w14:solidFill>
          </w14:textFill>
        </w:rPr>
        <w:t xml:space="preserve">发包人</w:t>
      </w:r>
      <w:r>
        <w:rPr>
          <w:rFonts w:hint="eastAsia" w:ascii="宋体" w:hAnsi="宋体" w:cs="宋体"/>
          <w:color w:val="000000" w:themeColor="text1"/>
          <w:sz w:val="24"/>
          <w:u w:val="single"/>
          <w14:textFill>
            <w14:solidFill>
              <w14:schemeClr w14:val="tx1"/>
            </w14:solidFill>
          </w14:textFill>
        </w:rPr>
        <w:t xml:space="preserve">也将不予签证。施工便道的具体做法按工程施工及</w:t>
      </w:r>
      <w:r>
        <w:rPr>
          <w:rFonts w:hint="eastAsia" w:ascii="宋体" w:hAnsi="宋体"/>
          <w:color w:val="000000" w:themeColor="text1"/>
          <w:sz w:val="24"/>
          <w:u w:val="single"/>
          <w14:textFill>
            <w14:solidFill>
              <w14:schemeClr w14:val="tx1"/>
            </w14:solidFill>
          </w14:textFill>
        </w:rPr>
        <w:t xml:space="preserve">发包人</w:t>
      </w:r>
      <w:r>
        <w:rPr>
          <w:rFonts w:hint="eastAsia" w:ascii="宋体" w:hAnsi="宋体" w:cs="宋体"/>
          <w:color w:val="000000" w:themeColor="text1"/>
          <w:sz w:val="24"/>
          <w:u w:val="single"/>
          <w14:textFill>
            <w14:solidFill>
              <w14:schemeClr w14:val="tx1"/>
            </w14:solidFill>
          </w14:textFill>
        </w:rPr>
        <w:t xml:space="preserve">的需求，做到安全文明施工、畅通等的要求。如承包人</w:t>
      </w:r>
      <w:bookmarkStart w:id="617" w:name="page75"/>
      <w:r/>
      <w:bookmarkEnd w:id="617"/>
      <w:r>
        <w:rPr>
          <w:rFonts w:hint="eastAsia" w:ascii="宋体" w:hAnsi="宋体" w:cs="宋体"/>
          <w:color w:val="000000" w:themeColor="text1"/>
          <w:sz w:val="24"/>
          <w:u w:val="single"/>
          <w14:textFill>
            <w14:solidFill>
              <w14:schemeClr w14:val="tx1"/>
            </w14:solidFill>
          </w14:textFill>
        </w:rPr>
        <w:t xml:space="preserve">在项目实施过程中不按</w:t>
      </w:r>
      <w:r>
        <w:rPr>
          <w:rFonts w:hint="eastAsia" w:ascii="宋体" w:hAnsi="宋体"/>
          <w:color w:val="000000" w:themeColor="text1"/>
          <w:sz w:val="24"/>
          <w:u w:val="single"/>
          <w14:textFill>
            <w14:solidFill>
              <w14:schemeClr w14:val="tx1"/>
            </w14:solidFill>
          </w14:textFill>
        </w:rPr>
        <w:t xml:space="preserve">发包人</w:t>
      </w:r>
      <w:r>
        <w:rPr>
          <w:rFonts w:hint="eastAsia" w:ascii="宋体" w:hAnsi="宋体" w:cs="宋体"/>
          <w:color w:val="000000" w:themeColor="text1"/>
          <w:sz w:val="24"/>
          <w:u w:val="single"/>
          <w14:textFill>
            <w14:solidFill>
              <w14:schemeClr w14:val="tx1"/>
            </w14:solidFill>
          </w14:textFill>
        </w:rPr>
        <w:t xml:space="preserve">要求实施，</w:t>
      </w:r>
      <w:r>
        <w:rPr>
          <w:rFonts w:hint="eastAsia" w:ascii="宋体" w:hAnsi="宋体"/>
          <w:color w:val="000000" w:themeColor="text1"/>
          <w:sz w:val="24"/>
          <w:u w:val="single"/>
          <w14:textFill>
            <w14:solidFill>
              <w14:schemeClr w14:val="tx1"/>
            </w14:solidFill>
          </w14:textFill>
        </w:rPr>
        <w:t xml:space="preserve">发包人</w:t>
      </w:r>
      <w:r>
        <w:rPr>
          <w:rFonts w:hint="eastAsia" w:ascii="宋体" w:hAnsi="宋体" w:cs="宋体"/>
          <w:color w:val="000000" w:themeColor="text1"/>
          <w:sz w:val="24"/>
          <w:u w:val="single"/>
          <w14:textFill>
            <w14:solidFill>
              <w14:schemeClr w14:val="tx1"/>
            </w14:solidFill>
          </w14:textFill>
        </w:rPr>
        <w:t xml:space="preserve">有权要求承包人整改，如承包人拒绝整改，</w:t>
      </w:r>
      <w:r>
        <w:rPr>
          <w:rFonts w:hint="eastAsia" w:ascii="宋体" w:hAnsi="宋体"/>
          <w:color w:val="000000" w:themeColor="text1"/>
          <w:sz w:val="24"/>
          <w:u w:val="single"/>
          <w14:textFill>
            <w14:solidFill>
              <w14:schemeClr w14:val="tx1"/>
            </w14:solidFill>
          </w14:textFill>
        </w:rPr>
        <w:t xml:space="preserve">发包人</w:t>
      </w:r>
      <w:r>
        <w:rPr>
          <w:rFonts w:hint="eastAsia" w:ascii="宋体" w:hAnsi="宋体" w:cs="宋体"/>
          <w:color w:val="000000" w:themeColor="text1"/>
          <w:sz w:val="24"/>
          <w:u w:val="single"/>
          <w14:textFill>
            <w14:solidFill>
              <w14:schemeClr w14:val="tx1"/>
            </w14:solidFill>
          </w14:textFill>
        </w:rPr>
        <w:t xml:space="preserve">可对本项目的现场安全文明施工措施费费率降低或不计取。</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11、本项目施工过程中遇到的一切地方矛盾及由此发生的费用与发包人无涉，均由承包人自行负责，相关费用已含在合同价中，结算时不调整。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12、本工程</w:t>
      </w:r>
      <w:r>
        <w:rPr>
          <w:rFonts w:hint="eastAsia" w:ascii="宋体" w:hAnsi="宋体"/>
          <w:color w:val="000000" w:themeColor="text1"/>
          <w:sz w:val="24"/>
          <w:u w:val="single"/>
          <w14:textFill>
            <w14:solidFill>
              <w14:schemeClr w14:val="tx1"/>
            </w14:solidFill>
          </w14:textFill>
        </w:rPr>
        <w:t xml:space="preserve">承包人须负责施工现场垃圾清运，垃圾须清运出现场且符合相关主管部门的规定，</w:t>
      </w:r>
      <w:r>
        <w:rPr>
          <w:rFonts w:hint="eastAsia" w:ascii="宋体" w:hAnsi="宋体" w:cs="宋体"/>
          <w:color w:val="000000" w:themeColor="text1"/>
          <w:sz w:val="24"/>
          <w:u w:val="single"/>
          <w14:textFill>
            <w14:solidFill>
              <w14:schemeClr w14:val="tx1"/>
            </w14:solidFill>
          </w14:textFill>
        </w:rPr>
        <w:t xml:space="preserve">相关费用已含在合同价中。</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13、承包人应自行勘察现场和充分考虑各类施工难度，合同价中含施工现场的成品保护费；如造成损坏，均由承包人自行实施修复，费用含在合同价中。</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14、施工现场材料的堆放、二次运输以及承包人现场驻地等需由承包人自行考虑，且不得破坏现场已建设完成的设施，如破坏的，均由本工程承包人负责及时修复至原状。上述费用含在合同价中。</w:t>
      </w:r>
      <w:r/>
    </w:p>
    <w:p>
      <w:pPr>
        <w:ind w:firstLine="480"/>
        <w:jc w:val="left"/>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15、本项目发包人、承包人严格按照盐建建筑〔2016〕35号《关于进一步做好建筑施工拖欠农民工工资治理工作的通知》文件要求执行。</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2、总价合同。</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总价包含的风险范围：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风险费用的计算方法：</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风险范围以外合同价格的调整方法：</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3、其他价格方式：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bookmarkStart w:id="618" w:name="_Toc300935004"/>
      <w:r/>
      <w:bookmarkStart w:id="619" w:name="_Toc304295581"/>
      <w:r/>
      <w:bookmarkStart w:id="620" w:name="_Toc312678042"/>
      <w:r/>
      <w:bookmarkStart w:id="621" w:name="_Toc303539161"/>
      <w:r/>
      <w:bookmarkStart w:id="622" w:name="_Toc297123554"/>
      <w:r/>
      <w:bookmarkStart w:id="623" w:name="_Toc297216213"/>
      <w:r/>
      <w:bookmarkStart w:id="624" w:name="_Toc296944546"/>
      <w:r/>
      <w:bookmarkStart w:id="625" w:name="_Toc296346708"/>
      <w:r/>
      <w:bookmarkStart w:id="626" w:name="_Toc296891247"/>
      <w:r/>
      <w:bookmarkStart w:id="627" w:name="_Toc297048393"/>
      <w:r/>
      <w:bookmarkStart w:id="628" w:name="_Toc292559412"/>
      <w:r/>
      <w:bookmarkStart w:id="629" w:name="_Toc296503207"/>
      <w:r/>
      <w:bookmarkStart w:id="630" w:name="_Toc292559917"/>
      <w:r/>
      <w:bookmarkStart w:id="631" w:name="_Toc297120507"/>
      <w:r/>
      <w:bookmarkStart w:id="632" w:name="_Toc296891035"/>
      <w:r/>
      <w:bookmarkStart w:id="633" w:name="_Toc296347206"/>
      <w:r>
        <w:rPr>
          <w:rFonts w:ascii="宋体" w:hAnsi="宋体"/>
          <w:b/>
          <w:bCs/>
          <w:color w:val="000000" w:themeColor="text1"/>
          <w:sz w:val="24"/>
          <w14:textFill>
            <w14:solidFill>
              <w14:schemeClr w14:val="tx1"/>
            </w14:solidFill>
          </w14:textFill>
        </w:rPr>
        <w:t xml:space="preserve">12.2 预付款</w:t>
      </w:r>
      <w:bookmarkEnd w:id="618"/>
      <w:r/>
      <w:bookmarkEnd w:id="619"/>
      <w:r/>
      <w:bookmarkEnd w:id="620"/>
      <w:r/>
      <w:bookmarkEnd w:id="621"/>
      <w:r/>
      <w:bookmarkEnd w:id="622"/>
      <w:r/>
      <w:bookmarkEnd w:id="623"/>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12.2.1 预付款的支付</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预付款支付比例或金额：</w:t>
      </w:r>
      <w:r>
        <w:rPr>
          <w:rFonts w:ascii="宋体" w:hAnsi="宋体"/>
          <w:color w:val="000000" w:themeColor="text1"/>
          <w:sz w:val="24"/>
          <w:u w:val="single"/>
          <w14:textFill>
            <w14:solidFill>
              <w14:schemeClr w14:val="tx1"/>
            </w14:solidFill>
          </w14:textFill>
        </w:rPr>
        <w:t xml:space="preserve">   </w:t>
      </w:r>
      <w:r>
        <w:rPr>
          <w:rFonts w:hint="eastAsia" w:ascii="宋体" w:hAnsi="宋体" w:cs="仿宋_GB2312"/>
          <w:color w:val="000000" w:themeColor="text1"/>
          <w:sz w:val="24"/>
          <w:szCs w:val="22"/>
          <w:u w:val="single"/>
          <w14:textFill>
            <w14:solidFill>
              <w14:schemeClr w14:val="tx1"/>
            </w14:solidFill>
          </w14:textFill>
        </w:rPr>
        <w:t xml:space="preserve">见12.4.1付款周期</w:t>
      </w:r>
      <w:r>
        <w:rPr>
          <w:rFonts w:ascii="宋体" w:hAnsi="宋体" w:cs="仿宋_GB2312"/>
          <w:color w:val="000000" w:themeColor="text1"/>
          <w:sz w:val="24"/>
          <w:szCs w:val="22"/>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预付款支付期限：</w:t>
      </w:r>
      <w:r>
        <w:rPr>
          <w:rFonts w:ascii="宋体" w:hAnsi="宋体"/>
          <w:color w:val="000000" w:themeColor="text1"/>
          <w:sz w:val="24"/>
          <w:u w:val="single"/>
          <w14:textFill>
            <w14:solidFill>
              <w14:schemeClr w14:val="tx1"/>
            </w14:solidFill>
          </w14:textFill>
        </w:rPr>
        <w:t xml:space="preserve">  </w:t>
      </w:r>
      <w:r>
        <w:rPr>
          <w:rFonts w:hint="eastAsia" w:ascii="宋体" w:hAnsi="宋体" w:cs="仿宋_GB2312"/>
          <w:color w:val="000000" w:themeColor="text1"/>
          <w:sz w:val="24"/>
          <w:szCs w:val="22"/>
          <w:u w:val="single"/>
          <w14:textFill>
            <w14:solidFill>
              <w14:schemeClr w14:val="tx1"/>
            </w14:solidFill>
          </w14:textFill>
        </w:rPr>
        <w:t xml:space="preserve">见12.4.1付款周期</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预付款扣回的方式：</w:t>
      </w:r>
      <w:r>
        <w:rPr>
          <w:rFonts w:ascii="宋体" w:hAnsi="宋体"/>
          <w:color w:val="000000" w:themeColor="text1"/>
          <w:sz w:val="24"/>
          <w:u w:val="single"/>
          <w14:textFill>
            <w14:solidFill>
              <w14:schemeClr w14:val="tx1"/>
            </w14:solidFill>
          </w14:textFill>
        </w:rPr>
        <w:t xml:space="preserve">  </w:t>
      </w:r>
      <w:r>
        <w:rPr>
          <w:rFonts w:hint="eastAsia" w:ascii="宋体" w:hAnsi="宋体" w:cs="仿宋_GB2312"/>
          <w:color w:val="000000" w:themeColor="text1"/>
          <w:sz w:val="24"/>
          <w:szCs w:val="22"/>
          <w:u w:val="single"/>
          <w14:textFill>
            <w14:solidFill>
              <w14:schemeClr w14:val="tx1"/>
            </w14:solidFill>
          </w14:textFill>
        </w:rPr>
        <w:t xml:space="preserve">见12.4.1付款周期</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12.2.2 预付款担保</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承包人提交预付款担保的期限：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预付款担保的形式为：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bookmarkEnd w:id="624"/>
      <w:r/>
      <w:bookmarkEnd w:id="625"/>
      <w:r/>
      <w:bookmarkEnd w:id="626"/>
      <w:r/>
      <w:bookmarkEnd w:id="627"/>
      <w:r/>
      <w:bookmarkEnd w:id="628"/>
      <w:r/>
      <w:bookmarkEnd w:id="629"/>
      <w:r/>
      <w:bookmarkEnd w:id="630"/>
      <w:r/>
      <w:bookmarkEnd w:id="631"/>
      <w:r/>
      <w:bookmarkEnd w:id="632"/>
      <w:r/>
      <w:bookmarkEnd w:id="633"/>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12.3 计量</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12.3.1 计量原则</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工程量计算规则：</w:t>
      </w:r>
      <w:r>
        <w:rPr>
          <w:rFonts w:hint="eastAsia" w:ascii="宋体" w:hAnsi="宋体"/>
          <w:color w:val="000000" w:themeColor="text1"/>
          <w:sz w:val="24"/>
          <w:u w:val="single"/>
          <w14:textFill>
            <w14:solidFill>
              <w14:schemeClr w14:val="tx1"/>
            </w14:solidFill>
          </w14:textFill>
        </w:rPr>
        <w:t xml:space="preserve">以相关的国家标准、行业标准为依据</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12.3.2 计量周期</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关于计量周期的约定：</w:t>
      </w:r>
      <w:r>
        <w:rPr>
          <w:rFonts w:hint="eastAsia" w:ascii="宋体" w:hAnsi="宋体"/>
          <w:color w:val="000000" w:themeColor="text1"/>
          <w:sz w:val="24"/>
          <w:u w:val="single"/>
          <w14:textFill>
            <w14:solidFill>
              <w14:schemeClr w14:val="tx1"/>
            </w14:solidFill>
          </w14:textFill>
        </w:rPr>
        <w:t xml:space="preserve">按形象进度计量。工程竣工验收后提交工程报告，验收不合格的分部分项工程不予计量，不得支付工程款</w:t>
      </w:r>
      <w:r>
        <w:rPr>
          <w:rFonts w:ascii="宋体" w:hAnsi="宋体"/>
          <w:color w:val="000000" w:themeColor="text1"/>
          <w:sz w:val="24"/>
          <w14:textFill>
            <w14:solidFill>
              <w14:schemeClr w14:val="tx1"/>
            </w14:solidFill>
          </w14:textFill>
        </w:rPr>
        <w:t xml:space="preserve">。</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12.3.3 单价合同的计量</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关于单价合同计量的约定：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12.3.4 总价合同的计量</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关于总价合同计量的约定：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12.3.5总价合同采用支付分解表计量支付的，是否适用第12.3.4 项</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总价合同的计量</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约定</w:t>
      </w:r>
      <w:r>
        <w:rPr>
          <w:rFonts w:hint="eastAsia" w:ascii="宋体" w:hAnsi="宋体"/>
          <w:color w:val="000000" w:themeColor="text1"/>
          <w:sz w:val="24"/>
          <w14:textFill>
            <w14:solidFill>
              <w14:schemeClr w14:val="tx1"/>
            </w14:solidFill>
          </w14:textFill>
        </w:rPr>
        <w:t xml:space="preserve">进行计量：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14:textFill>
            <w14:solidFill>
              <w14:schemeClr w14:val="tx1"/>
            </w14:solidFill>
          </w14:textFill>
        </w:rPr>
        <w:t xml:space="preserve">。</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12.3.6 其他价格形式合同的计量</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其他价格形式的计量方式和程序：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5"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12.4 工程进度款支付</w:t>
      </w:r>
      <w:r/>
    </w:p>
    <w:p>
      <w:pPr>
        <w:ind w:firstLine="480"/>
        <w:jc w:val="left"/>
        <w:spacing w:line="360" w:lineRule="auto"/>
        <w:rPr>
          <w:rFonts w:ascii="宋体" w:hAnsi="宋体"/>
          <w:color w:val="000000" w:themeColor="text1"/>
          <w:sz w:val="24"/>
          <w14:textFill>
            <w14:solidFill>
              <w14:schemeClr w14:val="tx1"/>
            </w14:solidFill>
          </w14:textFill>
        </w:rPr>
      </w:pPr>
      <w:r/>
      <w:bookmarkStart w:id="634" w:name="_Toc296891039"/>
      <w:r/>
      <w:bookmarkStart w:id="635" w:name="_Toc292559416"/>
      <w:r/>
      <w:bookmarkStart w:id="636" w:name="_Toc297123556"/>
      <w:r/>
      <w:bookmarkStart w:id="637" w:name="_Toc297120511"/>
      <w:r/>
      <w:bookmarkStart w:id="638" w:name="_Toc296891251"/>
      <w:r/>
      <w:bookmarkStart w:id="639" w:name="_Toc303539163"/>
      <w:r/>
      <w:bookmarkStart w:id="640" w:name="_Toc300935006"/>
      <w:r/>
      <w:bookmarkStart w:id="641" w:name="_Toc296346712"/>
      <w:r/>
      <w:bookmarkStart w:id="642" w:name="_Toc296503211"/>
      <w:r/>
      <w:bookmarkStart w:id="643" w:name="_Toc297216215"/>
      <w:r/>
      <w:bookmarkStart w:id="644" w:name="_Toc296347210"/>
      <w:r/>
      <w:bookmarkStart w:id="645" w:name="_Toc296944550"/>
      <w:r/>
      <w:bookmarkStart w:id="646" w:name="_Toc292559921"/>
      <w:r/>
      <w:bookmarkStart w:id="647" w:name="_Toc297048397"/>
      <w:r>
        <w:rPr>
          <w:rFonts w:ascii="宋体" w:hAnsi="宋体"/>
          <w:color w:val="000000" w:themeColor="text1"/>
          <w:sz w:val="24"/>
          <w14:textFill>
            <w14:solidFill>
              <w14:schemeClr w14:val="tx1"/>
            </w14:solidFill>
          </w14:textFill>
        </w:rPr>
        <w:t xml:space="preserve">12.4.1 付款周期</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关于付款周期的约定：</w:t>
      </w:r>
      <w:r/>
    </w:p>
    <w:p>
      <w:pPr>
        <w:ind w:firstLine="482"/>
        <w:jc w:val="left"/>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工程款指合同价(即中标价) 扣除暂列金额、专业工程暂估价、发包人供应材料设备价格及上述三项的规费和税金后的工程价款。具体付款幅度如下:</w:t>
      </w:r>
      <w:r/>
    </w:p>
    <w:p>
      <w:pPr>
        <w:ind w:firstLine="482"/>
        <w:jc w:val="left"/>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（1）双方签订合同后，发包人在收到承包人提供的发票后10个工作日内支付合同价</w:t>
      </w:r>
      <w:r>
        <w:rPr>
          <w:rFonts w:ascii="宋体" w:hAnsi="宋体"/>
          <w:b/>
          <w:bCs/>
          <w:color w:val="000000" w:themeColor="text1"/>
          <w:sz w:val="24"/>
          <w14:textFill>
            <w14:solidFill>
              <w14:schemeClr w14:val="tx1"/>
            </w14:solidFill>
          </w14:textFill>
        </w:rPr>
        <w:t xml:space="preserve">(不含暂列金额及暂估价及其规费、税金</w:t>
      </w:r>
      <w:r>
        <w:rPr>
          <w:rFonts w:hint="eastAsia" w:ascii="宋体" w:hAnsi="宋体"/>
          <w:b/>
          <w:bCs/>
          <w:color w:val="000000" w:themeColor="text1"/>
          <w:sz w:val="24"/>
          <w14:textFill>
            <w14:solidFill>
              <w14:schemeClr w14:val="tx1"/>
            </w14:solidFill>
          </w14:textFill>
        </w:rPr>
        <w:t xml:space="preserve">)的10%为预付款，工程竣工验收合格且承包人提供全额增值税专用发票后，发包人支付至合同价的70%。同时发包人退还履约保证金； </w:t>
      </w:r>
      <w:r/>
    </w:p>
    <w:p>
      <w:pPr>
        <w:ind w:firstLine="482"/>
        <w:jc w:val="left"/>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2）工程竣工验收合格且经相关审计结束后（自发包人接到竣工结算报告和完整的竣工结算资料之日起算30天内），付至最终审定工程款的90%；余款待质保期满后结清。施工合同中约定的质量保修责任及发生的相关费用由本工程的承包人承担</w:t>
      </w:r>
      <w:r>
        <w:rPr>
          <w:rFonts w:hint="eastAsia" w:ascii="宋体" w:hAnsi="宋体"/>
          <w:b/>
          <w:bCs/>
          <w:color w:val="000000" w:themeColor="text1"/>
          <w:sz w:val="24"/>
          <w:lang w:eastAsia="zh-CN"/>
          <w14:textFill>
            <w14:solidFill>
              <w14:schemeClr w14:val="tx1"/>
            </w14:solidFill>
          </w14:textFill>
        </w:rPr>
        <w:t xml:space="preserve">，承包人应在工程竣工验收前，完成工程竣工结算编制工作。在工程竣工验收合格后28日内，须将齐全、真实、有效、完整的工程竣工结算资料，报送发包人，承包人与发包人双方交接竣工结算资料以签字确认为准。否则，延迟的工程结算时间等责任由承包人自行承担。进入工程结算（一审）程序后，承包人不得再增补资料。无效、不全的资料均作为核减处理，责任由承包人自负。</w:t>
      </w:r>
      <w:r>
        <w:rPr>
          <w:rFonts w:hint="eastAsia" w:ascii="宋体" w:hAnsi="宋体"/>
          <w:b/>
          <w:bCs/>
          <w:color w:val="000000" w:themeColor="text1"/>
          <w:sz w:val="24"/>
          <w14:textFill>
            <w14:solidFill>
              <w14:schemeClr w14:val="tx1"/>
            </w14:solidFill>
          </w14:textFill>
        </w:rPr>
        <w:t xml:space="preserve"> </w:t>
      </w:r>
      <w:r/>
    </w:p>
    <w:p>
      <w:pPr>
        <w:ind w:firstLine="482"/>
        <w:jc w:val="left"/>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（3）以上付款均不计任何利息和相关费用，每一次付款承包人须按发包人要求提供等额增值税发票，经发包人审核且财政资金到位后支付相应款项。</w:t>
      </w:r>
      <w:r/>
    </w:p>
    <w:p>
      <w:pPr>
        <w:ind w:firstLine="42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u w:val="single"/>
          <w14:textFill>
            <w14:solidFill>
              <w14:schemeClr w14:val="tx1"/>
            </w14:solidFill>
          </w14:textFill>
        </w:rPr>
        <w:t xml:space="preserve">注：</w:t>
      </w:r>
      <w:r>
        <w:rPr>
          <w:rFonts w:hint="eastAsia" w:ascii="宋体" w:hAnsi="宋体" w:cs="宋体"/>
          <w:color w:val="000000" w:themeColor="text1"/>
          <w:szCs w:val="21"/>
          <w:u w:val="single"/>
          <w14:textFill>
            <w14:solidFill>
              <w14:schemeClr w14:val="tx1"/>
            </w14:solidFill>
          </w14:textFill>
        </w:rPr>
        <w:t xml:space="preserve">（1）本工程价款一律通过银行非现金结算，工程款汇入企业基本帐户，实行专款专用。本项目合同计税方法采用增值税一般计税方法，承包人须提供相应的增值税发票。按以上付款进度，无任何利息补偿。</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农民工工资确保支付方式：严格落实农民工工资专用</w:t>
      </w:r>
      <w:r>
        <w:rPr>
          <w:rFonts w:hint="eastAsia" w:ascii="宋体" w:hAnsi="宋体" w:cs="宋体"/>
          <w:color w:val="000000" w:themeColor="text1"/>
          <w:szCs w:val="21"/>
          <w14:textFill>
            <w14:solidFill>
              <w14:schemeClr w14:val="tx1"/>
            </w14:solidFill>
          </w14:textFill>
        </w:rPr>
        <w:t xml:space="preserve">账</w:t>
      </w:r>
      <w:r>
        <w:rPr>
          <w:rFonts w:ascii="宋体" w:hAnsi="宋体" w:cs="宋体"/>
          <w:color w:val="000000" w:themeColor="text1"/>
          <w:szCs w:val="21"/>
          <w14:textFill>
            <w14:solidFill>
              <w14:schemeClr w14:val="tx1"/>
            </w14:solidFill>
          </w14:textFill>
        </w:rPr>
        <w:t xml:space="preserve">户制度，施工企业项目开工前，按规定开设农民工工资专用</w:t>
      </w:r>
      <w:r>
        <w:rPr>
          <w:rFonts w:hint="eastAsia" w:ascii="宋体" w:hAnsi="宋体" w:cs="宋体"/>
          <w:color w:val="000000" w:themeColor="text1"/>
          <w:szCs w:val="21"/>
          <w14:textFill>
            <w14:solidFill>
              <w14:schemeClr w14:val="tx1"/>
            </w14:solidFill>
          </w14:textFill>
        </w:rPr>
        <w:t xml:space="preserve">账</w:t>
      </w:r>
      <w:r>
        <w:rPr>
          <w:rFonts w:ascii="宋体" w:hAnsi="宋体" w:cs="宋体"/>
          <w:color w:val="000000" w:themeColor="text1"/>
          <w:szCs w:val="21"/>
          <w14:textFill>
            <w14:solidFill>
              <w14:schemeClr w14:val="tx1"/>
            </w14:solidFill>
          </w14:textFill>
        </w:rPr>
        <w:t xml:space="preserve">户，建设单位按工程施工合同约定向农民工工资专用</w:t>
      </w:r>
      <w:r>
        <w:rPr>
          <w:rFonts w:hint="eastAsia" w:ascii="宋体" w:hAnsi="宋体" w:cs="宋体"/>
          <w:color w:val="000000" w:themeColor="text1"/>
          <w:szCs w:val="21"/>
          <w14:textFill>
            <w14:solidFill>
              <w14:schemeClr w14:val="tx1"/>
            </w14:solidFill>
          </w14:textFill>
        </w:rPr>
        <w:t xml:space="preserve">账</w:t>
      </w:r>
      <w:r>
        <w:rPr>
          <w:rFonts w:ascii="宋体" w:hAnsi="宋体" w:cs="宋体"/>
          <w:color w:val="000000" w:themeColor="text1"/>
          <w:szCs w:val="21"/>
          <w14:textFill>
            <w14:solidFill>
              <w14:schemeClr w14:val="tx1"/>
            </w14:solidFill>
          </w14:textFill>
        </w:rPr>
        <w:t xml:space="preserve">户存入不低于进度款20%的资金，应发工资高于进度款20%的，则按照实际工资数额存入工资专户</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对未及时支付农民工工资的施工企业，发包人应当书面报告给招投标监管部门和建设行政主管部门。</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本项目发包人要求承包人严格按照苏人社规【2022】3 号、苏人社规【2022】4 号以及盐住建建筑（2021）56 号文件要求的关于农民工工资相关约定执行。</w:t>
      </w:r>
      <w:r/>
    </w:p>
    <w:p>
      <w:pPr>
        <w:ind w:firstLine="420"/>
        <w:spacing w:line="360" w:lineRule="auto"/>
        <w:rPr>
          <w:rFonts w:ascii="宋体" w:hAnsi="宋体" w:cs="宋体"/>
          <w:b/>
          <w:bCs/>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合同签订时，经采购人与中标人根据实际情况协商一致，</w:t>
      </w:r>
      <w:r>
        <w:rPr>
          <w:rFonts w:hint="eastAsia" w:ascii="宋体" w:hAnsi="宋体" w:cs="宋体"/>
          <w:color w:val="000000" w:themeColor="text1"/>
          <w:szCs w:val="21"/>
          <w14:textFill>
            <w14:solidFill>
              <w14:schemeClr w14:val="tx1"/>
            </w14:solidFill>
          </w14:textFill>
        </w:rPr>
        <w:t xml:space="preserve">发包人在收到承包人提供的发票后10个工作日内支付合同价(不含暂列金额及暂估价及其规费、税金)的10%为预付款</w:t>
      </w:r>
      <w:r>
        <w:rPr>
          <w:rFonts w:ascii="宋体" w:hAnsi="宋体" w:cs="宋体"/>
          <w:color w:val="000000" w:themeColor="text1"/>
          <w:szCs w:val="21"/>
          <w14:textFill>
            <w14:solidFill>
              <w14:schemeClr w14:val="tx1"/>
            </w14:solidFill>
          </w14:textFill>
        </w:rPr>
        <w:t xml:space="preserve">；供应商明确表示无需预付款或者主动要求降低预付款比例的由双方另行商定。</w:t>
      </w:r>
      <w:r/>
    </w:p>
    <w:p>
      <w:pPr>
        <w:ind w:firstLine="422"/>
        <w:spacing w:line="360" w:lineRule="auto"/>
        <w:rPr>
          <w:rFonts w:ascii="宋体" w:hAnsi="宋体" w:cs="宋体"/>
          <w:b/>
          <w:bCs/>
          <w:color w:val="000000" w:themeColor="text1"/>
          <w:szCs w:val="21"/>
          <w:u w:val="single"/>
          <w14:textFill>
            <w14:solidFill>
              <w14:schemeClr w14:val="tx1"/>
            </w14:solidFill>
          </w14:textFill>
        </w:rPr>
      </w:pPr>
      <w:r>
        <w:rPr>
          <w:rFonts w:hint="eastAsia" w:ascii="宋体" w:hAnsi="宋体" w:cs="宋体"/>
          <w:b/>
          <w:bCs/>
          <w:color w:val="000000" w:themeColor="text1"/>
          <w:szCs w:val="21"/>
          <w:u w:val="single"/>
          <w14:textFill>
            <w14:solidFill>
              <w14:schemeClr w14:val="tx1"/>
            </w14:solidFill>
          </w14:textFill>
        </w:rPr>
        <w:t xml:space="preserve">（2）在发包人支付工程款前 7 个工作日内，承包人应按各期付款金额向发包人开具符合国家法律法规和标准的增值税发票，且开具发票的形式与内容均合法、有效、完整、准确；发包方在收到增值税务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本工程提交审计时，承包人应在发包人约定的时间内完成资料整理，并积极配合，要求资料齐全、计算准确，不得虚报，要求与审计价差距不得超出5%。</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（1）若承包人的结算报审价与最终审定价≤5%，审计费由发包人承担。</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2）承包人报送价与终审审核价误差率＞5%且≤10%时，超出5%部分的审计费用由承包人承担；误差率＞10%时，所有审计费用均由承包人承担；误差率≥20%时，承包人除承担所有审计费用外，还将承担该项目核减额5%的违约金。发包人有权要求承包人在审计报告出具后二十日内支付，或发包人可直接从工程款中扣除。</w:t>
      </w:r>
      <w:r/>
    </w:p>
    <w:p>
      <w:pPr>
        <w:ind w:firstLine="422"/>
        <w:spacing w:line="360" w:lineRule="auto"/>
        <w:rPr>
          <w:rFonts w:ascii="宋体" w:hAnsi="宋体" w:cs="宋体"/>
          <w:b/>
          <w:bCs/>
          <w:color w:val="000000" w:themeColor="text1"/>
          <w:szCs w:val="21"/>
          <w:u w:val="single"/>
          <w14:textFill>
            <w14:solidFill>
              <w14:schemeClr w14:val="tx1"/>
            </w14:solidFill>
          </w14:textFill>
        </w:rPr>
      </w:pPr>
      <w:r>
        <w:rPr>
          <w:rFonts w:hint="eastAsia" w:ascii="宋体" w:hAnsi="宋体" w:cs="宋体"/>
          <w:b/>
          <w:bCs/>
          <w:color w:val="000000" w:themeColor="text1"/>
          <w:szCs w:val="21"/>
          <w:u w:val="single"/>
          <w14:textFill>
            <w14:solidFill>
              <w14:schemeClr w14:val="tx1"/>
            </w14:solidFill>
          </w14:textFill>
        </w:rPr>
        <w:t xml:space="preserve">2.本工程竣工验收后，乙方应按照《关于印发&lt;市直学校基建修缮工程项目审计监督制度&gt;的通知》（盐教审[2005]5号）和《关于进一步加强市直学校基建维修工程项目审计工作的通知》（盐教审[2012]5号）要求，整理相关资料，确保资料真实齐全、计算准确，并在规定时间内提交审计。</w:t>
      </w:r>
      <w:r/>
    </w:p>
    <w:p>
      <w:pPr>
        <w:ind w:firstLine="422"/>
        <w:spacing w:line="360" w:lineRule="auto"/>
        <w:rPr>
          <w:rFonts w:ascii="宋体" w:hAnsi="宋体" w:cs="宋体"/>
          <w:b/>
          <w:bCs/>
          <w:color w:val="000000" w:themeColor="text1"/>
          <w:szCs w:val="21"/>
          <w:u w:val="single"/>
          <w14:textFill>
            <w14:solidFill>
              <w14:schemeClr w14:val="tx1"/>
            </w14:solidFill>
          </w14:textFill>
        </w:rPr>
      </w:pPr>
      <w:r>
        <w:rPr>
          <w:rFonts w:hint="eastAsia" w:ascii="宋体" w:hAnsi="宋体" w:cs="宋体"/>
          <w:b/>
          <w:bCs/>
          <w:color w:val="000000" w:themeColor="text1"/>
          <w:szCs w:val="21"/>
          <w:u w:val="single"/>
          <w14:textFill>
            <w14:solidFill>
              <w14:schemeClr w14:val="tx1"/>
            </w14:solidFill>
          </w14:textFill>
        </w:rPr>
        <w:t xml:space="preserve">3.本工程采用增值税一般计税方式。</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12.4.2 进度付款申请单的编制</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关于进度付款申请单编制的约定：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Pr>
          <w:rFonts w:ascii="宋体" w:hAnsi="宋体"/>
          <w:color w:val="000000" w:themeColor="text1"/>
          <w:sz w:val="24"/>
          <w14:textFill>
            <w14:solidFill>
              <w14:schemeClr w14:val="tx1"/>
            </w14:solidFill>
          </w14:textFill>
        </w:rPr>
        <w:t xml:space="preserve">2.4.3 进度付款申请单的提交</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（1）单价合同进度付款申请单提交的约定</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（2）总价合同进度付款申请单提交的约定</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（3）其他价格形式合同进度付款申请单提交的约定：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12.4.4 进度款审核和支付</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（1）监理人审查并报送发包人的期限：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发包人完成审批并签发进度款支付证书的期限：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（2）发包人支付进度款的期限：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60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发包人逾期支付进度款的违约金的计算方式：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60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12.4.6 支付分解表的编制</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2、总价合同支付分解表的编制与审批：</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3、单价合同的总价项目支付分解表的编制与审批：</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bookmarkEnd w:id="476"/>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648" w:name="_Toc300935015"/>
      <w:r/>
      <w:bookmarkStart w:id="649" w:name="_Toc297123564"/>
      <w:r/>
      <w:bookmarkStart w:id="650" w:name="_Toc292559929"/>
      <w:r/>
      <w:bookmarkStart w:id="651" w:name="_Toc297120519"/>
      <w:r/>
      <w:bookmarkStart w:id="652" w:name="_Toc296944558"/>
      <w:r/>
      <w:bookmarkStart w:id="653" w:name="_Toc351203645"/>
      <w:r/>
      <w:bookmarkStart w:id="654" w:name="_Toc296891259"/>
      <w:r/>
      <w:bookmarkStart w:id="655" w:name="_Toc296503219"/>
      <w:r/>
      <w:bookmarkStart w:id="656" w:name="_Toc296347218"/>
      <w:r/>
      <w:bookmarkStart w:id="657" w:name="_Toc304295593"/>
      <w:r/>
      <w:bookmarkStart w:id="658" w:name="_Toc292559424"/>
      <w:r/>
      <w:bookmarkStart w:id="659" w:name="_Toc303539172"/>
      <w:r/>
      <w:bookmarkStart w:id="660" w:name="_Toc312678053"/>
      <w:r/>
      <w:bookmarkStart w:id="661" w:name="_Toc297216223"/>
      <w:r/>
      <w:bookmarkStart w:id="662" w:name="_Toc296891047"/>
      <w:r/>
      <w:bookmarkStart w:id="663" w:name="_Toc296346720"/>
      <w:r/>
      <w:bookmarkStart w:id="664" w:name="_Toc297048405"/>
      <w:r>
        <w:rPr>
          <w:rFonts w:ascii="宋体" w:hAnsi="宋体"/>
          <w:bCs/>
          <w:color w:val="000000" w:themeColor="text1"/>
          <w:sz w:val="24"/>
          <w14:textFill>
            <w14:solidFill>
              <w14:schemeClr w14:val="tx1"/>
            </w14:solidFill>
          </w14:textFill>
        </w:rPr>
        <w:t xml:space="preserve">13.</w:t>
      </w:r>
      <w:r>
        <w:rPr>
          <w:rFonts w:hint="eastAsia" w:ascii="宋体" w:hAnsi="宋体"/>
          <w:bCs/>
          <w:color w:val="000000" w:themeColor="text1"/>
          <w:sz w:val="24"/>
          <w14:textFill>
            <w14:solidFill>
              <w14:schemeClr w14:val="tx1"/>
            </w14:solidFill>
          </w14:textFill>
        </w:rPr>
        <w:t xml:space="preserve"> </w:t>
      </w:r>
      <w:r>
        <w:rPr>
          <w:rFonts w:ascii="宋体" w:hAnsi="宋体"/>
          <w:bCs/>
          <w:color w:val="000000" w:themeColor="text1"/>
          <w:sz w:val="24"/>
          <w14:textFill>
            <w14:solidFill>
              <w14:schemeClr w14:val="tx1"/>
            </w14:solidFill>
          </w14:textFill>
        </w:rPr>
        <w:t xml:space="preserve">验收和工程试车</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13.1 分部分项工程验收</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13.1.2监理人不能按时进行验收时，应提前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24</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小时提交书面延期要求。</w:t>
      </w:r>
      <w:r/>
    </w:p>
    <w:p>
      <w:pPr>
        <w:ind w:firstLine="480"/>
        <w:jc w:val="left"/>
        <w:spacing w:line="360" w:lineRule="auto"/>
        <w:rPr>
          <w:rFonts w:ascii="宋体" w:hAnsi="宋体"/>
          <w:b/>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关于延期最长不得超过：</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48</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小时。</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bookmarkStart w:id="665" w:name="_Toc296346724"/>
      <w:r/>
      <w:bookmarkStart w:id="666" w:name="_Toc300935016"/>
      <w:r/>
      <w:bookmarkStart w:id="667" w:name="_Toc297048409"/>
      <w:r/>
      <w:bookmarkStart w:id="668" w:name="_Toc312678056"/>
      <w:r/>
      <w:bookmarkStart w:id="669" w:name="_Toc292559428"/>
      <w:r/>
      <w:bookmarkStart w:id="670" w:name="_Toc297216224"/>
      <w:r/>
      <w:bookmarkStart w:id="671" w:name="_Toc296891263"/>
      <w:r/>
      <w:bookmarkStart w:id="672" w:name="_Toc304295596"/>
      <w:r/>
      <w:bookmarkStart w:id="673" w:name="_Toc296503223"/>
      <w:r/>
      <w:bookmarkStart w:id="674" w:name="_Toc292559933"/>
      <w:r/>
      <w:bookmarkStart w:id="675" w:name="_Toc303539173"/>
      <w:r/>
      <w:bookmarkStart w:id="676" w:name="_Toc296891051"/>
      <w:r/>
      <w:bookmarkStart w:id="677" w:name="_Toc296347222"/>
      <w:r/>
      <w:bookmarkStart w:id="678" w:name="_Toc297123565"/>
      <w:r/>
      <w:bookmarkStart w:id="679" w:name="_Toc296944562"/>
      <w:r/>
      <w:bookmarkStart w:id="680" w:name="_Toc297120523"/>
      <w:r/>
      <w:bookmarkStart w:id="681" w:name="_Toc267251476"/>
      <w:r/>
      <w:bookmarkStart w:id="682" w:name="_Toc267251472"/>
      <w:r/>
      <w:bookmarkStart w:id="683" w:name="_Toc267251474"/>
      <w:r/>
      <w:bookmarkStart w:id="684" w:name="_Toc267251470"/>
      <w:r/>
      <w:bookmarkStart w:id="685" w:name="_Toc267251471"/>
      <w:r/>
      <w:bookmarkStart w:id="686" w:name="_Toc267251473"/>
      <w:r/>
      <w:bookmarkStart w:id="687" w:name="_Toc267251475"/>
      <w:r>
        <w:rPr>
          <w:rFonts w:ascii="宋体" w:hAnsi="宋体"/>
          <w:b/>
          <w:bCs/>
          <w:color w:val="000000" w:themeColor="text1"/>
          <w:sz w:val="24"/>
          <w14:textFill>
            <w14:solidFill>
              <w14:schemeClr w14:val="tx1"/>
            </w14:solidFill>
          </w14:textFill>
        </w:rPr>
        <w:t xml:space="preserve">13.2 竣工验收</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
    </w:p>
    <w:p>
      <w:pPr>
        <w:ind w:firstLine="480"/>
        <w:jc w:val="left"/>
        <w:spacing w:line="360" w:lineRule="auto"/>
        <w:rPr>
          <w:rFonts w:ascii="宋体" w:hAnsi="宋体"/>
          <w:color w:val="000000" w:themeColor="text1"/>
          <w:sz w:val="24"/>
          <w14:textFill>
            <w14:solidFill>
              <w14:schemeClr w14:val="tx1"/>
            </w14:solidFill>
          </w14:textFill>
        </w:rPr>
      </w:pPr>
      <w:r/>
      <w:bookmarkStart w:id="688" w:name="_Toc280868704"/>
      <w:r/>
      <w:bookmarkStart w:id="689" w:name="_Toc280868705"/>
      <w:r/>
      <w:bookmarkStart w:id="690" w:name="_Toc280868706"/>
      <w:r/>
      <w:bookmarkStart w:id="691" w:name="_Toc280868707"/>
      <w:r/>
      <w:bookmarkStart w:id="692" w:name="_Toc280868708"/>
      <w:r/>
      <w:bookmarkStart w:id="693" w:name="_Toc280868709"/>
      <w:r>
        <w:rPr>
          <w:rFonts w:ascii="宋体" w:hAnsi="宋体"/>
          <w:color w:val="000000" w:themeColor="text1"/>
          <w:sz w:val="24"/>
          <w14:textFill>
            <w14:solidFill>
              <w14:schemeClr w14:val="tx1"/>
            </w14:solidFill>
          </w14:textFill>
        </w:rPr>
        <w:t xml:space="preserve">13.2.2竣工验收程序</w:t>
      </w:r>
      <w:bookmarkEnd w:id="688"/>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关于竣工验收程序的约定：</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发包人不按照本项约定组织竣工验收、颁发工程接收证书的违约金的计算方法：</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bookmarkEnd w:id="689"/>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13.2.5移交、接收全部与部分工程</w:t>
      </w:r>
      <w:bookmarkEnd w:id="690"/>
      <w:r/>
      <w:bookmarkEnd w:id="691"/>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承包人向发包人移交工程的期限：</w:t>
      </w:r>
      <w:r>
        <w:rPr>
          <w:rFonts w:hint="eastAsia" w:ascii="宋体" w:hAnsi="宋体" w:cs="宋体"/>
          <w:color w:val="000000" w:themeColor="text1"/>
          <w:sz w:val="24"/>
          <w:u w:val="single"/>
          <w14:textFill>
            <w14:solidFill>
              <w14:schemeClr w14:val="tx1"/>
            </w14:solidFill>
          </w14:textFill>
        </w:rPr>
        <w:t xml:space="preserve">按通用条款</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36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承包人未按时移交工程的，违约金的计算方法为：</w:t>
      </w:r>
      <w:r>
        <w:rPr>
          <w:rFonts w:hint="eastAsia" w:ascii="宋体" w:hAnsi="宋体"/>
          <w:color w:val="000000" w:themeColor="text1"/>
          <w:sz w:val="24"/>
          <w:u w:val="single"/>
          <w14:textFill>
            <w14:solidFill>
              <w14:schemeClr w14:val="tx1"/>
            </w14:solidFill>
          </w14:textFill>
        </w:rPr>
        <w:t xml:space="preserve">承包人如竣工验收合格后不按时移交的，按工程竣工结算总价的2%计算</w:t>
      </w:r>
      <w:r>
        <w:rPr>
          <w:rFonts w:ascii="宋体" w:hAnsi="宋体"/>
          <w:color w:val="000000" w:themeColor="text1"/>
          <w:sz w:val="24"/>
          <w:u w:val="single"/>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13.3 工程试车</w:t>
      </w:r>
      <w:bookmarkEnd w:id="692"/>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13.3.1 试车程序</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工程试车内容：</w:t>
      </w:r>
      <w:r>
        <w:rPr>
          <w:rFonts w:hint="eastAsia" w:ascii="宋体" w:hAnsi="宋体"/>
          <w:color w:val="000000" w:themeColor="text1"/>
          <w:sz w:val="24"/>
          <w:u w:val="single"/>
          <w14:textFill>
            <w14:solidFill>
              <w14:schemeClr w14:val="tx1"/>
            </w14:solidFill>
          </w14:textFill>
        </w:rPr>
        <w:t xml:space="preserve">按通用条款</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（1）单机无负荷试车费用由</w:t>
      </w:r>
      <w:r>
        <w:rPr>
          <w:rFonts w:hint="eastAsia" w:ascii="宋体" w:hAnsi="宋体"/>
          <w:color w:val="000000" w:themeColor="text1"/>
          <w:sz w:val="24"/>
          <w:u w:val="single"/>
          <w14:textFill>
            <w14:solidFill>
              <w14:schemeClr w14:val="tx1"/>
            </w14:solidFill>
          </w14:textFill>
        </w:rPr>
        <w:t xml:space="preserve">承包人</w:t>
      </w:r>
      <w:r>
        <w:rPr>
          <w:rFonts w:hint="eastAsia" w:ascii="宋体" w:hAnsi="宋体" w:cs="宋体"/>
          <w:color w:val="000000" w:themeColor="text1"/>
          <w:sz w:val="24"/>
          <w14:textFill>
            <w14:solidFill>
              <w14:schemeClr w14:val="tx1"/>
            </w14:solidFill>
          </w14:textFill>
        </w:rPr>
        <w:t xml:space="preserve">承担；</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（2）无负荷联动试车费用由</w:t>
      </w:r>
      <w:r>
        <w:rPr>
          <w:rFonts w:hint="eastAsia" w:ascii="宋体" w:hAnsi="宋体"/>
          <w:color w:val="000000" w:themeColor="text1"/>
          <w:sz w:val="24"/>
          <w:u w:val="single"/>
          <w14:textFill>
            <w14:solidFill>
              <w14:schemeClr w14:val="tx1"/>
            </w14:solidFill>
          </w14:textFill>
        </w:rPr>
        <w:t xml:space="preserve">承包人</w:t>
      </w:r>
      <w:r>
        <w:rPr>
          <w:rFonts w:hint="eastAsia" w:ascii="宋体" w:hAnsi="宋体" w:cs="宋体"/>
          <w:color w:val="000000" w:themeColor="text1"/>
          <w:sz w:val="24"/>
          <w14:textFill>
            <w14:solidFill>
              <w14:schemeClr w14:val="tx1"/>
            </w14:solidFill>
          </w14:textFill>
        </w:rPr>
        <w:t xml:space="preserve">承担</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13.3.3 投料试车</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关于投料试车相关事项的约定：</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13.6 竣工退场</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13.6.1 竣工退场</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承包人完成竣工退场的期限：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颁发工程接收证书后7天内完成工程的移交并退场</w:t>
      </w:r>
      <w:r>
        <w:rPr>
          <w:rFonts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694" w:name="_Toc351203646"/>
      <w:r>
        <w:rPr>
          <w:rFonts w:ascii="宋体" w:hAnsi="宋体"/>
          <w:bCs/>
          <w:color w:val="000000" w:themeColor="text1"/>
          <w:sz w:val="24"/>
          <w14:textFill>
            <w14:solidFill>
              <w14:schemeClr w14:val="tx1"/>
            </w14:solidFill>
          </w14:textFill>
        </w:rPr>
        <w:t xml:space="preserve">14. 竣工结算</w:t>
      </w:r>
      <w:bookmarkEnd w:id="694"/>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14.1 竣工</w:t>
      </w:r>
      <w:r>
        <w:rPr>
          <w:rFonts w:hint="eastAsia" w:ascii="宋体" w:hAnsi="宋体"/>
          <w:b/>
          <w:bCs/>
          <w:color w:val="000000" w:themeColor="text1"/>
          <w:sz w:val="24"/>
          <w14:textFill>
            <w14:solidFill>
              <w14:schemeClr w14:val="tx1"/>
            </w14:solidFill>
          </w14:textFill>
        </w:rPr>
        <w:t xml:space="preserve">结算</w:t>
      </w:r>
      <w:r>
        <w:rPr>
          <w:rFonts w:ascii="宋体" w:hAnsi="宋体"/>
          <w:b/>
          <w:bCs/>
          <w:color w:val="000000" w:themeColor="text1"/>
          <w:sz w:val="24"/>
          <w14:textFill>
            <w14:solidFill>
              <w14:schemeClr w14:val="tx1"/>
            </w14:solidFill>
          </w14:textFill>
        </w:rPr>
        <w:t xml:space="preserve">申请</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承包人提交竣工</w:t>
      </w:r>
      <w:r>
        <w:rPr>
          <w:rFonts w:hint="eastAsia" w:ascii="宋体" w:hAnsi="宋体"/>
          <w:color w:val="000000" w:themeColor="text1"/>
          <w:sz w:val="24"/>
          <w14:textFill>
            <w14:solidFill>
              <w14:schemeClr w14:val="tx1"/>
            </w14:solidFill>
          </w14:textFill>
        </w:rPr>
        <w:t xml:space="preserve">结算</w:t>
      </w:r>
      <w:r>
        <w:rPr>
          <w:rFonts w:ascii="宋体" w:hAnsi="宋体"/>
          <w:color w:val="000000" w:themeColor="text1"/>
          <w:sz w:val="24"/>
          <w14:textFill>
            <w14:solidFill>
              <w14:schemeClr w14:val="tx1"/>
            </w14:solidFill>
          </w14:textFill>
        </w:rPr>
        <w:t xml:space="preserve">申请单的期限：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竣工</w:t>
      </w:r>
      <w:r>
        <w:rPr>
          <w:rFonts w:hint="eastAsia" w:ascii="宋体" w:hAnsi="宋体"/>
          <w:color w:val="000000" w:themeColor="text1"/>
          <w:sz w:val="24"/>
          <w14:textFill>
            <w14:solidFill>
              <w14:schemeClr w14:val="tx1"/>
            </w14:solidFill>
          </w14:textFill>
        </w:rPr>
        <w:t xml:space="preserve">结算</w:t>
      </w:r>
      <w:r>
        <w:rPr>
          <w:rFonts w:ascii="宋体" w:hAnsi="宋体"/>
          <w:color w:val="000000" w:themeColor="text1"/>
          <w:sz w:val="24"/>
          <w14:textFill>
            <w14:solidFill>
              <w14:schemeClr w14:val="tx1"/>
            </w14:solidFill>
          </w14:textFill>
        </w:rPr>
        <w:t xml:space="preserve">申请单应包括的内容：</w:t>
      </w:r>
      <w:r>
        <w:rPr>
          <w:rFonts w:hint="eastAsia" w:ascii="宋体" w:hAnsi="宋体"/>
          <w:color w:val="000000" w:themeColor="text1"/>
          <w:sz w:val="24"/>
          <w:u w:val="single"/>
          <w14:textFill>
            <w14:solidFill>
              <w14:schemeClr w14:val="tx1"/>
            </w14:solidFill>
          </w14:textFill>
        </w:rPr>
        <w:t xml:space="preserve">除通用条款约定外，还包括施工图、竣工资料等原件，要求随竣工结算申请单一同提交发包人</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14.2 竣工结算审核</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发包人审批竣工付款申请单的期限：</w:t>
      </w:r>
      <w:r>
        <w:rPr>
          <w:rFonts w:hint="eastAsia" w:ascii="宋体" w:hAnsi="宋体"/>
          <w:color w:val="000000" w:themeColor="text1"/>
          <w:sz w:val="24"/>
          <w:u w:val="single"/>
          <w14:textFill>
            <w14:solidFill>
              <w14:schemeClr w14:val="tx1"/>
            </w14:solidFill>
          </w14:textFill>
        </w:rPr>
        <w:t xml:space="preserve">按照通用条款</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发包人完成竣工付款的期限：</w:t>
      </w:r>
      <w:r>
        <w:rPr>
          <w:rFonts w:hint="eastAsia" w:ascii="宋体" w:hAnsi="宋体"/>
          <w:color w:val="000000" w:themeColor="text1"/>
          <w:sz w:val="24"/>
          <w:u w:val="single"/>
          <w14:textFill>
            <w14:solidFill>
              <w14:schemeClr w14:val="tx1"/>
            </w14:solidFill>
          </w14:textFill>
        </w:rPr>
        <w:t xml:space="preserve">按付款约定</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关于竣工付款证书异议部分复核的方式和程序：</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14.4 最终结清</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14.4.1 最终结清申请单</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承包人提交最终结清申请单的份数：</w:t>
      </w:r>
      <w:r>
        <w:rPr>
          <w:rFonts w:hint="eastAsia" w:ascii="宋体" w:hAnsi="宋体"/>
          <w:color w:val="000000" w:themeColor="text1"/>
          <w:sz w:val="24"/>
          <w:u w:val="single"/>
          <w14:textFill>
            <w14:solidFill>
              <w14:schemeClr w14:val="tx1"/>
            </w14:solidFill>
          </w14:textFill>
        </w:rPr>
        <w:t xml:space="preserve">按发包人要求</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承包人提交最终结算申请单的期限：</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14.4.2 最终结清证书和支付</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（2）发包人完成支付的期限：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681"/>
      <w:r/>
      <w:bookmarkEnd w:id="682"/>
      <w:r/>
      <w:bookmarkEnd w:id="683"/>
      <w:r/>
      <w:bookmarkEnd w:id="684"/>
      <w:r/>
      <w:bookmarkEnd w:id="685"/>
      <w:r/>
      <w:bookmarkEnd w:id="686"/>
      <w:r/>
      <w:bookmarkEnd w:id="687"/>
      <w:r/>
      <w:bookmarkEnd w:id="693"/>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695" w:name="_Toc351203647"/>
      <w:r/>
      <w:bookmarkStart w:id="696" w:name="_Toc267251483"/>
      <w:r/>
      <w:bookmarkStart w:id="697" w:name="_Toc267251484"/>
      <w:r/>
      <w:bookmarkStart w:id="698" w:name="_Toc267251482"/>
      <w:r/>
      <w:bookmarkStart w:id="699" w:name="_Toc267251485"/>
      <w:r/>
      <w:bookmarkStart w:id="700" w:name="_Toc267251489"/>
      <w:r/>
      <w:bookmarkStart w:id="701" w:name="_Toc267251488"/>
      <w:r/>
      <w:bookmarkStart w:id="702" w:name="_Toc267251490"/>
      <w:r/>
      <w:bookmarkStart w:id="703" w:name="_Toc267251486"/>
      <w:r/>
      <w:bookmarkStart w:id="704" w:name="_Toc267251495"/>
      <w:r/>
      <w:bookmarkStart w:id="705" w:name="_Toc267251501"/>
      <w:r/>
      <w:bookmarkStart w:id="706" w:name="_Toc267251499"/>
      <w:r/>
      <w:bookmarkStart w:id="707" w:name="_Toc267251504"/>
      <w:r/>
      <w:bookmarkStart w:id="708" w:name="_Toc267251491"/>
      <w:r/>
      <w:bookmarkStart w:id="709" w:name="_Toc267251494"/>
      <w:r/>
      <w:bookmarkStart w:id="710" w:name="_Toc267251506"/>
      <w:r/>
      <w:bookmarkStart w:id="711" w:name="_Toc267251498"/>
      <w:r/>
      <w:bookmarkStart w:id="712" w:name="_Toc267251493"/>
      <w:r/>
      <w:bookmarkStart w:id="713" w:name="_Toc267251503"/>
      <w:r/>
      <w:bookmarkStart w:id="714" w:name="_Toc267251507"/>
      <w:r/>
      <w:bookmarkStart w:id="715" w:name="_Toc267251492"/>
      <w:r/>
      <w:bookmarkStart w:id="716" w:name="_Toc267251497"/>
      <w:r/>
      <w:bookmarkStart w:id="717" w:name="_Toc267251502"/>
      <w:r/>
      <w:bookmarkStart w:id="718" w:name="_Toc267251496"/>
      <w:r/>
      <w:bookmarkStart w:id="719" w:name="_Toc267251508"/>
      <w:r/>
      <w:bookmarkStart w:id="720" w:name="_Toc267251509"/>
      <w:r/>
      <w:bookmarkStart w:id="721" w:name="_Toc267251510"/>
      <w:r/>
      <w:bookmarkStart w:id="722" w:name="_Toc267251515"/>
      <w:r/>
      <w:bookmarkStart w:id="723" w:name="_Toc267251514"/>
      <w:r/>
      <w:bookmarkStart w:id="724" w:name="_Toc267251511"/>
      <w:r/>
      <w:bookmarkStart w:id="725" w:name="_Toc267251513"/>
      <w:r>
        <w:rPr>
          <w:rFonts w:ascii="宋体" w:hAnsi="宋体"/>
          <w:bCs/>
          <w:color w:val="000000" w:themeColor="text1"/>
          <w:sz w:val="24"/>
          <w14:textFill>
            <w14:solidFill>
              <w14:schemeClr w14:val="tx1"/>
            </w14:solidFill>
          </w14:textFill>
        </w:rPr>
        <w:t xml:space="preserve">15. 缺陷责任期与保修</w:t>
      </w:r>
      <w:bookmarkEnd w:id="695"/>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15.2缺陷责任期</w:t>
      </w:r>
      <w:bookmarkEnd w:id="696"/>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缺陷责任期的具体期限：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自项目竣工验收合格之日起24个月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15.3 质量保证金</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15.3.1 </w:t>
      </w:r>
      <w:r>
        <w:rPr>
          <w:rFonts w:hint="eastAsia" w:ascii="宋体" w:hAnsi="宋体"/>
          <w:color w:val="000000" w:themeColor="text1"/>
          <w:sz w:val="24"/>
          <w14:textFill>
            <w14:solidFill>
              <w14:schemeClr w14:val="tx1"/>
            </w14:solidFill>
          </w14:textFill>
        </w:rPr>
        <w:t xml:space="preserve">承包人提供</w:t>
      </w:r>
      <w:r>
        <w:rPr>
          <w:rFonts w:ascii="宋体" w:hAnsi="宋体"/>
          <w:color w:val="000000" w:themeColor="text1"/>
          <w:sz w:val="24"/>
          <w14:textFill>
            <w14:solidFill>
              <w14:schemeClr w14:val="tx1"/>
            </w14:solidFill>
          </w14:textFill>
        </w:rPr>
        <w:t xml:space="preserve">质量保证金的</w:t>
      </w:r>
      <w:r>
        <w:rPr>
          <w:rFonts w:hint="eastAsia" w:ascii="宋体" w:hAnsi="宋体"/>
          <w:color w:val="000000" w:themeColor="text1"/>
          <w:sz w:val="24"/>
          <w14:textFill>
            <w14:solidFill>
              <w14:schemeClr w14:val="tx1"/>
            </w14:solidFill>
          </w14:textFill>
        </w:rPr>
        <w:t xml:space="preserve">方</w:t>
      </w:r>
      <w:r>
        <w:rPr>
          <w:rFonts w:ascii="宋体" w:hAnsi="宋体"/>
          <w:color w:val="000000" w:themeColor="text1"/>
          <w:sz w:val="24"/>
          <w14:textFill>
            <w14:solidFill>
              <w14:schemeClr w14:val="tx1"/>
            </w14:solidFill>
          </w14:textFill>
        </w:rPr>
        <w:t xml:space="preserve">式</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质量保证金采用以下第</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种方式：</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（1）质量保证金保函，保证金额为：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p>
    <w:p>
      <w:pPr>
        <w:ind w:firstLine="480"/>
        <w:jc w:val="left"/>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w:t>
      </w:r>
      <w:r>
        <w:rPr>
          <w:rFonts w:hint="eastAsia" w:ascii="宋体" w:hAnsi="宋体" w:cs="宋体"/>
          <w:color w:val="000000" w:themeColor="text1"/>
          <w:sz w:val="24"/>
          <w:highlight w:val="white"/>
          <w:u w:val="single"/>
          <w14:textFill>
            <w14:solidFill>
              <w14:schemeClr w14:val="tx1"/>
            </w14:solidFill>
          </w14:textFill>
        </w:rPr>
        <w:t xml:space="preserve"> 3 </w:t>
      </w:r>
      <w:r>
        <w:rPr>
          <w:rFonts w:ascii="宋体" w:hAnsi="宋体"/>
          <w:color w:val="000000" w:themeColor="text1"/>
          <w:sz w:val="24"/>
          <w:highlight w:val="white"/>
          <w14:textFill>
            <w14:solidFill>
              <w14:schemeClr w14:val="tx1"/>
            </w14:solidFill>
          </w14:textFill>
        </w:rPr>
        <w:t xml:space="preserve">%的工程款；</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（3）其他</w:t>
      </w:r>
      <w:r>
        <w:rPr>
          <w:rFonts w:hint="eastAsia" w:ascii="宋体" w:hAnsi="宋体"/>
          <w:color w:val="000000" w:themeColor="text1"/>
          <w:sz w:val="24"/>
          <w14:textFill>
            <w14:solidFill>
              <w14:schemeClr w14:val="tx1"/>
            </w14:solidFill>
          </w14:textFill>
        </w:rPr>
        <w:t xml:space="preserve">方</w:t>
      </w:r>
      <w:r>
        <w:rPr>
          <w:rFonts w:ascii="宋体" w:hAnsi="宋体"/>
          <w:color w:val="000000" w:themeColor="text1"/>
          <w:sz w:val="24"/>
          <w14:textFill>
            <w14:solidFill>
              <w14:schemeClr w14:val="tx1"/>
            </w14:solidFill>
          </w14:textFill>
        </w:rPr>
        <w:t xml:space="preserve">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按第12.4条约定执行</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15.3.2 质量保证金的扣留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质量保证金的扣留采取以下第</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种方式：</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（2）工程竣工结算时一次性扣留质量保证金；</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（3）其他扣留方式: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关于质量保证金的补充约定：</w:t>
      </w:r>
      <w:r>
        <w:rPr>
          <w:rFonts w:hint="eastAsia" w:ascii="宋体" w:hAnsi="宋体"/>
          <w:color w:val="000000" w:themeColor="text1"/>
          <w:sz w:val="24"/>
          <w:u w:val="single"/>
          <w14:textFill>
            <w14:solidFill>
              <w14:schemeClr w14:val="tx1"/>
            </w14:solidFill>
          </w14:textFill>
        </w:rPr>
        <w:t xml:space="preserve">在缺陷责任期内，因承包人原因造成工程缺陷、损坏的，承包人未能及时修复的，发包人可直接委托第三方修复，所需费用由承包人承担，缺陷责任期满将剩余部分质保金退还承包人</w:t>
      </w:r>
      <w:r>
        <w:rPr>
          <w:rFonts w:ascii="宋体" w:hAnsi="宋体"/>
          <w:color w:val="000000" w:themeColor="text1"/>
          <w:sz w:val="24"/>
          <w14:textFill>
            <w14:solidFill>
              <w14:schemeClr w14:val="tx1"/>
            </w14:solidFill>
          </w14:textFill>
        </w:rPr>
        <w:t xml:space="preserve">。</w:t>
      </w:r>
      <w:bookmarkEnd w:id="697"/>
      <w:r/>
      <w:bookmarkEnd w:id="698"/>
      <w:r/>
      <w:r/>
    </w:p>
    <w:p>
      <w:pPr>
        <w:ind w:firstLine="482"/>
        <w:keepLines/>
        <w:keepNext/>
        <w:spacing w:line="360" w:lineRule="auto"/>
        <w:rPr>
          <w:rFonts w:ascii="宋体" w:hAnsi="宋体"/>
          <w:bCs/>
          <w:color w:val="000000" w:themeColor="text1"/>
          <w:sz w:val="24"/>
          <w14:textFill>
            <w14:solidFill>
              <w14:schemeClr w14:val="tx1"/>
            </w14:solidFill>
          </w14:textFill>
        </w:rPr>
        <w:outlineLvl w:val="4"/>
      </w:pPr>
      <w:r>
        <w:rPr>
          <w:rFonts w:ascii="宋体" w:hAnsi="宋体"/>
          <w:bCs/>
          <w:color w:val="000000" w:themeColor="text1"/>
          <w:sz w:val="24"/>
          <w14:textFill>
            <w14:solidFill>
              <w14:schemeClr w14:val="tx1"/>
            </w14:solidFill>
          </w14:textFill>
        </w:rPr>
        <w:t xml:space="preserve">15.4保修</w:t>
      </w:r>
      <w:bookmarkEnd w:id="699"/>
      <w:r/>
      <w:r/>
    </w:p>
    <w:p>
      <w:pPr>
        <w:ind w:firstLine="468"/>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15.4.1 保修责任</w:t>
      </w:r>
      <w:r/>
    </w:p>
    <w:p>
      <w:pPr>
        <w:ind w:firstLine="468"/>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工程保修期为：</w:t>
      </w:r>
      <w:r>
        <w:rPr>
          <w:rFonts w:hint="eastAsia" w:ascii="宋体" w:hAnsi="宋体"/>
          <w:color w:val="000000" w:themeColor="text1"/>
          <w:sz w:val="24"/>
          <w:u w:val="single"/>
          <w14:textFill>
            <w14:solidFill>
              <w14:schemeClr w14:val="tx1"/>
            </w14:solidFill>
          </w14:textFill>
        </w:rPr>
        <w:t xml:space="preserve">见工程质量保修书</w:t>
      </w:r>
      <w:r>
        <w:rPr>
          <w:rFonts w:ascii="宋体" w:hAnsi="宋体"/>
          <w:color w:val="000000" w:themeColor="text1"/>
          <w:sz w:val="24"/>
          <w14:textFill>
            <w14:solidFill>
              <w14:schemeClr w14:val="tx1"/>
            </w14:solidFill>
          </w14:textFill>
        </w:rPr>
        <w:t xml:space="preserve">。</w:t>
      </w:r>
      <w:r/>
    </w:p>
    <w:p>
      <w:pPr>
        <w:ind w:firstLine="468"/>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15.4.3 修复通知</w:t>
      </w:r>
      <w:r/>
    </w:p>
    <w:p>
      <w:pPr>
        <w:ind w:firstLine="468"/>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承包人收到保修通知并到达工程现场的合理时间：</w:t>
      </w:r>
      <w:r>
        <w:rPr>
          <w:rFonts w:hint="eastAsia" w:ascii="宋体" w:hAnsi="宋体"/>
          <w:color w:val="000000" w:themeColor="text1"/>
          <w:sz w:val="24"/>
          <w:u w:val="single"/>
          <w14:textFill>
            <w14:solidFill>
              <w14:schemeClr w14:val="tx1"/>
            </w14:solidFill>
          </w14:textFill>
        </w:rPr>
        <w:t xml:space="preserve">（1）属于保修范围、内容的项目，承包人应当在接到保修通知之日起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700"/>
      <w:r/>
      <w:bookmarkEnd w:id="701"/>
      <w:r/>
      <w:bookmarkEnd w:id="702"/>
      <w:r/>
      <w:bookmarkEnd w:id="703"/>
      <w:r/>
      <w:r/>
    </w:p>
    <w:p>
      <w:pPr>
        <w:ind w:firstLine="482"/>
        <w:keepLines/>
        <w:keepNext/>
        <w:spacing w:line="360" w:lineRule="auto"/>
        <w:rPr>
          <w:rFonts w:ascii="宋体" w:hAnsi="宋体"/>
          <w:b/>
          <w:bCs/>
          <w:color w:val="000000" w:themeColor="text1"/>
          <w:sz w:val="24"/>
          <w14:textFill>
            <w14:solidFill>
              <w14:schemeClr w14:val="tx1"/>
            </w14:solidFill>
          </w14:textFill>
        </w:rPr>
        <w:outlineLvl w:val="3"/>
      </w:pPr>
      <w:r/>
      <w:bookmarkStart w:id="726" w:name="_Toc351203648"/>
      <w:r/>
      <w:bookmarkStart w:id="727" w:name="_Toc280868717"/>
      <w:r/>
      <w:bookmarkStart w:id="728" w:name="_Toc280868718"/>
      <w:r>
        <w:rPr>
          <w:rFonts w:ascii="宋体" w:hAnsi="宋体"/>
          <w:b/>
          <w:bCs/>
          <w:color w:val="000000" w:themeColor="text1"/>
          <w:sz w:val="24"/>
          <w14:textFill>
            <w14:solidFill>
              <w14:schemeClr w14:val="tx1"/>
            </w14:solidFill>
          </w14:textFill>
        </w:rPr>
        <w:t xml:space="preserve">16. 违约</w:t>
      </w:r>
      <w:bookmarkEnd w:id="726"/>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16.1 发包人违约</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16.1.1发包人违约的情形</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发包人违约的其他情形：</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left="1200" w:hanging="120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16.1.2 发包人违约的责任</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发包人违约责任的承担方式和计算方法：</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（1）因发包人原因未能在计划开工日期前7天内下达开工通知的违约责任：</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（2）因发包人原因未能按合同约定支付合同价款的违约责任：</w:t>
      </w:r>
      <w:r>
        <w:rPr>
          <w:rFonts w:hint="eastAsia" w:ascii="宋体" w:hAnsi="宋体"/>
          <w:color w:val="000000" w:themeColor="text1"/>
          <w:sz w:val="24"/>
          <w:u w:val="single"/>
          <w14:textFill>
            <w14:solidFill>
              <w14:schemeClr w14:val="tx1"/>
            </w14:solidFill>
          </w14:textFill>
        </w:rPr>
        <w:t xml:space="preserve"> 由发承包双方商定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（3）发包人违反第10.1款</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变更的范围</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第（2）项约定，自行实施被取消的工作或转由他人实施的违约责任：</w:t>
      </w:r>
      <w:r>
        <w:rPr>
          <w:rFonts w:hint="eastAsia" w:ascii="宋体" w:hAnsi="宋体"/>
          <w:color w:val="000000" w:themeColor="text1"/>
          <w:sz w:val="24"/>
          <w:u w:val="single"/>
          <w14:textFill>
            <w14:solidFill>
              <w14:schemeClr w14:val="tx1"/>
            </w14:solidFill>
          </w14:textFill>
        </w:rPr>
        <w:t xml:space="preserve"> 由发承包双方商定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olor w:val="000000" w:themeColor="text1"/>
          <w:sz w:val="24"/>
          <w:u w:val="single"/>
          <w14:textFill>
            <w14:solidFill>
              <w14:schemeClr w14:val="tx1"/>
            </w14:solidFill>
          </w14:textFill>
        </w:rPr>
        <w:t xml:space="preserve"> 由发承包双方商定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（5）因发包人违反合同约定造成暂停施工的违约责任：</w:t>
      </w:r>
      <w:r>
        <w:rPr>
          <w:rFonts w:hint="eastAsia" w:ascii="宋体" w:hAnsi="宋体"/>
          <w:color w:val="000000" w:themeColor="text1"/>
          <w:sz w:val="24"/>
          <w:u w:val="single"/>
          <w14:textFill>
            <w14:solidFill>
              <w14:schemeClr w14:val="tx1"/>
            </w14:solidFill>
          </w14:textFill>
        </w:rPr>
        <w:t xml:space="preserve"> 由发承包双方商定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（6）发包人无正当理由没有在约定期限内发出复工指示，导致承包人无法复工的违约责任：</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其他：</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16.1.3 因发包人违约解除合同</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承包人按16.1.1项</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发包人违约的情形</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约定暂停施工满</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天后发包人仍不纠正其违约行为并致使合同目的不能实现的，承包人有权解除合同。</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16.2 承包人违约</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16.2.1 承包人违约的情形</w:t>
      </w:r>
      <w:r/>
    </w:p>
    <w:p>
      <w:pPr>
        <w:ind w:firstLine="42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承包人违约的其他情形：</w:t>
      </w:r>
      <w:r>
        <w:rPr>
          <w:rFonts w:hint="eastAsia" w:ascii="宋体" w:hAnsi="宋体"/>
          <w:color w:val="000000" w:themeColor="text1"/>
          <w:sz w:val="24"/>
          <w:u w:val="single"/>
          <w14:textFill>
            <w14:solidFill>
              <w14:schemeClr w14:val="tx1"/>
            </w14:solidFill>
          </w14:textFill>
        </w:rPr>
        <w:t xml:space="preserve">（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2倍承担违约金，并从应付款中扣除</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16.2.2承包人违约的责任</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承包人违约责任的承担方式和计算方法：</w:t>
      </w:r>
      <w:r>
        <w:rPr>
          <w:rFonts w:hint="eastAsia" w:ascii="宋体" w:hAnsi="宋体"/>
          <w:color w:val="000000" w:themeColor="text1"/>
          <w:sz w:val="24"/>
          <w:u w:val="single"/>
          <w14:textFill>
            <w14:solidFill>
              <w14:schemeClr w14:val="tx1"/>
            </w14:solidFill>
          </w14:textFill>
        </w:rPr>
        <w:t xml:space="preserve">由承包人承担全部责任并承担相关费用</w:t>
      </w:r>
      <w:r>
        <w:rPr>
          <w:rFonts w:ascii="宋体" w:hAnsi="宋体"/>
          <w:color w:val="000000" w:themeColor="text1"/>
          <w:sz w:val="24"/>
          <w14:textFill>
            <w14:solidFill>
              <w14:schemeClr w14:val="tx1"/>
            </w14:solidFill>
          </w14:textFill>
        </w:rPr>
        <w:t xml:space="preserve">。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16.2.3 因承包人违约解除合同</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关于承包人违约解除合同的特别约定：</w:t>
      </w:r>
      <w:r>
        <w:rPr>
          <w:rFonts w:hint="eastAsia" w:ascii="宋体" w:hAnsi="宋体"/>
          <w:color w:val="000000" w:themeColor="text1"/>
          <w:sz w:val="24"/>
          <w:u w:val="single"/>
          <w14:textFill>
            <w14:solidFill>
              <w14:schemeClr w14:val="tx1"/>
            </w14:solidFill>
          </w14:textFill>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① 不同意本工程合同条件；</w:t>
      </w:r>
      <w:r/>
    </w:p>
    <w:p>
      <w:pPr>
        <w:ind w:firstLine="36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②停工或拖延施工进度或影响施工质量；</w:t>
      </w:r>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③无正当理由，单方面要挟发包人提高合同价款；</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④无正当理由，单方面要挟发包人给予某种补偿</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w:t>
      </w:r>
      <w:r>
        <w:rPr>
          <w:rFonts w:hint="eastAsia" w:ascii="宋体" w:hAnsi="宋体"/>
          <w:color w:val="000000" w:themeColor="text1"/>
          <w:sz w:val="24"/>
          <w14:textFill>
            <w14:solidFill>
              <w14:schemeClr w14:val="tx1"/>
            </w14:solidFill>
          </w14:textFill>
        </w:rPr>
        <w:t xml:space="preserve">继续</w:t>
      </w:r>
      <w:r>
        <w:rPr>
          <w:rFonts w:ascii="宋体" w:hAnsi="宋体"/>
          <w:color w:val="000000" w:themeColor="text1"/>
          <w:sz w:val="24"/>
          <w14:textFill>
            <w14:solidFill>
              <w14:schemeClr w14:val="tx1"/>
            </w14:solidFill>
          </w14:textFill>
        </w:rPr>
        <w:t xml:space="preserve">使用承包人在施工现场的材料、设备、临时工程、承包人文件和由承包人或以其名义编制的其他文件</w:t>
      </w:r>
      <w:r>
        <w:rPr>
          <w:rFonts w:hint="eastAsia" w:ascii="宋体" w:hAnsi="宋体"/>
          <w:color w:val="000000" w:themeColor="text1"/>
          <w:sz w:val="24"/>
          <w14:textFill>
            <w14:solidFill>
              <w14:schemeClr w14:val="tx1"/>
            </w14:solidFill>
          </w14:textFill>
        </w:rPr>
        <w:t xml:space="preserve">的费用承担方式</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如承包人出现下列情况之一，发包人有权立即解除合同:</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(1)承包人违反法律法规或合同约定，情节严重的;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(2)承包人擅自将合同的主要部分转包或违法分包的;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(3)承包人有欺诈、严重违约或严重违法行为，致使发包人无法继续履行合同的;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(4)承包人因资金困难等原因导致无法继续履行合同的。</w:t>
      </w:r>
      <w:r/>
    </w:p>
    <w:p>
      <w:pPr>
        <w:ind w:firstLine="480"/>
        <w:keepLines/>
        <w:keepNext/>
        <w:spacing w:line="360" w:lineRule="auto"/>
        <w:tabs>
          <w:tab w:val="left" w:pos="3000" w:leader="none"/>
        </w:tabs>
        <w:rPr>
          <w:rFonts w:ascii="宋体" w:hAnsi="宋体"/>
          <w:bCs/>
          <w:color w:val="000000" w:themeColor="text1"/>
          <w:sz w:val="24"/>
          <w14:textFill>
            <w14:solidFill>
              <w14:schemeClr w14:val="tx1"/>
            </w14:solidFill>
          </w14:textFill>
        </w:rPr>
        <w:outlineLvl w:val="3"/>
      </w:pPr>
      <w:r/>
      <w:bookmarkStart w:id="729" w:name="_Toc351203649"/>
      <w:r>
        <w:rPr>
          <w:rFonts w:ascii="宋体" w:hAnsi="宋体"/>
          <w:bCs/>
          <w:color w:val="000000" w:themeColor="text1"/>
          <w:sz w:val="24"/>
          <w14:textFill>
            <w14:solidFill>
              <w14:schemeClr w14:val="tx1"/>
            </w14:solidFill>
          </w14:textFill>
        </w:rPr>
        <w:t xml:space="preserve">17. 不可抗力</w:t>
      </w:r>
      <w:bookmarkEnd w:id="727"/>
      <w:r/>
      <w:bookmarkEnd w:id="729"/>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17.1 不可抗力的确认</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除通用合同条款约定的不可抗力事件之外，视为不可抗力的其他情形：</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17.4 因不可抗力解除合同</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合同解除后，发包人应在商定或确定发包人应支付款项后</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28</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天内完成款项的支付。</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730" w:name="_Toc351203650"/>
      <w:r>
        <w:rPr>
          <w:rFonts w:ascii="宋体" w:hAnsi="宋体"/>
          <w:bCs/>
          <w:color w:val="000000" w:themeColor="text1"/>
          <w:sz w:val="24"/>
          <w14:textFill>
            <w14:solidFill>
              <w14:schemeClr w14:val="tx1"/>
            </w14:solidFill>
          </w14:textFill>
        </w:rPr>
        <w:t xml:space="preserve">18. 保险</w:t>
      </w:r>
      <w:bookmarkEnd w:id="728"/>
      <w:r/>
      <w:bookmarkEnd w:id="730"/>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18.1 工程保险</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关于工程保险的特别约定：</w:t>
      </w:r>
      <w:r>
        <w:rPr>
          <w:rFonts w:ascii="宋体" w:hAnsi="宋体"/>
          <w:color w:val="000000" w:themeColor="text1"/>
          <w:sz w:val="24"/>
          <w:u w:val="single"/>
          <w14:textFill>
            <w14:solidFill>
              <w14:schemeClr w14:val="tx1"/>
            </w14:solidFill>
          </w14:textFill>
        </w:rPr>
        <w:t xml:space="preserve"> 由承包人负责，并承担相应费用</w:t>
      </w:r>
      <w:r>
        <w:rPr>
          <w:rFonts w:hint="eastAsia"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 </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18.3 其他保险</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关于其他保险的约定：</w:t>
      </w:r>
      <w:r>
        <w:rPr>
          <w:rFonts w:ascii="宋体" w:hAnsi="宋体"/>
          <w:color w:val="000000" w:themeColor="text1"/>
          <w:sz w:val="24"/>
          <w:u w:val="single"/>
          <w14:textFill>
            <w14:solidFill>
              <w14:schemeClr w14:val="tx1"/>
            </w14:solidFill>
          </w14:textFill>
        </w:rPr>
        <w:t xml:space="preserve">由承包人负责，并承担相应费用</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承包人是否应为其施工设备等办理财产保险：</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18.7 通知义务</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关于变更保险合同时的通知义务的约定：</w:t>
      </w:r>
      <w:r>
        <w:rPr>
          <w:rFonts w:hint="eastAsia" w:ascii="宋体" w:hAnsi="宋体"/>
          <w:color w:val="000000" w:themeColor="text1"/>
          <w:sz w:val="24"/>
          <w:u w:val="single"/>
          <w14:textFill>
            <w14:solidFill>
              <w14:schemeClr w14:val="tx1"/>
            </w14:solidFill>
          </w14:textFill>
        </w:rPr>
        <w:t xml:space="preserve">  /  。</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20.4仲裁或诉讼</w:t>
      </w:r>
      <w:bookmarkEnd w:id="719"/>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20.4.1</w:t>
      </w:r>
      <w:r>
        <w:rPr>
          <w:rFonts w:ascii="宋体" w:hAnsi="宋体"/>
          <w:color w:val="000000" w:themeColor="text1"/>
          <w:sz w:val="24"/>
          <w14:textFill>
            <w14:solidFill>
              <w14:schemeClr w14:val="tx1"/>
            </w14:solidFill>
          </w14:textFill>
        </w:rPr>
        <w:t xml:space="preserve">因合同及合同有关事项发生的争议，按下列第</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u w:val="single"/>
          <w:lang w:val="en-US" w:eastAsia="zh-CN"/>
          <w14:textFill>
            <w14:solidFill>
              <w14:schemeClr w14:val="tx1"/>
            </w14:solidFill>
          </w14:textFill>
        </w:rPr>
        <w:t xml:space="preserve">2</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种方式</w:t>
      </w:r>
      <w:r>
        <w:rPr>
          <w:rFonts w:hint="eastAsia" w:ascii="宋体" w:hAnsi="宋体"/>
          <w:color w:val="000000" w:themeColor="text1"/>
          <w:sz w:val="24"/>
          <w14:textFill>
            <w14:solidFill>
              <w14:schemeClr w14:val="tx1"/>
            </w14:solidFill>
          </w14:textFill>
        </w:rPr>
        <w:t xml:space="preserve">解</w:t>
      </w:r>
      <w:r>
        <w:rPr>
          <w:rFonts w:ascii="宋体" w:hAnsi="宋体"/>
          <w:color w:val="000000" w:themeColor="text1"/>
          <w:sz w:val="24"/>
          <w14:textFill>
            <w14:solidFill>
              <w14:schemeClr w14:val="tx1"/>
            </w14:solidFill>
          </w14:textFill>
        </w:rPr>
        <w:t xml:space="preserve">决：</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（1）向</w:t>
      </w:r>
      <w:r>
        <w:rPr>
          <w:rFonts w:hint="eastAsia" w:ascii="宋体" w:hAnsi="宋体"/>
          <w:color w:val="000000" w:themeColor="text1"/>
          <w:sz w:val="24"/>
          <w:u w:val="single"/>
          <w14:textFill>
            <w14:solidFill>
              <w14:schemeClr w14:val="tx1"/>
            </w14:solidFill>
          </w14:textFill>
        </w:rPr>
        <w:t xml:space="preserve">工程项目所在地的</w:t>
      </w:r>
      <w:r>
        <w:rPr>
          <w:rFonts w:ascii="宋体" w:hAnsi="宋体"/>
          <w:color w:val="000000" w:themeColor="text1"/>
          <w:sz w:val="24"/>
          <w14:textFill>
            <w14:solidFill>
              <w14:schemeClr w14:val="tx1"/>
            </w14:solidFill>
          </w14:textFill>
        </w:rPr>
        <w:t xml:space="preserve">仲裁委员会申请仲裁；</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（2）向</w:t>
      </w:r>
      <w:r>
        <w:rPr>
          <w:rFonts w:hint="eastAsia" w:ascii="宋体" w:hAnsi="宋体"/>
          <w:color w:val="000000" w:themeColor="text1"/>
          <w:sz w:val="24"/>
          <w:u w:val="single"/>
          <w14:textFill>
            <w14:solidFill>
              <w14:schemeClr w14:val="tx1"/>
            </w14:solidFill>
          </w14:textFill>
        </w:rPr>
        <w:t xml:space="preserve">工程项目所在地</w:t>
      </w:r>
      <w:r>
        <w:rPr>
          <w:rFonts w:hint="eastAsia" w:ascii="宋体" w:hAnsi="宋体"/>
          <w:color w:val="000000" w:themeColor="text1"/>
          <w:sz w:val="24"/>
          <w:u w:val="single"/>
          <w:lang w:val="en-US" w:eastAsia="zh-CN"/>
          <w14:textFill>
            <w14:solidFill>
              <w14:schemeClr w14:val="tx1"/>
            </w14:solidFill>
          </w14:textFill>
        </w:rPr>
        <w:t xml:space="preserve">的</w:t>
      </w:r>
      <w:r>
        <w:rPr>
          <w:rFonts w:ascii="宋体" w:hAnsi="宋体"/>
          <w:color w:val="000000" w:themeColor="text1"/>
          <w:sz w:val="24"/>
          <w14:textFill>
            <w14:solidFill>
              <w14:schemeClr w14:val="tx1"/>
            </w14:solidFill>
          </w14:textFill>
        </w:rPr>
        <w:t xml:space="preserve">人民法院起诉。</w:t>
      </w:r>
      <w:bookmarkEnd w:id="720"/>
      <w:r/>
      <w:bookmarkEnd w:id="721"/>
      <w:r/>
      <w:bookmarkEnd w:id="722"/>
      <w:r/>
      <w:bookmarkEnd w:id="723"/>
      <w:r/>
      <w:bookmarkEnd w:id="724"/>
      <w:r/>
      <w:bookmarkEnd w:id="725"/>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20.4.2</w:t>
      </w:r>
      <w:r>
        <w:rPr>
          <w:rFonts w:ascii="宋体" w:hAnsi="宋体"/>
          <w:color w:val="000000" w:themeColor="text1"/>
          <w:sz w:val="24"/>
          <w14:textFill>
            <w14:solidFill>
              <w14:schemeClr w14:val="tx1"/>
            </w14:solidFill>
          </w14:textFill>
        </w:rPr>
        <w:t xml:space="preserve">在争议解决期间，除涉及争议部分外，双方应继续履行合同其他条款</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left"/>
        <w:widowControl/>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r/>
    </w:p>
    <w:p>
      <w:pPr>
        <w:ind w:firstLine="643"/>
        <w:jc w:val="center"/>
        <w:spacing w:line="400" w:lineRule="exact"/>
        <w:widowControl/>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工程质量保修书</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发包人（全称）：</w:t>
      </w:r>
      <w:r>
        <w:rPr>
          <w:rFonts w:hint="eastAsia" w:ascii="宋体" w:hAnsi="宋体"/>
          <w:color w:val="000000" w:themeColor="text1"/>
          <w:sz w:val="24"/>
          <w:u w:val="single"/>
          <w:lang w:eastAsia="zh-CN"/>
          <w14:textFill>
            <w14:solidFill>
              <w14:schemeClr w14:val="tx1"/>
            </w14:solidFill>
          </w14:textFill>
        </w:rPr>
        <w:t xml:space="preserve">盐城市第一中学</w:t>
      </w:r>
      <w:r>
        <w:rPr>
          <w:rFonts w:hint="eastAsia" w:ascii="宋体" w:hAnsi="宋体"/>
          <w:color w:val="000000" w:themeColor="text1"/>
          <w:sz w:val="24"/>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承包人（全称）：</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发包人和承包人根据《中华人民共和国建筑法》和《建设工程质量管理条例》，经协商一致就</w:t>
      </w:r>
      <w:r>
        <w:rPr>
          <w:rFonts w:hint="eastAsia" w:ascii="宋体" w:hAnsi="宋体"/>
          <w:color w:val="000000" w:themeColor="text1"/>
          <w:sz w:val="24"/>
          <w:u w:val="single"/>
          <w:lang w:eastAsia="zh-CN"/>
          <w14:textFill>
            <w14:solidFill>
              <w14:schemeClr w14:val="tx1"/>
            </w14:solidFill>
          </w14:textFill>
        </w:rPr>
        <w:t xml:space="preserve">市一中西环路校区食堂改造工程</w:t>
      </w:r>
      <w:r>
        <w:rPr>
          <w:rFonts w:hint="eastAsia" w:ascii="宋体" w:hAnsi="宋体"/>
          <w:color w:val="000000" w:themeColor="text1"/>
          <w:sz w:val="24"/>
          <w14:textFill>
            <w14:solidFill>
              <w14:schemeClr w14:val="tx1"/>
            </w14:solidFill>
          </w14:textFill>
        </w:rPr>
        <w:t xml:space="preserve">（工程全称）签订工程质量保修书。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一、工程质量保修范围和内容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承包人在质量保修期内，按照有关法律规定和合同约定，承担工程质量保修责任。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二、质量保修期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根据《建设工程质量管理条例》及有关规定，工程的质量保修期如下：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1．地基基础工程和主体结构工程为设计文件规定的工程合理使用年限；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2．屋面防水工程、有防水要求的卫生间、房间和外墙面的防渗为5年；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3．装修工程为2年；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4．电气管线、给排水管道、设备安装工程为2年；</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5．供热与供冷系统为2个采暖期、供冷期；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6．住宅小区内的给排水设施、道路等配套工程为2年；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7．其他项目保修期限约定如下：不少于2年。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质量保修期自工程竣工验收合格之日起计算。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三、缺陷责任期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工程缺陷责任期为24个月，缺陷责任期自工程通过竣工验收之日起计算。单位工程先于全部工程进行验收，单位工程缺陷责任期自单位工程验收合格之日起算。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缺陷责任期终止后，发包人应退还剩余的质量保证金。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四、质量保修责任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1．属于保修范围、内容的项目，承包人应当在接到保修通知之日起1天内派人保修。承包人不在约定期限内派人保修的，发包人可以委托他人修理，并可就修理产生的费用单方委托审计，相应费用由承包人承担。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2．发生紧急事故需抢修的，承包人在接到事故通知后，应当立即到达事故现场抢修。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4．质量保修完成后，由发包人组织验收。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五、保修费用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保修费用由造成质量缺陷的责任方承担。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六、双方约定的其他工程质量保修事项：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工程质量保修书由发包人、承包人在工程竣工验收前共同签署，作为施工合同附件，其有效期限至保修期满。</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发包人(公章)：                         承包人(公章)：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                                地 址：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法定代表人(签字)：                     法定代表人(签字)：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委托代理人(签字)：                     委托代理人(签字)：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                                电 话：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                                传 真：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开户银行：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 号：                                账 号：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邮政编码：                             邮政编码：</w:t>
      </w:r>
      <w:r/>
    </w:p>
    <w:p>
      <w:pPr>
        <w:jc w:val="center"/>
        <w:rPr>
          <w:rFonts w:ascii="宋体" w:hAnsi="宋体"/>
          <w:b/>
          <w:color w:val="000000" w:themeColor="text1"/>
          <w:sz w:val="32"/>
          <w:szCs w:val="32"/>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br w:type="page" w:clear="all"/>
      </w:r>
      <w:r>
        <w:rPr>
          <w:rFonts w:hint="eastAsia" w:ascii="宋体" w:hAnsi="宋体"/>
          <w:b/>
          <w:color w:val="000000" w:themeColor="text1"/>
          <w:sz w:val="32"/>
          <w:szCs w:val="32"/>
          <w14:textFill>
            <w14:solidFill>
              <w14:schemeClr w14:val="tx1"/>
            </w14:solidFill>
          </w14:textFill>
        </w:rPr>
        <w:t xml:space="preserve">安全施工协议书</w:t>
      </w:r>
      <w:r/>
    </w:p>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发包人（全称）：</w:t>
      </w:r>
      <w:r>
        <w:rPr>
          <w:rFonts w:hint="eastAsia" w:ascii="宋体" w:hAnsi="宋体"/>
          <w:color w:val="000000" w:themeColor="text1"/>
          <w:sz w:val="24"/>
          <w:u w:val="single"/>
          <w:lang w:eastAsia="zh-CN"/>
          <w14:textFill>
            <w14:solidFill>
              <w14:schemeClr w14:val="tx1"/>
            </w14:solidFill>
          </w14:textFill>
        </w:rPr>
        <w:t xml:space="preserve">盐城市第一中学</w:t>
      </w:r>
      <w:r>
        <w:rPr>
          <w:rFonts w:hint="eastAsia" w:ascii="宋体" w:hAnsi="宋体"/>
          <w:color w:val="000000" w:themeColor="text1"/>
          <w:sz w:val="24"/>
          <w14:textFill>
            <w14:solidFill>
              <w14:schemeClr w14:val="tx1"/>
            </w14:solidFill>
          </w14:textFill>
        </w:rPr>
        <w:t xml:space="preserve">（以下简称甲方）</w:t>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承包人（全称）：</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（以下简称乙方）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根据有关法律法规及省市有关文件精神，结合</w:t>
      </w:r>
      <w:r>
        <w:rPr>
          <w:rFonts w:hint="eastAsia" w:ascii="宋体" w:hAnsi="宋体" w:cs="宋体"/>
          <w:color w:val="000000" w:themeColor="text1"/>
          <w:sz w:val="24"/>
          <w:u w:val="single"/>
          <w:lang w:eastAsia="zh-CN"/>
          <w14:textFill>
            <w14:solidFill>
              <w14:schemeClr w14:val="tx1"/>
            </w14:solidFill>
          </w14:textFill>
        </w:rPr>
        <w:t xml:space="preserve">市一中西环路校区食堂改造工程</w:t>
      </w:r>
      <w:r>
        <w:rPr>
          <w:rFonts w:hint="eastAsia" w:ascii="宋体" w:hAnsi="宋体"/>
          <w:color w:val="000000" w:themeColor="text1"/>
          <w:sz w:val="24"/>
          <w14:textFill>
            <w14:solidFill>
              <w14:schemeClr w14:val="tx1"/>
            </w14:solidFill>
          </w14:textFill>
        </w:rPr>
        <w:t xml:space="preserve">的施工特点及本工程安全施工的要求，双方签订本安全施工协议。本协议作为甲乙双方承发包合同的附件。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一、工程概况：详见施工合同。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二、安全生产目标：安全生产无事故。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三、发包人职责：</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1、发包人委托监理单位按国家有关规定检查、指导乙方的安全施工及文明现场管理工作。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2、协调各承包人之间的交叉关系、施工场地布置等。</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3、制定安全、文明施工台账。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四、乙方职责：</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1、工程项目负责人为安全文明生产责任人，并建立安全文明生产管理小组。</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2、结合本工程实际情况及相关规定，具体制定并在施工中认真执行安全文明生产条例及实施 细则。内容须包括以下方面；</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 施工现场安全防护工作要按有关规定落实到位；</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对职工进行安全文明教育；</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 严格遵守安全生产纪律及各项规定；</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 做好场容场貌工作包括工地围挡、道路场地、材料堆放、五牌一图等；</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 保持工地卫生状况（职工宿舍、食堂、办公室、厕所、楼地面等）良好；</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2.6 做好爱民便民及其它工作；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2.7 做好与相关部门及相关承包人的协调与配合；</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2.8 有关法律、法规、文件要求的其它工作。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3、指定专人配合监理单位做好安全施工日志。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六、因工程在具体实施过程中存在大量的协调和配合工作。为确保工程高效、顺利地进行， 乙方承诺：</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1、乙方及其下属人员在与其它部门、单位、个人或在乙方内部之间出现矛盾时，都必须采取友好协商的形式予以解决。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2、乙方确保在本工程范围内乙方的任何人员不以任何理由出现任何暴力行为。</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七、在乙方工程范围内出现任何安全事故与发包人无关均由乙方负责处理，同时本协议不免除乙方造成不良后果后所应承担的法律责任及其它责任。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八、本协议经签字盖章后生效。 </w:t>
      </w:r>
      <w:r/>
    </w:p>
    <w:p>
      <w:pPr>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发包人(公章) ：                            承包人(公章)：                         </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                                 法定代表人 </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（签字或盖章）：                          （签字或盖章）：</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  期：                                        日  期：</w:t>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pStyle w:val="744"/>
        <w:rPr>
          <w:color w:val="000000" w:themeColor="text1"/>
          <w:sz w:val="36"/>
          <w:szCs w:val="36"/>
          <w14:textFill>
            <w14:solidFill>
              <w14:schemeClr w14:val="tx1"/>
            </w14:solidFill>
          </w14:textFill>
        </w:rPr>
      </w:pPr>
      <w:r/>
      <w:bookmarkStart w:id="731" w:name="_Toc203032703"/>
      <w:r>
        <w:rPr>
          <w:rFonts w:hint="eastAsia"/>
          <w:color w:val="000000" w:themeColor="text1"/>
          <w:sz w:val="36"/>
          <w:szCs w:val="36"/>
          <w14:textFill>
            <w14:solidFill>
              <w14:schemeClr w14:val="tx1"/>
            </w14:solidFill>
          </w14:textFill>
        </w:rPr>
        <w:t xml:space="preserve">第四章  项目需求</w:t>
      </w:r>
      <w:bookmarkEnd w:id="731"/>
      <w:r/>
      <w:r/>
    </w:p>
    <w:p>
      <w:pPr>
        <w:spacing w:line="440" w:lineRule="exact"/>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pStyle w:val="1055"/>
        <w:ind w:firstLine="482"/>
        <w:spacing w:line="440" w:lineRule="exact"/>
        <w:rPr>
          <w:rFonts w:ascii="宋体" w:hAnsi="宋体" w:cs="宋体"/>
          <w:b/>
          <w:color w:val="000000" w:themeColor="text1"/>
          <w:sz w:val="24"/>
          <w:szCs w:val="24"/>
          <w14:textFill>
            <w14:solidFill>
              <w14:schemeClr w14:val="tx1"/>
            </w14:solidFill>
          </w14:textFill>
        </w:rPr>
      </w:pPr>
      <w:r/>
      <w:bookmarkStart w:id="732" w:name="_Toc144974516"/>
      <w:r/>
      <w:bookmarkStart w:id="733" w:name="_Toc247513972"/>
      <w:r/>
      <w:bookmarkStart w:id="734" w:name="_Toc152045548"/>
      <w:r/>
      <w:bookmarkStart w:id="735" w:name="_Toc247527573"/>
      <w:r/>
      <w:bookmarkStart w:id="736" w:name="_Toc152042324"/>
      <w:r/>
      <w:bookmarkStart w:id="737" w:name="_Toc300834969"/>
      <w:r>
        <w:rPr>
          <w:rFonts w:hint="eastAsia" w:ascii="宋体" w:hAnsi="宋体" w:cs="宋体"/>
          <w:b/>
          <w:color w:val="000000" w:themeColor="text1"/>
          <w:sz w:val="24"/>
          <w:szCs w:val="24"/>
          <w14:textFill>
            <w14:solidFill>
              <w14:schemeClr w14:val="tx1"/>
            </w14:solidFill>
          </w14:textFill>
        </w:rPr>
        <w:t xml:space="preserve">一、标的内容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1、项目名称：</w:t>
      </w:r>
      <w:r>
        <w:rPr>
          <w:rFonts w:hint="eastAsia" w:ascii="宋体" w:hAnsi="宋体" w:cs="宋体"/>
          <w:color w:val="000000" w:themeColor="text1"/>
          <w:sz w:val="24"/>
          <w:lang w:eastAsia="zh-CN"/>
          <w14:textFill>
            <w14:solidFill>
              <w14:schemeClr w14:val="tx1"/>
            </w14:solidFill>
          </w14:textFill>
        </w:rPr>
        <w:t xml:space="preserve">市一中西环路校区食堂改造工程</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2、建设地点：</w:t>
      </w:r>
      <w:r>
        <w:rPr>
          <w:rFonts w:hint="eastAsia" w:ascii="宋体" w:hAnsi="宋体" w:cs="宋体"/>
          <w:color w:val="000000" w:themeColor="text1"/>
          <w:sz w:val="24"/>
          <w:lang w:eastAsia="zh-CN"/>
          <w14:textFill>
            <w14:solidFill>
              <w14:schemeClr w14:val="tx1"/>
            </w14:solidFill>
          </w14:textFill>
        </w:rPr>
        <w:t xml:space="preserve">盐城市第一中学</w:t>
      </w:r>
      <w:r>
        <w:rPr>
          <w:rFonts w:hint="eastAsia" w:ascii="宋体" w:hAnsi="宋体" w:cs="宋体"/>
          <w:color w:val="000000" w:themeColor="text1"/>
          <w:sz w:val="24"/>
          <w14:textFill>
            <w14:solidFill>
              <w14:schemeClr w14:val="tx1"/>
            </w14:solidFill>
          </w14:textFill>
        </w:rPr>
        <w:t xml:space="preserve">校园内。</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3、工期要求：</w:t>
      </w:r>
      <w:r>
        <w:rPr>
          <w:rFonts w:hint="eastAsia" w:ascii="宋体" w:hAnsi="宋体" w:cs="宋体"/>
          <w:color w:val="000000" w:themeColor="text1"/>
          <w:sz w:val="24"/>
          <w:lang w:val="en-US" w:eastAsia="zh-CN"/>
          <w14:textFill>
            <w14:solidFill>
              <w14:schemeClr w14:val="tx1"/>
            </w14:solidFill>
          </w14:textFill>
        </w:rPr>
        <w:t xml:space="preserve">30日历天</w:t>
      </w:r>
      <w:r>
        <w:rPr>
          <w:rFonts w:hint="eastAsia" w:ascii="宋体" w:hAnsi="宋体" w:cs="宋体"/>
          <w:color w:val="000000" w:themeColor="text1"/>
          <w:sz w:val="24"/>
          <w14:textFill>
            <w14:solidFill>
              <w14:schemeClr w14:val="tx1"/>
            </w14:solidFill>
          </w14:textFill>
        </w:rPr>
        <w:t xml:space="preserve">。</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4、质量标准：工程质量符合国家及地方相关验收规范的“合格”标准，并符合招标人提出的具体质量要求。</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5、发包范围：详见工程量清单。招标人保留对工作量进行变更或增减的权利。</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6、标段划分：本次招标为一个标段。</w:t>
      </w:r>
      <w:r/>
    </w:p>
    <w:p>
      <w:pPr>
        <w:ind w:firstLine="48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7、采购范围：本工程建设地点位于</w:t>
      </w:r>
      <w:r>
        <w:rPr>
          <w:rFonts w:hint="eastAsia" w:ascii="宋体" w:hAnsi="宋体" w:cs="宋体"/>
          <w:color w:val="000000" w:themeColor="text1"/>
          <w:sz w:val="24"/>
          <w:lang w:eastAsia="zh-CN"/>
          <w14:textFill>
            <w14:solidFill>
              <w14:schemeClr w14:val="tx1"/>
            </w14:solidFill>
          </w14:textFill>
        </w:rPr>
        <w:t xml:space="preserve">盐城市第一中学</w:t>
      </w:r>
      <w:r>
        <w:rPr>
          <w:rFonts w:hint="eastAsia" w:ascii="宋体" w:hAnsi="宋体" w:cs="宋体"/>
          <w:color w:val="000000" w:themeColor="text1"/>
          <w:sz w:val="24"/>
          <w14:textFill>
            <w14:solidFill>
              <w14:schemeClr w14:val="tx1"/>
            </w14:solidFill>
          </w14:textFill>
        </w:rPr>
        <w:t xml:space="preserve">校园内。详见采购人提供的工程量清单及施工图纸，采购人保留对上述采购范围进行适当调整的权利。</w:t>
      </w:r>
      <w:r/>
    </w:p>
    <w:p>
      <w:pPr>
        <w:ind w:firstLine="480"/>
        <w:spacing w:line="440" w:lineRule="exact"/>
        <w:rPr>
          <w:rFonts w:hint="default"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8、本工程向建设主管部门办理的工程施工许可手续，由承包人代为办理，发包人协助，费用按规定承担。</w:t>
      </w:r>
      <w:r/>
    </w:p>
    <w:p>
      <w:pPr>
        <w:pStyle w:val="1055"/>
        <w:ind w:firstLine="482"/>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二、踏勘现场</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1.各磋商供应商应在递交磋商响应文件截止日前</w:t>
      </w:r>
      <w:r>
        <w:rPr>
          <w:rFonts w:hint="eastAsia" w:ascii="宋体" w:hAnsi="宋体" w:cs="宋体"/>
          <w:color w:val="000000" w:themeColor="text1"/>
          <w:sz w:val="24"/>
          <w14:textFill>
            <w14:solidFill>
              <w14:schemeClr w14:val="tx1"/>
            </w14:solidFill>
          </w14:textFill>
        </w:rPr>
        <w:t xml:space="preserve">至工程实施现场进行现场踏勘，如因未踏勘现场造成的一切后果自负。2.磋商供应商踏勘现场发生的费用自理，自行承担在踏勘现场中所发生的人员伤亡和财产损失。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1055"/>
        <w:ind w:firstLine="482"/>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三、投标报价要求</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 投标人应按招标人提供的“招标工程量清单”的要求填写价格清单。</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 投标人需自行勘察现场，结合招标人的施工工艺要求，以及现场施工难度，进行投标报价，投标报价需包含按照招标人工艺要求进行施工的所有费用。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 投标人须考虑现场情况，部分材料可能须要人工二次倒运，投标人须将此费用考虑在投标综合报价中。</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 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 成品保护按相关要求执行，工程施工不得随意破坏已完工的项目，如破坏需及时按原状修复，否则由招标人另行按排施工单位修复，费用由招标人按排的施工单位报价，在中标人结算总价中按2倍的价格扣减。</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8.工程必须确保安全，投标人自行承担工程施工过程中的工程质量、任何状况下的安全责任。</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9.本工程施工过程中遇到的地方矛盾、与其他施工单位的矛盾协调、环保，城管，环卫，附近居民等相关矛盾协调，均由投标人自行解决，并不支付任何额为费用。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12.工程量现场实测计量，招标人保留增加或减少工作量的权利，合同价相应调整，但投标的综合</w:t>
      </w:r>
      <w:r>
        <w:rPr>
          <w:rFonts w:hint="eastAsia" w:ascii="宋体" w:hAnsi="宋体" w:cs="宋体"/>
          <w:color w:val="000000" w:themeColor="text1"/>
          <w:sz w:val="24"/>
          <w:szCs w:val="24"/>
          <w14:textFill>
            <w14:solidFill>
              <w14:schemeClr w14:val="tx1"/>
            </w14:solidFill>
          </w14:textFill>
        </w:rPr>
        <w:t xml:space="preserve">单价不变。</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13.材料进场前投标人必须送样品给招标人确认，经招标人确认后方可实施。如施工时提供的样品不能满足招标人要求，招标人有权要求更换。 </w:t>
      </w:r>
      <w:r/>
    </w:p>
    <w:p>
      <w:pPr>
        <w:pStyle w:val="1055"/>
        <w:ind w:firstLine="482"/>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四、投标报价的方式</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2、投标报价的计价方法</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3、投标报价文件编制的依据</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招标人提供的招标文件、招标工程量清单及其补充通知；</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招标人设定的最高限价；</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3.3《建设工程量清单计价规范》(GB50500-2013) 及其工程量计算规范； </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有关的施工规范与工程验收规范；</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 施工现场情况、工程特点及投标人拟采用的施工组织设计和施工方案；</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 投标人的企业定额；</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3.7 投标人可同时参考土建工程依据2014版《江苏省建筑与装饰工程计价定额》，安装工程依据2014版《江苏省安装工程计价定额》等最高限价（预算）的编制依据。</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4、投标报价文件编制的要求</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4.1招标人提供的施工图纸、招标工程量清单应与招标文件一起参照阅读；</w:t>
      </w:r>
      <w:r/>
    </w:p>
    <w:p>
      <w:pPr>
        <w:pStyle w:val="1055"/>
        <w:ind w:firstLine="482"/>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五、最高限价（预算）的编制</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1.最高限价：详见投标须知前附表，招标人拒绝高于最高限价的投标报价。</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2.最高限价确定的依据：</w:t>
      </w:r>
      <w:r/>
    </w:p>
    <w:p>
      <w:pPr>
        <w:ind w:firstLine="480"/>
        <w:spacing w:line="440" w:lineRule="exact"/>
        <w:rPr>
          <w:rFonts w:ascii="宋体" w:hAnsi="宋体" w:cs="宋体"/>
          <w:color w:val="000000" w:themeColor="text1"/>
          <w:sz w:val="24"/>
          <w:szCs w:val="24"/>
          <w14:textFill>
            <w14:solidFill>
              <w14:schemeClr w14:val="tx1"/>
            </w14:solidFill>
          </w14:textFill>
        </w:rPr>
      </w:pPr>
      <w:r/>
      <w:bookmarkStart w:id="738" w:name="EB8b95e4dd9e80494e85f00682aba7f2c4"/>
      <w:r>
        <w:rPr>
          <w:rFonts w:hint="eastAsia" w:ascii="宋体" w:hAnsi="宋体" w:cs="宋体"/>
          <w:color w:val="000000" w:themeColor="text1"/>
          <w:sz w:val="24"/>
          <w:szCs w:val="24"/>
          <w14:textFill>
            <w14:solidFill>
              <w14:schemeClr w14:val="tx1"/>
            </w14:solidFill>
          </w14:textFill>
        </w:rPr>
        <w:t xml:space="preserve">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color w:val="000000" w:themeColor="text1"/>
          <w:sz w:val="24"/>
          <w:szCs w:val="24"/>
          <w14:textFill>
            <w14:solidFill>
              <w14:schemeClr w14:val="tx1"/>
            </w14:solidFill>
          </w14:textFill>
        </w:rPr>
        <w:t xml:space="preserve">2009</w:t>
      </w:r>
      <w:r>
        <w:rPr>
          <w:rFonts w:hint="eastAsia" w:ascii="宋体" w:hAnsi="宋体" w:cs="宋体"/>
          <w:color w:val="000000" w:themeColor="text1"/>
          <w:sz w:val="24"/>
          <w:szCs w:val="24"/>
          <w14:textFill>
            <w14:solidFill>
              <w14:schemeClr w14:val="tx1"/>
            </w14:solidFill>
          </w14:textFill>
        </w:rPr>
        <w:t xml:space="preserve">版《江苏省房屋修缮工程计价表》（</w:t>
      </w:r>
      <w:r>
        <w:rPr>
          <w:rFonts w:ascii="宋体" w:hAnsi="宋体" w:cs="宋体"/>
          <w:color w:val="000000" w:themeColor="text1"/>
          <w:sz w:val="24"/>
          <w:szCs w:val="24"/>
          <w14:textFill>
            <w14:solidFill>
              <w14:schemeClr w14:val="tx1"/>
            </w14:solidFill>
          </w14:textFill>
        </w:rPr>
        <w:t xml:space="preserve">2009</w:t>
      </w:r>
      <w:r>
        <w:rPr>
          <w:rFonts w:hint="eastAsia" w:ascii="宋体" w:hAnsi="宋体" w:cs="宋体"/>
          <w:color w:val="000000" w:themeColor="text1"/>
          <w:sz w:val="24"/>
          <w:szCs w:val="24"/>
          <w14:textFill>
            <w14:solidFill>
              <w14:schemeClr w14:val="tx1"/>
            </w14:solidFill>
          </w14:textFill>
        </w:rPr>
        <w:t xml:space="preserve">版）……（以下简称《计价定额》）、《江苏省建设工程费用定额》（2014年）（以下简称《计价定额》）、 《盐城工程造价》</w:t>
      </w:r>
      <w:r>
        <w:rPr>
          <w:rFonts w:hint="eastAsia" w:ascii="宋体" w:hAnsi="宋体" w:cs="宋体"/>
          <w:color w:val="000000" w:themeColor="text1"/>
          <w:sz w:val="24"/>
          <w:szCs w:val="24"/>
          <w:lang w:eastAsia="zh-CN"/>
          <w14:textFill>
            <w14:solidFill>
              <w14:schemeClr w14:val="tx1"/>
            </w14:solidFill>
          </w14:textFill>
        </w:rPr>
        <w:t xml:space="preserve">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lang w:eastAsia="zh-CN"/>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4月</w:t>
      </w:r>
      <w:r>
        <w:rPr>
          <w:rFonts w:hint="eastAsia" w:ascii="宋体" w:hAnsi="宋体" w:cs="宋体"/>
          <w:color w:val="000000" w:themeColor="text1"/>
          <w:sz w:val="24"/>
          <w:szCs w:val="24"/>
          <w14:textFill>
            <w14:solidFill>
              <w14:schemeClr w14:val="tx1"/>
            </w14:solidFill>
          </w14:textFill>
        </w:rPr>
        <w:t xml:space="preserve">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根据苏建价[2016]154号文件的规定，本项目招标文件及合同计税方法均采用增值税一般计税方法，招标文件及合同中的建材信息价及建材市场参考价均为除税价。</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单位工程费用计费程序如下：</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1、分部分项工程量清单费用   人工费+材料费+施工机具使用费+管理费+利润；</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  中：</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人工费                  计价定额人工消耗量×人工单价</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材料费                  计价定额材料消耗量×除税材料单价</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施工机具使用费          计价定额机械消耗量×除税机械单价</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管理费                  按《费用定额》结合苏建价（2016）154号文计取</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利  润                  按《费用定额》结合苏建价（2016）154号文计取</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2、措施项目费用            单价措施费+总价措施费</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单价措施费              除税综合单价×清单工程量</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总价措施费 （分部分项工程费+单价措施项目费-除税工程设备费）×费率或以项计</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3、其他项目费用</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详见工程量清单</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4、规 费（分部分项工程费用+措施项目费用+其他项目费用-除税工程设备费）×费率</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其中：</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1）环境保护税（暂按招标工程量清单中的费率计取，结算时按环保和税务部门的规定执行）。</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2）社会保险费（执行《费用定额》苏建价[2016]154号规定的费率）。</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3）住房公积金（执行《费用定额》及苏建价[2016]154号规定的费率）。</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5、税      金（分部分项工程量清单费用+措施项目费用+其他项目费用+规费-除税甲供材料和甲供设备费/1.01）×</w:t>
      </w:r>
      <w:r>
        <w:rPr>
          <w:rFonts w:hint="eastAsia" w:ascii="宋体" w:hAnsi="宋体" w:cs="宋体"/>
          <w:color w:val="000000" w:themeColor="text1"/>
          <w:sz w:val="24"/>
          <w:szCs w:val="24"/>
          <w:u w:val="single"/>
          <w14:textFill>
            <w14:solidFill>
              <w14:schemeClr w14:val="tx1"/>
            </w14:solidFill>
          </w14:textFill>
        </w:rPr>
        <w:t xml:space="preserve">9%</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6、工程造价  分部分项工程量清单费用+措施项目费用+其他项目费用+规费-除税甲供材料和甲供设备费/1.01+税金</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说明：</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一、分部分项工程费用部分</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1、工程类别：按《费用定额》中的“工程类别划分”执行。</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2、工程量按《建设工程工程量清单计价规范》、《工程量计算规范》、《费用定额》、《计价定额》及施工图纸等计算。</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3、人工工资单价参照苏建函价〔202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66</w:t>
      </w:r>
      <w:r>
        <w:rPr>
          <w:rFonts w:hint="eastAsia" w:ascii="宋体" w:hAnsi="宋体" w:cs="宋体"/>
          <w:color w:val="000000" w:themeColor="text1"/>
          <w:sz w:val="24"/>
          <w:szCs w:val="24"/>
          <w14:textFill>
            <w14:solidFill>
              <w14:schemeClr w14:val="tx1"/>
            </w14:solidFill>
          </w14:textFill>
        </w:rPr>
        <w:t xml:space="preserve">号文件执行。</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4、材料单价执行《盐城工程造价》</w:t>
      </w:r>
      <w:r>
        <w:rPr>
          <w:rFonts w:hint="eastAsia" w:ascii="宋体" w:hAnsi="宋体"/>
          <w:color w:val="000000" w:themeColor="text1"/>
          <w:sz w:val="24"/>
          <w:szCs w:val="24"/>
          <w:u w:val="single"/>
          <w:lang w:eastAsia="zh-CN"/>
          <w14:textFill>
            <w14:solidFill>
              <w14:schemeClr w14:val="tx1"/>
            </w14:solidFill>
          </w14:textFill>
        </w:rPr>
        <w:t xml:space="preserve">202</w:t>
      </w:r>
      <w:r>
        <w:rPr>
          <w:rFonts w:hint="eastAsia" w:ascii="宋体" w:hAnsi="宋体"/>
          <w:color w:val="000000" w:themeColor="text1"/>
          <w:sz w:val="24"/>
          <w:szCs w:val="24"/>
          <w:u w:val="single"/>
          <w:lang w:val="en-US" w:eastAsia="zh-CN"/>
          <w14:textFill>
            <w14:solidFill>
              <w14:schemeClr w14:val="tx1"/>
            </w14:solidFill>
          </w14:textFill>
        </w:rPr>
        <w:t xml:space="preserve">6</w:t>
      </w:r>
      <w:r>
        <w:rPr>
          <w:rFonts w:hint="eastAsia" w:ascii="宋体" w:hAnsi="宋体"/>
          <w:color w:val="000000" w:themeColor="text1"/>
          <w:sz w:val="24"/>
          <w:szCs w:val="24"/>
          <w:u w:val="single"/>
          <w:lang w:eastAsia="zh-CN"/>
          <w14:textFill>
            <w14:solidFill>
              <w14:schemeClr w14:val="tx1"/>
            </w14:solidFill>
          </w14:textFill>
        </w:rPr>
        <w:t xml:space="preserve">年</w:t>
      </w:r>
      <w:r>
        <w:rPr>
          <w:rFonts w:hint="eastAsia" w:ascii="宋体" w:hAnsi="宋体"/>
          <w:color w:val="000000" w:themeColor="text1"/>
          <w:sz w:val="24"/>
          <w:szCs w:val="24"/>
          <w:u w:val="single"/>
          <w:lang w:val="en-US" w:eastAsia="zh-CN"/>
          <w14:textFill>
            <w14:solidFill>
              <w14:schemeClr w14:val="tx1"/>
            </w14:solidFill>
          </w14:textFill>
        </w:rPr>
        <w:t xml:space="preserve">4月</w:t>
      </w:r>
      <w:r>
        <w:rPr>
          <w:rFonts w:hint="eastAsia" w:ascii="宋体" w:hAnsi="宋体" w:cs="宋体"/>
          <w:color w:val="000000" w:themeColor="text1"/>
          <w:sz w:val="24"/>
          <w:szCs w:val="24"/>
          <w14:textFill>
            <w14:solidFill>
              <w14:schemeClr w14:val="tx1"/>
            </w14:solidFill>
          </w14:textFill>
        </w:rPr>
        <w:t xml:space="preserve">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5、机械单价中燃料费按《盐城工程造价》202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月建设工程材料信息价、市场参考价。</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6、企业管理费按《费用定额》结合苏建价（2016）154号文中的“工程费用取费标准及有关规定”对应的取费标准计取。</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7、利润率：按《费用定额》结合苏建价（2016）154号文中的“工程费用取费标准及有关规定”对应的取费标准计取。</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8、风险费率：招标人在预算价编制时不考虑风险费率，但投标人可按（人工费+除税材料费+除税机械费+管理费+利润-除税工程设备费）的适当比例和相关规定自行考虑。</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二、措施项目部分：</w:t>
      </w:r>
      <w:r/>
    </w:p>
    <w:p>
      <w:pPr>
        <w:ind w:firstLine="422"/>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（一）单价措施项目：</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详见招标工程量清单。</w:t>
      </w:r>
      <w:r/>
    </w:p>
    <w:p>
      <w:pPr>
        <w:ind w:firstLine="422"/>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（二）总价措施项目</w:t>
      </w:r>
      <w:r/>
    </w:p>
    <w:p>
      <w:pPr>
        <w:ind w:firstLine="422"/>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一）通用的总价措施项目费：</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1、安全文明施工措施费：该费用为不可竞争费，在预算价编制和投标报价中应根据文件规定足额计取。</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根据《费用定额》结合苏建价（2016）154号文等文件的规定，</w:t>
      </w:r>
      <w:r>
        <w:rPr>
          <w:rFonts w:hint="eastAsia" w:ascii="宋体" w:hAnsi="宋体" w:cs="宋体"/>
          <w:b/>
          <w:bCs/>
          <w:color w:val="000000" w:themeColor="text1"/>
          <w:sz w:val="24"/>
          <w:szCs w:val="24"/>
          <w14:textFill>
            <w14:solidFill>
              <w14:schemeClr w14:val="tx1"/>
            </w14:solidFill>
          </w14:textFill>
        </w:rPr>
        <w:t xml:space="preserve">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2、夜间施工费：招标人在编制预算价时不计取，投标人可根据招标人的工期要求及施工组织设计自行考虑。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3、非夜间施工照明费：招标人在编制预算价时不计取，投标人可根据招标人的工期要求及施工组织设计自行考虑。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4、二次搬运费：招标人在编制预算价时不计取，投标人可根据招标人的工期要求及施工组织设计自行考虑。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5、冬雨季施工增加费：招标人在编制预算价时不计取，投标人可根据招标人的工期要求及施工组织设计自行考虑。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6、地上地下设施、建筑物的临时保护设施费：招标人在编制预算价时不计取，投标人可根据施工现场实际情况及施工组织设计自行考虑。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7、已完工程及设备保护费：招标人在编制预算价时不计取，投标人可根据施工组织设计自行计取。</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8、临时设施费：招标人在编制预算价时按费用定额对应类别的中值计取。投标人可根据招标人的工期要求及施工组织设计自行计取。</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9、赶工措施费：招标人在编制预算价时不计取，投标人可根据招标人的工期要求及施工组织设计自行计取。</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10、工程按质论价费：招标人在编制预算价时不计取。 </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11、特殊条件下施工增加费：招标人在编制预算价时不计取。</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12、垃圾清运费用：本工程施工过程中所产生的垃圾应由本工程承包人负责清运，各投标人须在投标报价中自行考虑。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13、施工临时用电、用水均由承包人自行解决来源并现场单独挂表计量，费用由承包人负责。</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三、其他项目费用：</w:t>
      </w:r>
      <w:bookmarkEnd w:id="732"/>
      <w:r/>
      <w:bookmarkEnd w:id="733"/>
      <w:r/>
      <w:bookmarkEnd w:id="734"/>
      <w:r/>
      <w:bookmarkEnd w:id="735"/>
      <w:r/>
      <w:bookmarkEnd w:id="736"/>
      <w:r/>
      <w:bookmarkEnd w:id="737"/>
      <w:r/>
      <w:bookmarkEnd w:id="738"/>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739" w:name="_Toc166856200"/>
      <w:r>
        <w:rPr>
          <w:rFonts w:hint="eastAsia" w:ascii="宋体" w:hAnsi="宋体"/>
          <w:color w:val="000000" w:themeColor="text1"/>
          <w:sz w:val="24"/>
          <w14:textFill>
            <w14:solidFill>
              <w14:schemeClr w14:val="tx1"/>
            </w14:solidFill>
          </w14:textFill>
        </w:rPr>
        <w:t xml:space="preserve">1．暂列金额、暂估价：按采购人《其他项目清单与计价汇总表》执行。</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2．计日工：由承发包双方在施工合同中约定，招标时暂不考虑此项费用。</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3．总承包服务费：本工程不计总承包服务费。</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4．其余详见《其他项目清单与计价汇总表》。</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（四）规 费：</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1．环境保护税：按盐市建价字[2018]29号文。</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2．社会保险费和住房公积金：《费用定额》及苏建价[2016]154号中的标准执行。</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（五）税 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税金是指根据建筑服务销售价格，按规定税率计算的增值税销项税额。并以除税工程造价为计取基础，费率为9%。</w:t>
      </w:r>
      <w:r/>
    </w:p>
    <w:p>
      <w:pPr>
        <w:pStyle w:val="1030"/>
        <w:ind w:firstLine="482"/>
        <w:spacing w:line="360" w:lineRule="auto"/>
        <w:rPr>
          <w:rFonts w:ascii="宋体" w:hAnsi="宋体"/>
          <w:b/>
          <w:color w:val="000000" w:themeColor="text1"/>
          <w:sz w:val="24"/>
          <w14:textFill>
            <w14:solidFill>
              <w14:schemeClr w14:val="tx1"/>
            </w14:solidFill>
          </w14:textFill>
        </w:rPr>
        <w:outlineLvl w:val="2"/>
      </w:pPr>
      <w:r/>
      <w:bookmarkStart w:id="740" w:name="_Toc203032704"/>
      <w:r>
        <w:rPr>
          <w:rFonts w:hint="eastAsia" w:ascii="宋体" w:hAnsi="宋体"/>
          <w:b/>
          <w:color w:val="000000" w:themeColor="text1"/>
          <w:sz w:val="24"/>
          <w14:textFill>
            <w14:solidFill>
              <w14:schemeClr w14:val="tx1"/>
            </w14:solidFill>
          </w14:textFill>
        </w:rPr>
        <w:t xml:space="preserve">四、报价、计价说明</w:t>
      </w:r>
      <w:bookmarkEnd w:id="740"/>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1.投标报价应包含完成本竞争性磋商文件中的全部内容所需的所有费用。</w:t>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2.磋商供应商应充分了解施工场地的位置、周边环境、道路、装卸、保管、安装限制以及影响投标报价的其他要素，结合市场情况进行投标报价。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s="宋体"/>
          <w:color w:val="000000" w:themeColor="text1"/>
          <w:sz w:val="24"/>
          <w:shd w:val="clear" w:color="auto" w:fill="ffffff"/>
          <w14:textFill>
            <w14:solidFill>
              <w14:schemeClr w14:val="tx1"/>
            </w14:solidFill>
          </w14:textFill>
        </w:rPr>
        <w:t xml:space="preserve">投标报价方式：本项目投标报价采用“工程量清单计价法”（工程量计算规则依据《建设工程工程量清单计价规范》（GB50500-2013））。</w:t>
      </w:r>
      <w:r>
        <w:rPr>
          <w:rFonts w:hint="eastAsia" w:ascii="宋体" w:hAnsi="宋体"/>
          <w:color w:val="000000" w:themeColor="text1"/>
          <w:sz w:val="24"/>
          <w14:textFill>
            <w14:solidFill>
              <w14:schemeClr w14:val="tx1"/>
            </w14:solidFill>
          </w14:textFill>
        </w:rPr>
        <w:t xml:space="preserve">磋商供应商</w:t>
      </w:r>
      <w:r>
        <w:rPr>
          <w:rFonts w:hint="eastAsia" w:ascii="宋体" w:hAnsi="宋体" w:cs="宋体"/>
          <w:color w:val="000000" w:themeColor="text1"/>
          <w:sz w:val="24"/>
          <w:shd w:val="clear" w:color="auto" w:fill="ffffff"/>
          <w14:textFill>
            <w14:solidFill>
              <w14:schemeClr w14:val="tx1"/>
            </w14:solidFill>
          </w14:textFill>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color w:val="000000" w:themeColor="text1"/>
          <w:sz w:val="24"/>
          <w14:textFill>
            <w14:solidFill>
              <w14:schemeClr w14:val="tx1"/>
            </w14:solidFill>
          </w14:textFill>
        </w:rPr>
        <w:t xml:space="preserve">磋商供应商</w:t>
      </w:r>
      <w:r>
        <w:rPr>
          <w:rFonts w:hint="eastAsia" w:ascii="宋体" w:hAnsi="宋体" w:cs="宋体"/>
          <w:color w:val="000000" w:themeColor="text1"/>
          <w:sz w:val="24"/>
          <w:shd w:val="clear" w:color="auto" w:fill="ffffff"/>
          <w14:textFill>
            <w14:solidFill>
              <w14:schemeClr w14:val="tx1"/>
            </w14:solidFill>
          </w14:textFill>
        </w:rPr>
        <w:t xml:space="preserve">对采购人提供的工程量清单如有异议（包括对工程量清单中漏项的疑问），应在</w:t>
      </w:r>
      <w:r>
        <w:rPr>
          <w:rFonts w:hint="eastAsia" w:ascii="宋体" w:hAnsi="宋体"/>
          <w:b/>
          <w:color w:val="000000" w:themeColor="text1"/>
          <w:sz w:val="24"/>
          <w14:textFill>
            <w14:solidFill>
              <w14:schemeClr w14:val="tx1"/>
            </w14:solidFill>
          </w14:textFill>
        </w:rPr>
        <w:t xml:space="preserve">提交首次响应文件截止时间五日前</w:t>
      </w:r>
      <w:r>
        <w:rPr>
          <w:rFonts w:hint="eastAsia" w:ascii="宋体" w:hAnsi="宋体" w:cs="宋体"/>
          <w:color w:val="000000" w:themeColor="text1"/>
          <w:sz w:val="24"/>
          <w:shd w:val="clear" w:color="auto" w:fill="ffffff"/>
          <w14:textFill>
            <w14:solidFill>
              <w14:schemeClr w14:val="tx1"/>
            </w14:solidFill>
          </w14:textFill>
        </w:rPr>
        <w:t xml:space="preserve">向</w:t>
      </w:r>
      <w:r>
        <w:rPr>
          <w:rFonts w:hint="eastAsia" w:ascii="宋体" w:hAnsi="宋体"/>
          <w:color w:val="000000" w:themeColor="text1"/>
          <w:sz w:val="24"/>
          <w14:textFill>
            <w14:solidFill>
              <w14:schemeClr w14:val="tx1"/>
            </w14:solidFill>
          </w14:textFill>
        </w:rPr>
        <w:t xml:space="preserve">采购人或采购代理机构提出</w:t>
      </w:r>
      <w:r>
        <w:rPr>
          <w:rFonts w:hint="eastAsia" w:ascii="宋体" w:hAnsi="宋体" w:cs="宋体"/>
          <w:color w:val="000000" w:themeColor="text1"/>
          <w:sz w:val="24"/>
          <w:shd w:val="clear" w:color="auto" w:fill="ffffff"/>
          <w14:textFill>
            <w14:solidFill>
              <w14:schemeClr w14:val="tx1"/>
            </w14:solidFill>
          </w14:textFill>
        </w:rPr>
        <w:t xml:space="preserve">。各</w:t>
      </w:r>
      <w:r>
        <w:rPr>
          <w:rFonts w:hint="eastAsia" w:ascii="宋体" w:hAnsi="宋体"/>
          <w:color w:val="000000" w:themeColor="text1"/>
          <w:sz w:val="24"/>
          <w14:textFill>
            <w14:solidFill>
              <w14:schemeClr w14:val="tx1"/>
            </w14:solidFill>
          </w14:textFill>
        </w:rPr>
        <w:t xml:space="preserve">磋商供应商</w:t>
      </w:r>
      <w:r>
        <w:rPr>
          <w:rFonts w:hint="eastAsia" w:ascii="宋体" w:hAnsi="宋体" w:cs="宋体"/>
          <w:color w:val="000000" w:themeColor="text1"/>
          <w:sz w:val="24"/>
          <w:shd w:val="clear" w:color="auto" w:fill="ffffff"/>
          <w14:textFill>
            <w14:solidFill>
              <w14:schemeClr w14:val="tx1"/>
            </w14:solidFill>
          </w14:textFill>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spacing w:line="360" w:lineRule="auto"/>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4.合同定价方式</w:t>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本工程采用单价合同。本工程实行《建设工程工程量清单计价规范》（GB50500-2013）招标，建设工程合同采用单价合同，以体现风险共担的原则。由采购人提供工程量清单，</w:t>
      </w:r>
      <w:r>
        <w:rPr>
          <w:rFonts w:hint="eastAsia" w:ascii="宋体" w:hAnsi="宋体"/>
          <w:color w:val="000000" w:themeColor="text1"/>
          <w:sz w:val="24"/>
          <w14:textFill>
            <w14:solidFill>
              <w14:schemeClr w14:val="tx1"/>
            </w14:solidFill>
          </w14:textFill>
        </w:rPr>
        <w:t xml:space="preserve">磋商供应商</w:t>
      </w:r>
      <w:r>
        <w:rPr>
          <w:rFonts w:hint="eastAsia" w:ascii="宋体" w:hAnsi="宋体" w:cs="宋体"/>
          <w:color w:val="000000" w:themeColor="text1"/>
          <w:sz w:val="24"/>
          <w:shd w:val="clear" w:color="auto" w:fill="ffffff"/>
          <w14:textFill>
            <w14:solidFill>
              <w14:schemeClr w14:val="tx1"/>
            </w14:solidFill>
          </w14:textFill>
        </w:rPr>
        <w:t xml:space="preserve">以工程量清单及图纸为基础填报相应的单价并计算合价。采购人要求</w:t>
      </w:r>
      <w:r>
        <w:rPr>
          <w:rFonts w:hint="eastAsia" w:ascii="宋体" w:hAnsi="宋体"/>
          <w:color w:val="000000" w:themeColor="text1"/>
          <w:sz w:val="24"/>
          <w14:textFill>
            <w14:solidFill>
              <w14:schemeClr w14:val="tx1"/>
            </w14:solidFill>
          </w14:textFill>
        </w:rPr>
        <w:t xml:space="preserve">磋商供应商</w:t>
      </w:r>
      <w:r>
        <w:rPr>
          <w:rFonts w:hint="eastAsia" w:ascii="宋体" w:hAnsi="宋体" w:cs="宋体"/>
          <w:color w:val="000000" w:themeColor="text1"/>
          <w:sz w:val="24"/>
          <w:shd w:val="clear" w:color="auto" w:fill="ffffff"/>
          <w14:textFill>
            <w14:solidFill>
              <w14:schemeClr w14:val="tx1"/>
            </w14:solidFill>
          </w14:textFill>
        </w:rPr>
        <w:t xml:space="preserve">承担本竞争性磋商文件合同专用条款中约定的风险内容及其范围（幅度）产生的风险费用，在施工过程中，当出现的风险内容及其范围（幅度）在合同约定的范围内，工程价款不作调整。</w:t>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5.投标报价的要求</w:t>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5.1采购人提供工程量清单应与</w:t>
      </w:r>
      <w:r>
        <w:rPr>
          <w:rFonts w:hint="eastAsia" w:ascii="宋体" w:hAnsi="宋体" w:cs="宋体"/>
          <w:color w:val="000000" w:themeColor="text1"/>
          <w:sz w:val="24"/>
          <w:shd w:val="clear" w:color="auto" w:fill="ffffff"/>
          <w14:textFill>
            <w14:solidFill>
              <w14:schemeClr w14:val="tx1"/>
            </w14:solidFill>
          </w14:textFill>
        </w:rPr>
        <w:t xml:space="preserve">竞争性磋商</w:t>
      </w:r>
      <w:r>
        <w:rPr>
          <w:rFonts w:hint="eastAsia" w:ascii="宋体" w:hAnsi="宋体"/>
          <w:color w:val="000000" w:themeColor="text1"/>
          <w:sz w:val="24"/>
          <w14:textFill>
            <w14:solidFill>
              <w14:schemeClr w14:val="tx1"/>
            </w14:solidFill>
          </w14:textFill>
        </w:rPr>
        <w:t xml:space="preserve">文件一起参照阅读；</w:t>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 除不可竞争费用（现场安全文明施工措施费、规费项目费、税金项目费）、暂列金额、暂估价不得调整外，磋商供应商可根据自己的施工方案及企业自身经营管理水平情况不低于成本报价；</w:t>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pStyle w:val="1030"/>
        <w:ind w:firstLine="482"/>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5.5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5.6 如磋商供应商在投标时承诺质量标准达到合格以上等级的，应在投标报价时足额考虑创优所增加的施工成本，相关费用采购人不再另行支付；</w:t>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5.7综合单价的组成：完成一个规定清单项目所需的人工费、材料费和工程设备费、施工机具使用费和企业管理费与利润，以及一定范围内的风险费用；</w:t>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5.8 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5.9 规费和税金应按招标工程量清单中的规定标准执行；</w:t>
      </w:r>
      <w:r/>
    </w:p>
    <w:p>
      <w:pPr>
        <w:pStyle w:val="1030"/>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5.10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5.11投标总价应当与分部分项工程费、措施项目费、其他项目费和规费、税金的合计金额一致。</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5.13</w:t>
      </w:r>
      <w:r>
        <w:rPr>
          <w:rFonts w:hint="eastAsia" w:ascii="宋体" w:hAnsi="宋体" w:cs="宋体"/>
          <w:b/>
          <w:color w:val="000000" w:themeColor="text1"/>
          <w:sz w:val="24"/>
          <w14:textFill>
            <w14:solidFill>
              <w14:schemeClr w14:val="tx1"/>
            </w14:solidFill>
          </w14:textFill>
        </w:rPr>
        <w:t xml:space="preserve">特别提醒：</w:t>
      </w:r>
      <w:r>
        <w:rPr>
          <w:rFonts w:hint="eastAsia" w:ascii="宋体" w:hAnsi="宋体"/>
          <w:b/>
          <w:color w:val="000000" w:themeColor="text1"/>
          <w:sz w:val="24"/>
          <w14:textFill>
            <w14:solidFill>
              <w14:schemeClr w14:val="tx1"/>
            </w14:solidFill>
          </w14:textFill>
        </w:rPr>
        <w:t xml:space="preserve">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82"/>
        <w:spacing w:line="440" w:lineRule="exact"/>
        <w:rPr>
          <w:color w:val="000000" w:themeColor="text1"/>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5.14供应商最后报价为响应文件中已标价工程量清单总价下浮后得到（各清单项的数量不变，单价同比例下浮，其中暂列金额、暂估价、甲供材及其规费和税金不下浮）。</w:t>
      </w:r>
      <w:r/>
    </w:p>
    <w:p>
      <w:pPr>
        <w:ind w:firstLine="482"/>
        <w:spacing w:line="44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五、磋商文件中“磋商响应报价表”均指已标价工程量清单。</w:t>
      </w:r>
      <w:bookmarkEnd w:id="739"/>
      <w:r/>
      <w:r/>
    </w:p>
    <w:p>
      <w:pPr>
        <w:ind w:firstLine="482"/>
        <w:spacing w:line="440" w:lineRule="exact"/>
        <w:rPr>
          <w:rFonts w:hint="eastAsia" w:ascii="宋体" w:hAnsi="宋体" w:eastAsia="宋体"/>
          <w:b/>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lang w:eastAsia="zh-CN"/>
          <w14:textFill>
            <w14:solidFill>
              <w14:schemeClr w14:val="tx1"/>
            </w14:solidFill>
          </w14:textFill>
        </w:rPr>
        <w:t xml:space="preserve">见附件</w:t>
      </w:r>
      <w:r/>
    </w:p>
    <w:p>
      <w:pPr>
        <w:pStyle w:val="1047"/>
        <w:ind w:firstLine="482"/>
        <w:spacing w:line="480" w:lineRule="exact"/>
        <w:rPr>
          <w:rFonts w:ascii="宋体" w:hAnsi="宋体"/>
          <w:b/>
          <w:color w:val="000000" w:themeColor="text1"/>
          <w:sz w:val="24"/>
          <w:szCs w:val="24"/>
          <w14:textFill>
            <w14:solidFill>
              <w14:schemeClr w14:val="tx1"/>
            </w14:solidFill>
          </w14:textFill>
        </w:rPr>
        <w:outlineLvl w:val="1"/>
      </w:pPr>
      <w:r/>
      <w:bookmarkStart w:id="741" w:name="_Toc203032705"/>
      <w:r>
        <w:rPr>
          <w:rFonts w:hint="eastAsia" w:ascii="宋体" w:hAnsi="宋体"/>
          <w:b/>
          <w:color w:val="000000" w:themeColor="text1"/>
          <w:sz w:val="24"/>
          <w:szCs w:val="24"/>
          <w14:textFill>
            <w14:solidFill>
              <w14:schemeClr w14:val="tx1"/>
            </w14:solidFill>
          </w14:textFill>
        </w:rPr>
        <w:t xml:space="preserve">六、工程及材料技术要求</w:t>
      </w:r>
      <w:bookmarkEnd w:id="741"/>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1、工程质量应达到的等级：达到国标验收规范合格要求。</w:t>
      </w:r>
      <w:r/>
    </w:p>
    <w:p>
      <w:pPr>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、材料进场、垃圾外运时需注意对业主方道路、道板及绿化的保护，如有损坏，成交人应恢复原样，相关维修费由成交人自理。</w:t>
      </w:r>
      <w:r/>
    </w:p>
    <w:p>
      <w:pPr>
        <w:pStyle w:val="1030"/>
        <w:ind w:firstLine="480"/>
        <w:spacing w:line="360" w:lineRule="auto"/>
        <w:rPr>
          <w:rFonts w:ascii="宋体" w:hAnsi="宋体"/>
          <w:b/>
          <w:bCs/>
          <w:color w:val="000000" w:themeColor="text1"/>
          <w:sz w:val="24"/>
          <w14:textFill>
            <w14:solidFill>
              <w14:schemeClr w14:val="tx1"/>
            </w14:solidFill>
          </w14:textFill>
        </w:rPr>
      </w:pPr>
      <w:r/>
      <w:bookmarkStart w:id="742" w:name="_Toc195778616"/>
      <w:r/>
      <w:bookmarkStart w:id="743" w:name="_Toc166856202"/>
      <w:r>
        <w:rPr>
          <w:rFonts w:hint="eastAsia" w:ascii="宋体" w:hAnsi="宋体"/>
          <w:b/>
          <w:bCs/>
          <w:color w:val="000000" w:themeColor="text1"/>
          <w:sz w:val="24"/>
          <w14:textFill>
            <w14:solidFill>
              <w14:schemeClr w14:val="tx1"/>
            </w14:solidFill>
          </w14:textFill>
        </w:rPr>
        <w:t xml:space="preserve">七、类似业绩</w:t>
      </w:r>
      <w:bookmarkEnd w:id="742"/>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供应商需要具备丰富的类似项目承接经验，确保本项目的顺利实施，自202</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年1月1日以来（以合同签订日期为准），供应商具有类似业绩的优先。</w:t>
      </w:r>
      <w:r/>
    </w:p>
    <w:p>
      <w:pPr>
        <w:pStyle w:val="1030"/>
        <w:ind w:firstLine="480"/>
        <w:spacing w:line="360" w:lineRule="auto"/>
        <w:rPr>
          <w:rFonts w:ascii="宋体" w:hAnsi="宋体"/>
          <w:b/>
          <w:bCs/>
          <w:color w:val="000000" w:themeColor="text1"/>
          <w:sz w:val="24"/>
          <w14:textFill>
            <w14:solidFill>
              <w14:schemeClr w14:val="tx1"/>
            </w14:solidFill>
          </w14:textFill>
        </w:rPr>
      </w:pPr>
      <w:r/>
      <w:bookmarkStart w:id="744" w:name="_Toc195778617"/>
      <w:r>
        <w:rPr>
          <w:rFonts w:hint="eastAsia" w:ascii="宋体" w:hAnsi="宋体"/>
          <w:b/>
          <w:bCs/>
          <w:color w:val="000000" w:themeColor="text1"/>
          <w:sz w:val="24"/>
          <w14:textFill>
            <w14:solidFill>
              <w14:schemeClr w14:val="tx1"/>
            </w14:solidFill>
          </w14:textFill>
        </w:rPr>
        <w:t xml:space="preserve">八、投标人投标时应提供以下方案</w:t>
      </w:r>
      <w:bookmarkEnd w:id="744"/>
      <w:r/>
      <w:r/>
    </w:p>
    <w:p>
      <w:pPr>
        <w:pStyle w:val="1030"/>
        <w:ind w:firstLine="480"/>
        <w:spacing w:line="360" w:lineRule="auto"/>
        <w:rPr>
          <w:rFonts w:ascii="宋体" w:hAnsi="宋体"/>
          <w:color w:val="000000" w:themeColor="text1"/>
          <w:sz w:val="24"/>
          <w:highlight w:val="none"/>
          <w14:textFill>
            <w14:solidFill>
              <w14:schemeClr w14:val="tx1"/>
            </w14:solidFill>
          </w14:textFill>
        </w:rPr>
      </w:pPr>
      <w:r/>
      <w:bookmarkStart w:id="745" w:name="_Toc195778618"/>
      <w:r>
        <w:rPr>
          <w:rFonts w:hint="eastAsia" w:ascii="宋体" w:hAnsi="宋体"/>
          <w:color w:val="000000" w:themeColor="text1"/>
          <w:sz w:val="24"/>
          <w:highlight w:val="none"/>
          <w14:textFill>
            <w14:solidFill>
              <w14:schemeClr w14:val="tx1"/>
            </w14:solidFill>
          </w14:textFill>
        </w:rPr>
        <w:t xml:space="preserve">投标人应根据采购需求和本项目实际，制订相应的方案至少包括以下内容：</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1施工方案、技术措施及后期服务方案</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①施工准备方案：</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组织机构设置及人员配备情况，至少包含围绕项目的质量、进度、成本、安全等设计，将安全职责并入“现场管理组”；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（2）施工场地规划与临时设施布置须符合国家及地方的法律法规、行业标准，满足施工生产的基本需求，优先考虑施工安全，设置安全防护设施，保证人员和设备安全。</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材料设备采购及进场计划须包含采购计划和进场管控。采购计划管控：材料设备采购清单需明确规格、数量误差范围（≤±2%），到货时间偏差不超过计划时间24小时。进场检验：材料进场后抽样检验比例≥3%，检验合格率100%方可入库；材料进场时间需比施工需求提前3日及以上，延误率0%。</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②施工项目目标控制方案：</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质量目标控制。材料检验：进场材料查验凭证齐全率100%，抽样送检率100%，不合格材料退场率100%。质量巡查：项目质量员每日开展2次（上午、下午各1次）质量巡查，巡查记录完整率100%；每周组织1次质量专项检查，问题整改闭环率100%。验收标准：各分项工程质量验收合格率100%，优良率≥85%，无重大质量缺陷。</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（3）安全目标控制，至少包含对施工人员进行安全教育培训和安全技术交底，提高安全意识；设置明显的安全警示标志，配备齐全的安全防</w:t>
      </w:r>
      <w:r>
        <w:rPr>
          <w:rFonts w:hint="eastAsia" w:ascii="宋体" w:hAnsi="宋体"/>
          <w:color w:val="000000" w:themeColor="text1"/>
          <w:sz w:val="24"/>
          <w:highlight w:val="none"/>
          <w14:textFill>
            <w14:solidFill>
              <w14:schemeClr w14:val="tx1"/>
            </w14:solidFill>
          </w14:textFill>
        </w:rPr>
        <w:t xml:space="preserve">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专职安全员每日2次安全巡查，每周1次综合安全检查，隐患整改率100%；重伤及以上安全事故发生率0%，轻伤事故频率≤1‰。</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钢筋、混凝土等）损耗率≤3%，辅助材料损耗率≤5%，超损耗部分需提供详细说明并经采购人确认。</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③技术措施方案内容：</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屋内地面、墙面拆除、重新施工，至少包含拆除、废料处置、重新施工等内容，铲除后基层表面应无油污、浮灰、松散物，铲除产生的废料需每日封闭运输至指定堆放点，不得遗留于现场。施工过程中需对周边保留墙体、门窗等采取覆盖保护措施，防止磕碰与污染等。</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2.工程进度计划与保证措施</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①进度计划：</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eastAsia="宋体" w:cs="宋体"/>
          <w:color w:val="000000" w:themeColor="text1"/>
          <w:sz w:val="24"/>
          <w14:textFill>
            <w14:solidFill>
              <w14:schemeClr w14:val="tx1"/>
            </w14:solidFill>
          </w14:textFill>
        </w:rPr>
        <w:t xml:space="preserve">至少包含（1）前期准备阶段；（2）拆除阶段；（3）食堂基础装修阶段（4）清理验收阶段等时间及工序进度计划，总工期≤30日历天。</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②保证措施：</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（1）人员保障：明确各工序负责人，合理调配人力，在关键工序增加施工人员，加快施工速度。人员到位率100%，缺勤率≤3%。</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（2）材料保障：主要材料储备量≥3天施工用量，备用材料储备率100%；材料短缺响应时间≤2小时，补货到位时间≤24小时。</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（3）工序衔接：制定详细的工序交接清单，合理安排各工序施工顺序。</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（4）进度监控：工序交接清单编制完整率100%，交接验收合格率100%；上一工序完成后，下一工序进场间隔≤8小时。</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（5）应急处理：针对恶劣天气（暴雨、台风等），提前48小时制定应对方案；安全事故发生后，响应时间≤1小时，处理完成时间≤72小时（一般事故），最大限度减少工期延误（延误≤2天）。</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3.安全管理方案和措施</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①安全管理方案：</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（1）安全目标：重伤及以上安全事故发生率0%，轻伤事故频率≤1‰，施工人员安全培训覆盖率100%，设备设施完好率≥98%。</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（2）责任体系：项目开工后7日内完成安全责任书签订，签订率100%；专职安全员持证上岗率100%，施工班组每20人设1名兼职安全员，兼职安全员培训考核合格率100%。</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（3）制度执行：安全生产教育培训记录、安全检查记录、隐患整改记录等资料留存率100%；应急管理制度备案完成时间≤项目开工后15天。</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②安全保证措施方案：</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（1）施工前安全准备：安全技术交底覆盖率100%，交底记录签字率100%；安全警示标志设置数量≥施工区域面积/50㎡（每50㎡至少1处），标志完好率100%。</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（2）各施工环节安全控制：至少包含拆除屋面防水卷材、屋面防水卷材施工等环节的安全控制。</w:t>
      </w:r>
      <w:r/>
    </w:p>
    <w:p>
      <w:pPr>
        <w:pStyle w:val="1030"/>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③现场安全防护：至少包含施工现场设置临时围挡，与其他区域隔离，防止无关人员误入；对裸露的电线、管道接口等进行遮盖或保护，避免人员触碰受伤等。</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④安全检查与隐患整改</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专职安全员每日2次巡查，隐患发现率100%；一般隐患整改时间≤24小时，较大隐患整改时间≤48小时，整改闭环率100%。</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⑤应急处置</w:t>
      </w:r>
      <w:r/>
    </w:p>
    <w:p>
      <w:pPr>
        <w:pStyle w:val="1030"/>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应急演练每月1次，参与率≥90%，演练总结报告编制完成时间≤演练后3天；应急救援箱配置数量≥施工人数/50人（每50人至少1套），应急照明覆盖范围100%，连续供电时间≥3小时。</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4.质量管理方案和措施</w:t>
      </w:r>
      <w:r/>
    </w:p>
    <w:p>
      <w:pPr>
        <w:pStyle w:val="1030"/>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①质量管理方案：</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（1）质量目标：工程质量验收合格率100%，优良率≥85%，重大质量缺陷发生率0%，材料进场检验合格率100%。</w:t>
      </w:r>
      <w:r/>
    </w:p>
    <w:p>
      <w:pPr>
        <w:pStyle w:val="1030"/>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（2）质量管理体系：专职质量检查员持证上岗率100%，施工班组质量监督员配置率100%，质量管理文件备案完成时间≤项目开工后10天。</w:t>
      </w:r>
      <w:r/>
    </w:p>
    <w:p>
      <w:pPr>
        <w:pStyle w:val="1030"/>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②具体质量措施：</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（1）材料质量控制：材料进场时需提供合格证、检验报告等资料，不合格材料严禁进场使用。</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（2）施工前质量准备：组织施工人员进行详细的技术交底，明确各工序的质量控制点和施工要求。</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（3）各工序质量控制：各分项工程工序自检合格率100%，复检合格率100%，未验收合格工序不得进入下一道，工序验收记录完整率100%。</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（4）质量检查与验收：每道工序完成后，施工班组先进行自检，自检合格后报质量检查员复检，验收合格签字确认后方可进入下道工序。</w:t>
      </w:r>
      <w:r/>
    </w:p>
    <w:p>
      <w:pPr>
        <w:pStyle w:val="1030"/>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（5）质量问题处理：质量问题责任人明确率100%，一般问题整改时间≤48小时，较大问题整改时间≤72小时，整改验收合格率100%，处理记录留存率100%。</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5.文明施工及环境保护方案</w:t>
      </w:r>
      <w:r/>
    </w:p>
    <w:p>
      <w:pPr>
        <w:pStyle w:val="1030"/>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①文明施工方案：</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（1）现场管理：施工现场设置明显的施工标识牌；对施工区域进行封闭围挡，保持围挡整洁；施工材料和工具分类堆放整齐。</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（2）人员管理：施工人员统一佩戴安全帽，施工时间严格控制在6:00-22:00，夜间施工（特殊情况）需提前3天报备，减少对周边环境的影响。</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(3)卫生管理：施工现场设置临时垃圾桶，及时清理施工垃圾和生活垃圾，做到日产日清。</w:t>
      </w:r>
      <w:r/>
    </w:p>
    <w:p>
      <w:pPr>
        <w:pStyle w:val="1030"/>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（4）工序衔接：各工序施工完成后，做到“工完场清”；材料运输过程中采取防护措施，防止扬尘和遗洒。</w:t>
      </w:r>
      <w:r/>
    </w:p>
    <w:p>
      <w:pPr>
        <w:pStyle w:val="1030"/>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环境保护方案：至少包含噪声控制、扬尘防治等方案，施工期间昼间噪声≤70dB，夜间（22:00-6:00）噪声≤55dB。施工现场洒水频率≥4次/天（干燥天气≥6次/天），裸土覆盖率100%，扬尘监测浓度≤0.5mg/m³。合理安排施工工序，避免夜间施工产生噪声扰民，扬尘扩散等。</w:t>
      </w:r>
      <w:r/>
    </w:p>
    <w:p>
      <w:pPr>
        <w:pStyle w:val="1030"/>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6.质量保修期内的服务方案内容至少包含</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服务内容：质量保修期内每月开展1次工程巡查，巡查覆盖率100%，重点检查易出现缺陷的部位，主动发现并处理缺陷；接到甲方关于工程缺陷的通知后，及时对缺陷进行核实，制定修复方案，按照规范要求进行修复，确保修复质量符合原工程标准。</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（2）响应机制：接到业主通知后，2小时内做出响应，紧急缺陷（如漏水、断电）4小时内到场率100%，一般缺陷24小时内到场率100%</w:t>
      </w:r>
      <w:r/>
    </w:p>
    <w:p>
      <w:pPr>
        <w:pStyle w:val="1030"/>
        <w:ind w:firstLine="480"/>
        <w:spacing w:line="360" w:lineRule="auto"/>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（3）问题处理流程：缺陷记录完整率100%，现场勘查完成时间≤8小时，修复方案确定时间≤24小时，修复工期偏差≤±1天，验收合格率100%。</w:t>
      </w:r>
      <w:r/>
    </w:p>
    <w:p>
      <w:pPr>
        <w:pStyle w:val="1030"/>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（4）保障措施：专职处理人员配置≥2人，技术人员配置≥1人；修复材料储备量≥常用缺陷修复用量的1.2倍，材料到位时间≤24小时。</w:t>
      </w:r>
      <w:r/>
    </w:p>
    <w:p>
      <w:pPr>
        <w:pStyle w:val="1030"/>
        <w:ind w:firstLine="480"/>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九</w:t>
      </w:r>
      <w:r>
        <w:rPr>
          <w:rFonts w:hint="eastAsia" w:ascii="宋体" w:hAnsi="宋体"/>
          <w:b/>
          <w:bCs/>
          <w:color w:val="000000" w:themeColor="text1"/>
          <w:sz w:val="24"/>
          <w14:textFill>
            <w14:solidFill>
              <w14:schemeClr w14:val="tx1"/>
            </w14:solidFill>
          </w14:textFill>
        </w:rPr>
        <w:t xml:space="preserve">、其他</w:t>
      </w:r>
      <w:bookmarkEnd w:id="743"/>
      <w:r/>
      <w:bookmarkEnd w:id="745"/>
      <w:r/>
      <w:r/>
    </w:p>
    <w:tbl>
      <w:tblPr>
        <w:tblStyle w:val="70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900"/>
        <w:gridCol w:w="3969"/>
      </w:tblGrid>
      <w:tr>
        <w:trPr>
          <w:jc w:val="center"/>
          <w:tblCellSpacing w:w="0" w:type="dxa"/>
          <w:trHeight w:val="0"/>
        </w:trPr>
        <w:tc>
          <w:tcPr>
            <w:shd w:val="clear" w:color="auto" w:fill="auto"/>
            <w:tcW w:w="846" w:type="dxa"/>
            <w:vAlign w:val="center"/>
            <w:textDirection w:val="lrTb"/>
            <w:noWrap w:val="false"/>
          </w:tcPr>
          <w:p>
            <w:pPr>
              <w:pStyle w:val="742"/>
              <w:jc w:val="center"/>
              <w:spacing w:beforeAutospacing="0" w:afterAutospacing="0" w:line="240" w:lineRule="auto"/>
              <w:rPr>
                <w:color w:val="000000" w:themeColor="text1"/>
                <w14:textFill>
                  <w14:solidFill>
                    <w14:schemeClr w14:val="tx1"/>
                  </w14:solidFill>
                </w14:textFill>
              </w:rPr>
            </w:pPr>
            <w:r/>
            <w:bookmarkStart w:id="746" w:name="_Toc195778619"/>
            <w:r>
              <w:rPr>
                <w:rFonts w:hint="eastAsia"/>
                <w:color w:val="000000" w:themeColor="text1"/>
                <w14:textFill>
                  <w14:solidFill>
                    <w14:schemeClr w14:val="tx1"/>
                  </w14:solidFill>
                </w14:textFill>
              </w:rPr>
              <w:t xml:space="preserve">序号</w:t>
            </w:r>
            <w:r/>
          </w:p>
        </w:tc>
        <w:tc>
          <w:tcPr>
            <w:shd w:val="clear" w:color="auto" w:fill="auto"/>
            <w:tcW w:w="3900" w:type="dxa"/>
            <w:vAlign w:val="center"/>
            <w:textDirection w:val="lrTb"/>
            <w:noWrap w:val="false"/>
          </w:tcPr>
          <w:p>
            <w:pPr>
              <w:pStyle w:val="742"/>
              <w:jc w:val="center"/>
              <w:spacing w:beforeAutospacing="0" w:afterAutospacing="0"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采购标的</w:t>
            </w:r>
            <w:r/>
          </w:p>
        </w:tc>
        <w:tc>
          <w:tcPr>
            <w:shd w:val="clear" w:color="auto" w:fill="auto"/>
            <w:tcW w:w="3969" w:type="dxa"/>
            <w:vAlign w:val="center"/>
            <w:textDirection w:val="lrTb"/>
            <w:noWrap w:val="false"/>
          </w:tcPr>
          <w:p>
            <w:pPr>
              <w:pStyle w:val="742"/>
              <w:jc w:val="center"/>
              <w:spacing w:beforeAutospacing="0" w:afterAutospacing="0"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对应中小企业划分标准所属行业</w:t>
            </w:r>
            <w:r/>
          </w:p>
        </w:tc>
      </w:tr>
      <w:tr>
        <w:trPr>
          <w:jc w:val="center"/>
          <w:tblCellSpacing w:w="0" w:type="dxa"/>
          <w:trHeight w:val="0"/>
        </w:trPr>
        <w:tc>
          <w:tcPr>
            <w:shd w:val="clear" w:color="auto" w:fill="auto"/>
            <w:tcW w:w="846" w:type="dxa"/>
            <w:vAlign w:val="center"/>
            <w:textDirection w:val="lrTb"/>
            <w:noWrap w:val="false"/>
          </w:tcPr>
          <w:p>
            <w:pPr>
              <w:pStyle w:val="742"/>
              <w:jc w:val="center"/>
              <w:spacing w:beforeAutospacing="0" w:afterAutospacing="0"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shd w:val="clear" w:color="auto" w:fill="auto"/>
            <w:tcW w:w="3900" w:type="dxa"/>
            <w:vAlign w:val="center"/>
            <w:textDirection w:val="lrTb"/>
            <w:noWrap w:val="false"/>
          </w:tcPr>
          <w:p>
            <w:pPr>
              <w:pStyle w:val="742"/>
              <w:ind w:left="240" w:hanging="240"/>
              <w:jc w:val="center"/>
              <w:spacing w:beforeAutospacing="0" w:afterAutospacing="0" w:line="240" w:lineRule="auto"/>
              <w:rPr>
                <w:rFonts w:hint="eastAsia" w:eastAsia="宋体" w:cs="仿宋" w:asciiTheme="minorEastAsia" w:hAnsiTheme="minorEastAsia"/>
                <w:color w:val="000000" w:themeColor="text1"/>
                <w14:textFill>
                  <w14:solidFill>
                    <w14:schemeClr w14:val="tx1"/>
                  </w14:solidFill>
                </w14:textFill>
              </w:rPr>
            </w:pPr>
            <w:r>
              <w:rPr>
                <w:rFonts w:hint="eastAsia" w:cs="仿宋" w:asciiTheme="minorEastAsia" w:hAnsiTheme="minorEastAsia"/>
                <w:color w:val="000000" w:themeColor="text1"/>
                <w:lang w:eastAsia="zh-CN"/>
                <w14:textFill>
                  <w14:solidFill>
                    <w14:schemeClr w14:val="tx1"/>
                  </w14:solidFill>
                </w14:textFill>
              </w:rPr>
              <w:t xml:space="preserve">市一中西环路校区食堂改造工程</w:t>
            </w:r>
            <w:r/>
          </w:p>
        </w:tc>
        <w:tc>
          <w:tcPr>
            <w:shd w:val="clear" w:color="auto" w:fill="auto"/>
            <w:tcW w:w="3969" w:type="dxa"/>
            <w:vAlign w:val="center"/>
            <w:textDirection w:val="lrTb"/>
            <w:noWrap w:val="false"/>
          </w:tcPr>
          <w:p>
            <w:pPr>
              <w:pStyle w:val="742"/>
              <w:jc w:val="center"/>
              <w:spacing w:beforeAutospacing="0" w:afterAutospacing="0"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建筑业</w:t>
            </w:r>
            <w:bookmarkEnd w:id="746"/>
            <w:r/>
            <w:r/>
          </w:p>
        </w:tc>
      </w:tr>
    </w:tbl>
    <w:p>
      <w:pPr>
        <w:jc w:val="left"/>
        <w:widowControl/>
        <w:rPr>
          <w:rFonts w:ascii="Cambria" w:hAnsi="Cambria"/>
          <w:b/>
          <w:bCs/>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br w:type="page" w:clear="all"/>
      </w:r>
      <w:r/>
    </w:p>
    <w:p>
      <w:pPr>
        <w:pStyle w:val="744"/>
        <w:rPr>
          <w:color w:val="000000" w:themeColor="text1"/>
          <w:sz w:val="36"/>
          <w:szCs w:val="36"/>
          <w14:textFill>
            <w14:solidFill>
              <w14:schemeClr w14:val="tx1"/>
            </w14:solidFill>
          </w14:textFill>
        </w:rPr>
      </w:pPr>
      <w:r/>
      <w:bookmarkStart w:id="747" w:name="_Toc203032706"/>
      <w:r>
        <w:rPr>
          <w:rFonts w:hint="eastAsia"/>
          <w:color w:val="000000" w:themeColor="text1"/>
          <w:sz w:val="36"/>
          <w:szCs w:val="36"/>
          <w14:textFill>
            <w14:solidFill>
              <w14:schemeClr w14:val="tx1"/>
            </w14:solidFill>
          </w14:textFill>
        </w:rPr>
        <w:t xml:space="preserve">第五章 定标原则和评审标准</w:t>
      </w:r>
      <w:bookmarkEnd w:id="747"/>
      <w:r/>
      <w:r/>
    </w:p>
    <w:p>
      <w:pPr>
        <w:pStyle w:val="694"/>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748" w:name="_Toc166856205"/>
      <w:r/>
      <w:bookmarkStart w:id="749" w:name="_Toc203032707"/>
      <w:r>
        <w:rPr>
          <w:rFonts w:hint="eastAsia" w:ascii="宋体" w:hAnsi="宋体" w:eastAsia="宋体" w:cs="Courier New"/>
          <w:color w:val="000000" w:themeColor="text1"/>
          <w:sz w:val="24"/>
          <w:szCs w:val="24"/>
          <w14:textFill>
            <w14:solidFill>
              <w14:schemeClr w14:val="tx1"/>
            </w14:solidFill>
          </w14:textFill>
        </w:rPr>
        <w:t xml:space="preserve">一、磋商小组</w:t>
      </w:r>
      <w:bookmarkEnd w:id="748"/>
      <w:r/>
      <w:bookmarkEnd w:id="749"/>
      <w:r/>
      <w:r/>
    </w:p>
    <w:p>
      <w:pPr>
        <w:ind w:firstLine="36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本采购项目磋商小组的评委由有关专家、采购人代表等相关人员构成。</w:t>
      </w:r>
      <w:r/>
    </w:p>
    <w:p>
      <w:pPr>
        <w:pStyle w:val="694"/>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750" w:name="_Toc166856206"/>
      <w:r/>
      <w:bookmarkStart w:id="751" w:name="_Toc203032708"/>
      <w:r>
        <w:rPr>
          <w:rFonts w:hint="eastAsia" w:ascii="宋体" w:hAnsi="宋体" w:eastAsia="宋体" w:cs="Courier New"/>
          <w:color w:val="000000" w:themeColor="text1"/>
          <w:sz w:val="24"/>
          <w:szCs w:val="24"/>
          <w14:textFill>
            <w14:solidFill>
              <w14:schemeClr w14:val="tx1"/>
            </w14:solidFill>
          </w14:textFill>
        </w:rPr>
        <w:t xml:space="preserve">二、评审方法</w:t>
      </w:r>
      <w:bookmarkEnd w:id="750"/>
      <w:r/>
      <w:bookmarkEnd w:id="751"/>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p>
    <w:p>
      <w:pPr>
        <w:pStyle w:val="694"/>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752" w:name="_Toc166856207"/>
      <w:r/>
      <w:bookmarkStart w:id="753" w:name="_Toc203032709"/>
      <w:r>
        <w:rPr>
          <w:rFonts w:hint="eastAsia" w:ascii="宋体" w:hAnsi="宋体" w:eastAsia="宋体" w:cs="Courier New"/>
          <w:color w:val="000000" w:themeColor="text1"/>
          <w:sz w:val="24"/>
          <w:szCs w:val="24"/>
          <w14:textFill>
            <w14:solidFill>
              <w14:schemeClr w14:val="tx1"/>
            </w14:solidFill>
          </w14:textFill>
        </w:rPr>
        <w:t xml:space="preserve">三、政府采购政策功能落实</w:t>
      </w:r>
      <w:bookmarkEnd w:id="752"/>
      <w:r/>
      <w:bookmarkEnd w:id="753"/>
      <w:r/>
      <w:r/>
    </w:p>
    <w:p>
      <w:pPr>
        <w:ind w:firstLine="480"/>
        <w:spacing w:line="480" w:lineRule="exact"/>
        <w:rPr>
          <w:rFonts w:ascii="宋体" w:hAnsi="宋体" w:cs="宋体"/>
          <w:color w:val="000000" w:themeColor="text1"/>
          <w:sz w:val="24"/>
          <w14:textFill>
            <w14:solidFill>
              <w14:schemeClr w14:val="tx1"/>
            </w14:solidFill>
          </w14:textFill>
        </w:rPr>
      </w:pPr>
      <w:r/>
      <w:bookmarkStart w:id="754" w:name="_Toc166856209"/>
      <w:r>
        <w:rPr>
          <w:rFonts w:hint="eastAsia" w:ascii="宋体" w:hAnsi="宋体" w:cs="宋体"/>
          <w:color w:val="000000" w:themeColor="text1"/>
          <w:sz w:val="24"/>
          <w14:textFill>
            <w14:solidFill>
              <w14:schemeClr w14:val="tx1"/>
            </w14:solidFill>
          </w14:textFill>
        </w:rPr>
        <w:t xml:space="preserve">政府采购政策功能落实</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1、小微型企业价格扣除</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（2）供应商需按照采购文件的要求提供相应的《中小企业声明函》。</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（3）企业标准请参照《关于印发中小企业划型标准规定的通知》（工信部联企业[2011]300号）文件规定自行填写。</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2、残疾人福利单位价格扣除</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（2）残疾人福利单位需按照采购文件的要求提供《残疾人福利性单位声明函》。</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（3）残疾人福利单位标准请参照《关于促进残疾人就业政府采购政策的通知》（财库〔2017〕141号）。</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3、监狱和戒毒企业价格扣除</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（3）监狱企业标准请参照《关于政府采购支持监狱企业发展有关问题的通知》（财库[2014]68号）。</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4、残疾人福利单位、监狱企业属于小型、微型企业的，不重复享受政策。</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5、严格执行政府采购关于支持</w:t>
      </w:r>
      <w:r>
        <w:rPr>
          <w:rFonts w:hint="eastAsia" w:ascii="宋体" w:hAnsi="宋体" w:cs="宋体"/>
          <w:color w:val="000000" w:themeColor="text1"/>
          <w:sz w:val="24"/>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6、供应商对于投标产品的商品包装、快递包装应按照“财办库〔2020〕123号《关于印发《商品包装政府采购需求标准（试行）》、《快递包装政府采购需求标准（试行）》的通知》”执行。</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7、本文件中若涉及到数据中心采购，应按照《&lt;绿色数据中心政府采购需求标准（试行）&gt;的通知》（财库〔2023〕7号）执行。</w:t>
      </w:r>
      <w:r/>
    </w:p>
    <w:p>
      <w:pPr>
        <w:pStyle w:val="694"/>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755" w:name="_Toc203032710"/>
      <w:r>
        <w:rPr>
          <w:rFonts w:hint="eastAsia" w:ascii="宋体" w:hAnsi="宋体" w:eastAsia="宋体" w:cs="Courier New"/>
          <w:color w:val="000000" w:themeColor="text1"/>
          <w:sz w:val="24"/>
          <w:szCs w:val="24"/>
          <w14:textFill>
            <w14:solidFill>
              <w14:schemeClr w14:val="tx1"/>
            </w14:solidFill>
          </w14:textFill>
        </w:rPr>
        <w:t xml:space="preserve">四、评审原则</w:t>
      </w:r>
      <w:bookmarkEnd w:id="754"/>
      <w:r/>
      <w:bookmarkEnd w:id="755"/>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694"/>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756" w:name="_Toc203032711"/>
      <w:r/>
      <w:bookmarkStart w:id="757" w:name="_Toc166856210"/>
      <w:r>
        <w:rPr>
          <w:rFonts w:hint="eastAsia" w:ascii="宋体" w:hAnsi="宋体" w:eastAsia="宋体" w:cs="Courier New"/>
          <w:color w:val="000000" w:themeColor="text1"/>
          <w:sz w:val="24"/>
          <w:szCs w:val="24"/>
          <w14:textFill>
            <w14:solidFill>
              <w14:schemeClr w14:val="tx1"/>
            </w14:solidFill>
          </w14:textFill>
        </w:rPr>
        <w:t xml:space="preserve">五、评分细则</w:t>
      </w:r>
      <w:bookmarkEnd w:id="756"/>
      <w:r/>
      <w:bookmarkEnd w:id="757"/>
      <w:r/>
      <w:r/>
    </w:p>
    <w:p>
      <w:pPr>
        <w:ind w:firstLine="4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p>
      <w:pPr>
        <w:pStyle w:val="704"/>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bl>
      <w:tblPr>
        <w:tblStyle w:val="703"/>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354"/>
        <w:gridCol w:w="7728"/>
      </w:tblGrid>
      <w:tr>
        <w:trPr>
          <w:cantSplit/>
          <w:jc w:val="center"/>
          <w:trHeight w:val="90"/>
          <w:tblHeader/>
        </w:trPr>
        <w:tc>
          <w:tcPr>
            <w:tcW w:w="568" w:type="dxa"/>
            <w:vAlign w:val="center"/>
            <w:textDirection w:val="lrTb"/>
            <w:noWrap w:val="false"/>
          </w:tcPr>
          <w:p>
            <w:pPr>
              <w:jc w:val="center"/>
              <w:spacing w:line="400" w:lineRule="exact"/>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1354" w:type="dxa"/>
            <w:vAlign w:val="center"/>
            <w:textDirection w:val="lrTb"/>
            <w:noWrap w:val="false"/>
          </w:tcPr>
          <w:p>
            <w:pPr>
              <w:jc w:val="center"/>
              <w:spacing w:line="400" w:lineRule="exact"/>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评分因素及满分分值</w:t>
            </w:r>
            <w:r/>
          </w:p>
        </w:tc>
        <w:tc>
          <w:tcPr>
            <w:tcW w:w="7728" w:type="dxa"/>
            <w:vAlign w:val="center"/>
            <w:textDirection w:val="lrTb"/>
            <w:noWrap w:val="false"/>
          </w:tcPr>
          <w:p>
            <w:pPr>
              <w:jc w:val="center"/>
              <w:spacing w:line="400" w:lineRule="exact"/>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评分标准</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w:t>
            </w:r>
            <w:r/>
          </w:p>
        </w:tc>
        <w:tc>
          <w:tcPr>
            <w:tcW w:w="1354" w:type="dxa"/>
            <w:vAlign w:val="center"/>
            <w:textDirection w:val="lrTb"/>
            <w:noWrap w:val="false"/>
          </w:tcPr>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投标报价</w:t>
            </w:r>
            <w:r/>
          </w:p>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30</w:t>
            </w:r>
            <w:r>
              <w:rPr>
                <w:rFonts w:hint="eastAsia" w:ascii="宋体" w:hAnsi="宋体" w:cs="宋体"/>
                <w:b/>
                <w:bCs/>
                <w:color w:val="000000" w:themeColor="text1"/>
                <w:highlight w:val="none"/>
                <w14:textFill>
                  <w14:solidFill>
                    <w14:schemeClr w14:val="tx1"/>
                  </w14:solidFill>
                </w14:textFill>
              </w:rPr>
              <w:t xml:space="preserve">分）</w:t>
            </w:r>
            <w:r/>
          </w:p>
        </w:tc>
        <w:tc>
          <w:tcPr>
            <w:tcW w:w="7728" w:type="dxa"/>
            <w:vAlign w:val="center"/>
            <w:textDirection w:val="lrTb"/>
            <w:noWrap w:val="false"/>
          </w:tcPr>
          <w:p>
            <w:pPr>
              <w:ind w:firstLine="420"/>
              <w:jc w:val="left"/>
              <w:spacing w:line="36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价格分采用低价优先法计算，即满足磋商文件要求且最后报价最低的投标报价为评标基准价，其价格分为满分。其他供应商的价格分统一按照下列公式计算: (得分保留两位小数)。</w:t>
            </w:r>
            <w:r/>
          </w:p>
          <w:p>
            <w:pPr>
              <w:ind w:firstLine="420"/>
              <w:jc w:val="left"/>
              <w:spacing w:line="360" w:lineRule="exact"/>
              <w:widowControl/>
              <w:rPr>
                <w:rFonts w:ascii="宋体" w:hAnsi="宋体" w:cs="宋体"/>
                <w:color w:val="000000" w:themeColor="text1"/>
                <w:highlight w:val="none"/>
                <w:shd w:val="clear" w:color="auto" w:fill="ffffff"/>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（评标基准价÷最后报价）×</w:t>
            </w:r>
            <w:r>
              <w:rPr>
                <w:rFonts w:hint="eastAsia" w:ascii="宋体" w:hAnsi="宋体" w:cs="宋体"/>
                <w:color w:val="000000" w:themeColor="text1"/>
                <w:highlight w:val="none"/>
                <w:lang w:val="en-US" w:eastAsia="zh-CN"/>
                <w14:textFill>
                  <w14:solidFill>
                    <w14:schemeClr w14:val="tx1"/>
                  </w14:solidFill>
                </w14:textFill>
              </w:rPr>
              <w:t xml:space="preserve">30</w:t>
            </w:r>
            <w:r>
              <w:rPr>
                <w:rFonts w:hint="eastAsia" w:ascii="宋体" w:hAnsi="宋体" w:cs="宋体"/>
                <w:color w:val="000000" w:themeColor="text1"/>
                <w:highlight w:val="none"/>
                <w14:textFill>
                  <w14:solidFill>
                    <w14:schemeClr w14:val="tx1"/>
                  </w14:solidFill>
                </w14:textFill>
              </w:rPr>
              <w:t xml:space="preserve">。</w:t>
            </w:r>
            <w:r/>
          </w:p>
        </w:tc>
      </w:tr>
      <w:tr>
        <w:trPr>
          <w:cantSplit/>
          <w:jc w:val="center"/>
          <w:trHeight w:val="184"/>
        </w:trPr>
        <w:tc>
          <w:tcPr>
            <w:tcW w:w="568" w:type="dxa"/>
            <w:vAlign w:val="center"/>
            <w:textDirection w:val="lrTb"/>
            <w:noWrap w:val="false"/>
          </w:tcPr>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w:t>
            </w:r>
            <w:r/>
          </w:p>
        </w:tc>
        <w:tc>
          <w:tcPr>
            <w:tcW w:w="1354" w:type="dxa"/>
            <w:vAlign w:val="center"/>
            <w:textDirection w:val="lrTb"/>
            <w:noWrap w:val="false"/>
          </w:tcPr>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业绩</w:t>
            </w:r>
            <w:r/>
          </w:p>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15</w:t>
            </w:r>
            <w:r>
              <w:rPr>
                <w:rFonts w:hint="eastAsia" w:ascii="宋体" w:hAnsi="宋体" w:cs="宋体"/>
                <w:b/>
                <w:bCs/>
                <w:color w:val="000000" w:themeColor="text1"/>
                <w:highlight w:val="none"/>
                <w14:textFill>
                  <w14:solidFill>
                    <w14:schemeClr w14:val="tx1"/>
                  </w14:solidFill>
                </w14:textFill>
              </w:rPr>
              <w:t xml:space="preserve">分</w:t>
            </w:r>
            <w:r>
              <w:rPr>
                <w:rFonts w:hint="eastAsia" w:hAnsi="宋体" w:cs="宋体"/>
                <w:b/>
                <w:bCs/>
                <w:color w:val="000000" w:themeColor="text1"/>
                <w:highlight w:val="none"/>
                <w14:textFill>
                  <w14:solidFill>
                    <w14:schemeClr w14:val="tx1"/>
                  </w14:solidFill>
                </w14:textFill>
              </w:rPr>
              <w:t xml:space="preserve">）</w:t>
            </w:r>
            <w:r/>
          </w:p>
        </w:tc>
        <w:tc>
          <w:tcPr>
            <w:tcW w:w="7728" w:type="dxa"/>
            <w:vAlign w:val="center"/>
            <w:textDirection w:val="lrTb"/>
            <w:noWrap w:val="false"/>
          </w:tcPr>
          <w:p>
            <w:pPr>
              <w:ind w:firstLine="420"/>
              <w:jc w:val="left"/>
              <w:spacing w:line="36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投标人自</w:t>
            </w:r>
            <w:r>
              <w:rPr>
                <w:rFonts w:ascii="宋体" w:hAnsi="宋体" w:cs="宋体"/>
                <w:color w:val="000000" w:themeColor="text1"/>
                <w:highlight w:val="none"/>
                <w14:textFill>
                  <w14:solidFill>
                    <w14:schemeClr w14:val="tx1"/>
                  </w14:solidFill>
                </w14:textFill>
              </w:rPr>
              <w:t xml:space="preserve">202</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年1月1日以来（以合同签订时间为准），承接过类似业绩的，每提供一个得</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分，最多得</w:t>
            </w:r>
            <w:r>
              <w:rPr>
                <w:rFonts w:hint="eastAsia" w:ascii="宋体" w:hAnsi="宋体" w:cs="宋体"/>
                <w:color w:val="000000" w:themeColor="text1"/>
                <w:highlight w:val="none"/>
                <w:lang w:val="en-US" w:eastAsia="zh-CN"/>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分；需提供业绩合同扫描件加盖公章，提供不全或未提供者得0分；</w:t>
            </w:r>
            <w:r/>
          </w:p>
          <w:p>
            <w:pPr>
              <w:ind w:firstLine="420"/>
              <w:jc w:val="left"/>
              <w:spacing w:line="360" w:lineRule="exac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投标人提供的合同中须体现双方印章、签订日期、合同主要服务内容等证明信息，如提供的合同中未能体现以上要求的相关内容的，须提供业主单位出具的能反映相关内容的证明材料（加盖业主单位公章），否则业绩合同不予认可。</w:t>
            </w:r>
            <w:r/>
          </w:p>
        </w:tc>
      </w:tr>
      <w:tr>
        <w:trPr>
          <w:cantSplit/>
          <w:jc w:val="center"/>
          <w:trHeight w:val="90"/>
        </w:trPr>
        <w:tc>
          <w:tcPr>
            <w:tcW w:w="568" w:type="dxa"/>
            <w:vAlign w:val="center"/>
            <w:vMerge w:val="restart"/>
            <w:textDirection w:val="lrTb"/>
            <w:noWrap w:val="false"/>
          </w:tcPr>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w:t>
            </w:r>
            <w:r/>
          </w:p>
        </w:tc>
        <w:tc>
          <w:tcPr>
            <w:tcW w:w="1354" w:type="dxa"/>
            <w:vAlign w:val="center"/>
            <w:vMerge w:val="restart"/>
            <w:textDirection w:val="lrTb"/>
            <w:noWrap w:val="false"/>
          </w:tcPr>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实施方案</w:t>
            </w:r>
            <w:r/>
          </w:p>
          <w:p>
            <w:pPr>
              <w:jc w:val="center"/>
              <w:spacing w:line="400" w:lineRule="exact"/>
              <w:widowControl/>
              <w:rPr>
                <w:rFonts w:eastAsiaTheme="minorEastAsia"/>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color w:val="000000" w:themeColor="text1"/>
                <w:highlight w:val="none"/>
                <w:lang w:val="en-US" w:eastAsia="zh-CN"/>
                <w14:textFill>
                  <w14:solidFill>
                    <w14:schemeClr w14:val="tx1"/>
                  </w14:solidFill>
                </w14:textFill>
              </w:rPr>
              <w:t xml:space="preserve">55</w:t>
            </w:r>
            <w:r>
              <w:rPr>
                <w:rFonts w:hint="eastAsia" w:ascii="宋体" w:hAnsi="宋体" w:cs="宋体"/>
                <w:b/>
                <w:color w:val="000000" w:themeColor="text1"/>
                <w:highlight w:val="none"/>
                <w14:textFill>
                  <w14:solidFill>
                    <w14:schemeClr w14:val="tx1"/>
                  </w14:solidFill>
                </w14:textFill>
              </w:rPr>
              <w:t xml:space="preserve">分）</w:t>
            </w:r>
            <w:r/>
          </w:p>
        </w:tc>
        <w:tc>
          <w:tcPr>
            <w:tcW w:w="7728" w:type="dxa"/>
            <w:vAlign w:val="center"/>
            <w:textDirection w:val="lrTb"/>
            <w:noWrap w:val="false"/>
          </w:tcPr>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磋商小组根据以下评审要点，对实施方案进行评审计分，本项满分</w:t>
            </w:r>
            <w:r>
              <w:rPr>
                <w:rFonts w:hint="eastAsia"/>
                <w:color w:val="000000" w:themeColor="text1"/>
                <w:highlight w:val="none"/>
                <w:lang w:val="en-US" w:eastAsia="zh-CN"/>
                <w14:textFill>
                  <w14:solidFill>
                    <w14:schemeClr w14:val="tx1"/>
                  </w14:solidFill>
                </w14:textFill>
              </w:rPr>
              <w:t xml:space="preserve">55</w:t>
            </w:r>
            <w:r>
              <w:rPr>
                <w:rFonts w:hint="eastAsia"/>
                <w:color w:val="000000" w:themeColor="text1"/>
                <w:highlight w:val="none"/>
                <w14:textFill>
                  <w14:solidFill>
                    <w14:schemeClr w14:val="tx1"/>
                  </w14:solidFill>
                </w14:textFill>
              </w:rPr>
              <w:t xml:space="preserve">分。</w:t>
            </w:r>
            <w:r/>
          </w:p>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1.施工方案、技术措施及后期服务方案（10分）</w:t>
            </w:r>
            <w:r/>
          </w:p>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供应商根据本项目第四章中“施工方案与技术措施”要求提供至少包含：①</w:t>
            </w:r>
            <w:r>
              <w:rPr>
                <w:rFonts w:hint="eastAsia"/>
                <w:color w:val="000000" w:themeColor="text1"/>
                <w:highlight w:val="none"/>
                <w14:textFill>
                  <w14:solidFill>
                    <w14:schemeClr w14:val="tx1"/>
                  </w14:solidFill>
                </w14:textFill>
              </w:rPr>
              <w:t xml:space="preserve">施工准备方案</w:t>
            </w:r>
            <w:r>
              <w:rPr>
                <w:rFonts w:hint="eastAsia"/>
                <w:color w:val="000000" w:themeColor="text1"/>
                <w:highlight w:val="none"/>
                <w14:textFill>
                  <w14:solidFill>
                    <w14:schemeClr w14:val="tx1"/>
                  </w14:solidFill>
                </w14:textFill>
              </w:rPr>
              <w:t xml:space="preserve">；②</w:t>
            </w:r>
            <w:r>
              <w:rPr>
                <w:rFonts w:hint="eastAsia"/>
                <w:color w:val="000000" w:themeColor="text1"/>
                <w:highlight w:val="none"/>
                <w14:textFill>
                  <w14:solidFill>
                    <w14:schemeClr w14:val="tx1"/>
                  </w14:solidFill>
                </w14:textFill>
              </w:rPr>
              <w:t xml:space="preserve">施工项目目标控制方案</w:t>
            </w:r>
            <w:r>
              <w:rPr>
                <w:rFonts w:hint="eastAsia"/>
                <w:color w:val="000000" w:themeColor="text1"/>
                <w:highlight w:val="none"/>
                <w14:textFill>
                  <w14:solidFill>
                    <w14:schemeClr w14:val="tx1"/>
                  </w14:solidFill>
                </w14:textFill>
              </w:rPr>
              <w:t xml:space="preserve">③</w:t>
            </w:r>
            <w:r>
              <w:rPr>
                <w:rFonts w:hint="eastAsia"/>
                <w:color w:val="000000" w:themeColor="text1"/>
                <w:highlight w:val="none"/>
                <w14:textFill>
                  <w14:solidFill>
                    <w14:schemeClr w14:val="tx1"/>
                  </w14:solidFill>
                </w14:textFill>
              </w:rPr>
              <w:t xml:space="preserve">技术措施方案内容</w:t>
            </w:r>
            <w:r>
              <w:rPr>
                <w:rFonts w:hint="eastAsia"/>
                <w:color w:val="000000" w:themeColor="text1"/>
                <w:highlight w:val="none"/>
                <w14:textFill>
                  <w14:solidFill>
                    <w14:schemeClr w14:val="tx1"/>
                  </w14:solidFill>
                </w14:textFill>
              </w:rPr>
              <w:t xml:space="preserve">等项目行综合评：优于项目需求的得10分；满足项目需求的得8分；不满足或无此项内容的本项不得分。</w:t>
            </w:r>
            <w:r/>
          </w:p>
        </w:tc>
      </w:tr>
      <w:tr>
        <w:trPr>
          <w:cantSplit/>
          <w:jc w:val="center"/>
          <w:trHeight w:val="1413"/>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7728" w:type="dxa"/>
            <w:vAlign w:val="center"/>
            <w:textDirection w:val="lrTb"/>
            <w:noWrap w:val="false"/>
          </w:tcPr>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2.工程进度计划与保证措施（</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分）</w:t>
            </w:r>
            <w:r/>
          </w:p>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根据本项目第四章中“工程进度计划与保证措施”要求提供至少包含：①进度计划；②保证措施等方面内容进行综合评定：优于项目需求的得10分；满足项目需求的得8分；不满足或无此项内容的本项不得分。</w:t>
            </w:r>
            <w:r/>
          </w:p>
        </w:tc>
      </w:tr>
      <w:tr>
        <w:trPr>
          <w:cantSplit/>
          <w:jc w:val="center"/>
          <w:trHeight w:val="2047"/>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7728" w:type="dxa"/>
            <w:vAlign w:val="center"/>
            <w:textDirection w:val="lrTb"/>
            <w:noWrap w:val="false"/>
          </w:tcPr>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3.安全管理方案和措施（10分）</w:t>
            </w:r>
            <w:r/>
          </w:p>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根据本项目第四章中“安全管理方案和措施”要求提供至少包含：①安全管理方案；②安全保证措施；③现场安全防护；④安全检查与隐患整改；⑤应急处置等方面内容。进行综合评定：优于项目需求的得10分；满足项目需求的得8分；不满足或无此项内容的本项不得分。</w:t>
            </w:r>
            <w:r/>
          </w:p>
        </w:tc>
      </w:tr>
      <w:tr>
        <w:trPr>
          <w:cantSplit/>
          <w:jc w:val="center"/>
          <w:trHeight w:val="734"/>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7728" w:type="dxa"/>
            <w:vAlign w:val="center"/>
            <w:textDirection w:val="lrTb"/>
            <w:noWrap w:val="false"/>
          </w:tcPr>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4.质量管理方案和措施（</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分）</w:t>
            </w:r>
            <w:r/>
          </w:p>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根据本项目第四章中“质量管理方案和措施”要求提供至少包含：①质量管理方案；②具体质量措施等方面内容进行综合评定：优于项目需求的得10分；满足项目需求的得8分；不满足或无此项内容的本项不得分。</w:t>
            </w:r>
            <w:r/>
          </w:p>
        </w:tc>
      </w:tr>
      <w:tr>
        <w:trPr>
          <w:cantSplit/>
          <w:jc w:val="center"/>
          <w:trHeight w:val="1549"/>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7728" w:type="dxa"/>
            <w:vAlign w:val="center"/>
            <w:textDirection w:val="lrTb"/>
            <w:noWrap w:val="false"/>
          </w:tcPr>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5.文明施工及环境保护方案（</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分）</w:t>
            </w:r>
            <w:r/>
          </w:p>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根据本项目第四章中“文明施工及环境保护方案”要求提供至少包含：①文明施工方案；②环境保护方案等方面内容进行综合评定：优于项目需求的得10分；满足项目需求的得8分；不满足或无此项内容的本项不得分。</w:t>
            </w:r>
            <w:r/>
          </w:p>
        </w:tc>
      </w:tr>
      <w:tr>
        <w:trPr>
          <w:cantSplit/>
          <w:jc w:val="center"/>
          <w:trHeight w:val="90"/>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tcW w:w="7728" w:type="dxa"/>
            <w:vAlign w:val="center"/>
            <w:textDirection w:val="lrTb"/>
            <w:noWrap w:val="false"/>
          </w:tcPr>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6.售后服务方案（5分）</w:t>
            </w:r>
            <w:r/>
          </w:p>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根据本项目第四章中“售后服务方案”要求提供至少包含：①服务内容；②响应机制；③问题处理流程；④保障措施相关内容进行综合评定；优于项目需求的得5分；满足项目需求的得3分；不满足或无此项内容的本项不得分。</w:t>
            </w:r>
            <w:r/>
          </w:p>
        </w:tc>
      </w:tr>
      <w:tr>
        <w:trPr>
          <w:cantSplit/>
          <w:jc w:val="center"/>
          <w:trHeight w:val="90"/>
        </w:trPr>
        <w:tc>
          <w:tcPr>
            <w:tcW w:w="568" w:type="dxa"/>
            <w:vAlign w:val="center"/>
            <w:vMerge w:val="continue"/>
            <w:textDirection w:val="lrTb"/>
            <w:noWrap w:val="false"/>
          </w:tcPr>
          <w:p>
            <w:pPr>
              <w:jc w:val="center"/>
              <w:spacing w:line="400" w:lineRule="exact"/>
              <w:widowControl/>
              <w:rPr>
                <w:rFonts w:hint="eastAsia" w:ascii="宋体" w:hAnsi="宋体" w:cs="宋体"/>
                <w:b/>
                <w:bCs/>
                <w:color w:val="auto"/>
                <w:highlight w:val="none"/>
              </w:rPr>
            </w:pPr>
            <w:r>
              <w:rPr>
                <w:rFonts w:hint="eastAsia" w:ascii="宋体" w:hAnsi="宋体" w:cs="宋体"/>
                <w:b/>
                <w:bCs/>
                <w:color w:val="auto"/>
                <w:highlight w:val="none"/>
              </w:rPr>
            </w:r>
            <w:r/>
          </w:p>
        </w:tc>
        <w:tc>
          <w:tcPr>
            <w:gridSpan w:val="2"/>
            <w:tcW w:w="9082" w:type="dxa"/>
            <w:vAlign w:val="center"/>
            <w:textDirection w:val="lrTb"/>
            <w:noWrap w:val="false"/>
          </w:tcPr>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施工方案应表述简洁，否则施工方案不得分。</w:t>
            </w:r>
            <w:r/>
          </w:p>
        </w:tc>
      </w:tr>
    </w:tbl>
    <w:p>
      <w:pPr>
        <w:pStyle w:val="705"/>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300"/>
        <w:spacing w:line="360" w:lineRule="auto"/>
        <w:tabs>
          <w:tab w:val="left" w:pos="900" w:leader="none"/>
        </w:tabs>
        <w:rPr>
          <w:rFonts w:ascii="宋体" w:hAnsi="宋体" w:cs="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hint="eastAsia" w:ascii="宋体" w:hAnsi="宋体" w:cs="宋体"/>
          <w:b/>
          <w:color w:val="000000" w:themeColor="text1"/>
          <w:szCs w:val="21"/>
          <w14:textFill>
            <w14:solidFill>
              <w14:schemeClr w14:val="tx1"/>
            </w14:solidFill>
          </w14:textFill>
        </w:rPr>
        <w:t xml:space="preserve">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p>
    <w:p>
      <w:pPr>
        <w:pStyle w:val="744"/>
        <w:rPr>
          <w:rFonts w:hint="eastAsia"/>
          <w:color w:val="000000" w:themeColor="text1"/>
          <w:sz w:val="36"/>
          <w:szCs w:val="36"/>
          <w14:textFill>
            <w14:solidFill>
              <w14:schemeClr w14:val="tx1"/>
            </w14:solidFill>
          </w14:textFill>
        </w:rPr>
        <w:sectPr>
          <w:footnotePr/>
          <w:endnotePr/>
          <w:type w:val="nextPage"/>
          <w:pgSz w:w="11906" w:h="16838" w:orient="portrait"/>
          <w:pgMar w:top="1015" w:right="1196" w:bottom="868" w:left="1259" w:header="851" w:footer="907" w:gutter="0"/>
          <w:pgNumType w:start="1"/>
          <w:cols w:num="1" w:sep="0" w:space="720" w:equalWidth="1"/>
          <w:docGrid w:linePitch="360"/>
        </w:sectPr>
      </w:pPr>
      <w:r/>
      <w:bookmarkStart w:id="758" w:name="_Toc203032712"/>
      <w:r/>
      <w:r/>
    </w:p>
    <w:p>
      <w:pPr>
        <w:pStyle w:val="744"/>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 xml:space="preserve">第六章  竞争性磋商响应文件格式</w:t>
      </w:r>
      <w:bookmarkEnd w:id="180"/>
      <w:r/>
      <w:bookmarkEnd w:id="181"/>
      <w:r/>
      <w:bookmarkEnd w:id="182"/>
      <w:r/>
      <w:bookmarkEnd w:id="758"/>
      <w:r/>
      <w:r/>
    </w:p>
    <w:p>
      <w:pPr>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jc w:val="center"/>
        <w:rPr>
          <w:rFonts w:ascii="黑体" w:hAnsi="黑体" w:eastAsia="黑体"/>
          <w:b/>
          <w:color w:val="000000" w:themeColor="text1"/>
          <w:sz w:val="72"/>
          <w:szCs w:val="21"/>
          <w14:textFill>
            <w14:solidFill>
              <w14:schemeClr w14:val="tx1"/>
            </w14:solidFill>
          </w14:textFill>
        </w:rPr>
      </w:pPr>
      <w:r>
        <w:rPr>
          <w:rFonts w:hint="eastAsia" w:ascii="黑体" w:hAnsi="黑体" w:eastAsia="黑体"/>
          <w:b/>
          <w:color w:val="000000" w:themeColor="text1"/>
          <w:sz w:val="72"/>
          <w:szCs w:val="21"/>
          <w14:textFill>
            <w14:solidFill>
              <w14:schemeClr w14:val="tx1"/>
            </w14:solidFill>
          </w14:textFill>
        </w:rPr>
        <w:t xml:space="preserve"> 响 应 文 件</w:t>
      </w:r>
      <w:r/>
    </w:p>
    <w:p>
      <w:pPr>
        <w:pStyle w:val="997"/>
        <w:ind w:firstLine="0"/>
        <w:jc w:val="center"/>
        <w:rPr>
          <w:rFonts w:ascii="黑体" w:hAnsi="黑体" w:eastAsia="黑体"/>
          <w:b/>
          <w:bCs/>
          <w:color w:val="000000" w:themeColor="text1"/>
          <w:sz w:val="32"/>
          <w14:textFill>
            <w14:solidFill>
              <w14:schemeClr w14:val="tx1"/>
            </w14:solidFill>
          </w14:textFill>
        </w:rPr>
      </w:pPr>
      <w:r>
        <w:rPr>
          <w:rFonts w:ascii="黑体" w:hAnsi="黑体" w:eastAsia="黑体"/>
          <w:b/>
          <w:bCs/>
          <w:color w:val="000000" w:themeColor="text1"/>
          <w:sz w:val="32"/>
          <w14:textFill>
            <w14:solidFill>
              <w14:schemeClr w14:val="tx1"/>
            </w14:solidFill>
          </w14:textFill>
        </w:rPr>
      </w:r>
      <w:r/>
    </w:p>
    <w:p>
      <w:pPr>
        <w:ind w:firstLine="1084"/>
        <w:rPr>
          <w:rFonts w:ascii="黑体" w:hAnsi="黑体" w:eastAsia="黑体"/>
          <w:b/>
          <w:color w:val="000000" w:themeColor="text1"/>
          <w:sz w:val="36"/>
          <w:szCs w:val="21"/>
          <w14:textFill>
            <w14:solidFill>
              <w14:schemeClr w14:val="tx1"/>
            </w14:solidFill>
          </w14:textFill>
        </w:rPr>
      </w:pPr>
      <w:r>
        <w:rPr>
          <w:rFonts w:hint="eastAsia" w:ascii="黑体" w:hAnsi="黑体" w:eastAsia="黑体"/>
          <w:b/>
          <w:color w:val="000000" w:themeColor="text1"/>
          <w:sz w:val="36"/>
          <w:szCs w:val="21"/>
          <w14:textFill>
            <w14:solidFill>
              <w14:schemeClr w14:val="tx1"/>
            </w14:solidFill>
          </w14:textFill>
        </w:rPr>
        <w:t xml:space="preserve">             </w:t>
      </w:r>
      <w:r/>
    </w:p>
    <w:p>
      <w:pPr>
        <w:ind w:firstLine="1084"/>
        <w:rPr>
          <w:rFonts w:ascii="黑体" w:hAnsi="黑体" w:eastAsia="黑体"/>
          <w:b/>
          <w:color w:val="000000" w:themeColor="text1"/>
          <w:sz w:val="36"/>
          <w:szCs w:val="21"/>
          <w14:textFill>
            <w14:solidFill>
              <w14:schemeClr w14:val="tx1"/>
            </w14:solidFill>
          </w14:textFill>
        </w:rPr>
      </w:pPr>
      <w:r>
        <w:rPr>
          <w:rFonts w:ascii="黑体" w:hAnsi="黑体" w:eastAsia="黑体"/>
          <w:b/>
          <w:color w:val="000000" w:themeColor="text1"/>
          <w:sz w:val="36"/>
          <w:szCs w:val="21"/>
          <w14:textFill>
            <w14:solidFill>
              <w14:schemeClr w14:val="tx1"/>
            </w14:solidFill>
          </w14:textFill>
        </w:rPr>
      </w:r>
      <w:r/>
    </w:p>
    <w:p>
      <w:pPr>
        <w:ind w:firstLine="1084"/>
        <w:rPr>
          <w:rFonts w:ascii="黑体" w:hAnsi="黑体" w:eastAsia="黑体"/>
          <w:b/>
          <w:color w:val="000000" w:themeColor="text1"/>
          <w:sz w:val="36"/>
          <w:szCs w:val="21"/>
          <w14:textFill>
            <w14:solidFill>
              <w14:schemeClr w14:val="tx1"/>
            </w14:solidFill>
          </w14:textFill>
        </w:rPr>
      </w:pPr>
      <w:r>
        <w:rPr>
          <w:rFonts w:ascii="黑体" w:hAnsi="黑体" w:eastAsia="黑体"/>
          <w:b/>
          <w:color w:val="000000" w:themeColor="text1"/>
          <w:sz w:val="36"/>
          <w:szCs w:val="21"/>
          <w14:textFill>
            <w14:solidFill>
              <w14:schemeClr w14:val="tx1"/>
            </w14:solidFill>
          </w14:textFill>
        </w:rPr>
      </w:r>
      <w:r/>
    </w:p>
    <w:p>
      <w:pPr>
        <w:ind w:firstLine="1084"/>
        <w:spacing w:line="70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项 目 名 称：</w:t>
      </w:r>
      <w:r>
        <w:rPr>
          <w:rFonts w:hint="eastAsia" w:ascii="宋体" w:hAnsi="宋体" w:cs="宋体"/>
          <w:b/>
          <w:color w:val="000000" w:themeColor="text1"/>
          <w:sz w:val="36"/>
          <w:u w:val="single"/>
          <w14:textFill>
            <w14:solidFill>
              <w14:schemeClr w14:val="tx1"/>
            </w14:solidFill>
          </w14:textFill>
        </w:rPr>
        <w:t xml:space="preserve">                  </w:t>
      </w:r>
      <w:r/>
    </w:p>
    <w:p>
      <w:pPr>
        <w:ind w:firstLine="1084"/>
        <w:spacing w:line="70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项 目 编 号：</w:t>
      </w:r>
      <w:r>
        <w:rPr>
          <w:rFonts w:hint="eastAsia" w:ascii="宋体" w:hAnsi="宋体" w:cs="宋体"/>
          <w:b/>
          <w:color w:val="000000" w:themeColor="text1"/>
          <w:sz w:val="36"/>
          <w:u w:val="single"/>
          <w14:textFill>
            <w14:solidFill>
              <w14:schemeClr w14:val="tx1"/>
            </w14:solidFill>
          </w14:textFill>
        </w:rPr>
        <w:t xml:space="preserve">                  </w:t>
      </w:r>
      <w:r/>
    </w:p>
    <w:p>
      <w:pPr>
        <w:ind w:firstLine="1084"/>
        <w:spacing w:line="70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供应商名称：</w:t>
      </w:r>
      <w:r>
        <w:rPr>
          <w:rFonts w:hint="eastAsia" w:ascii="宋体" w:hAnsi="宋体" w:cs="宋体"/>
          <w:b/>
          <w:color w:val="000000" w:themeColor="text1"/>
          <w:sz w:val="36"/>
          <w:u w:val="single"/>
          <w14:textFill>
            <w14:solidFill>
              <w14:schemeClr w14:val="tx1"/>
            </w14:solidFill>
          </w14:textFill>
        </w:rPr>
        <w:t xml:space="preserve">（加盖CA电子公章）</w:t>
      </w:r>
      <w:r/>
    </w:p>
    <w:p>
      <w:pPr>
        <w:spacing w:line="70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      日       期：</w:t>
      </w:r>
      <w:r>
        <w:rPr>
          <w:rFonts w:hint="eastAsia" w:ascii="宋体" w:hAnsi="宋体" w:cs="宋体"/>
          <w:b/>
          <w:color w:val="000000" w:themeColor="text1"/>
          <w:sz w:val="36"/>
          <w:u w:val="single"/>
          <w14:textFill>
            <w14:solidFill>
              <w14:schemeClr w14:val="tx1"/>
            </w14:solidFill>
          </w14:textFill>
        </w:rPr>
        <w:t xml:space="preserve">                  </w:t>
      </w:r>
      <w:r/>
    </w:p>
    <w:p>
      <w:pPr>
        <w:pStyle w:val="997"/>
        <w:ind w:firstLine="2464"/>
        <w:rPr>
          <w:rFonts w:ascii="宋体" w:hAnsi="宋体" w:cs="Times New Roman"/>
          <w:bCs/>
          <w:color w:val="000000" w:themeColor="text1"/>
          <w:sz w:val="32"/>
          <w:szCs w:val="32"/>
          <w14:textFill>
            <w14:solidFill>
              <w14:schemeClr w14:val="tx1"/>
            </w14:solidFill>
          </w14:textFill>
        </w:rPr>
      </w:pPr>
      <w:r>
        <w:rPr>
          <w:rFonts w:ascii="宋体" w:hAnsi="宋体" w:cs="Times New Roman"/>
          <w:bCs/>
          <w:color w:val="000000" w:themeColor="text1"/>
          <w:sz w:val="32"/>
          <w:szCs w:val="32"/>
          <w14:textFill>
            <w14:solidFill>
              <w14:schemeClr w14:val="tx1"/>
            </w14:solidFill>
          </w14:textFill>
        </w:rPr>
      </w:r>
      <w:r/>
    </w:p>
    <w:p>
      <w:pPr>
        <w:pStyle w:val="99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9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9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9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9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9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23"/>
        <w:jc w:val="center"/>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jc w:val="center"/>
        <w:rPr>
          <w:rFonts w:ascii="宋体" w:hAnsi="宋体" w:cs="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rPr>
          <w:rFonts w:hint="eastAsia" w:ascii="宋体" w:hAnsi="宋体" w:cs="宋体"/>
          <w:b/>
          <w:color w:val="000000" w:themeColor="text1"/>
          <w:sz w:val="32"/>
          <w:szCs w:val="32"/>
          <w14:textFill>
            <w14:solidFill>
              <w14:schemeClr w14:val="tx1"/>
            </w14:solidFill>
          </w14:textFill>
        </w:rPr>
        <w:t xml:space="preserve">响应文件目录</w:t>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一、 法人或者其他组织的营业执照等证明文件，自然人的身份证明</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二、</w:t>
      </w:r>
      <w:r>
        <w:rPr>
          <w:rFonts w:hint="eastAsia" w:ascii="宋体" w:hAnsi="宋体" w:cs="宋体"/>
          <w:color w:val="000000" w:themeColor="text1"/>
          <w:sz w:val="24"/>
          <w:u w:val="single"/>
          <w14:textFill>
            <w14:solidFill>
              <w14:schemeClr w14:val="tx1"/>
            </w14:solidFill>
          </w14:textFill>
        </w:rPr>
        <w:t xml:space="preserve"> 上一年度的财务状况报表（至少提供资产负债表、利润表、现金流量表，磋商供应商成立不满一年无需提供） </w:t>
      </w:r>
      <w:r/>
    </w:p>
    <w:p>
      <w:pPr>
        <w:ind w:firstLine="482"/>
        <w:spacing w:line="360" w:lineRule="auto"/>
        <w:rPr>
          <w:rFonts w:ascii="宋体" w:hAnsi="宋体" w:cs="宋体"/>
          <w:iCs/>
          <w:color w:val="000000" w:themeColor="text1"/>
          <w:sz w:val="24"/>
          <w:u w:val="single"/>
          <w14:textFill>
            <w14:solidFill>
              <w14:schemeClr w14:val="tx1"/>
            </w14:solidFill>
          </w14:textFill>
        </w:rPr>
      </w:pPr>
      <w:r>
        <w:rPr>
          <w:rFonts w:hint="eastAsia" w:ascii="宋体" w:hAnsi="宋体" w:cs="宋体"/>
          <w:b/>
          <w:iCs/>
          <w:color w:val="000000" w:themeColor="text1"/>
          <w:sz w:val="24"/>
          <w:u w:val="single"/>
          <w14:textFill>
            <w14:solidFill>
              <w14:schemeClr w14:val="tx1"/>
            </w14:solidFill>
          </w14:textFill>
        </w:rPr>
        <w:t xml:space="preserve">三、 </w:t>
      </w:r>
      <w:r>
        <w:rPr>
          <w:rFonts w:hint="eastAsia" w:ascii="宋体" w:hAnsi="宋体" w:cs="宋体"/>
          <w:color w:val="000000" w:themeColor="text1"/>
          <w:sz w:val="24"/>
          <w:u w:val="single"/>
          <w14:textFill>
            <w14:solidFill>
              <w14:schemeClr w14:val="tx1"/>
            </w14:solidFill>
          </w14:textFill>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四、 具备履行合同所必需的设备和专业技术能力的书面声明</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五、 参加政府采购活动前 3 年内在经营活动中没有重大违法记录的书面声明（原件彩色扫描件,格式见附表）</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六、特定资格要求的证明文件（如果本项目设置特定资格要求，则需要提供）</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文件1  营业执照原件彩色扫描件</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文件2  供应商施工资质证书、安全生产许可证、项目负责人建造师证书及安全生产考核合格证书（B类）（原件彩色扫描件）</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文件3 项目负责人养老保险证明彩色扫描件</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七、法人授权书</w:t>
      </w:r>
      <w:r/>
    </w:p>
    <w:p>
      <w:pPr>
        <w:ind w:firstLine="482"/>
        <w:spacing w:line="360" w:lineRule="auto"/>
        <w:rPr>
          <w:rFonts w:ascii="宋体" w:hAnsi="宋体" w:cs="宋体"/>
          <w:i/>
          <w:color w:val="000000" w:themeColor="text1"/>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八、磋商响应函</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九、中小企业声明函</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十、残疾人福利性单位声明函</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十一、磋商报价表</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十二、已标价的工程量清单报价表</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十三、技术要求响应及偏离表</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十四、商务要求响应及偏离表</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十五、实施方案</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十六、盐城市政府采购事前信用承诺书</w:t>
      </w:r>
      <w:r/>
    </w:p>
    <w:p>
      <w:pPr>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十七、供应商认为需要提供的其他证明材料</w:t>
      </w:r>
      <w:r/>
    </w:p>
    <w:p>
      <w:pPr>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2"/>
        <w:spacing w:line="500" w:lineRule="exact"/>
        <w:rPr>
          <w:rFonts w:ascii="宋体" w:hAnsi="宋体" w:cs="宋体"/>
          <w:b/>
          <w:bCs/>
          <w:color w:val="000000" w:themeColor="text1"/>
          <w:sz w:val="24"/>
          <w:u w:val="single"/>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24"/>
          <w:u w:val="single"/>
          <w14:textFill>
            <w14:solidFill>
              <w14:schemeClr w14:val="tx1"/>
            </w14:solidFill>
          </w14:textFill>
        </w:rPr>
        <w:t xml:space="preserve">一、法人或者其他组织的营业执照等证明文件，自然人的身份证明</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2"/>
        <w:spacing w:line="360" w:lineRule="auto"/>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二、上一年度的财务状况报表</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供应商成立不满一年不需提供</w:t>
      </w:r>
      <w:r/>
    </w:p>
    <w:p>
      <w:pP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ind w:firstLine="482"/>
        <w:spacing w:line="360" w:lineRule="auto"/>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三、依法缴纳税收和社会保障资金的相关材料</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ind w:firstLine="482"/>
        <w:spacing w:line="360" w:lineRule="auto"/>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四、具备履行合同所必需的设备和专业技术能力的书面声明</w:t>
      </w:r>
      <w:r/>
    </w:p>
    <w:p>
      <w:pPr>
        <w:ind w:firstLine="492"/>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主要设备有：</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w:t>
      </w:r>
      <w:r/>
    </w:p>
    <w:p>
      <w:pPr>
        <w:ind w:firstLine="492"/>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主要专业技术能力有：</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w:t>
      </w:r>
      <w:r/>
    </w:p>
    <w:p>
      <w:pPr>
        <w:pStyle w:val="1086"/>
        <w:ind w:firstLine="0"/>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ind w:firstLine="482"/>
        <w:spacing w:line="360" w:lineRule="auto"/>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五、参加政府采购活动前 3 年内在经营活动中没有重大违法记录的书面声明</w:t>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声  明</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六、特定资格要求的证明文件</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如果本项目申请人的特定资格要求中要求提供的，必须提供。</w:t>
      </w:r>
      <w:r/>
    </w:p>
    <w:p>
      <w:pPr>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jc w:val="cente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jc w:val="cente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jc w:val="cente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jc w:val="cente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jc w:val="cente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jc w:val="cente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jc w:val="cente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七、法人授权书</w:t>
      </w:r>
      <w:r/>
    </w:p>
    <w:p>
      <w:pPr>
        <w:ind w:firstLine="482"/>
        <w:spacing w:line="600" w:lineRule="exact"/>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本授权书声明：____________（供应商名称）授权________________（被授权人的姓名）为我方就</w:t>
      </w:r>
      <w:r>
        <w:rPr>
          <w:rFonts w:hint="eastAsia" w:ascii="宋体" w:hAnsi="宋体" w:cs="宋体"/>
          <w:color w:val="000000" w:themeColor="text1"/>
          <w:sz w:val="24"/>
          <w:u w:val="single"/>
          <w:lang w:eastAsia="zh-CN"/>
          <w14:textFill>
            <w14:solidFill>
              <w14:schemeClr w14:val="tx1"/>
            </w14:solidFill>
          </w14:textFill>
        </w:rPr>
        <w:t xml:space="preserve">市一中西环路校区食堂改造工程</w:t>
      </w:r>
      <w:r>
        <w:rPr>
          <w:rFonts w:hint="eastAsia" w:ascii="宋体" w:hAnsi="宋体" w:cs="宋体"/>
          <w:color w:val="000000" w:themeColor="text1"/>
          <w:sz w:val="24"/>
          <w14:textFill>
            <w14:solidFill>
              <w14:schemeClr w14:val="tx1"/>
            </w14:solidFill>
          </w14:textFill>
        </w:rPr>
        <w:t xml:space="preserve">采购活动的合法代理人，以本公司名义全权处理一切与该项目采购有关的事务。</w:t>
      </w:r>
      <w:r/>
    </w:p>
    <w:p>
      <w:pPr>
        <w:ind w:firstLine="480"/>
        <w:spacing w:line="600" w:lineRule="exact"/>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本授权书于______年____月____日起生效，特此声明。</w:t>
      </w:r>
      <w:r/>
    </w:p>
    <w:p>
      <w:pPr>
        <w:pStyle w:val="1033"/>
        <w:spacing w:line="600" w:lineRule="exac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被授权人身份证号码：</w:t>
      </w:r>
      <w:r>
        <w:rPr>
          <w:rFonts w:hint="eastAsia" w:ascii="宋体" w:hAnsi="宋体" w:cs="宋体"/>
          <w:color w:val="000000" w:themeColor="text1"/>
          <w:u w:val="single"/>
          <w14:textFill>
            <w14:solidFill>
              <w14:schemeClr w14:val="tx1"/>
            </w14:solidFill>
          </w14:textFill>
        </w:rPr>
        <w:t xml:space="preserve">                              </w:t>
      </w:r>
      <w:r/>
    </w:p>
    <w:p>
      <w:pPr>
        <w:pStyle w:val="1033"/>
        <w:spacing w:line="600" w:lineRule="exac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被授权人联系电话：（手机）</w:t>
      </w:r>
      <w:r>
        <w:rPr>
          <w:rFonts w:hint="eastAsia" w:ascii="宋体" w:hAnsi="宋体" w:cs="宋体"/>
          <w:color w:val="000000" w:themeColor="text1"/>
          <w:u w:val="single"/>
          <w14:textFill>
            <w14:solidFill>
              <w14:schemeClr w14:val="tx1"/>
            </w14:solidFill>
          </w14:textFill>
        </w:rPr>
        <w:t xml:space="preserve">                          </w:t>
      </w:r>
      <w:r/>
    </w:p>
    <w:p>
      <w:pPr>
        <w:pStyle w:val="1033"/>
        <w:ind w:firstLine="1200"/>
        <w:spacing w:line="6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授权单位名称：</w:t>
      </w:r>
      <w:r>
        <w:rPr>
          <w:rFonts w:hint="eastAsia" w:ascii="宋体" w:hAnsi="宋体" w:cs="宋体"/>
          <w:color w:val="000000" w:themeColor="text1"/>
          <w:u w:val="single"/>
          <w14:textFill>
            <w14:solidFill>
              <w14:schemeClr w14:val="tx1"/>
            </w14:solidFill>
          </w14:textFill>
        </w:rPr>
        <w:t xml:space="preserve">（加盖CA电子公章）</w:t>
      </w:r>
      <w:r/>
    </w:p>
    <w:p>
      <w:pPr>
        <w:pStyle w:val="1033"/>
        <w:ind w:firstLine="480"/>
        <w:spacing w:line="600" w:lineRule="exac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单位地址：</w:t>
      </w:r>
      <w:r>
        <w:rPr>
          <w:rFonts w:hint="eastAsia" w:ascii="宋体" w:hAnsi="宋体" w:cs="宋体"/>
          <w:color w:val="000000" w:themeColor="text1"/>
          <w:u w:val="single"/>
          <w14:textFill>
            <w14:solidFill>
              <w14:schemeClr w14:val="tx1"/>
            </w14:solidFill>
          </w14:textFill>
        </w:rPr>
        <w:t xml:space="preserve">                                         </w:t>
      </w:r>
      <w:r/>
    </w:p>
    <w:p>
      <w:pPr>
        <w:pStyle w:val="1033"/>
        <w:ind w:firstLine="480"/>
        <w:spacing w:line="6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日期：</w:t>
      </w:r>
      <w:r>
        <w:rPr>
          <w:rFonts w:hint="eastAsia" w:ascii="宋体" w:hAnsi="宋体" w:cs="宋体"/>
          <w:color w:val="000000" w:themeColor="text1"/>
          <w:u w:val="single"/>
          <w14:textFill>
            <w14:solidFill>
              <w14:schemeClr w14:val="tx1"/>
            </w14:solidFill>
          </w14:textFill>
        </w:rPr>
        <w:t xml:space="preserve">                                         </w:t>
      </w:r>
      <w:r/>
    </w:p>
    <w:p>
      <w:pPr>
        <w:spacing w:line="600" w:lineRule="exact"/>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spacing w:line="600" w:lineRule="exact"/>
        <w:rPr>
          <w:rFonts w:ascii="宋体" w:hAnsi="宋体" w:cs="宋体"/>
          <w:color w:val="000000" w:themeColor="text1"/>
          <w14:textFill>
            <w14:solidFill>
              <w14:schemeClr w14:val="tx1"/>
            </w14:solidFill>
          </w14:textFill>
        </w:rPr>
      </w:pPr>
      <w:r/>
      <w:bookmarkStart w:id="759" w:name="_Hlt26671380"/>
      <w:r/>
      <w:bookmarkEnd w:id="759"/>
      <w:r/>
      <w:bookmarkStart w:id="760" w:name="_Hlt26955070"/>
      <w:r/>
      <w:bookmarkEnd w:id="760"/>
      <w:r/>
      <w:bookmarkStart w:id="761" w:name="_格式3__银行出具的资信证明"/>
      <w:r/>
      <w:bookmarkEnd w:id="761"/>
      <w:r>
        <w:rPr>
          <w:rFonts w:hint="eastAsia" w:ascii="宋体" w:hAnsi="宋体" w:cs="宋体"/>
          <w:color w:val="000000" w:themeColor="text1"/>
          <w14:textFill>
            <w14:solidFill>
              <w14:schemeClr w14:val="tx1"/>
            </w14:solidFill>
          </w14:textFill>
        </w:rPr>
        <w:t xml:space="preserve">法定代表人及被授权人身份证：</w:t>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2879"/>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560" w:lineRule="exact"/>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jc w:val="center"/>
        <w:spacing w:line="560" w:lineRule="exact"/>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p>
    <w:p>
      <w:pP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八、磋商响应函</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（采购人）   </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根据贵方的</w:t>
      </w:r>
      <w:r>
        <w:rPr>
          <w:rFonts w:hint="eastAsia" w:ascii="宋体" w:hAnsi="宋体" w:cs="宋体"/>
          <w:color w:val="000000" w:themeColor="text1"/>
          <w:sz w:val="24"/>
          <w:u w:val="single"/>
          <w:lang w:eastAsia="zh-CN"/>
          <w14:textFill>
            <w14:solidFill>
              <w14:schemeClr w14:val="tx1"/>
            </w14:solidFill>
          </w14:textFill>
        </w:rPr>
        <w:t xml:space="preserve">JSZC-320900-YCTX-C2026-0019</w:t>
      </w:r>
      <w:r>
        <w:rPr>
          <w:rFonts w:hint="eastAsia" w:ascii="宋体" w:hAnsi="宋体" w:cs="宋体"/>
          <w:color w:val="000000" w:themeColor="text1"/>
          <w:sz w:val="24"/>
          <w:u w:val="single"/>
          <w14:textFill>
            <w14:solidFill>
              <w14:schemeClr w14:val="tx1"/>
            </w14:solidFill>
          </w14:textFill>
        </w:rPr>
        <w:t xml:space="preserve">号</w:t>
      </w:r>
      <w:r>
        <w:rPr>
          <w:rFonts w:hint="eastAsia" w:ascii="宋体" w:hAnsi="宋体" w:cs="宋体"/>
          <w:color w:val="000000" w:themeColor="text1"/>
          <w:sz w:val="24"/>
          <w14:textFill>
            <w14:solidFill>
              <w14:schemeClr w14:val="tx1"/>
            </w14:solidFill>
          </w14:textFill>
        </w:rPr>
        <w:t xml:space="preserve">磋商文件，正式授权下述签字人_________ (姓名和职务)代表我方______________（供应商的名称），全权处理本次项目磋商采购的有关事宜。</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据此函，__________（签字人）兹宣布同意如下：</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1.按磋商文件规定的各项要求，向买方提供所需服务。</w:t>
      </w:r>
      <w:r/>
    </w:p>
    <w:p>
      <w:pPr>
        <w:pStyle w:val="742"/>
        <w:ind w:firstLine="480"/>
        <w:spacing w:before="0" w:beforeAutospacing="0" w:after="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2.我们完全理解贵方不一定将合同授予最低报价的供应商。</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7.我方与本磋商有关的正式通讯地址为：</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 编：</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供应商开户行：</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 户： </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 期：________年____月____日</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九、中小企业声明函（工程）</w:t>
      </w:r>
      <w:r/>
    </w:p>
    <w:p>
      <w:pPr>
        <w:spacing w:line="56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4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w:t>
      </w:r>
      <w:r>
        <w:rPr>
          <w:rFonts w:hint="eastAsia" w:ascii="宋体" w:hAnsi="宋体" w:cs="宋体"/>
          <w:color w:val="000000" w:themeColor="text1"/>
          <w:sz w:val="24"/>
          <w:u w:val="single"/>
          <w14:textFill>
            <w14:solidFill>
              <w14:schemeClr w14:val="tx1"/>
            </w14:solidFill>
          </w14:textFill>
        </w:rPr>
        <w:t xml:space="preserve">         （联合体）</w:t>
      </w:r>
      <w:r>
        <w:rPr>
          <w:rFonts w:hint="eastAsia" w:ascii="宋体" w:hAnsi="宋体" w:cs="宋体"/>
          <w:color w:val="000000" w:themeColor="text1"/>
          <w:sz w:val="24"/>
          <w14:textFill>
            <w14:solidFill>
              <w14:schemeClr w14:val="tx1"/>
            </w14:solidFill>
          </w14:textFill>
        </w:rPr>
        <w:t xml:space="preserve">郑重声明，根据《政府采购促进中小企业发展管理办法》（财库﹝2020﹞46 号）的规定，本公司</w:t>
      </w:r>
      <w:r>
        <w:rPr>
          <w:rFonts w:hint="eastAsia" w:ascii="宋体" w:hAnsi="宋体" w:cs="宋体"/>
          <w:color w:val="000000" w:themeColor="text1"/>
          <w:sz w:val="24"/>
          <w:u w:val="single"/>
          <w14:textFill>
            <w14:solidFill>
              <w14:schemeClr w14:val="tx1"/>
            </w14:solidFill>
          </w14:textFill>
        </w:rPr>
        <w:t xml:space="preserve">   （联合体）</w:t>
      </w:r>
      <w:r>
        <w:rPr>
          <w:rFonts w:hint="eastAsia" w:ascii="宋体" w:hAnsi="宋体" w:cs="宋体"/>
          <w:color w:val="000000" w:themeColor="text1"/>
          <w:sz w:val="24"/>
          <w14:textFill>
            <w14:solidFill>
              <w14:schemeClr w14:val="tx1"/>
            </w14:solidFill>
          </w14:textFill>
        </w:rPr>
        <w:t xml:space="preserve">参加</w:t>
      </w:r>
      <w:r>
        <w:rPr>
          <w:rFonts w:hint="eastAsia" w:ascii="宋体" w:hAnsi="宋体" w:cs="宋体"/>
          <w:color w:val="000000" w:themeColor="text1"/>
          <w:sz w:val="24"/>
          <w:u w:val="single"/>
          <w:lang w:eastAsia="zh-CN"/>
          <w14:textFill>
            <w14:solidFill>
              <w14:schemeClr w14:val="tx1"/>
            </w14:solidFill>
          </w14:textFill>
        </w:rPr>
        <w:t xml:space="preserve">盐城市第一中学</w:t>
      </w:r>
      <w:r>
        <w:rPr>
          <w:rFonts w:hint="eastAsia" w:ascii="宋体" w:hAnsi="宋体" w:cs="宋体"/>
          <w:color w:val="000000" w:themeColor="text1"/>
          <w:sz w:val="24"/>
          <w14:textFill>
            <w14:solidFill>
              <w14:schemeClr w14:val="tx1"/>
            </w14:solidFill>
          </w14:textFill>
        </w:rPr>
        <w:t xml:space="preserve">的采购编号为</w:t>
      </w:r>
      <w:r>
        <w:rPr>
          <w:rFonts w:hint="eastAsia" w:ascii="宋体" w:hAnsi="宋体" w:cs="宋体"/>
          <w:color w:val="000000" w:themeColor="text1"/>
          <w:sz w:val="24"/>
          <w:u w:val="single"/>
          <w:lang w:eastAsia="zh-CN"/>
          <w14:textFill>
            <w14:solidFill>
              <w14:schemeClr w14:val="tx1"/>
            </w14:solidFill>
          </w14:textFill>
        </w:rPr>
        <w:t xml:space="preserve">JSZC-320900-YCTX-C2026-0019</w:t>
      </w:r>
      <w:r>
        <w:rPr>
          <w:rFonts w:hint="eastAsia" w:ascii="宋体" w:hAnsi="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u w:val="single"/>
          <w:lang w:eastAsia="zh-CN"/>
          <w14:textFill>
            <w14:solidFill>
              <w14:schemeClr w14:val="tx1"/>
            </w14:solidFill>
          </w14:textFill>
        </w:rPr>
        <w:t xml:space="preserve">市一中西环路校区食堂改造工程</w:t>
      </w:r>
      <w:r>
        <w:rPr>
          <w:rFonts w:hint="eastAsia" w:ascii="宋体" w:hAnsi="宋体" w:cs="宋体"/>
          <w:color w:val="000000" w:themeColor="text1"/>
          <w:sz w:val="24"/>
          <w14:textFill>
            <w14:solidFill>
              <w14:schemeClr w14:val="tx1"/>
            </w14:solidFill>
          </w14:textFill>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i/>
          <w:iCs/>
          <w:color w:val="000000" w:themeColor="text1"/>
          <w:sz w:val="24"/>
          <w:u w:val="single"/>
          <w14:textFill>
            <w14:solidFill>
              <w14:schemeClr w14:val="tx1"/>
            </w14:solidFill>
          </w14:textFill>
        </w:rPr>
        <w:t xml:space="preserve">（标的名称） </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i/>
          <w:iCs/>
          <w:color w:val="000000" w:themeColor="text1"/>
          <w:sz w:val="24"/>
          <w:u w:val="single"/>
          <w14:textFill>
            <w14:solidFill>
              <w14:schemeClr w14:val="tx1"/>
            </w14:solidFill>
          </w14:textFill>
        </w:rPr>
        <w:t xml:space="preserve">（采购文件中明确的所属行业）</w:t>
      </w:r>
      <w:r>
        <w:rPr>
          <w:rFonts w:hint="eastAsia" w:ascii="宋体" w:hAnsi="宋体" w:cs="宋体"/>
          <w:color w:val="000000" w:themeColor="text1"/>
          <w:sz w:val="24"/>
          <w14:textFill>
            <w14:solidFill>
              <w14:schemeClr w14:val="tx1"/>
            </w14:solidFill>
          </w14:textFill>
        </w:rPr>
        <w:t xml:space="preserve">行业；承接企业为</w:t>
      </w:r>
      <w:r>
        <w:rPr>
          <w:rFonts w:hint="eastAsia" w:ascii="宋体" w:hAnsi="宋体" w:cs="宋体"/>
          <w:i/>
          <w:iCs/>
          <w:color w:val="000000" w:themeColor="text1"/>
          <w:sz w:val="24"/>
          <w:u w:val="single"/>
          <w14:textFill>
            <w14:solidFill>
              <w14:schemeClr w14:val="tx1"/>
            </w14:solidFill>
          </w14:textFill>
        </w:rPr>
        <w:t xml:space="preserve">（企业名称）</w:t>
      </w:r>
      <w:r>
        <w:rPr>
          <w:rFonts w:hint="eastAsia" w:ascii="宋体" w:hAnsi="宋体" w:cs="宋体"/>
          <w:color w:val="000000" w:themeColor="text1"/>
          <w:sz w:val="24"/>
          <w14:textFill>
            <w14:solidFill>
              <w14:schemeClr w14:val="tx1"/>
            </w14:solidFill>
          </w14:textFill>
        </w:rPr>
        <w:t xml:space="preserve">，从业人员</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人，营业收入为</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万元，资产总额为</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万元，属于</w:t>
      </w:r>
      <w:r>
        <w:rPr>
          <w:rFonts w:hint="eastAsia" w:ascii="宋体" w:hAnsi="宋体" w:cs="宋体"/>
          <w:i/>
          <w:iCs/>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numPr>
          <w:ilvl w:val="0"/>
          <w:numId w:val="3"/>
        </w:numPr>
        <w:ind w:firstLine="4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 xml:space="preserve">（标的名称） </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i/>
          <w:iCs/>
          <w:color w:val="000000" w:themeColor="text1"/>
          <w:sz w:val="24"/>
          <w:u w:val="single"/>
          <w14:textFill>
            <w14:solidFill>
              <w14:schemeClr w14:val="tx1"/>
            </w14:solidFill>
          </w14:textFill>
        </w:rPr>
        <w:t xml:space="preserve">（采购文件中明确的所属行业）</w:t>
      </w:r>
      <w:r>
        <w:rPr>
          <w:rFonts w:hint="eastAsia" w:ascii="宋体" w:hAnsi="宋体" w:cs="宋体"/>
          <w:color w:val="000000" w:themeColor="text1"/>
          <w:sz w:val="24"/>
          <w14:textFill>
            <w14:solidFill>
              <w14:schemeClr w14:val="tx1"/>
            </w14:solidFill>
          </w14:textFill>
        </w:rPr>
        <w:t xml:space="preserve">行业；承接企业为</w:t>
      </w:r>
      <w:r>
        <w:rPr>
          <w:rFonts w:hint="eastAsia" w:ascii="宋体" w:hAnsi="宋体" w:cs="宋体"/>
          <w:i/>
          <w:iCs/>
          <w:color w:val="000000" w:themeColor="text1"/>
          <w:sz w:val="24"/>
          <w:u w:val="single"/>
          <w14:textFill>
            <w14:solidFill>
              <w14:schemeClr w14:val="tx1"/>
            </w14:solidFill>
          </w14:textFill>
        </w:rPr>
        <w:t xml:space="preserve">（企业名称）</w:t>
      </w:r>
      <w:r>
        <w:rPr>
          <w:rFonts w:hint="eastAsia" w:ascii="宋体" w:hAnsi="宋体" w:cs="宋体"/>
          <w:color w:val="000000" w:themeColor="text1"/>
          <w:sz w:val="24"/>
          <w14:textFill>
            <w14:solidFill>
              <w14:schemeClr w14:val="tx1"/>
            </w14:solidFill>
          </w14:textFill>
        </w:rPr>
        <w:t xml:space="preserve">，从业人员</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人，营业收入为</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万元，资产总额为</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万元，属于</w:t>
      </w:r>
      <w:r>
        <w:rPr>
          <w:rFonts w:hint="eastAsia" w:ascii="宋体" w:hAnsi="宋体" w:cs="宋体"/>
          <w:i/>
          <w:iCs/>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ind w:firstLine="4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ind w:firstLine="4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40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加盖CA电子公章</w:t>
      </w:r>
      <w:r>
        <w:rPr>
          <w:rFonts w:hint="eastAsia" w:ascii="宋体" w:hAnsi="宋体" w:cs="宋体"/>
          <w:color w:val="000000" w:themeColor="text1"/>
          <w:sz w:val="24"/>
          <w14:textFill>
            <w14:solidFill>
              <w14:schemeClr w14:val="tx1"/>
            </w14:solidFill>
          </w14:textFill>
        </w:rPr>
        <w:t xml:space="preserve">）：</w:t>
      </w:r>
      <w:r/>
    </w:p>
    <w:p>
      <w:pPr>
        <w:ind w:firstLine="40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r/>
    </w:p>
    <w:p>
      <w:pPr>
        <w:ind w:firstLine="480"/>
        <w:spacing w:line="0" w:lineRule="atLeast"/>
        <w:rPr>
          <w:rFonts w:ascii="Calibri" w:hAnsi="Calibr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备注1：从业人员、营业收入、资产总额填报上一年度数据，无上一年度数据的新成立企业可不填报。</w:t>
      </w:r>
      <w:r/>
    </w:p>
    <w:p>
      <w:pPr>
        <w:ind w:firstLine="480"/>
        <w:spacing w:line="0" w:lineRule="atLeast"/>
        <w:rPr>
          <w:rFonts w:ascii="Calibri" w:hAnsi="Calibr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备注2：供应商如不提供此声明函，价格将不做相应扣除（如项目全面面向中小企业，则资格审查不通过）。</w:t>
      </w:r>
      <w:r/>
    </w:p>
    <w:p>
      <w:pPr>
        <w:jc w:val="center"/>
        <w:spacing w:line="560" w:lineRule="exact"/>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br w:type="page" w:clear="all"/>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十、残疾人福利性单位声明函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项目采购活动由本单位提供服务。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本单位对上述声明的真实性负责。如有虚假，将依法承担相应责任。</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（备注：中标供应商为残疾人福利单位的，此声明函将随中标结果同时公告，接受社会监督）</w:t>
      </w:r>
      <w:r/>
    </w:p>
    <w:p>
      <w:pPr>
        <w:ind w:firstLine="624"/>
        <w:spacing w:line="360" w:lineRule="auto"/>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right="1560" w:firstLine="624"/>
        <w:jc w:val="center"/>
        <w:spacing w:line="360" w:lineRule="auto"/>
        <w:tabs>
          <w:tab w:val="left" w:pos="48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供应商全称（加盖CA电子公章）：</w:t>
      </w:r>
      <w:r/>
    </w:p>
    <w:p>
      <w:pPr>
        <w:ind w:right="1560" w:firstLine="480"/>
        <w:jc w:val="center"/>
        <w:spacing w:line="360" w:lineRule="auto"/>
        <w:tabs>
          <w:tab w:val="left" w:pos="48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  期：</w:t>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left"/>
        <w:spacing w:line="360" w:lineRule="auto"/>
        <w:widowControl/>
        <w:rPr>
          <w:rFonts w:ascii="宋体" w:hAnsi="宋体" w:cs="宋体"/>
          <w:b/>
          <w:color w:val="000000" w:themeColor="text1"/>
          <w:sz w:val="24"/>
          <w14:textFill>
            <w14:solidFill>
              <w14:schemeClr w14:val="tx1"/>
            </w14:solidFill>
          </w14:textFill>
        </w:rPr>
        <w:sectPr>
          <w:footnotePr/>
          <w:endnotePr/>
          <w:type w:val="nextPage"/>
          <w:pgSz w:w="11906" w:h="16838" w:orient="portrait"/>
          <w:pgMar w:top="1015" w:right="1196" w:bottom="868" w:left="1259" w:header="851" w:footer="907" w:gutter="0"/>
          <w:pgNumType w:start="1"/>
          <w:cols w:num="1" w:sep="0" w:space="720" w:equalWidth="1"/>
          <w:docGrid w:linePitch="360"/>
        </w:sect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十一、磋商报价表</w:t>
      </w:r>
      <w:r/>
    </w:p>
    <w:p>
      <w:pPr>
        <w:ind w:firstLine="482"/>
        <w:spacing w:line="276"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货币单位：人民币元</w:t>
      </w:r>
      <w:r/>
    </w:p>
    <w:p>
      <w:pPr>
        <w:ind w:firstLine="482"/>
        <w:spacing w:line="276" w:lineRule="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项目编号：</w:t>
      </w:r>
      <w:r>
        <w:rPr>
          <w:rFonts w:hint="eastAsia" w:ascii="宋体" w:hAnsi="宋体" w:cs="宋体"/>
          <w:b/>
          <w:color w:val="000000" w:themeColor="text1"/>
          <w:sz w:val="22"/>
          <w:szCs w:val="22"/>
          <w:lang w:eastAsia="zh-CN"/>
          <w14:textFill>
            <w14:solidFill>
              <w14:schemeClr w14:val="tx1"/>
            </w14:solidFill>
          </w14:textFill>
        </w:rPr>
        <w:t xml:space="preserve">JSZC-320900-YCTX-C2026-0019</w:t>
      </w:r>
      <w:r/>
    </w:p>
    <w:p>
      <w:pPr>
        <w:ind w:firstLine="482"/>
        <w:spacing w:line="276" w:lineRule="auto"/>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tbl>
      <w:tblPr>
        <w:tblStyle w:val="7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lang w:eastAsia="en-US"/>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lang w:eastAsia="en-US"/>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lang w:eastAsia="en-US"/>
                <w14:textFill>
                  <w14:solidFill>
                    <w14:schemeClr w14:val="tx1"/>
                  </w14:solidFill>
                </w14:textFill>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lang w:eastAsia="zh-CN"/>
                <w14:textFill>
                  <w14:solidFill>
                    <w14:schemeClr w14:val="tx1"/>
                  </w14:solidFill>
                </w14:textFill>
              </w:rPr>
              <w:t xml:space="preserve">市一中西环路校区食堂改造工程</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lang w:eastAsia="en-US"/>
                <w14:textFill>
                  <w14:solidFill>
                    <w14:schemeClr w14:val="tx1"/>
                  </w14:solidFill>
                </w14:textFill>
              </w:rPr>
              <w:t xml:space="preserve">详见</w:t>
            </w:r>
            <w:r>
              <w:rPr>
                <w:rFonts w:hint="eastAsia" w:ascii="宋体" w:hAnsi="宋体" w:cs="宋体"/>
                <w:color w:val="000000" w:themeColor="text1"/>
                <w:sz w:val="24"/>
                <w:szCs w:val="22"/>
                <w14:textFill>
                  <w14:solidFill>
                    <w14:schemeClr w14:val="tx1"/>
                  </w14:solidFill>
                </w14:textFill>
              </w:rPr>
              <w:t xml:space="preserve">响应</w:t>
            </w:r>
            <w:r>
              <w:rPr>
                <w:rFonts w:hint="eastAsia" w:ascii="宋体" w:hAnsi="宋体" w:cs="宋体"/>
                <w:color w:val="000000" w:themeColor="text1"/>
                <w:sz w:val="24"/>
                <w:szCs w:val="22"/>
                <w:lang w:eastAsia="en-US"/>
                <w14:textFill>
                  <w14:solidFill>
                    <w14:schemeClr w14:val="tx1"/>
                  </w14:solidFill>
                </w14:textFill>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           </w:t>
            </w:r>
            <w:r>
              <w:rPr>
                <w:rFonts w:hint="eastAsia" w:ascii="宋体" w:hAnsi="宋体" w:cs="宋体"/>
                <w:color w:val="000000" w:themeColor="text1"/>
                <w:sz w:val="24"/>
                <w:szCs w:val="22"/>
                <w:lang w:eastAsia="en-US"/>
                <w14:textFill>
                  <w14:solidFill>
                    <w14:schemeClr w14:val="tx1"/>
                  </w14:solidFill>
                </w14:textFill>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lang w:eastAsia="en-US"/>
                <w14:textFill>
                  <w14:solidFill>
                    <w14:schemeClr w14:val="tx1"/>
                  </w14:solidFill>
                </w14:textFill>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bl>
    <w:p>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1、报价包括完成项目的所有费用。采购人不再支付报价以外的任何费用。</w:t>
      </w:r>
      <w:r/>
    </w:p>
    <w:p>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4、如最后报价未列明单价，则最后所报各项单价计算方法为：（最后报价/ 最初报价）* 各项最初报价的单价。</w:t>
      </w:r>
      <w:r/>
    </w:p>
    <w:p>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供应商（加盖CA电子公章）：</w:t>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十二、</w:t>
      </w:r>
      <w:r>
        <w:rPr>
          <w:rFonts w:hint="eastAsia" w:ascii="宋体" w:hAnsi="宋体" w:cs="宋体"/>
          <w:b/>
          <w:bCs/>
          <w:color w:val="000000" w:themeColor="text1"/>
          <w:sz w:val="24"/>
          <w14:textFill>
            <w14:solidFill>
              <w14:schemeClr w14:val="tx1"/>
            </w14:solidFill>
          </w14:textFill>
        </w:rPr>
        <w:t xml:space="preserve">已标价的工程量清单报价表</w:t>
      </w:r>
      <w:r/>
    </w:p>
    <w:p>
      <w:pPr>
        <w:ind w:left="0" w:right="0" w:firstLine="480"/>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应附：建设项目投标报价汇总表、单项工程投标报价汇总表、单位工程投标报价汇总表、分部分项工程和单价措施项目清单与计价表、综合单价分析表（副本可不提供）、总价措施项目清单与计价表、其他项目清单与计价汇总表、暂列金额明细表、材料（工程设备）暂估单价及调整表、专业工程暂估价及结算价表、计日工表、总承包服务费计价表、规费、税金项目计价表、采购人提供材料和工程设备一览表、供应商提供主要材料和工程设备一览表等内容。已标价工程量清单的格式由磋商供应商根据软件格式填入，但内容必须齐全。</w:t>
      </w:r>
      <w:r/>
    </w:p>
    <w:p>
      <w:pPr>
        <w:ind w:left="0" w:right="0" w:firstLine="0"/>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分部分项工程和单价措施项目清单与计价表中列明的所有需要填写的单价和合价，磋商供应商均应填写，未填写单价和合价，视为此项费用已包含在工程量清单的其他单价和合价中。</w:t>
      </w:r>
      <w:r/>
    </w:p>
    <w:p>
      <w:pPr>
        <w:ind w:left="0" w:right="0" w:firstLine="0"/>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p>
      <w:pPr>
        <w:ind w:left="0" w:right="0" w:firstLine="480"/>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价格构成或报价要求：</w:t>
      </w:r>
      <w:r/>
    </w:p>
    <w:p>
      <w:pPr>
        <w:ind w:left="0" w:right="0" w:firstLine="480"/>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1、该报价非本次磋商中的最后报价。</w:t>
      </w:r>
      <w:r/>
    </w:p>
    <w:p>
      <w:pPr>
        <w:jc w:val="cente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clear="all"/>
      </w:r>
      <w:r/>
    </w:p>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十三、技术要求响应及偏离表</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证明</w:t>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 行数不够，可自行添加。</w:t>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04"/>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704"/>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bookmarkStart w:id="762" w:name="_Hlt26955054"/>
      <w:r/>
      <w:bookmarkEnd w:id="762"/>
      <w:r>
        <w:rPr>
          <w:rFonts w:hint="eastAsia" w:ascii="宋体" w:hAnsi="宋体" w:cs="宋体"/>
          <w:b/>
          <w:color w:val="000000" w:themeColor="text1"/>
          <w:sz w:val="24"/>
          <w14:textFill>
            <w14:solidFill>
              <w14:schemeClr w14:val="tx1"/>
            </w14:solidFill>
          </w14:textFill>
        </w:rPr>
        <w:t xml:space="preserve">十四、商务要求响应及偏离表</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bookmarkStart w:id="763" w:name="_Hlt26609391"/>
            <w:r/>
            <w:bookmarkEnd w:id="763"/>
            <w:r/>
            <w:bookmarkStart w:id="764" w:name="_Hlt26782999"/>
            <w:r/>
            <w:bookmarkEnd w:id="764"/>
            <w:r/>
            <w:bookmarkStart w:id="765" w:name="_Hlt26671372"/>
            <w:r/>
            <w:bookmarkEnd w:id="765"/>
            <w:r/>
            <w:bookmarkStart w:id="766" w:name="_Hlt24879081"/>
            <w:r/>
            <w:bookmarkEnd w:id="766"/>
            <w:r/>
            <w:bookmarkStart w:id="767" w:name="_Hlt26580838"/>
            <w:r/>
            <w:bookmarkEnd w:id="767"/>
            <w:r/>
            <w:bookmarkStart w:id="768" w:name="_Hlt26671343"/>
            <w:r/>
            <w:bookmarkEnd w:id="768"/>
            <w:r/>
            <w:bookmarkStart w:id="769" w:name="_Hlt26955064"/>
            <w:r/>
            <w:bookmarkEnd w:id="769"/>
            <w:r/>
            <w:bookmarkStart w:id="770" w:name="_Hlt26955056"/>
            <w:r/>
            <w:bookmarkEnd w:id="770"/>
            <w:r>
              <w:rPr>
                <w:rFonts w:hint="eastAsia" w:ascii="宋体" w:hAnsi="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证明</w:t>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 行数不够，可自行添加。</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b/>
          <w:color w:val="000000" w:themeColor="text1"/>
          <w:sz w:val="32"/>
          <w:szCs w:val="32"/>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br w:type="page" w:clear="all"/>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十五、实施方案</w:t>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clear="all"/>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十六、盐城市政府采购事前信用承诺书</w:t>
      </w:r>
      <w:r/>
    </w:p>
    <w:p>
      <w:pPr>
        <w:ind w:firstLine="480"/>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为营造我市公开、公平、公正、诚实守信的政府采购交易环境，树立诚信守法的供应商形象，本人代表本单位作出以下承诺：</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（三）严格依照国家和省、市关于政府采购的法律、法规、规章、规范性文件，参加政府采购投标活动；积极履行社会责任，促进廉政建设；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（四）严格遵守即时信息公示规定，及时维护和更新盐城市政府采购网中与本单位相关的信息；</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（六）自觉接受政府、行业组织、社会公众、新闻舆论的监督；</w:t>
      </w:r>
      <w:r/>
    </w:p>
    <w:p>
      <w:pPr>
        <w:ind w:firstLine="480"/>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（八）本人已认真阅读了上述承诺，并向本单位员工作了宣传教育。</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法定代表人（签字或盖章）：</w:t>
      </w:r>
      <w:r/>
    </w:p>
    <w:p>
      <w:pPr>
        <w:jc w:val="cente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单位名称（盖章）：</w:t>
      </w:r>
      <w:r/>
    </w:p>
    <w:p>
      <w:pPr>
        <w:jc w:val="cente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r/>
    </w:p>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left"/>
        <w:widowControl/>
        <w:rPr>
          <w:rFonts w:ascii="宋体" w:hAnsi="宋体" w:cs="宋体"/>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br w:type="page" w:clear="all"/>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十七、供应商认为需要提供的其他证明材料</w:t>
      </w:r>
      <w:r/>
    </w:p>
    <w:p>
      <w:pPr>
        <w:jc w:val="left"/>
        <w:widowControl/>
        <w:rPr>
          <w:rFonts w:ascii="宋体" w:hAnsi="宋体" w:cs="宋体"/>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br w:type="page" w:clear="all"/>
      </w:r>
      <w:r/>
    </w:p>
    <w:p>
      <w:pPr>
        <w:pStyle w:val="742"/>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质疑函范本</w:t>
      </w:r>
      <w:r/>
    </w:p>
    <w:p>
      <w:pPr>
        <w:pStyle w:val="742"/>
        <w:jc w:val="both"/>
        <w:spacing w:before="290" w:before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一、质疑供应商基本信息</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质疑供应商：</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地址：</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邮编：</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联系人：</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w:t>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授权代表：</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地址： </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邮编：</w:t>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二、质疑项目基本情况</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质疑项目的名称：</w:t>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质疑项目的编号：</w:t>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包号：</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采购人名称：</w:t>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采购文件获取日期：</w:t>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三、质疑事项具体内容</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质疑事项1：</w:t>
      </w:r>
      <w:r>
        <w:rPr>
          <w:rFonts w:hint="eastAsia"/>
          <w:color w:val="000000" w:themeColor="text1"/>
          <w:u w:val="single"/>
          <w14:textFill>
            <w14:solidFill>
              <w14:schemeClr w14:val="tx1"/>
            </w14:solidFill>
          </w14:textFill>
        </w:rPr>
        <w:t xml:space="preserve">                             </w:t>
      </w:r>
      <w:r/>
    </w:p>
    <w:p>
      <w:pPr>
        <w:pStyle w:val="742"/>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事实依据：</w:t>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法律依据：</w:t>
      </w:r>
      <w:r>
        <w:rPr>
          <w:rFonts w:hint="eastAsia"/>
          <w:color w:val="000000" w:themeColor="text1"/>
          <w:u w:val="single"/>
          <w14:textFill>
            <w14:solidFill>
              <w14:schemeClr w14:val="tx1"/>
            </w14:solidFill>
          </w14:textFill>
        </w:rPr>
        <w:t xml:space="preserve">                                                    </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质疑事项2</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四、与质疑事项相关的质疑请求</w:t>
      </w:r>
      <w:r/>
    </w:p>
    <w:p>
      <w:pPr>
        <w:pStyle w:val="742"/>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请求：</w:t>
      </w:r>
      <w:r>
        <w:rPr>
          <w:rFonts w:hint="eastAsia"/>
          <w:color w:val="000000" w:themeColor="text1"/>
          <w:u w:val="single"/>
          <w14:textFill>
            <w14:solidFill>
              <w14:schemeClr w14:val="tx1"/>
            </w14:solidFill>
          </w14:textFill>
        </w:rPr>
        <w:t xml:space="preserve">                                                          </w:t>
      </w:r>
      <w:r/>
    </w:p>
    <w:p>
      <w:pPr>
        <w:pStyle w:val="742"/>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签字(签章)：                 公章：               日期：    </w:t>
      </w:r>
      <w:r/>
    </w:p>
    <w:p>
      <w:pPr>
        <w:pStyle w:val="742"/>
        <w:jc w:val="both"/>
        <w:spacing w:line="0" w:lineRule="atLeast"/>
        <w:rPr>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质疑函制作说明：</w:t>
      </w:r>
      <w:r/>
    </w:p>
    <w:p>
      <w:pPr>
        <w:pStyle w:val="742"/>
        <w:ind w:firstLine="480"/>
        <w:spacing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1.供应商提出质疑时，应提交质疑函和必要的证明材料。</w:t>
      </w:r>
      <w:r/>
    </w:p>
    <w:p>
      <w:pPr>
        <w:pStyle w:val="742"/>
        <w:ind w:firstLine="480"/>
        <w:spacing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2"/>
        <w:ind w:firstLine="480"/>
        <w:spacing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3.质疑供应商若对项目的某一分包进行质疑，质疑函中应列明具体分包号。</w:t>
      </w:r>
      <w:r/>
    </w:p>
    <w:p>
      <w:pPr>
        <w:pStyle w:val="742"/>
        <w:ind w:firstLine="480"/>
        <w:spacing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4.质疑函的质疑事项应具体、明确，并有必要的事实依据和法律依据。</w:t>
      </w:r>
      <w:r/>
    </w:p>
    <w:p>
      <w:pPr>
        <w:pStyle w:val="742"/>
        <w:ind w:firstLine="480"/>
        <w:spacing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5.质疑函的质疑请求应与质疑事项相关。</w:t>
      </w:r>
      <w:r/>
    </w:p>
    <w:p>
      <w:pPr>
        <w:pStyle w:val="742"/>
        <w:ind w:firstLine="480"/>
        <w:spacing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first" r:id="rId11"/>
      <w:footnotePr/>
      <w:endnotePr/>
      <w:type w:val="nextPage"/>
      <w:pgSz w:w="11906" w:h="16838" w:orient="portrait"/>
      <w:pgMar w:top="1474" w:right="1474" w:bottom="147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ÐÂËÎÌå">
    <w:panose1 w:val="020B0503020202020204"/>
  </w:font>
  <w:font w:name="Calibri">
    <w:panose1 w:val="020F0502020204030204"/>
  </w:font>
  <w:font w:name="Courier New">
    <w:panose1 w:val="02070309020205020404"/>
  </w:font>
  <w:font w:name="方正黑体_GBK">
    <w:panose1 w:val="020B0503020202020204"/>
  </w:font>
  <w:font w:name="Cambria">
    <w:panose1 w:val="02040503050406030204"/>
  </w:font>
  <w:font w:name="MingLiU_HKSCS">
    <w:panose1 w:val="02020500000000000000"/>
  </w:font>
  <w:font w:name="方正姚体">
    <w:panose1 w:val="02010601030101010101"/>
  </w:font>
  <w:font w:name="仿宋_GB2312">
    <w:panose1 w:val="02010609060101010101"/>
  </w:font>
  <w:font w:name="幼圆">
    <w:panose1 w:val="02010509060101010101"/>
  </w:font>
  <w:font w:name="黑体">
    <w:panose1 w:val="02010609060101010101"/>
  </w:font>
  <w:font w:name="MS PGothic">
    <w:panose1 w:val="020B0600070205080204"/>
  </w:font>
  <w:font w:name="Microsoft YaHei UI">
    <w:panose1 w:val="020B0503020204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26376850"/>
      <w:rPr/>
    </w:sdtPr>
    <w:sdtContent>
      <w:p>
        <w:pPr>
          <w:pStyle w:val="727"/>
          <w:jc w:val="center"/>
        </w:pPr>
        <w:r>
          <w:fldChar w:fldCharType="begin"/>
        </w:r>
        <w:r>
          <w:instrText xml:space="preserve">PAGE   \* MERGEFORMAT</w:instrText>
        </w:r>
        <w:r>
          <w:fldChar w:fldCharType="separate"/>
        </w:r>
        <w:r>
          <w:rPr>
            <w:lang w:val="zh-CN"/>
          </w:rPr>
          <w:t xml:space="preserve">26</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r/>
  </w:p>
  <w:p>
    <w:pPr>
      <w:pStyle w:val="7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39"/>
      <w:isLgl w:val="false"/>
      <w:suff w:val="tab"/>
      <w:lvlText w:val="第%1章"/>
      <w:lvlJc w:val="left"/>
      <w:pPr>
        <w:ind w:left="9351" w:hanging="420"/>
      </w:pPr>
      <w:rPr>
        <w:rFonts w:hint="eastAsia" w:ascii="黑体" w:eastAsia="黑体"/>
        <w:b w:val="0"/>
        <w:sz w:val="36"/>
        <w:lang w:val="en-US"/>
      </w:rPr>
    </w:lvl>
    <w:lvl w:ilvl="1">
      <w:start w:val="1"/>
      <w:numFmt w:val="decimal"/>
      <w:pStyle w:val="1040"/>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1"/>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5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2"/>
  </w:num>
  <w:num w:numId="2">
    <w:abstractNumId w:val="1"/>
  </w:num>
  <w:num w:numId="3">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81"/>
    <w:uiPriority w:val="0"/>
    <w:qFormat/>
    <w:pPr>
      <w:keepNext/>
      <w:outlineLvl w:val="0"/>
    </w:pPr>
    <w:rPr>
      <w:rFonts w:ascii="楷体_GB2312" w:eastAsia="楷体_GB2312"/>
      <w:sz w:val="28"/>
      <w:szCs w:val="20"/>
    </w:rPr>
  </w:style>
  <w:style w:type="paragraph" w:styleId="694">
    <w:name w:val="Heading 2"/>
    <w:basedOn w:val="692"/>
    <w:next w:val="705"/>
    <w:link w:val="782"/>
    <w:uiPriority w:val="0"/>
    <w:qFormat/>
    <w:pPr>
      <w:jc w:val="center"/>
      <w:keepLines/>
      <w:keepNext/>
      <w:spacing w:before="260" w:after="260" w:line="416" w:lineRule="auto"/>
      <w:outlineLvl w:val="1"/>
    </w:pPr>
    <w:rPr>
      <w:rFonts w:ascii="Arial" w:hAnsi="Arial" w:eastAsia="幼圆"/>
      <w:b/>
      <w:sz w:val="44"/>
      <w:szCs w:val="20"/>
    </w:rPr>
  </w:style>
  <w:style w:type="paragraph" w:styleId="695">
    <w:name w:val="Heading 3"/>
    <w:basedOn w:val="692"/>
    <w:next w:val="692"/>
    <w:link w:val="783"/>
    <w:uiPriority w:val="0"/>
    <w:qFormat/>
    <w:pPr>
      <w:keepLines/>
      <w:keepNext/>
      <w:spacing w:before="260" w:after="260" w:line="416" w:lineRule="auto"/>
      <w:outlineLvl w:val="2"/>
    </w:pPr>
    <w:rPr>
      <w:b/>
      <w:sz w:val="32"/>
      <w:szCs w:val="20"/>
    </w:rPr>
  </w:style>
  <w:style w:type="paragraph" w:styleId="696">
    <w:name w:val="Heading 4"/>
    <w:basedOn w:val="697"/>
    <w:next w:val="692"/>
    <w:link w:val="784"/>
    <w:uiPriority w:val="0"/>
    <w:qFormat/>
    <w:pPr>
      <w:keepLines/>
      <w:spacing w:before="280" w:after="290" w:line="376" w:lineRule="auto"/>
      <w:outlineLvl w:val="3"/>
    </w:pPr>
    <w:rPr>
      <w:rFonts w:ascii="Arial" w:hAnsi="Arial" w:eastAsia="黑体"/>
      <w:b w:val="0"/>
      <w:bCs w:val="0"/>
      <w:sz w:val="28"/>
      <w:szCs w:val="28"/>
    </w:rPr>
  </w:style>
  <w:style w:type="paragraph" w:styleId="697">
    <w:name w:val="Heading 5"/>
    <w:basedOn w:val="692"/>
    <w:next w:val="692"/>
    <w:link w:val="785"/>
    <w:uiPriority w:val="0"/>
    <w:qFormat/>
    <w:pPr>
      <w:keepNext/>
      <w:outlineLvl w:val="4"/>
    </w:pPr>
    <w:rPr>
      <w:rFonts w:ascii="宋体" w:hAnsi="宋体"/>
      <w:b/>
      <w:bCs/>
    </w:rPr>
  </w:style>
  <w:style w:type="paragraph" w:styleId="698">
    <w:name w:val="Heading 6"/>
    <w:basedOn w:val="692"/>
    <w:next w:val="692"/>
    <w:link w:val="786"/>
    <w:uiPriority w:val="0"/>
    <w:qFormat/>
    <w:pPr>
      <w:keepLines/>
      <w:keepNext/>
      <w:spacing w:before="240" w:after="64" w:line="317" w:lineRule="auto"/>
      <w:outlineLvl w:val="5"/>
    </w:pPr>
    <w:rPr>
      <w:rFonts w:ascii="Cambria" w:hAnsi="Cambria"/>
      <w:b/>
      <w:bCs/>
      <w:sz w:val="24"/>
    </w:rPr>
  </w:style>
  <w:style w:type="paragraph" w:styleId="699">
    <w:name w:val="Heading 7"/>
    <w:basedOn w:val="692"/>
    <w:next w:val="692"/>
    <w:link w:val="787"/>
    <w:uiPriority w:val="0"/>
    <w:qFormat/>
    <w:pPr>
      <w:keepLines/>
      <w:keepNext/>
      <w:spacing w:before="240" w:after="64" w:line="320" w:lineRule="auto"/>
      <w:outlineLvl w:val="6"/>
    </w:pPr>
    <w:rPr>
      <w:b/>
      <w:bCs/>
      <w:sz w:val="24"/>
    </w:rPr>
  </w:style>
  <w:style w:type="paragraph" w:styleId="700">
    <w:name w:val="Heading 8"/>
    <w:basedOn w:val="692"/>
    <w:next w:val="692"/>
    <w:link w:val="788"/>
    <w:uiPriority w:val="0"/>
    <w:qFormat/>
    <w:pPr>
      <w:keepLines/>
      <w:keepNext/>
      <w:spacing w:before="240" w:after="64" w:line="317" w:lineRule="auto"/>
      <w:outlineLvl w:val="7"/>
    </w:pPr>
    <w:rPr>
      <w:rFonts w:ascii="Cambria" w:hAnsi="Cambria"/>
      <w:sz w:val="24"/>
    </w:rPr>
  </w:style>
  <w:style w:type="paragraph" w:styleId="701">
    <w:name w:val="Heading 9"/>
    <w:basedOn w:val="692"/>
    <w:next w:val="692"/>
    <w:link w:val="789"/>
    <w:uiPriority w:val="0"/>
    <w:qFormat/>
    <w:pPr>
      <w:keepLines/>
      <w:keepNext/>
      <w:spacing w:before="240" w:after="64" w:line="317" w:lineRule="auto"/>
      <w:outlineLvl w:val="8"/>
    </w:pPr>
    <w:rPr>
      <w:rFonts w:ascii="Cambria" w:hAnsi="Cambria"/>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705">
    <w:name w:val="Normal Indent"/>
    <w:basedOn w:val="692"/>
    <w:link w:val="956"/>
    <w:uiPriority w:val="0"/>
    <w:qFormat/>
    <w:pPr>
      <w:ind w:firstLine="420"/>
    </w:pPr>
    <w:rPr>
      <w:szCs w:val="20"/>
    </w:rPr>
  </w:style>
  <w:style w:type="paragraph" w:styleId="706">
    <w:name w:val="toc 7"/>
    <w:basedOn w:val="692"/>
    <w:next w:val="692"/>
    <w:uiPriority w:val="39"/>
    <w:unhideWhenUsed/>
    <w:qFormat/>
    <w:pPr>
      <w:ind w:left="1701"/>
      <w:spacing w:after="57"/>
    </w:pPr>
  </w:style>
  <w:style w:type="paragraph" w:styleId="707">
    <w:name w:val="Note Heading"/>
    <w:basedOn w:val="692"/>
    <w:next w:val="692"/>
    <w:link w:val="790"/>
    <w:uiPriority w:val="0"/>
    <w:qFormat/>
    <w:pPr>
      <w:jc w:val="center"/>
    </w:pPr>
    <w:rPr>
      <w:sz w:val="24"/>
      <w:szCs w:val="20"/>
    </w:rPr>
  </w:style>
  <w:style w:type="paragraph" w:styleId="708">
    <w:name w:val="Caption"/>
    <w:basedOn w:val="692"/>
    <w:next w:val="692"/>
    <w:uiPriority w:val="0"/>
    <w:qFormat/>
    <w:rPr>
      <w:rFonts w:ascii="Cambria" w:hAnsi="Cambria" w:eastAsia="黑体"/>
      <w:sz w:val="20"/>
      <w:szCs w:val="20"/>
    </w:rPr>
  </w:style>
  <w:style w:type="paragraph" w:styleId="709">
    <w:name w:val="Document Map"/>
    <w:basedOn w:val="692"/>
    <w:link w:val="791"/>
    <w:uiPriority w:val="99"/>
    <w:qFormat/>
    <w:pPr>
      <w:shd w:val="clear" w:color="auto" w:fill="000080"/>
    </w:pPr>
  </w:style>
  <w:style w:type="paragraph" w:styleId="710">
    <w:name w:val="annotation text"/>
    <w:basedOn w:val="692"/>
    <w:link w:val="792"/>
    <w:uiPriority w:val="0"/>
    <w:qFormat/>
    <w:pPr>
      <w:jc w:val="left"/>
    </w:pPr>
  </w:style>
  <w:style w:type="paragraph" w:styleId="711">
    <w:name w:val="Body Text 3"/>
    <w:basedOn w:val="692"/>
    <w:link w:val="793"/>
    <w:uiPriority w:val="0"/>
    <w:qFormat/>
    <w:rPr>
      <w:rFonts w:ascii="仿宋_GB2312" w:hAnsi="Arial" w:eastAsia="仿宋_GB2312"/>
      <w:sz w:val="32"/>
      <w:szCs w:val="20"/>
    </w:rPr>
  </w:style>
  <w:style w:type="paragraph" w:styleId="712">
    <w:name w:val="Body Text"/>
    <w:basedOn w:val="692"/>
    <w:next w:val="713"/>
    <w:link w:val="794"/>
    <w:uiPriority w:val="0"/>
    <w:qFormat/>
    <w:rPr>
      <w:rFonts w:ascii="楷体_GB2312" w:hAnsi="Arial" w:eastAsia="楷体_GB2312"/>
      <w:sz w:val="28"/>
      <w:szCs w:val="20"/>
    </w:rPr>
  </w:style>
  <w:style w:type="paragraph" w:styleId="713" w:customStyle="1">
    <w:name w:val="一级条标题"/>
    <w:basedOn w:val="714"/>
    <w:next w:val="715"/>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next w:val="692"/>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15" w:customStyle="1">
    <w:name w:val="段"/>
    <w:next w:val="692"/>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16">
    <w:name w:val="Body Text Indent"/>
    <w:basedOn w:val="692"/>
    <w:link w:val="777"/>
    <w:uiPriority w:val="0"/>
    <w:unhideWhenUsed/>
    <w:qFormat/>
    <w:pPr>
      <w:ind w:left="420"/>
      <w:spacing w:after="120"/>
    </w:pPr>
  </w:style>
  <w:style w:type="paragraph" w:styleId="717">
    <w:name w:val="Block Text"/>
    <w:basedOn w:val="692"/>
    <w:uiPriority w:val="99"/>
    <w:qFormat/>
    <w:pPr>
      <w:ind w:left="1440" w:right="1440"/>
      <w:spacing w:after="120"/>
      <w:tabs>
        <w:tab w:val="left" w:pos="9000" w:leader="none"/>
      </w:tabs>
    </w:pPr>
  </w:style>
  <w:style w:type="paragraph" w:styleId="718">
    <w:name w:val="index 4"/>
    <w:basedOn w:val="692"/>
    <w:next w:val="692"/>
    <w:uiPriority w:val="0"/>
    <w:qFormat/>
    <w:pPr>
      <w:ind w:left="600"/>
    </w:pPr>
  </w:style>
  <w:style w:type="paragraph" w:styleId="719">
    <w:name w:val="toc 5"/>
    <w:basedOn w:val="692"/>
    <w:next w:val="692"/>
    <w:uiPriority w:val="39"/>
    <w:unhideWhenUsed/>
    <w:qFormat/>
    <w:pPr>
      <w:ind w:left="1134"/>
      <w:spacing w:after="57"/>
    </w:pPr>
  </w:style>
  <w:style w:type="paragraph" w:styleId="720">
    <w:name w:val="toc 3"/>
    <w:basedOn w:val="692"/>
    <w:next w:val="692"/>
    <w:uiPriority w:val="39"/>
    <w:unhideWhenUsed/>
    <w:qFormat/>
    <w:pPr>
      <w:ind w:left="567"/>
      <w:spacing w:after="57"/>
    </w:pPr>
  </w:style>
  <w:style w:type="paragraph" w:styleId="721">
    <w:name w:val="Plain Text"/>
    <w:basedOn w:val="692"/>
    <w:link w:val="795"/>
    <w:uiPriority w:val="0"/>
    <w:qFormat/>
    <w:rPr>
      <w:rFonts w:ascii="宋体" w:hAnsi="Courier New"/>
      <w:sz w:val="28"/>
    </w:rPr>
  </w:style>
  <w:style w:type="paragraph" w:styleId="722">
    <w:name w:val="toc 8"/>
    <w:basedOn w:val="692"/>
    <w:next w:val="692"/>
    <w:uiPriority w:val="39"/>
    <w:unhideWhenUsed/>
    <w:qFormat/>
    <w:pPr>
      <w:ind w:left="1984"/>
      <w:spacing w:after="57"/>
    </w:pPr>
  </w:style>
  <w:style w:type="paragraph" w:styleId="723">
    <w:name w:val="Date"/>
    <w:basedOn w:val="692"/>
    <w:next w:val="692"/>
    <w:link w:val="796"/>
    <w:uiPriority w:val="0"/>
    <w:qFormat/>
    <w:rPr>
      <w:sz w:val="24"/>
      <w:szCs w:val="20"/>
    </w:rPr>
  </w:style>
  <w:style w:type="paragraph" w:styleId="724">
    <w:name w:val="Body Text Indent 2"/>
    <w:basedOn w:val="692"/>
    <w:link w:val="797"/>
    <w:uiPriority w:val="0"/>
    <w:qFormat/>
    <w:pPr>
      <w:ind w:firstLine="560"/>
    </w:pPr>
    <w:rPr>
      <w:rFonts w:ascii="宋体" w:hAnsi="宋体"/>
      <w:sz w:val="28"/>
    </w:rPr>
  </w:style>
  <w:style w:type="paragraph" w:styleId="725">
    <w:name w:val="endnote text"/>
    <w:basedOn w:val="692"/>
    <w:link w:val="798"/>
    <w:uiPriority w:val="99"/>
    <w:semiHidden/>
    <w:unhideWhenUsed/>
    <w:qFormat/>
    <w:rPr>
      <w:sz w:val="20"/>
    </w:rPr>
  </w:style>
  <w:style w:type="paragraph" w:styleId="726">
    <w:name w:val="Balloon Text"/>
    <w:basedOn w:val="692"/>
    <w:link w:val="799"/>
    <w:uiPriority w:val="99"/>
    <w:qFormat/>
    <w:rPr>
      <w:sz w:val="18"/>
      <w:szCs w:val="18"/>
    </w:rPr>
  </w:style>
  <w:style w:type="paragraph" w:styleId="727">
    <w:name w:val="Footer"/>
    <w:basedOn w:val="692"/>
    <w:link w:val="780"/>
    <w:uiPriority w:val="99"/>
    <w:unhideWhenUsed/>
    <w:qFormat/>
    <w:pPr>
      <w:jc w:val="left"/>
      <w:tabs>
        <w:tab w:val="center" w:pos="4153" w:leader="none"/>
        <w:tab w:val="right" w:pos="8306" w:leader="none"/>
      </w:tabs>
    </w:pPr>
    <w:rPr>
      <w:sz w:val="18"/>
      <w:szCs w:val="18"/>
    </w:rPr>
  </w:style>
  <w:style w:type="paragraph" w:styleId="728">
    <w:name w:val="envelope return"/>
    <w:basedOn w:val="692"/>
    <w:uiPriority w:val="0"/>
    <w:unhideWhenUsed/>
    <w:qFormat/>
    <w:rPr>
      <w:rFonts w:ascii="Arial" w:hAnsi="Arial"/>
    </w:rPr>
  </w:style>
  <w:style w:type="paragraph" w:styleId="729">
    <w:name w:val="Header"/>
    <w:basedOn w:val="692"/>
    <w:link w:val="779"/>
    <w:uiPriority w:val="99"/>
    <w:unhideWhenUsed/>
    <w:qFormat/>
    <w:pPr>
      <w:jc w:val="center"/>
      <w:tabs>
        <w:tab w:val="center" w:pos="4153" w:leader="none"/>
        <w:tab w:val="right" w:pos="8306" w:leader="none"/>
      </w:tabs>
    </w:pPr>
    <w:rPr>
      <w:sz w:val="18"/>
      <w:szCs w:val="18"/>
    </w:rPr>
  </w:style>
  <w:style w:type="paragraph" w:styleId="730">
    <w:name w:val="toc 1"/>
    <w:basedOn w:val="692"/>
    <w:next w:val="692"/>
    <w:uiPriority w:val="39"/>
    <w:unhideWhenUsed/>
    <w:qFormat/>
    <w:pPr>
      <w:spacing w:after="57"/>
    </w:pPr>
  </w:style>
  <w:style w:type="paragraph" w:styleId="731">
    <w:name w:val="toc 4"/>
    <w:basedOn w:val="692"/>
    <w:next w:val="692"/>
    <w:uiPriority w:val="39"/>
    <w:unhideWhenUsed/>
    <w:qFormat/>
    <w:pPr>
      <w:ind w:left="850"/>
      <w:spacing w:after="57"/>
    </w:pPr>
  </w:style>
  <w:style w:type="paragraph" w:styleId="732">
    <w:name w:val="Subtitle"/>
    <w:basedOn w:val="692"/>
    <w:next w:val="692"/>
    <w:link w:val="800"/>
    <w:uiPriority w:val="0"/>
    <w:qFormat/>
    <w:pPr>
      <w:jc w:val="center"/>
      <w:spacing w:before="240" w:after="60" w:line="312" w:lineRule="auto"/>
      <w:outlineLvl w:val="1"/>
    </w:pPr>
    <w:rPr>
      <w:rFonts w:ascii="Cambria" w:hAnsi="Cambria"/>
      <w:b/>
      <w:bCs/>
      <w:sz w:val="32"/>
      <w:szCs w:val="32"/>
    </w:rPr>
  </w:style>
  <w:style w:type="paragraph" w:styleId="733">
    <w:name w:val="footnote text"/>
    <w:basedOn w:val="692"/>
    <w:next w:val="734"/>
    <w:link w:val="801"/>
    <w:uiPriority w:val="0"/>
    <w:qFormat/>
    <w:pPr>
      <w:jc w:val="left"/>
    </w:pPr>
    <w:rPr>
      <w:sz w:val="18"/>
      <w:szCs w:val="18"/>
    </w:rPr>
  </w:style>
  <w:style w:type="paragraph" w:styleId="734" w:customStyle="1">
    <w:name w:val="index 51"/>
    <w:basedOn w:val="692"/>
    <w:next w:val="692"/>
    <w:uiPriority w:val="0"/>
    <w:qFormat/>
    <w:pPr>
      <w:ind w:left="798"/>
      <w:jc w:val="left"/>
    </w:pPr>
    <w:rPr>
      <w:rFonts w:ascii="Calibri" w:hAnsi="Calibri"/>
    </w:rPr>
  </w:style>
  <w:style w:type="paragraph" w:styleId="735">
    <w:name w:val="toc 6"/>
    <w:basedOn w:val="692"/>
    <w:next w:val="692"/>
    <w:uiPriority w:val="39"/>
    <w:unhideWhenUsed/>
    <w:qFormat/>
    <w:pPr>
      <w:ind w:left="1417"/>
      <w:spacing w:after="57"/>
    </w:pPr>
  </w:style>
  <w:style w:type="paragraph" w:styleId="736">
    <w:name w:val="Body Text Indent 3"/>
    <w:basedOn w:val="692"/>
    <w:link w:val="802"/>
    <w:uiPriority w:val="0"/>
    <w:qFormat/>
    <w:pPr>
      <w:ind w:firstLine="523"/>
    </w:pPr>
    <w:rPr>
      <w:rFonts w:ascii="仿宋_GB2312" w:hAnsi="宋体" w:eastAsia="仿宋_GB2312"/>
      <w:sz w:val="24"/>
    </w:rPr>
  </w:style>
  <w:style w:type="paragraph" w:styleId="737">
    <w:name w:val="table of figures"/>
    <w:basedOn w:val="692"/>
    <w:next w:val="692"/>
    <w:uiPriority w:val="99"/>
    <w:unhideWhenUsed/>
    <w:qFormat/>
  </w:style>
  <w:style w:type="paragraph" w:styleId="738">
    <w:name w:val="toc 2"/>
    <w:basedOn w:val="692"/>
    <w:next w:val="692"/>
    <w:uiPriority w:val="39"/>
    <w:unhideWhenUsed/>
    <w:qFormat/>
    <w:pPr>
      <w:ind w:left="283"/>
      <w:spacing w:after="57"/>
    </w:pPr>
  </w:style>
  <w:style w:type="paragraph" w:styleId="739">
    <w:name w:val="toc 9"/>
    <w:basedOn w:val="692"/>
    <w:next w:val="692"/>
    <w:uiPriority w:val="39"/>
    <w:unhideWhenUsed/>
    <w:qFormat/>
    <w:pPr>
      <w:ind w:left="2268"/>
      <w:spacing w:after="57"/>
    </w:pPr>
  </w:style>
  <w:style w:type="paragraph" w:styleId="740">
    <w:name w:val="Body Text 2"/>
    <w:basedOn w:val="692"/>
    <w:link w:val="803"/>
    <w:uiPriority w:val="0"/>
    <w:qFormat/>
    <w:pPr>
      <w:jc w:val="center"/>
    </w:pPr>
    <w:rPr>
      <w:rFonts w:ascii="仿宋_GB2312" w:eastAsia="仿宋_GB2312"/>
      <w:sz w:val="44"/>
    </w:rPr>
  </w:style>
  <w:style w:type="paragraph" w:styleId="741">
    <w:name w:val="HTML Preformatted"/>
    <w:basedOn w:val="692"/>
    <w:link w:val="8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2">
    <w:name w:val="Normal (Web)"/>
    <w:basedOn w:val="692"/>
    <w:uiPriority w:val="0"/>
    <w:unhideWhenUsed/>
    <w:qFormat/>
    <w:pPr>
      <w:jc w:val="left"/>
      <w:spacing w:before="100" w:beforeAutospacing="1" w:after="100" w:afterAutospacing="1"/>
      <w:widowControl/>
    </w:pPr>
    <w:rPr>
      <w:rFonts w:ascii="宋体" w:hAnsi="宋体" w:cs="宋体"/>
      <w:sz w:val="24"/>
    </w:rPr>
  </w:style>
  <w:style w:type="paragraph" w:styleId="743">
    <w:name w:val="index 1"/>
    <w:basedOn w:val="692"/>
    <w:next w:val="692"/>
    <w:uiPriority w:val="0"/>
    <w:semiHidden/>
    <w:qFormat/>
    <w:rPr>
      <w:rFonts w:ascii="宋体" w:hAnsi="宋体"/>
      <w:szCs w:val="18"/>
    </w:rPr>
  </w:style>
  <w:style w:type="paragraph" w:styleId="744">
    <w:name w:val="Title"/>
    <w:basedOn w:val="692"/>
    <w:next w:val="692"/>
    <w:link w:val="805"/>
    <w:uiPriority w:val="0"/>
    <w:qFormat/>
    <w:pPr>
      <w:jc w:val="center"/>
      <w:spacing w:before="240" w:after="60"/>
      <w:outlineLvl w:val="0"/>
    </w:pPr>
    <w:rPr>
      <w:rFonts w:ascii="Cambria" w:hAnsi="Cambria"/>
      <w:b/>
      <w:bCs/>
      <w:sz w:val="32"/>
      <w:szCs w:val="32"/>
    </w:rPr>
  </w:style>
  <w:style w:type="paragraph" w:styleId="745">
    <w:name w:val="annotation subject"/>
    <w:basedOn w:val="710"/>
    <w:next w:val="710"/>
    <w:link w:val="806"/>
    <w:uiPriority w:val="0"/>
    <w:qFormat/>
    <w:rPr>
      <w:b/>
      <w:bCs/>
    </w:rPr>
  </w:style>
  <w:style w:type="paragraph" w:styleId="746">
    <w:name w:val="Body Text First Indent 2"/>
    <w:basedOn w:val="716"/>
    <w:link w:val="778"/>
    <w:uiPriority w:val="99"/>
    <w:semiHidden/>
    <w:unhideWhenUsed/>
    <w:qFormat/>
    <w:pPr>
      <w:ind w:firstLine="420"/>
    </w:pPr>
  </w:style>
  <w:style w:type="table" w:styleId="747">
    <w:name w:val="Table Grid"/>
    <w:basedOn w:val="7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22"/>
    <w:qFormat/>
    <w:rPr>
      <w:b/>
      <w:bCs/>
    </w:rPr>
  </w:style>
  <w:style w:type="character" w:styleId="749">
    <w:name w:val="endnote reference"/>
    <w:uiPriority w:val="99"/>
    <w:semiHidden/>
    <w:unhideWhenUsed/>
    <w:qFormat/>
    <w:rPr>
      <w:vertAlign w:val="superscript"/>
    </w:rPr>
  </w:style>
  <w:style w:type="character" w:styleId="750">
    <w:name w:val="page number"/>
    <w:uiPriority w:val="0"/>
    <w:qFormat/>
  </w:style>
  <w:style w:type="character" w:styleId="751">
    <w:name w:val="FollowedHyperlink"/>
    <w:uiPriority w:val="0"/>
    <w:qFormat/>
    <w:rPr>
      <w:color w:val="800080"/>
      <w:u w:val="single"/>
    </w:rPr>
  </w:style>
  <w:style w:type="character" w:styleId="752">
    <w:name w:val="Emphasis"/>
    <w:uiPriority w:val="0"/>
    <w:qFormat/>
    <w:rPr>
      <w:i/>
      <w:iCs/>
    </w:rPr>
  </w:style>
  <w:style w:type="character" w:styleId="753">
    <w:name w:val="Hyperlink"/>
    <w:uiPriority w:val="99"/>
    <w:qFormat/>
    <w:rPr>
      <w:color w:val="0000ff"/>
      <w:u w:val="single"/>
    </w:rPr>
  </w:style>
  <w:style w:type="character" w:styleId="754">
    <w:name w:val="annotation reference"/>
    <w:uiPriority w:val="0"/>
    <w:qFormat/>
    <w:rPr>
      <w:sz w:val="21"/>
      <w:szCs w:val="21"/>
    </w:rPr>
  </w:style>
  <w:style w:type="character" w:styleId="755">
    <w:name w:val="footnote reference"/>
    <w:uiPriority w:val="99"/>
    <w:unhideWhenUsed/>
    <w:qFormat/>
    <w:rPr>
      <w:vertAlign w:val="superscript"/>
    </w:rPr>
  </w:style>
  <w:style w:type="table" w:styleId="756"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5" w:customStyle="1">
    <w:name w:val="Endnote Text Char"/>
    <w:uiPriority w:val="99"/>
    <w:qFormat/>
    <w:rPr>
      <w:sz w:val="20"/>
    </w:rPr>
  </w:style>
  <w:style w:type="paragraph" w:styleId="776" w:customStyle="1">
    <w:name w:val="TOC Heading"/>
    <w:uiPriority w:val="39"/>
    <w:unhideWhenUsed/>
    <w:qFormat/>
    <w:rPr>
      <w:rFonts w:hint="default" w:ascii="Times New Roman" w:hAnsi="Times New Roman" w:eastAsia="宋体" w:cs="Times New Roman"/>
    </w:rPr>
  </w:style>
  <w:style w:type="character" w:styleId="777" w:customStyle="1">
    <w:name w:val="正文文本缩进 字符"/>
    <w:basedOn w:val="702"/>
    <w:link w:val="716"/>
    <w:uiPriority w:val="0"/>
    <w:qFormat/>
    <w:rPr>
      <w:rFonts w:ascii="Times New Roman" w:hAnsi="Times New Roman" w:eastAsia="宋体" w:cs="Times New Roman"/>
      <w:szCs w:val="24"/>
    </w:rPr>
  </w:style>
  <w:style w:type="character" w:styleId="778" w:customStyle="1">
    <w:name w:val="正文文本首行缩进 2 字符"/>
    <w:basedOn w:val="777"/>
    <w:link w:val="746"/>
    <w:uiPriority w:val="99"/>
    <w:semiHidden/>
    <w:qFormat/>
    <w:rPr>
      <w:rFonts w:ascii="Times New Roman" w:hAnsi="Times New Roman" w:eastAsia="宋体" w:cs="Times New Roman"/>
      <w:szCs w:val="24"/>
    </w:rPr>
  </w:style>
  <w:style w:type="character" w:styleId="779" w:customStyle="1">
    <w:name w:val="页眉 字符"/>
    <w:basedOn w:val="702"/>
    <w:link w:val="729"/>
    <w:uiPriority w:val="99"/>
    <w:qFormat/>
    <w:rPr>
      <w:rFonts w:ascii="Times New Roman" w:hAnsi="Times New Roman" w:eastAsia="宋体" w:cs="Times New Roman"/>
      <w:sz w:val="18"/>
      <w:szCs w:val="18"/>
    </w:rPr>
  </w:style>
  <w:style w:type="character" w:styleId="780" w:customStyle="1">
    <w:name w:val="页脚 字符"/>
    <w:basedOn w:val="702"/>
    <w:link w:val="727"/>
    <w:uiPriority w:val="99"/>
    <w:qFormat/>
    <w:rPr>
      <w:rFonts w:ascii="Times New Roman" w:hAnsi="Times New Roman" w:eastAsia="宋体" w:cs="Times New Roman"/>
      <w:sz w:val="18"/>
      <w:szCs w:val="18"/>
    </w:rPr>
  </w:style>
  <w:style w:type="character" w:styleId="781" w:customStyle="1">
    <w:name w:val="标题 1 字符"/>
    <w:basedOn w:val="702"/>
    <w:link w:val="693"/>
    <w:uiPriority w:val="0"/>
    <w:qFormat/>
    <w:rPr>
      <w:rFonts w:ascii="楷体_GB2312" w:hAnsi="Times New Roman" w:eastAsia="楷体_GB2312" w:cs="Times New Roman"/>
      <w:sz w:val="28"/>
      <w:szCs w:val="20"/>
    </w:rPr>
  </w:style>
  <w:style w:type="character" w:styleId="782" w:customStyle="1">
    <w:name w:val="标题 2 字符"/>
    <w:basedOn w:val="702"/>
    <w:link w:val="694"/>
    <w:uiPriority w:val="0"/>
    <w:qFormat/>
    <w:rPr>
      <w:rFonts w:ascii="Arial" w:hAnsi="Arial" w:eastAsia="幼圆" w:cs="Times New Roman"/>
      <w:b/>
      <w:sz w:val="44"/>
      <w:szCs w:val="20"/>
    </w:rPr>
  </w:style>
  <w:style w:type="character" w:styleId="783" w:customStyle="1">
    <w:name w:val="标题 3 字符"/>
    <w:basedOn w:val="702"/>
    <w:link w:val="695"/>
    <w:uiPriority w:val="0"/>
    <w:qFormat/>
    <w:rPr>
      <w:rFonts w:ascii="Times New Roman" w:hAnsi="Times New Roman" w:eastAsia="宋体" w:cs="Times New Roman"/>
      <w:b/>
      <w:sz w:val="32"/>
      <w:szCs w:val="20"/>
    </w:rPr>
  </w:style>
  <w:style w:type="character" w:styleId="784" w:customStyle="1">
    <w:name w:val="标题 4 字符"/>
    <w:basedOn w:val="702"/>
    <w:link w:val="696"/>
    <w:uiPriority w:val="0"/>
    <w:qFormat/>
    <w:rPr>
      <w:rFonts w:ascii="Arial" w:hAnsi="Arial" w:eastAsia="黑体" w:cs="Times New Roman"/>
      <w:sz w:val="28"/>
      <w:szCs w:val="28"/>
    </w:rPr>
  </w:style>
  <w:style w:type="character" w:styleId="785" w:customStyle="1">
    <w:name w:val="标题 5 字符"/>
    <w:basedOn w:val="702"/>
    <w:link w:val="697"/>
    <w:uiPriority w:val="0"/>
    <w:qFormat/>
    <w:rPr>
      <w:rFonts w:ascii="宋体" w:hAnsi="宋体" w:eastAsia="宋体" w:cs="Times New Roman"/>
      <w:b/>
      <w:bCs/>
      <w:szCs w:val="24"/>
    </w:rPr>
  </w:style>
  <w:style w:type="character" w:styleId="786" w:customStyle="1">
    <w:name w:val="标题 6 字符"/>
    <w:basedOn w:val="702"/>
    <w:link w:val="698"/>
    <w:uiPriority w:val="0"/>
    <w:qFormat/>
    <w:rPr>
      <w:rFonts w:ascii="Cambria" w:hAnsi="Cambria" w:eastAsia="宋体" w:cs="Times New Roman"/>
      <w:b/>
      <w:bCs/>
      <w:sz w:val="24"/>
      <w:szCs w:val="24"/>
    </w:rPr>
  </w:style>
  <w:style w:type="character" w:styleId="787" w:customStyle="1">
    <w:name w:val="标题 7 字符"/>
    <w:basedOn w:val="702"/>
    <w:link w:val="699"/>
    <w:uiPriority w:val="0"/>
    <w:qFormat/>
    <w:rPr>
      <w:rFonts w:ascii="Times New Roman" w:hAnsi="Times New Roman" w:eastAsia="宋体" w:cs="Times New Roman"/>
      <w:b/>
      <w:bCs/>
      <w:sz w:val="24"/>
      <w:szCs w:val="24"/>
    </w:rPr>
  </w:style>
  <w:style w:type="character" w:styleId="788" w:customStyle="1">
    <w:name w:val="标题 8 字符"/>
    <w:basedOn w:val="702"/>
    <w:link w:val="700"/>
    <w:uiPriority w:val="0"/>
    <w:qFormat/>
    <w:rPr>
      <w:rFonts w:ascii="Cambria" w:hAnsi="Cambria" w:eastAsia="宋体" w:cs="Times New Roman"/>
      <w:sz w:val="24"/>
      <w:szCs w:val="24"/>
    </w:rPr>
  </w:style>
  <w:style w:type="character" w:styleId="789" w:customStyle="1">
    <w:name w:val="标题 9 字符"/>
    <w:basedOn w:val="702"/>
    <w:link w:val="701"/>
    <w:uiPriority w:val="0"/>
    <w:qFormat/>
    <w:rPr>
      <w:rFonts w:ascii="Cambria" w:hAnsi="Cambria" w:eastAsia="宋体" w:cs="Times New Roman"/>
      <w:szCs w:val="21"/>
    </w:rPr>
  </w:style>
  <w:style w:type="character" w:styleId="790" w:customStyle="1">
    <w:name w:val="注释标题 字符"/>
    <w:basedOn w:val="702"/>
    <w:link w:val="707"/>
    <w:uiPriority w:val="0"/>
    <w:qFormat/>
    <w:rPr>
      <w:rFonts w:ascii="Times New Roman" w:hAnsi="Times New Roman" w:eastAsia="宋体" w:cs="Times New Roman"/>
      <w:sz w:val="24"/>
      <w:szCs w:val="20"/>
    </w:rPr>
  </w:style>
  <w:style w:type="character" w:styleId="791" w:customStyle="1">
    <w:name w:val="文档结构图 字符"/>
    <w:basedOn w:val="702"/>
    <w:link w:val="709"/>
    <w:uiPriority w:val="99"/>
    <w:qFormat/>
    <w:rPr>
      <w:rFonts w:ascii="Times New Roman" w:hAnsi="Times New Roman" w:eastAsia="宋体" w:cs="Times New Roman"/>
      <w:szCs w:val="24"/>
      <w:shd w:val="clear" w:color="auto" w:fill="000080"/>
    </w:rPr>
  </w:style>
  <w:style w:type="character" w:styleId="792" w:customStyle="1">
    <w:name w:val="批注文字 字符"/>
    <w:basedOn w:val="702"/>
    <w:link w:val="710"/>
    <w:uiPriority w:val="0"/>
    <w:qFormat/>
    <w:rPr>
      <w:rFonts w:ascii="Times New Roman" w:hAnsi="Times New Roman" w:eastAsia="宋体" w:cs="Times New Roman"/>
      <w:szCs w:val="24"/>
    </w:rPr>
  </w:style>
  <w:style w:type="character" w:styleId="793" w:customStyle="1">
    <w:name w:val="正文文本 3 字符"/>
    <w:basedOn w:val="702"/>
    <w:link w:val="711"/>
    <w:uiPriority w:val="0"/>
    <w:qFormat/>
    <w:rPr>
      <w:rFonts w:ascii="仿宋_GB2312" w:hAnsi="Arial" w:eastAsia="仿宋_GB2312" w:cs="Times New Roman"/>
      <w:sz w:val="32"/>
      <w:szCs w:val="20"/>
    </w:rPr>
  </w:style>
  <w:style w:type="character" w:styleId="794" w:customStyle="1">
    <w:name w:val="正文文本 字符"/>
    <w:basedOn w:val="702"/>
    <w:link w:val="712"/>
    <w:uiPriority w:val="0"/>
    <w:qFormat/>
    <w:rPr>
      <w:rFonts w:ascii="楷体_GB2312" w:hAnsi="Arial" w:eastAsia="楷体_GB2312" w:cs="Times New Roman"/>
      <w:sz w:val="28"/>
      <w:szCs w:val="20"/>
    </w:rPr>
  </w:style>
  <w:style w:type="character" w:styleId="795" w:customStyle="1">
    <w:name w:val="纯文本 字符"/>
    <w:basedOn w:val="702"/>
    <w:link w:val="721"/>
    <w:uiPriority w:val="0"/>
    <w:qFormat/>
    <w:rPr>
      <w:rFonts w:ascii="宋体" w:hAnsi="Courier New" w:eastAsia="宋体" w:cs="Times New Roman"/>
      <w:sz w:val="28"/>
      <w:szCs w:val="24"/>
    </w:rPr>
  </w:style>
  <w:style w:type="character" w:styleId="796" w:customStyle="1">
    <w:name w:val="日期 字符"/>
    <w:basedOn w:val="702"/>
    <w:link w:val="723"/>
    <w:uiPriority w:val="0"/>
    <w:qFormat/>
    <w:rPr>
      <w:rFonts w:ascii="Times New Roman" w:hAnsi="Times New Roman" w:eastAsia="宋体" w:cs="Times New Roman"/>
      <w:sz w:val="24"/>
      <w:szCs w:val="20"/>
    </w:rPr>
  </w:style>
  <w:style w:type="character" w:styleId="797" w:customStyle="1">
    <w:name w:val="正文文本缩进 2 字符"/>
    <w:basedOn w:val="702"/>
    <w:link w:val="724"/>
    <w:uiPriority w:val="0"/>
    <w:qFormat/>
    <w:rPr>
      <w:rFonts w:ascii="宋体" w:hAnsi="宋体" w:eastAsia="宋体" w:cs="Times New Roman"/>
      <w:sz w:val="28"/>
      <w:szCs w:val="24"/>
    </w:rPr>
  </w:style>
  <w:style w:type="character" w:styleId="798" w:customStyle="1">
    <w:name w:val="尾注文本 字符"/>
    <w:basedOn w:val="702"/>
    <w:link w:val="725"/>
    <w:uiPriority w:val="99"/>
    <w:semiHidden/>
    <w:qFormat/>
    <w:rPr>
      <w:rFonts w:ascii="Times New Roman" w:hAnsi="Times New Roman" w:eastAsia="宋体" w:cs="Times New Roman"/>
      <w:sz w:val="20"/>
      <w:szCs w:val="24"/>
    </w:rPr>
  </w:style>
  <w:style w:type="character" w:styleId="799" w:customStyle="1">
    <w:name w:val="批注框文本 字符"/>
    <w:basedOn w:val="702"/>
    <w:link w:val="726"/>
    <w:uiPriority w:val="99"/>
    <w:qFormat/>
    <w:rPr>
      <w:rFonts w:ascii="Times New Roman" w:hAnsi="Times New Roman" w:eastAsia="宋体" w:cs="Times New Roman"/>
      <w:sz w:val="18"/>
      <w:szCs w:val="18"/>
    </w:rPr>
  </w:style>
  <w:style w:type="character" w:styleId="800" w:customStyle="1">
    <w:name w:val="副标题 字符"/>
    <w:basedOn w:val="702"/>
    <w:link w:val="732"/>
    <w:uiPriority w:val="0"/>
    <w:qFormat/>
    <w:rPr>
      <w:rFonts w:ascii="Cambria" w:hAnsi="Cambria" w:eastAsia="宋体" w:cs="Times New Roman"/>
      <w:b/>
      <w:bCs/>
      <w:sz w:val="32"/>
      <w:szCs w:val="32"/>
    </w:rPr>
  </w:style>
  <w:style w:type="character" w:styleId="801" w:customStyle="1">
    <w:name w:val="脚注文本 字符"/>
    <w:basedOn w:val="702"/>
    <w:link w:val="733"/>
    <w:uiPriority w:val="0"/>
    <w:qFormat/>
    <w:rPr>
      <w:rFonts w:ascii="Times New Roman" w:hAnsi="Times New Roman" w:eastAsia="宋体" w:cs="Times New Roman"/>
      <w:sz w:val="18"/>
      <w:szCs w:val="18"/>
    </w:rPr>
  </w:style>
  <w:style w:type="character" w:styleId="802" w:customStyle="1">
    <w:name w:val="正文文本缩进 3 字符"/>
    <w:basedOn w:val="702"/>
    <w:link w:val="736"/>
    <w:uiPriority w:val="0"/>
    <w:qFormat/>
    <w:rPr>
      <w:rFonts w:ascii="仿宋_GB2312" w:hAnsi="宋体" w:eastAsia="仿宋_GB2312" w:cs="Times New Roman"/>
      <w:sz w:val="24"/>
      <w:szCs w:val="24"/>
    </w:rPr>
  </w:style>
  <w:style w:type="character" w:styleId="803" w:customStyle="1">
    <w:name w:val="正文文本 2 字符"/>
    <w:basedOn w:val="702"/>
    <w:link w:val="740"/>
    <w:uiPriority w:val="0"/>
    <w:qFormat/>
    <w:rPr>
      <w:rFonts w:ascii="仿宋_GB2312" w:hAnsi="Times New Roman" w:eastAsia="仿宋_GB2312" w:cs="Times New Roman"/>
      <w:sz w:val="44"/>
      <w:szCs w:val="24"/>
    </w:rPr>
  </w:style>
  <w:style w:type="character" w:styleId="804" w:customStyle="1">
    <w:name w:val="HTML 预设格式 字符"/>
    <w:basedOn w:val="702"/>
    <w:link w:val="741"/>
    <w:uiPriority w:val="0"/>
    <w:qFormat/>
    <w:rPr>
      <w:rFonts w:ascii="黑体" w:hAnsi="Courier New" w:eastAsia="黑体" w:cs="Times New Roman"/>
      <w:sz w:val="20"/>
      <w:szCs w:val="20"/>
    </w:rPr>
  </w:style>
  <w:style w:type="character" w:styleId="805" w:customStyle="1">
    <w:name w:val="标题 字符"/>
    <w:basedOn w:val="702"/>
    <w:link w:val="744"/>
    <w:uiPriority w:val="0"/>
    <w:qFormat/>
    <w:rPr>
      <w:rFonts w:ascii="Cambria" w:hAnsi="Cambria" w:eastAsia="宋体" w:cs="Times New Roman"/>
      <w:b/>
      <w:bCs/>
      <w:sz w:val="32"/>
      <w:szCs w:val="32"/>
    </w:rPr>
  </w:style>
  <w:style w:type="character" w:styleId="806" w:customStyle="1">
    <w:name w:val="批注主题 字符"/>
    <w:basedOn w:val="792"/>
    <w:link w:val="745"/>
    <w:uiPriority w:val="0"/>
    <w:qFormat/>
    <w:rPr>
      <w:rFonts w:ascii="Times New Roman" w:hAnsi="Times New Roman" w:eastAsia="宋体" w:cs="Times New Roman"/>
      <w:b/>
      <w:bCs/>
      <w:szCs w:val="24"/>
    </w:rPr>
  </w:style>
  <w:style w:type="character" w:styleId="807" w:customStyle="1">
    <w:name w:val="Heading 1 Char"/>
    <w:link w:val="808"/>
    <w:uiPriority w:val="9"/>
    <w:qFormat/>
    <w:rPr>
      <w:rFonts w:ascii="Arial" w:hAnsi="Arial" w:eastAsia="Arial" w:cs="Arial"/>
      <w:sz w:val="40"/>
      <w:szCs w:val="40"/>
    </w:rPr>
  </w:style>
  <w:style w:type="paragraph" w:styleId="808" w:customStyle="1">
    <w:name w:val="标题 11"/>
    <w:basedOn w:val="692"/>
    <w:next w:val="692"/>
    <w:link w:val="807"/>
    <w:uiPriority w:val="9"/>
    <w:qFormat/>
    <w:pPr>
      <w:keepLines/>
      <w:keepNext/>
      <w:spacing w:before="480" w:after="200"/>
      <w:outlineLvl w:val="0"/>
    </w:pPr>
    <w:rPr>
      <w:rFonts w:ascii="Arial" w:hAnsi="Arial" w:eastAsia="Arial" w:cs="Arial"/>
      <w:sz w:val="40"/>
      <w:szCs w:val="40"/>
    </w:rPr>
  </w:style>
  <w:style w:type="character" w:styleId="809" w:customStyle="1">
    <w:name w:val="Heading 2 Char"/>
    <w:uiPriority w:val="9"/>
    <w:qFormat/>
    <w:rPr>
      <w:rFonts w:ascii="Arial" w:hAnsi="Arial" w:eastAsia="Arial" w:cs="Arial"/>
      <w:sz w:val="34"/>
    </w:rPr>
  </w:style>
  <w:style w:type="character" w:styleId="810" w:customStyle="1">
    <w:name w:val="Heading 3 Char"/>
    <w:uiPriority w:val="9"/>
    <w:qFormat/>
    <w:rPr>
      <w:rFonts w:ascii="Arial" w:hAnsi="Arial" w:eastAsia="Arial" w:cs="Arial"/>
      <w:sz w:val="30"/>
      <w:szCs w:val="30"/>
    </w:rPr>
  </w:style>
  <w:style w:type="character" w:styleId="811" w:customStyle="1">
    <w:name w:val="Heading 4 Char"/>
    <w:uiPriority w:val="9"/>
    <w:qFormat/>
    <w:rPr>
      <w:rFonts w:ascii="Arial" w:hAnsi="Arial" w:eastAsia="Arial" w:cs="Arial"/>
      <w:b/>
      <w:bCs/>
      <w:sz w:val="26"/>
      <w:szCs w:val="26"/>
    </w:rPr>
  </w:style>
  <w:style w:type="character" w:styleId="812" w:customStyle="1">
    <w:name w:val="Heading 5 Char"/>
    <w:uiPriority w:val="9"/>
    <w:qFormat/>
    <w:rPr>
      <w:rFonts w:ascii="Arial" w:hAnsi="Arial" w:eastAsia="Arial" w:cs="Arial"/>
      <w:b/>
      <w:bCs/>
      <w:sz w:val="24"/>
      <w:szCs w:val="24"/>
    </w:rPr>
  </w:style>
  <w:style w:type="character" w:styleId="813" w:customStyle="1">
    <w:name w:val="Heading 6 Char"/>
    <w:uiPriority w:val="9"/>
    <w:qFormat/>
    <w:rPr>
      <w:rFonts w:ascii="Arial" w:hAnsi="Arial" w:eastAsia="Arial" w:cs="Arial"/>
      <w:b/>
      <w:bCs/>
      <w:sz w:val="22"/>
      <w:szCs w:val="22"/>
    </w:rPr>
  </w:style>
  <w:style w:type="character" w:styleId="814" w:customStyle="1">
    <w:name w:val="Heading 7 Char"/>
    <w:uiPriority w:val="9"/>
    <w:qFormat/>
    <w:rPr>
      <w:rFonts w:ascii="Arial" w:hAnsi="Arial" w:eastAsia="Arial" w:cs="Arial"/>
      <w:b/>
      <w:bCs/>
      <w:i/>
      <w:iCs/>
      <w:sz w:val="22"/>
      <w:szCs w:val="22"/>
    </w:rPr>
  </w:style>
  <w:style w:type="character" w:styleId="815" w:customStyle="1">
    <w:name w:val="Heading 8 Char"/>
    <w:uiPriority w:val="9"/>
    <w:qFormat/>
    <w:rPr>
      <w:rFonts w:ascii="Arial" w:hAnsi="Arial" w:eastAsia="Arial" w:cs="Arial"/>
      <w:i/>
      <w:iCs/>
      <w:sz w:val="22"/>
      <w:szCs w:val="22"/>
    </w:rPr>
  </w:style>
  <w:style w:type="character" w:styleId="816" w:customStyle="1">
    <w:name w:val="Heading 9 Char"/>
    <w:uiPriority w:val="9"/>
    <w:qFormat/>
    <w:rPr>
      <w:rFonts w:ascii="Arial" w:hAnsi="Arial" w:eastAsia="Arial" w:cs="Arial"/>
      <w:i/>
      <w:iCs/>
      <w:sz w:val="21"/>
      <w:szCs w:val="21"/>
    </w:rPr>
  </w:style>
  <w:style w:type="paragraph" w:styleId="817">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818" w:customStyle="1">
    <w:name w:val="Title Char"/>
    <w:uiPriority w:val="10"/>
    <w:qFormat/>
    <w:rPr>
      <w:sz w:val="48"/>
      <w:szCs w:val="48"/>
    </w:rPr>
  </w:style>
  <w:style w:type="character" w:styleId="819" w:customStyle="1">
    <w:name w:val="Subtitle Char"/>
    <w:uiPriority w:val="11"/>
    <w:qFormat/>
    <w:rPr>
      <w:sz w:val="24"/>
      <w:szCs w:val="24"/>
    </w:rPr>
  </w:style>
  <w:style w:type="paragraph" w:styleId="820">
    <w:name w:val="Quote"/>
    <w:basedOn w:val="692"/>
    <w:next w:val="692"/>
    <w:link w:val="821"/>
    <w:uiPriority w:val="99"/>
    <w:qFormat/>
    <w:rPr>
      <w:i/>
      <w:iCs/>
      <w:color w:val="000000"/>
    </w:rPr>
  </w:style>
  <w:style w:type="character" w:styleId="821" w:customStyle="1">
    <w:name w:val="引用 字符"/>
    <w:basedOn w:val="702"/>
    <w:link w:val="820"/>
    <w:uiPriority w:val="99"/>
    <w:qFormat/>
    <w:rPr>
      <w:rFonts w:ascii="Times New Roman" w:hAnsi="Times New Roman" w:eastAsia="宋体" w:cs="Times New Roman"/>
      <w:i/>
      <w:iCs/>
      <w:color w:val="000000"/>
      <w:szCs w:val="24"/>
    </w:rPr>
  </w:style>
  <w:style w:type="character" w:styleId="822" w:customStyle="1">
    <w:name w:val="Quote Char"/>
    <w:uiPriority w:val="29"/>
    <w:qFormat/>
    <w:rPr>
      <w:i/>
    </w:rPr>
  </w:style>
  <w:style w:type="paragraph" w:styleId="823">
    <w:name w:val="Intense Quote"/>
    <w:basedOn w:val="692"/>
    <w:next w:val="692"/>
    <w:link w:val="824"/>
    <w:uiPriority w:val="99"/>
    <w:qFormat/>
    <w:pPr>
      <w:ind w:left="936" w:right="936"/>
      <w:spacing w:before="200" w:after="280"/>
      <w:pBdr>
        <w:bottom w:val="single" w:color="4F81BD" w:sz="4" w:space="4"/>
      </w:pBdr>
    </w:pPr>
    <w:rPr>
      <w:b/>
      <w:bCs/>
      <w:i/>
      <w:iCs/>
      <w:color w:val="4f81bd"/>
    </w:rPr>
  </w:style>
  <w:style w:type="character" w:styleId="824" w:customStyle="1">
    <w:name w:val="明显引用 字符"/>
    <w:basedOn w:val="702"/>
    <w:link w:val="823"/>
    <w:uiPriority w:val="99"/>
    <w:qFormat/>
    <w:rPr>
      <w:rFonts w:ascii="Times New Roman" w:hAnsi="Times New Roman" w:eastAsia="宋体" w:cs="Times New Roman"/>
      <w:b/>
      <w:bCs/>
      <w:i/>
      <w:iCs/>
      <w:color w:val="4f81bd"/>
      <w:szCs w:val="24"/>
    </w:rPr>
  </w:style>
  <w:style w:type="character" w:styleId="825" w:customStyle="1">
    <w:name w:val="Intense Quote Char"/>
    <w:uiPriority w:val="30"/>
    <w:qFormat/>
    <w:rPr>
      <w:i/>
    </w:rPr>
  </w:style>
  <w:style w:type="character" w:styleId="826" w:customStyle="1">
    <w:name w:val="Header Char"/>
    <w:uiPriority w:val="99"/>
    <w:qFormat/>
  </w:style>
  <w:style w:type="character" w:styleId="827" w:customStyle="1">
    <w:name w:val="Footer Char"/>
    <w:uiPriority w:val="99"/>
    <w:qFormat/>
  </w:style>
  <w:style w:type="character" w:styleId="828" w:customStyle="1">
    <w:name w:val="Caption Char"/>
    <w:uiPriority w:val="99"/>
    <w:qFormat/>
  </w:style>
  <w:style w:type="table" w:styleId="82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2" w:customStyle="1">
    <w:name w:val="无格式表格 31"/>
    <w:uiPriority w:val="99"/>
    <w:qFormat/>
    <w:tblPr>
      <w:tblCellMar>
        <w:left w:w="0" w:type="dxa"/>
        <w:top w:w="0" w:type="dxa"/>
        <w:right w:w="0" w:type="dxa"/>
        <w:bottom w:w="0" w:type="dxa"/>
      </w:tblCellMar>
    </w:tblPr>
  </w:style>
  <w:style w:type="table" w:styleId="833" w:customStyle="1">
    <w:name w:val="无格式表格 41"/>
    <w:uiPriority w:val="99"/>
    <w:qFormat/>
    <w:tblPr>
      <w:tblCellMar>
        <w:left w:w="0" w:type="dxa"/>
        <w:top w:w="0" w:type="dxa"/>
        <w:right w:w="0" w:type="dxa"/>
        <w:bottom w:w="0" w:type="dxa"/>
      </w:tblCellMar>
    </w:tblPr>
  </w:style>
  <w:style w:type="table" w:styleId="834" w:customStyle="1">
    <w:name w:val="无格式表格 51"/>
    <w:uiPriority w:val="99"/>
    <w:qFormat/>
    <w:tblPr>
      <w:tblCellMar>
        <w:left w:w="0" w:type="dxa"/>
        <w:top w:w="0" w:type="dxa"/>
        <w:right w:w="0" w:type="dxa"/>
        <w:bottom w:w="0" w:type="dxa"/>
      </w:tblCellMar>
    </w:tblPr>
  </w:style>
  <w:style w:type="table" w:styleId="83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4" w:customStyle="1">
    <w:name w:val="清单表 1 浅色1"/>
    <w:uiPriority w:val="99"/>
    <w:qFormat/>
    <w:tblPr>
      <w:tblCellMar>
        <w:left w:w="0" w:type="dxa"/>
        <w:top w:w="0" w:type="dxa"/>
        <w:right w:w="0" w:type="dxa"/>
        <w:bottom w:w="0" w:type="dxa"/>
      </w:tblCellMar>
    </w:tblPr>
  </w:style>
  <w:style w:type="table" w:styleId="885" w:customStyle="1">
    <w:name w:val="List Table 1 Light - Accent 1"/>
    <w:uiPriority w:val="99"/>
    <w:qFormat/>
    <w:tblPr>
      <w:tblCellMar>
        <w:left w:w="0" w:type="dxa"/>
        <w:top w:w="0" w:type="dxa"/>
        <w:right w:w="0" w:type="dxa"/>
        <w:bottom w:w="0" w:type="dxa"/>
      </w:tblCellMar>
    </w:tblPr>
  </w:style>
  <w:style w:type="table" w:styleId="886" w:customStyle="1">
    <w:name w:val="List Table 1 Light - Accent 2"/>
    <w:uiPriority w:val="99"/>
    <w:qFormat/>
    <w:tblPr>
      <w:tblCellMar>
        <w:left w:w="0" w:type="dxa"/>
        <w:top w:w="0" w:type="dxa"/>
        <w:right w:w="0" w:type="dxa"/>
        <w:bottom w:w="0" w:type="dxa"/>
      </w:tblCellMar>
    </w:tblPr>
  </w:style>
  <w:style w:type="table" w:styleId="887" w:customStyle="1">
    <w:name w:val="List Table 1 Light - Accent 3"/>
    <w:uiPriority w:val="99"/>
    <w:qFormat/>
    <w:tblPr>
      <w:tblCellMar>
        <w:left w:w="0" w:type="dxa"/>
        <w:top w:w="0" w:type="dxa"/>
        <w:right w:w="0" w:type="dxa"/>
        <w:bottom w:w="0" w:type="dxa"/>
      </w:tblCellMar>
    </w:tblPr>
  </w:style>
  <w:style w:type="table" w:styleId="888" w:customStyle="1">
    <w:name w:val="List Table 1 Light - Accent 4"/>
    <w:uiPriority w:val="99"/>
    <w:qFormat/>
    <w:tblPr>
      <w:tblCellMar>
        <w:left w:w="0" w:type="dxa"/>
        <w:top w:w="0" w:type="dxa"/>
        <w:right w:w="0" w:type="dxa"/>
        <w:bottom w:w="0" w:type="dxa"/>
      </w:tblCellMar>
    </w:tblPr>
  </w:style>
  <w:style w:type="table" w:styleId="889" w:customStyle="1">
    <w:name w:val="List Table 1 Light - Accent 5"/>
    <w:uiPriority w:val="99"/>
    <w:qFormat/>
    <w:tblPr>
      <w:tblCellMar>
        <w:left w:w="0" w:type="dxa"/>
        <w:top w:w="0" w:type="dxa"/>
        <w:right w:w="0" w:type="dxa"/>
        <w:bottom w:w="0" w:type="dxa"/>
      </w:tblCellMar>
    </w:tblPr>
  </w:style>
  <w:style w:type="table" w:styleId="890" w:customStyle="1">
    <w:name w:val="List Table 1 Light - Accent 6"/>
    <w:uiPriority w:val="99"/>
    <w:qFormat/>
    <w:tblPr>
      <w:tblCellMar>
        <w:left w:w="0" w:type="dxa"/>
        <w:top w:w="0" w:type="dxa"/>
        <w:right w:w="0" w:type="dxa"/>
        <w:bottom w:w="0" w:type="dxa"/>
      </w:tblCellMar>
    </w:tblPr>
  </w:style>
  <w:style w:type="table" w:styleId="89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3" w:customStyle="1">
    <w:name w:val="Lined - Accent"/>
    <w:uiPriority w:val="99"/>
    <w:qFormat/>
    <w:rPr>
      <w:color w:val="404040"/>
    </w:rPr>
    <w:tblPr>
      <w:tblCellMar>
        <w:left w:w="0" w:type="dxa"/>
        <w:top w:w="0" w:type="dxa"/>
        <w:right w:w="0" w:type="dxa"/>
        <w:bottom w:w="0" w:type="dxa"/>
      </w:tblCellMar>
    </w:tblPr>
  </w:style>
  <w:style w:type="table" w:styleId="934" w:customStyle="1">
    <w:name w:val="Lined - Accent 1"/>
    <w:uiPriority w:val="99"/>
    <w:qFormat/>
    <w:rPr>
      <w:color w:val="404040"/>
    </w:rPr>
    <w:tblPr>
      <w:tblCellMar>
        <w:left w:w="0" w:type="dxa"/>
        <w:top w:w="0" w:type="dxa"/>
        <w:right w:w="0" w:type="dxa"/>
        <w:bottom w:w="0" w:type="dxa"/>
      </w:tblCellMar>
    </w:tblPr>
  </w:style>
  <w:style w:type="table" w:styleId="935" w:customStyle="1">
    <w:name w:val="Lined - Accent 2"/>
    <w:uiPriority w:val="99"/>
    <w:qFormat/>
    <w:rPr>
      <w:color w:val="404040"/>
    </w:rPr>
    <w:tblPr>
      <w:tblCellMar>
        <w:left w:w="0" w:type="dxa"/>
        <w:top w:w="0" w:type="dxa"/>
        <w:right w:w="0" w:type="dxa"/>
        <w:bottom w:w="0" w:type="dxa"/>
      </w:tblCellMar>
    </w:tblPr>
  </w:style>
  <w:style w:type="table" w:styleId="936" w:customStyle="1">
    <w:name w:val="Lined - Accent 3"/>
    <w:uiPriority w:val="99"/>
    <w:qFormat/>
    <w:rPr>
      <w:color w:val="404040"/>
    </w:rPr>
    <w:tblPr>
      <w:tblCellMar>
        <w:left w:w="0" w:type="dxa"/>
        <w:top w:w="0" w:type="dxa"/>
        <w:right w:w="0" w:type="dxa"/>
        <w:bottom w:w="0" w:type="dxa"/>
      </w:tblCellMar>
    </w:tblPr>
  </w:style>
  <w:style w:type="table" w:styleId="937" w:customStyle="1">
    <w:name w:val="Lined - Accent 4"/>
    <w:uiPriority w:val="99"/>
    <w:qFormat/>
    <w:rPr>
      <w:color w:val="404040"/>
    </w:rPr>
    <w:tblPr>
      <w:tblCellMar>
        <w:left w:w="0" w:type="dxa"/>
        <w:top w:w="0" w:type="dxa"/>
        <w:right w:w="0" w:type="dxa"/>
        <w:bottom w:w="0" w:type="dxa"/>
      </w:tblCellMar>
    </w:tblPr>
  </w:style>
  <w:style w:type="table" w:styleId="938" w:customStyle="1">
    <w:name w:val="Lined - Accent 5"/>
    <w:uiPriority w:val="99"/>
    <w:qFormat/>
    <w:rPr>
      <w:color w:val="404040"/>
    </w:rPr>
    <w:tblPr>
      <w:tblCellMar>
        <w:left w:w="0" w:type="dxa"/>
        <w:top w:w="0" w:type="dxa"/>
        <w:right w:w="0" w:type="dxa"/>
        <w:bottom w:w="0" w:type="dxa"/>
      </w:tblCellMar>
    </w:tblPr>
  </w:style>
  <w:style w:type="table" w:styleId="939" w:customStyle="1">
    <w:name w:val="Lined - Accent 6"/>
    <w:uiPriority w:val="99"/>
    <w:qFormat/>
    <w:rPr>
      <w:color w:val="404040"/>
    </w:rPr>
    <w:tblPr>
      <w:tblCellMar>
        <w:left w:w="0" w:type="dxa"/>
        <w:top w:w="0" w:type="dxa"/>
        <w:right w:w="0" w:type="dxa"/>
        <w:bottom w:w="0" w:type="dxa"/>
      </w:tblCellMar>
    </w:tblPr>
  </w:style>
  <w:style w:type="table" w:styleId="94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4" w:customStyle="1">
    <w:name w:val="Footnote Text Char"/>
    <w:uiPriority w:val="99"/>
    <w:qFormat/>
    <w:rPr>
      <w:sz w:val="18"/>
    </w:rPr>
  </w:style>
  <w:style w:type="paragraph" w:styleId="955" w:customStyle="1">
    <w:name w:val="TOC 标题1"/>
    <w:uiPriority w:val="39"/>
    <w:unhideWhenUsed/>
    <w:qFormat/>
    <w:rPr>
      <w:rFonts w:hint="default" w:ascii="Times New Roman" w:hAnsi="Times New Roman" w:eastAsia="宋体" w:cs="Times New Roman"/>
      <w:lang w:val="en-US" w:eastAsia="zh-CN" w:bidi="ar-SA"/>
    </w:rPr>
  </w:style>
  <w:style w:type="character" w:styleId="956" w:customStyle="1">
    <w:name w:val="正文缩进 字符"/>
    <w:link w:val="705"/>
    <w:uiPriority w:val="0"/>
    <w:qFormat/>
    <w:rPr>
      <w:rFonts w:ascii="Times New Roman" w:hAnsi="Times New Roman" w:eastAsia="宋体" w:cs="Times New Roman"/>
      <w:szCs w:val="20"/>
    </w:rPr>
  </w:style>
  <w:style w:type="paragraph" w:styleId="957" w:customStyle="1">
    <w:name w:val="目录 71"/>
    <w:basedOn w:val="692"/>
    <w:next w:val="692"/>
    <w:uiPriority w:val="0"/>
    <w:qFormat/>
    <w:pPr>
      <w:ind w:left="2520"/>
    </w:pPr>
  </w:style>
  <w:style w:type="paragraph" w:styleId="958" w:customStyle="1">
    <w:name w:val="目录 51"/>
    <w:basedOn w:val="692"/>
    <w:next w:val="692"/>
    <w:uiPriority w:val="0"/>
    <w:qFormat/>
    <w:pPr>
      <w:ind w:left="1680"/>
    </w:pPr>
  </w:style>
  <w:style w:type="paragraph" w:styleId="959" w:customStyle="1">
    <w:name w:val="目录 31"/>
    <w:basedOn w:val="692"/>
    <w:next w:val="692"/>
    <w:uiPriority w:val="39"/>
    <w:qFormat/>
    <w:pPr>
      <w:ind w:left="539"/>
      <w:jc w:val="left"/>
      <w:spacing w:line="240" w:lineRule="exact"/>
      <w:tabs>
        <w:tab w:val="right" w:pos="9440" w:leader="dot"/>
      </w:tabs>
    </w:pPr>
    <w:rPr>
      <w:rFonts w:ascii="黑体" w:hAnsi="宋体" w:eastAsia="黑体"/>
      <w:bCs/>
      <w:iCs/>
      <w:sz w:val="18"/>
      <w:szCs w:val="32"/>
    </w:rPr>
  </w:style>
  <w:style w:type="paragraph" w:styleId="960" w:customStyle="1">
    <w:name w:val="目录 81"/>
    <w:basedOn w:val="692"/>
    <w:next w:val="692"/>
    <w:uiPriority w:val="0"/>
    <w:qFormat/>
    <w:pPr>
      <w:ind w:left="2940"/>
    </w:pPr>
  </w:style>
  <w:style w:type="paragraph" w:styleId="961" w:customStyle="1">
    <w:name w:val="目录 11"/>
    <w:basedOn w:val="692"/>
    <w:next w:val="692"/>
    <w:uiPriority w:val="39"/>
    <w:qFormat/>
    <w:pPr>
      <w:jc w:val="left"/>
      <w:spacing w:before="120" w:after="120" w:line="300" w:lineRule="exact"/>
      <w:tabs>
        <w:tab w:val="right" w:pos="9440" w:leader="dot"/>
      </w:tabs>
    </w:pPr>
    <w:rPr>
      <w:rFonts w:ascii="黑体" w:eastAsia="黑体"/>
      <w:b/>
      <w:caps/>
      <w:sz w:val="18"/>
      <w:szCs w:val="28"/>
    </w:rPr>
  </w:style>
  <w:style w:type="paragraph" w:styleId="962" w:customStyle="1">
    <w:name w:val="目录 41"/>
    <w:basedOn w:val="692"/>
    <w:next w:val="692"/>
    <w:uiPriority w:val="0"/>
    <w:qFormat/>
    <w:pPr>
      <w:ind w:left="1260"/>
    </w:pPr>
  </w:style>
  <w:style w:type="paragraph" w:styleId="963" w:customStyle="1">
    <w:name w:val="目录 61"/>
    <w:basedOn w:val="692"/>
    <w:next w:val="692"/>
    <w:uiPriority w:val="0"/>
    <w:qFormat/>
    <w:pPr>
      <w:ind w:left="2100"/>
    </w:pPr>
  </w:style>
  <w:style w:type="paragraph" w:styleId="964" w:customStyle="1">
    <w:name w:val="目录 21"/>
    <w:basedOn w:val="692"/>
    <w:next w:val="692"/>
    <w:uiPriority w:val="39"/>
    <w:qFormat/>
    <w:pPr>
      <w:jc w:val="left"/>
      <w:spacing w:line="260" w:lineRule="exact"/>
      <w:tabs>
        <w:tab w:val="right" w:pos="9440" w:leader="dot"/>
      </w:tabs>
    </w:pPr>
    <w:rPr>
      <w:rFonts w:ascii="黑体" w:eastAsia="黑体"/>
      <w:b/>
      <w:bCs/>
      <w:smallCaps/>
      <w:sz w:val="18"/>
      <w:szCs w:val="44"/>
    </w:rPr>
  </w:style>
  <w:style w:type="paragraph" w:styleId="965" w:customStyle="1">
    <w:name w:val="目录 91"/>
    <w:basedOn w:val="692"/>
    <w:next w:val="692"/>
    <w:uiPriority w:val="0"/>
    <w:qFormat/>
    <w:pPr>
      <w:ind w:left="3360"/>
    </w:pPr>
  </w:style>
  <w:style w:type="paragraph" w:styleId="966" w:customStyle="1">
    <w:name w:val="正文首行缩进1"/>
    <w:basedOn w:val="712"/>
    <w:next w:val="707"/>
    <w:uiPriority w:val="99"/>
    <w:qFormat/>
    <w:pPr>
      <w:ind w:firstLine="200"/>
      <w:spacing w:line="360" w:lineRule="auto"/>
    </w:pPr>
    <w:rPr>
      <w:rFonts w:ascii="仿宋_GB2312" w:hAnsi="Times New Roman" w:eastAsia="仿宋_GB2312"/>
      <w:sz w:val="30"/>
      <w:szCs w:val="30"/>
    </w:rPr>
  </w:style>
  <w:style w:type="paragraph" w:styleId="967" w:customStyle="1">
    <w:name w:val="正文首行缩进 211"/>
    <w:basedOn w:val="716"/>
    <w:next w:val="705"/>
    <w:uiPriority w:val="0"/>
    <w:qFormat/>
    <w:pPr>
      <w:ind w:left="0" w:firstLine="420"/>
      <w:spacing w:after="0" w:line="360" w:lineRule="auto"/>
    </w:pPr>
    <w:rPr>
      <w:rFonts w:ascii="宋体" w:hAnsi="宋体"/>
      <w:szCs w:val="20"/>
    </w:rPr>
  </w:style>
  <w:style w:type="paragraph" w:styleId="968" w:customStyle="1">
    <w:name w:val="BodyText1I21"/>
    <w:basedOn w:val="969"/>
    <w:uiPriority w:val="0"/>
    <w:qFormat/>
    <w:pPr>
      <w:ind w:left="420" w:firstLine="420"/>
      <w:spacing w:after="120" w:line="240" w:lineRule="auto"/>
    </w:pPr>
  </w:style>
  <w:style w:type="paragraph" w:styleId="969" w:customStyle="1">
    <w:name w:val="BodyTextIndent1"/>
    <w:basedOn w:val="692"/>
    <w:uiPriority w:val="0"/>
    <w:qFormat/>
    <w:pPr>
      <w:ind w:firstLine="552"/>
      <w:spacing w:before="240" w:line="360" w:lineRule="auto"/>
    </w:pPr>
  </w:style>
  <w:style w:type="character" w:styleId="970" w:customStyle="1">
    <w:name w:val="批注文字 字符1"/>
    <w:uiPriority w:val="99"/>
    <w:semiHidden/>
    <w:qFormat/>
    <w:rPr>
      <w:rFonts w:ascii="Times New Roman" w:hAnsi="Times New Roman" w:eastAsia="宋体" w:cs="Times New Roman"/>
      <w:szCs w:val="24"/>
    </w:rPr>
  </w:style>
  <w:style w:type="character" w:styleId="971" w:customStyle="1">
    <w:name w:val="引用 Char"/>
    <w:uiPriority w:val="0"/>
    <w:qFormat/>
    <w:rPr>
      <w:i/>
      <w:iCs/>
      <w:color w:val="000000"/>
      <w:sz w:val="21"/>
      <w:szCs w:val="22"/>
    </w:rPr>
  </w:style>
  <w:style w:type="character" w:styleId="972" w:customStyle="1">
    <w:name w:val="jj1"/>
    <w:uiPriority w:val="0"/>
    <w:qFormat/>
    <w:rPr>
      <w:sz w:val="20"/>
      <w:szCs w:val="20"/>
      <w:u w:val="none"/>
    </w:rPr>
  </w:style>
  <w:style w:type="character" w:styleId="973" w:customStyle="1">
    <w:name w:val="textcontents"/>
    <w:uiPriority w:val="0"/>
    <w:qFormat/>
    <w:rPr>
      <w:rFonts w:cs="Times New Roman"/>
    </w:rPr>
  </w:style>
  <w:style w:type="character" w:styleId="974" w:customStyle="1">
    <w:name w:val="fontstyle01"/>
    <w:uiPriority w:val="0"/>
    <w:qFormat/>
    <w:rPr>
      <w:rFonts w:hint="eastAsia" w:ascii="宋体" w:hAnsi="宋体" w:eastAsia="宋体"/>
      <w:color w:val="000000"/>
      <w:sz w:val="22"/>
      <w:szCs w:val="22"/>
    </w:rPr>
  </w:style>
  <w:style w:type="character" w:styleId="975" w:customStyle="1">
    <w:name w:val="Char Char7"/>
    <w:uiPriority w:val="0"/>
    <w:qFormat/>
    <w:rPr>
      <w:rFonts w:ascii="Arial" w:hAnsi="Arial" w:eastAsia="黑体"/>
      <w:b/>
      <w:bCs/>
      <w:sz w:val="32"/>
      <w:szCs w:val="32"/>
    </w:rPr>
  </w:style>
  <w:style w:type="character" w:styleId="976" w:customStyle="1">
    <w:name w:val="标题2 Char"/>
    <w:uiPriority w:val="0"/>
    <w:qFormat/>
    <w:rPr>
      <w:rFonts w:ascii="方正楷体_GBK" w:hAnsi="Book Antiqua" w:eastAsia="方正楷体_GBK"/>
      <w:sz w:val="32"/>
      <w:lang w:val="en-US" w:eastAsia="zh-CN" w:bidi="ar-SA"/>
    </w:rPr>
  </w:style>
  <w:style w:type="character" w:styleId="977" w:customStyle="1">
    <w:name w:val="标题5 Char Char"/>
    <w:link w:val="978"/>
    <w:uiPriority w:val="0"/>
    <w:qFormat/>
    <w:rPr>
      <w:rFonts w:ascii="Arial" w:hAnsi="Arial"/>
      <w:b/>
      <w:bCs/>
      <w:sz w:val="24"/>
      <w:szCs w:val="32"/>
    </w:rPr>
  </w:style>
  <w:style w:type="paragraph" w:styleId="978" w:customStyle="1">
    <w:name w:val="标题5"/>
    <w:basedOn w:val="695"/>
    <w:link w:val="977"/>
    <w:uiPriority w:val="0"/>
    <w:qFormat/>
    <w:pPr>
      <w:spacing w:line="413" w:lineRule="auto"/>
    </w:pPr>
    <w:rPr>
      <w:rFonts w:ascii="Arial" w:hAnsi="Arial" w:eastAsiaTheme="minorEastAsia" w:cstheme="minorBidi"/>
      <w:bCs/>
      <w:sz w:val="24"/>
      <w:szCs w:val="32"/>
    </w:rPr>
  </w:style>
  <w:style w:type="character" w:styleId="979" w:customStyle="1">
    <w:name w:val="_Style 138"/>
    <w:uiPriority w:val="0"/>
    <w:qFormat/>
    <w:rPr>
      <w:b/>
      <w:bCs/>
      <w:smallCaps/>
      <w:spacing w:val="5"/>
    </w:rPr>
  </w:style>
  <w:style w:type="character" w:styleId="980" w:customStyle="1">
    <w:name w:val="明显引用 Char"/>
    <w:uiPriority w:val="0"/>
    <w:qFormat/>
    <w:rPr>
      <w:b/>
      <w:bCs/>
      <w:i/>
      <w:iCs/>
      <w:color w:val="4f81bd"/>
      <w:sz w:val="21"/>
      <w:szCs w:val="22"/>
    </w:rPr>
  </w:style>
  <w:style w:type="character" w:styleId="981" w:customStyle="1">
    <w:name w:val="Char Char71"/>
    <w:uiPriority w:val="0"/>
    <w:qFormat/>
    <w:rPr>
      <w:rFonts w:ascii="Arial" w:hAnsi="Arial" w:eastAsia="黑体"/>
      <w:b/>
      <w:bCs/>
      <w:sz w:val="32"/>
      <w:szCs w:val="32"/>
    </w:rPr>
  </w:style>
  <w:style w:type="character" w:styleId="982" w:customStyle="1">
    <w:name w:val="_Style 132"/>
    <w:uiPriority w:val="0"/>
    <w:qFormat/>
    <w:rPr>
      <w:i/>
      <w:iCs/>
      <w:color w:val="808080"/>
    </w:rPr>
  </w:style>
  <w:style w:type="character" w:styleId="983" w:customStyle="1">
    <w:name w:val="批注主题 Char2"/>
    <w:uiPriority w:val="0"/>
    <w:qFormat/>
  </w:style>
  <w:style w:type="character" w:styleId="984" w:customStyle="1">
    <w:name w:val="_Style 147"/>
    <w:uiPriority w:val="0"/>
    <w:qFormat/>
    <w:rPr>
      <w:smallCaps/>
      <w:color w:val="c0504d"/>
      <w:u w:val="single"/>
    </w:rPr>
  </w:style>
  <w:style w:type="character" w:styleId="985" w:customStyle="1">
    <w:name w:val="批注框文本 Char1"/>
    <w:uiPriority w:val="0"/>
    <w:qFormat/>
    <w:rPr>
      <w:sz w:val="18"/>
      <w:szCs w:val="18"/>
    </w:rPr>
  </w:style>
  <w:style w:type="character" w:styleId="986" w:customStyle="1">
    <w:name w:val="日期 Char1"/>
    <w:uiPriority w:val="0"/>
    <w:qFormat/>
    <w:rPr>
      <w:sz w:val="21"/>
      <w:szCs w:val="22"/>
    </w:rPr>
  </w:style>
  <w:style w:type="character" w:styleId="987" w:customStyle="1">
    <w:name w:val="列出段落 Char"/>
    <w:link w:val="988"/>
    <w:uiPriority w:val="0"/>
    <w:qFormat/>
    <w:rPr>
      <w:rFonts w:ascii="Calibri" w:hAnsi="Calibri"/>
      <w:sz w:val="24"/>
      <w:szCs w:val="24"/>
      <w:lang w:eastAsia="en-US" w:bidi="en-US"/>
    </w:rPr>
  </w:style>
  <w:style w:type="paragraph" w:styleId="988" w:customStyle="1">
    <w:name w:val="列出段落1"/>
    <w:basedOn w:val="692"/>
    <w:link w:val="987"/>
    <w:uiPriority w:val="0"/>
    <w:qFormat/>
    <w:pPr>
      <w:contextualSpacing/>
      <w:ind w:left="720"/>
      <w:jc w:val="left"/>
      <w:widowControl/>
    </w:pPr>
    <w:rPr>
      <w:rFonts w:ascii="Calibri" w:hAnsi="Calibri" w:eastAsiaTheme="minorEastAsia" w:cstheme="minorBidi"/>
      <w:sz w:val="24"/>
      <w:lang w:eastAsia="en-US" w:bidi="en-US"/>
    </w:rPr>
  </w:style>
  <w:style w:type="character" w:styleId="989" w:customStyle="1">
    <w:name w:val="Char Char19"/>
    <w:uiPriority w:val="0"/>
    <w:qFormat/>
    <w:rPr>
      <w:rFonts w:ascii="Arial" w:hAnsi="Arial" w:eastAsia="黑体"/>
      <w:b/>
      <w:bCs/>
      <w:sz w:val="32"/>
      <w:szCs w:val="32"/>
      <w:lang w:val="en-US" w:eastAsia="zh-CN" w:bidi="ar-SA"/>
    </w:rPr>
  </w:style>
  <w:style w:type="character" w:styleId="990" w:customStyle="1">
    <w:name w:val="标题4 Char Char"/>
    <w:link w:val="991"/>
    <w:uiPriority w:val="0"/>
    <w:qFormat/>
    <w:rPr>
      <w:rFonts w:ascii="Arial" w:hAnsi="Arial"/>
      <w:b/>
      <w:bCs/>
      <w:sz w:val="24"/>
      <w:szCs w:val="32"/>
    </w:rPr>
  </w:style>
  <w:style w:type="paragraph" w:styleId="991" w:customStyle="1">
    <w:name w:val="标题4"/>
    <w:basedOn w:val="694"/>
    <w:next w:val="718"/>
    <w:link w:val="990"/>
    <w:uiPriority w:val="0"/>
    <w:qFormat/>
    <w:pPr>
      <w:jc w:val="both"/>
      <w:spacing w:line="413" w:lineRule="auto"/>
    </w:pPr>
    <w:rPr>
      <w:rFonts w:eastAsiaTheme="minorEastAsia" w:cstheme="minorBidi"/>
      <w:bCs/>
      <w:sz w:val="24"/>
      <w:szCs w:val="32"/>
    </w:rPr>
  </w:style>
  <w:style w:type="character" w:styleId="992" w:customStyle="1">
    <w:name w:val="_Style 137"/>
    <w:uiPriority w:val="0"/>
    <w:qFormat/>
    <w:rPr>
      <w:b/>
      <w:bCs/>
      <w:smallCaps/>
      <w:color w:val="c0504d"/>
      <w:spacing w:val="5"/>
      <w:u w:val="single"/>
    </w:rPr>
  </w:style>
  <w:style w:type="character" w:styleId="993" w:customStyle="1">
    <w:name w:val="批注主题 Char1"/>
    <w:uiPriority w:val="0"/>
    <w:qFormat/>
    <w:rPr>
      <w:b/>
      <w:bCs/>
      <w:sz w:val="21"/>
      <w:szCs w:val="22"/>
    </w:rPr>
  </w:style>
  <w:style w:type="character" w:styleId="994" w:customStyle="1">
    <w:name w:val="批注主题 字符1"/>
    <w:uiPriority w:val="99"/>
    <w:semiHidden/>
    <w:qFormat/>
    <w:rPr>
      <w:rFonts w:ascii="Times New Roman" w:hAnsi="Times New Roman" w:eastAsia="宋体" w:cs="Times New Roman"/>
      <w:b/>
      <w:bCs/>
      <w:szCs w:val="24"/>
    </w:rPr>
  </w:style>
  <w:style w:type="character" w:styleId="995" w:customStyle="1">
    <w:name w:val="notprint"/>
    <w:uiPriority w:val="0"/>
    <w:qFormat/>
  </w:style>
  <w:style w:type="character" w:styleId="996" w:customStyle="1">
    <w:name w:val="普通正文 Char"/>
    <w:link w:val="997"/>
    <w:uiPriority w:val="0"/>
    <w:qFormat/>
    <w:rPr>
      <w:rFonts w:ascii="Arial" w:hAnsi="Arial"/>
      <w:sz w:val="24"/>
      <w:szCs w:val="24"/>
    </w:rPr>
  </w:style>
  <w:style w:type="paragraph" w:styleId="997" w:customStyle="1">
    <w:name w:val="普通正文"/>
    <w:basedOn w:val="692"/>
    <w:link w:val="996"/>
    <w:uiPriority w:val="0"/>
    <w:qFormat/>
    <w:pPr>
      <w:ind w:firstLine="480"/>
      <w:jc w:val="left"/>
      <w:spacing w:before="120" w:after="120" w:line="360" w:lineRule="auto"/>
    </w:pPr>
    <w:rPr>
      <w:rFonts w:ascii="Arial" w:hAnsi="Arial" w:eastAsiaTheme="minorEastAsia" w:cstheme="minorBidi"/>
      <w:sz w:val="24"/>
    </w:rPr>
  </w:style>
  <w:style w:type="character" w:styleId="998" w:customStyle="1">
    <w:name w:val="标题 2 Char_1_0"/>
    <w:link w:val="999"/>
    <w:uiPriority w:val="99"/>
    <w:qFormat/>
    <w:rPr>
      <w:rFonts w:ascii="Cambria" w:hAnsi="Cambria"/>
      <w:b/>
      <w:bCs/>
      <w:sz w:val="32"/>
      <w:szCs w:val="32"/>
    </w:rPr>
  </w:style>
  <w:style w:type="paragraph" w:styleId="999" w:customStyle="1">
    <w:name w:val="标题 2_1_0"/>
    <w:basedOn w:val="1000"/>
    <w:next w:val="1000"/>
    <w:link w:val="998"/>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100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01" w:customStyle="1">
    <w:name w:val="文档结构图 字符1"/>
    <w:uiPriority w:val="99"/>
    <w:semiHidden/>
    <w:qFormat/>
    <w:rPr>
      <w:rFonts w:ascii="Microsoft YaHei UI" w:hAnsi="Times New Roman" w:eastAsia="Microsoft YaHei UI" w:cs="Times New Roman"/>
      <w:sz w:val="18"/>
      <w:szCs w:val="18"/>
    </w:rPr>
  </w:style>
  <w:style w:type="character" w:styleId="1002" w:customStyle="1">
    <w:name w:val="页眉 字符1"/>
    <w:uiPriority w:val="99"/>
    <w:semiHidden/>
    <w:qFormat/>
    <w:rPr>
      <w:rFonts w:ascii="Times New Roman" w:hAnsi="Times New Roman" w:eastAsia="宋体" w:cs="Times New Roman"/>
      <w:sz w:val="18"/>
      <w:szCs w:val="18"/>
    </w:rPr>
  </w:style>
  <w:style w:type="character" w:styleId="1003" w:customStyle="1">
    <w:name w:val="文档结构图 Char1"/>
    <w:uiPriority w:val="0"/>
    <w:qFormat/>
    <w:rPr>
      <w:rFonts w:ascii="宋体"/>
      <w:sz w:val="18"/>
      <w:szCs w:val="18"/>
    </w:rPr>
  </w:style>
  <w:style w:type="character" w:styleId="1004" w:customStyle="1">
    <w:name w:val="Char Char191"/>
    <w:uiPriority w:val="0"/>
    <w:qFormat/>
    <w:rPr>
      <w:rFonts w:ascii="Arial" w:hAnsi="Arial" w:eastAsia="黑体"/>
      <w:b/>
      <w:bCs/>
      <w:sz w:val="32"/>
      <w:szCs w:val="32"/>
      <w:lang w:val="en-US" w:eastAsia="zh-CN" w:bidi="ar-SA"/>
    </w:rPr>
  </w:style>
  <w:style w:type="character" w:styleId="1005" w:customStyle="1">
    <w:name w:val="正文文本 字符1"/>
    <w:uiPriority w:val="99"/>
    <w:semiHidden/>
    <w:qFormat/>
    <w:rPr>
      <w:rFonts w:ascii="Times New Roman" w:hAnsi="Times New Roman" w:eastAsia="宋体" w:cs="Times New Roman"/>
      <w:szCs w:val="24"/>
    </w:rPr>
  </w:style>
  <w:style w:type="character" w:styleId="1006" w:customStyle="1">
    <w:name w:val="批注文字 Char Char"/>
    <w:uiPriority w:val="0"/>
    <w:qFormat/>
    <w:rPr>
      <w:rFonts w:ascii="宋体" w:hAnsi="Times New Roman" w:eastAsia="宋体" w:cs="Times New Roman"/>
      <w:sz w:val="28"/>
      <w:szCs w:val="20"/>
    </w:rPr>
  </w:style>
  <w:style w:type="character" w:styleId="1007" w:customStyle="1">
    <w:name w:val="_Style 145"/>
    <w:uiPriority w:val="0"/>
    <w:qFormat/>
    <w:rPr>
      <w:b/>
      <w:bCs/>
      <w:i/>
      <w:iCs/>
      <w:color w:val="4f81bd"/>
    </w:rPr>
  </w:style>
  <w:style w:type="character" w:styleId="1008" w:customStyle="1">
    <w:name w:val="批注框文本 字符1"/>
    <w:uiPriority w:val="99"/>
    <w:semiHidden/>
    <w:qFormat/>
    <w:rPr>
      <w:rFonts w:ascii="Times New Roman" w:hAnsi="Times New Roman" w:eastAsia="宋体" w:cs="Times New Roman"/>
      <w:sz w:val="18"/>
      <w:szCs w:val="18"/>
    </w:rPr>
  </w:style>
  <w:style w:type="character" w:styleId="1009" w:customStyle="1">
    <w:name w:val="font31"/>
    <w:uiPriority w:val="0"/>
    <w:qFormat/>
    <w:rPr>
      <w:rFonts w:hint="eastAsia" w:ascii="宋体" w:hAnsi="宋体" w:eastAsia="宋体" w:cs="宋体"/>
      <w:color w:val="000000"/>
      <w:sz w:val="24"/>
      <w:szCs w:val="24"/>
      <w:u w:val="none"/>
    </w:rPr>
  </w:style>
  <w:style w:type="character" w:styleId="1010" w:customStyle="1">
    <w:name w:val="正文文本 Char1"/>
    <w:uiPriority w:val="0"/>
    <w:qFormat/>
    <w:rPr>
      <w:sz w:val="21"/>
      <w:szCs w:val="22"/>
    </w:rPr>
  </w:style>
  <w:style w:type="character" w:styleId="1011" w:customStyle="1">
    <w:name w:val="副标题 Char1"/>
    <w:uiPriority w:val="0"/>
    <w:qFormat/>
    <w:rPr>
      <w:rFonts w:ascii="Cambria" w:hAnsi="Cambria" w:cs="Times New Roman"/>
      <w:b/>
      <w:bCs/>
      <w:sz w:val="32"/>
      <w:szCs w:val="32"/>
    </w:rPr>
  </w:style>
  <w:style w:type="character" w:styleId="1012" w:customStyle="1">
    <w:name w:val="Char Char21"/>
    <w:uiPriority w:val="0"/>
    <w:qFormat/>
    <w:rPr>
      <w:rFonts w:ascii="黑体" w:hAnsi="宋体" w:eastAsia="黑体"/>
      <w:bCs/>
      <w:sz w:val="28"/>
      <w:szCs w:val="28"/>
    </w:rPr>
  </w:style>
  <w:style w:type="character" w:styleId="1013" w:customStyle="1">
    <w:name w:val="批注文字 Char2"/>
    <w:uiPriority w:val="0"/>
    <w:qFormat/>
    <w:rPr>
      <w:rFonts w:eastAsia="宋体"/>
      <w:sz w:val="21"/>
      <w:szCs w:val="24"/>
      <w:lang w:val="en-US" w:eastAsia="zh-CN" w:bidi="ar-SA"/>
    </w:rPr>
  </w:style>
  <w:style w:type="character" w:styleId="1014" w:customStyle="1">
    <w:name w:val="批注文字 Char1"/>
    <w:uiPriority w:val="0"/>
    <w:qFormat/>
    <w:rPr>
      <w:sz w:val="21"/>
      <w:szCs w:val="24"/>
    </w:rPr>
  </w:style>
  <w:style w:type="character" w:styleId="1015" w:customStyle="1">
    <w:name w:val="Char Char20"/>
    <w:uiPriority w:val="0"/>
    <w:qFormat/>
    <w:rPr>
      <w:rFonts w:eastAsia="宋体"/>
      <w:b/>
      <w:bCs/>
      <w:sz w:val="44"/>
      <w:szCs w:val="44"/>
      <w:lang w:val="en-US" w:eastAsia="zh-CN" w:bidi="ar-SA"/>
    </w:rPr>
  </w:style>
  <w:style w:type="character" w:styleId="1016" w:customStyle="1">
    <w:name w:val="标题 Char1"/>
    <w:uiPriority w:val="0"/>
    <w:qFormat/>
    <w:rPr>
      <w:rFonts w:ascii="Cambria" w:hAnsi="Cambria" w:cs="Times New Roman"/>
      <w:b/>
      <w:bCs/>
      <w:sz w:val="32"/>
      <w:szCs w:val="32"/>
    </w:rPr>
  </w:style>
  <w:style w:type="character" w:styleId="1017" w:customStyle="1">
    <w:name w:val="标题 3 Char1"/>
    <w:uiPriority w:val="0"/>
    <w:qFormat/>
    <w:rPr>
      <w:rFonts w:ascii="黑体" w:hAnsi="宋体" w:eastAsia="黑体"/>
      <w:bCs/>
      <w:sz w:val="28"/>
      <w:szCs w:val="28"/>
    </w:rPr>
  </w:style>
  <w:style w:type="character" w:styleId="1018" w:customStyle="1">
    <w:name w:val="页脚 字符1"/>
    <w:uiPriority w:val="99"/>
    <w:semiHidden/>
    <w:qFormat/>
    <w:rPr>
      <w:rFonts w:ascii="Times New Roman" w:hAnsi="Times New Roman" w:eastAsia="宋体" w:cs="Times New Roman"/>
      <w:sz w:val="18"/>
      <w:szCs w:val="18"/>
    </w:rPr>
  </w:style>
  <w:style w:type="character" w:styleId="1019" w:customStyle="1">
    <w:name w:val="页脚 Char1"/>
    <w:uiPriority w:val="99"/>
    <w:qFormat/>
    <w:rPr>
      <w:sz w:val="18"/>
      <w:szCs w:val="24"/>
    </w:rPr>
  </w:style>
  <w:style w:type="character" w:styleId="1020" w:customStyle="1">
    <w:name w:val="页眉 Char1"/>
    <w:uiPriority w:val="99"/>
    <w:qFormat/>
    <w:rPr>
      <w:sz w:val="18"/>
      <w:szCs w:val="24"/>
    </w:rPr>
  </w:style>
  <w:style w:type="character" w:styleId="1021" w:customStyle="1">
    <w:name w:val="Char Char211"/>
    <w:uiPriority w:val="0"/>
    <w:qFormat/>
    <w:rPr>
      <w:rFonts w:ascii="黑体" w:hAnsi="宋体" w:eastAsia="黑体"/>
      <w:bCs/>
      <w:sz w:val="28"/>
      <w:szCs w:val="28"/>
    </w:rPr>
  </w:style>
  <w:style w:type="character" w:styleId="1022" w:customStyle="1">
    <w:name w:val="Char Char201"/>
    <w:uiPriority w:val="0"/>
    <w:qFormat/>
    <w:rPr>
      <w:rFonts w:eastAsia="宋体"/>
      <w:b/>
      <w:bCs/>
      <w:sz w:val="44"/>
      <w:szCs w:val="44"/>
      <w:lang w:val="en-US" w:eastAsia="zh-CN" w:bidi="ar-SA"/>
    </w:rPr>
  </w:style>
  <w:style w:type="paragraph" w:styleId="1023" w:customStyle="1">
    <w:name w:val="样式 标题 2 + Times New Roman 四号 非加粗 段前: 5 磅 段后: 0 磅 行距: 固定值 20..."/>
    <w:basedOn w:val="694"/>
    <w:uiPriority w:val="0"/>
    <w:qFormat/>
    <w:pPr>
      <w:jc w:val="both"/>
      <w:spacing w:before="100" w:after="0" w:line="400" w:lineRule="exact"/>
    </w:pPr>
    <w:rPr>
      <w:rFonts w:ascii="Times New Roman" w:hAnsi="Times New Roman" w:eastAsia="黑体" w:cs="宋体"/>
      <w:b w:val="0"/>
      <w:sz w:val="28"/>
    </w:rPr>
  </w:style>
  <w:style w:type="paragraph" w:styleId="1024" w:customStyle="1">
    <w:name w:val="_Style 110"/>
    <w:uiPriority w:val="0"/>
    <w:qFormat/>
    <w:rPr>
      <w:rFonts w:hint="default" w:ascii="Times New Roman" w:hAnsi="Times New Roman" w:eastAsia="宋体" w:cs="Times New Roman"/>
      <w:sz w:val="21"/>
      <w:szCs w:val="24"/>
      <w:lang w:val="en-US" w:eastAsia="zh-CN" w:bidi="ar-SA"/>
    </w:rPr>
  </w:style>
  <w:style w:type="paragraph" w:styleId="1025" w:customStyle="1">
    <w:name w:val="Heading 71"/>
    <w:basedOn w:val="692"/>
    <w:uiPriority w:val="0"/>
    <w:qFormat/>
    <w:pPr>
      <w:jc w:val="left"/>
      <w:outlineLvl w:val="7"/>
    </w:pPr>
    <w:rPr>
      <w:rFonts w:ascii="宋体" w:hAnsi="宋体" w:cs="宋体"/>
      <w:sz w:val="28"/>
      <w:szCs w:val="28"/>
      <w:lang w:eastAsia="en-US"/>
    </w:rPr>
  </w:style>
  <w:style w:type="paragraph" w:styleId="1026" w:customStyle="1">
    <w:name w:val="Char Char Char Char"/>
    <w:basedOn w:val="709"/>
    <w:uiPriority w:val="0"/>
    <w:qFormat/>
    <w:pPr>
      <w:spacing w:line="360" w:lineRule="auto"/>
    </w:pPr>
    <w:rPr>
      <w:rFonts w:ascii="Tahoma" w:hAnsi="Tahoma"/>
      <w:sz w:val="24"/>
    </w:rPr>
  </w:style>
  <w:style w:type="paragraph" w:styleId="1027"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28" w:customStyle="1">
    <w:name w:val="标题 2_0"/>
    <w:basedOn w:val="692"/>
    <w:next w:val="692"/>
    <w:uiPriority w:val="9"/>
    <w:qFormat/>
    <w:pPr>
      <w:keepLines/>
      <w:keepNext/>
      <w:spacing w:before="260" w:after="260" w:line="416" w:lineRule="auto"/>
      <w:outlineLvl w:val="1"/>
    </w:pPr>
    <w:rPr>
      <w:rFonts w:ascii="Arial" w:hAnsi="Arial" w:eastAsia="黑体"/>
      <w:b/>
      <w:bCs/>
      <w:sz w:val="32"/>
      <w:szCs w:val="32"/>
    </w:rPr>
  </w:style>
  <w:style w:type="paragraph" w:styleId="1029" w:customStyle="1">
    <w:name w:val="标题2"/>
    <w:basedOn w:val="692"/>
    <w:next w:val="692"/>
    <w:uiPriority w:val="0"/>
    <w:qFormat/>
    <w:pPr>
      <w:jc w:val="center"/>
    </w:pPr>
    <w:rPr>
      <w:rFonts w:eastAsia="方正楷体_GBK"/>
    </w:rPr>
  </w:style>
  <w:style w:type="paragraph" w:styleId="1030" w:customStyle="1">
    <w:name w:val="列出段落2"/>
    <w:basedOn w:val="692"/>
    <w:uiPriority w:val="0"/>
    <w:qFormat/>
    <w:pPr>
      <w:ind w:firstLine="420"/>
    </w:pPr>
  </w:style>
  <w:style w:type="paragraph" w:styleId="1031" w:customStyle="1">
    <w:name w:val="表格正文"/>
    <w:basedOn w:val="692"/>
    <w:uiPriority w:val="0"/>
    <w:qFormat/>
    <w:rPr>
      <w:rFonts w:ascii="宋体" w:hAnsi="宋体"/>
      <w:szCs w:val="21"/>
    </w:rPr>
  </w:style>
  <w:style w:type="paragraph" w:styleId="1032" w:customStyle="1">
    <w:name w:val="Coms Alinea"/>
    <w:uiPriority w:val="0"/>
    <w:qFormat/>
    <w:pPr>
      <w:widowControl w:val="off"/>
    </w:pPr>
    <w:rPr>
      <w:rFonts w:hint="default" w:ascii="Arial" w:hAnsi="Arial" w:eastAsia="宋体" w:cs="Arial"/>
      <w:lang w:val="en-US" w:eastAsia="zh-CN" w:bidi="ar-SA"/>
    </w:rPr>
  </w:style>
  <w:style w:type="paragraph" w:styleId="1033" w:customStyle="1">
    <w:name w:val="Char"/>
    <w:basedOn w:val="692"/>
    <w:uiPriority w:val="0"/>
    <w:qFormat/>
    <w:pPr>
      <w:tabs>
        <w:tab w:val="left" w:pos="360" w:leader="none"/>
      </w:tabs>
    </w:pPr>
    <w:rPr>
      <w:sz w:val="24"/>
    </w:rPr>
  </w:style>
  <w:style w:type="paragraph" w:styleId="1034" w:customStyle="1">
    <w:name w:val="标题3"/>
    <w:basedOn w:val="692"/>
    <w:next w:val="692"/>
    <w:uiPriority w:val="0"/>
    <w:qFormat/>
    <w:rPr>
      <w:rFonts w:eastAsia="方正黑体_GBK"/>
    </w:rPr>
  </w:style>
  <w:style w:type="paragraph" w:styleId="103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36" w:customStyle="1">
    <w:name w:val="BioQuote Tekst"/>
    <w:basedOn w:val="692"/>
    <w:uiPriority w:val="0"/>
    <w:qFormat/>
    <w:pPr>
      <w:ind w:right="-1"/>
    </w:pPr>
    <w:rPr>
      <w:rFonts w:ascii="Arial" w:hAnsi="Arial"/>
      <w:sz w:val="22"/>
      <w:szCs w:val="20"/>
      <w:lang w:eastAsia="en-US"/>
    </w:rPr>
  </w:style>
  <w:style w:type="paragraph" w:styleId="1037" w:customStyle="1">
    <w:name w:val="HTML 预先格式化"/>
    <w:basedOn w:val="6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38" w:customStyle="1">
    <w:name w:val="Heading11"/>
    <w:basedOn w:val="692"/>
    <w:next w:val="692"/>
    <w:uiPriority w:val="0"/>
    <w:qFormat/>
    <w:pPr>
      <w:keepNext/>
    </w:pPr>
    <w:rPr>
      <w:rFonts w:ascii="等线 Light" w:eastAsia="等线 Light"/>
      <w:sz w:val="28"/>
      <w:szCs w:val="20"/>
    </w:rPr>
  </w:style>
  <w:style w:type="paragraph" w:styleId="1039" w:customStyle="1">
    <w:name w:val="正文 第一章"/>
    <w:basedOn w:val="692"/>
    <w:next w:val="1040"/>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40" w:customStyle="1">
    <w:name w:val="正文 1.1"/>
    <w:basedOn w:val="692"/>
    <w:next w:val="104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41" w:customStyle="1">
    <w:name w:val="正文 1.1.1"/>
    <w:basedOn w:val="692"/>
    <w:next w:val="692"/>
    <w:uiPriority w:val="0"/>
    <w:qFormat/>
    <w:pPr>
      <w:numPr>
        <w:ilvl w:val="2"/>
        <w:numId w:val="1"/>
      </w:numPr>
      <w:spacing w:line="360" w:lineRule="auto"/>
      <w:outlineLvl w:val="2"/>
    </w:pPr>
    <w:rPr>
      <w:rFonts w:ascii="宋体" w:hAnsi="宋体"/>
      <w:color w:val="000000"/>
      <w:sz w:val="28"/>
      <w:szCs w:val="21"/>
    </w:rPr>
  </w:style>
  <w:style w:type="paragraph" w:styleId="1042" w:customStyle="1">
    <w:name w:val="Char Char Char Char1 Char Char Char"/>
    <w:basedOn w:val="709"/>
    <w:uiPriority w:val="0"/>
    <w:qFormat/>
    <w:pPr>
      <w:spacing w:line="360" w:lineRule="auto"/>
    </w:pPr>
    <w:rPr>
      <w:rFonts w:ascii="Tahoma" w:hAnsi="Tahoma"/>
      <w:sz w:val="24"/>
    </w:rPr>
  </w:style>
  <w:style w:type="paragraph" w:styleId="1043" w:customStyle="1">
    <w:name w:val="p0"/>
    <w:basedOn w:val="692"/>
    <w:uiPriority w:val="0"/>
    <w:qFormat/>
    <w:pPr>
      <w:jc w:val="left"/>
      <w:spacing w:before="100" w:beforeAutospacing="1" w:after="100" w:afterAutospacing="1"/>
      <w:widowControl/>
    </w:pPr>
    <w:rPr>
      <w:rFonts w:ascii="宋体" w:hAnsi="宋体" w:cs="宋体"/>
    </w:rPr>
  </w:style>
  <w:style w:type="paragraph" w:styleId="1044" w:customStyle="1">
    <w:name w:val="正文空2格  1."/>
    <w:basedOn w:val="692"/>
    <w:uiPriority w:val="0"/>
    <w:qFormat/>
    <w:pPr>
      <w:ind w:firstLine="480"/>
      <w:spacing w:line="360" w:lineRule="auto"/>
    </w:pPr>
    <w:rPr>
      <w:rFonts w:ascii="宋体" w:eastAsia="仿宋" w:cs="宋体"/>
      <w:sz w:val="28"/>
      <w:szCs w:val="20"/>
    </w:rPr>
  </w:style>
  <w:style w:type="paragraph" w:styleId="1045" w:customStyle="1">
    <w:name w:val="Char Char Char Char1 Char Char"/>
    <w:basedOn w:val="692"/>
    <w:uiPriority w:val="0"/>
    <w:qFormat/>
    <w:pPr>
      <w:tabs>
        <w:tab w:val="left" w:pos="360" w:leader="none"/>
      </w:tabs>
    </w:pPr>
    <w:rPr>
      <w:sz w:val="24"/>
    </w:rPr>
  </w:style>
  <w:style w:type="paragraph" w:styleId="1046" w:customStyle="1">
    <w:name w:val="默认段落字体 Para Char Char Char Char Char Char Char Char Char1 Char Char Char Char Char Char Char"/>
    <w:basedOn w:val="709"/>
    <w:uiPriority w:val="0"/>
    <w:qFormat/>
    <w:rPr>
      <w:rFonts w:ascii="Tahoma" w:hAnsi="Tahoma"/>
      <w:sz w:val="24"/>
    </w:rPr>
  </w:style>
  <w:style w:type="paragraph" w:styleId="1047" w:customStyle="1">
    <w:name w:val="列出段落3"/>
    <w:basedOn w:val="692"/>
    <w:uiPriority w:val="0"/>
    <w:qFormat/>
    <w:pPr>
      <w:ind w:firstLine="420"/>
    </w:pPr>
    <w:rPr>
      <w:rFonts w:ascii="Calibri" w:hAnsi="Calibri"/>
      <w:szCs w:val="22"/>
    </w:rPr>
  </w:style>
  <w:style w:type="paragraph" w:styleId="1048" w:customStyle="1">
    <w:name w:val="Char Char Char1 Char Char Char Char Char Char Char"/>
    <w:basedOn w:val="692"/>
    <w:uiPriority w:val="0"/>
    <w:qFormat/>
  </w:style>
  <w:style w:type="paragraph" w:styleId="1049" w:customStyle="1">
    <w:name w:val="正文 A"/>
    <w:next w:val="715"/>
    <w:uiPriority w:val="0"/>
    <w:qFormat/>
    <w:pPr>
      <w:jc w:val="both"/>
      <w:widowControl w:val="off"/>
    </w:pPr>
    <w:rPr>
      <w:rFonts w:hint="default" w:ascii="Calibri" w:hAnsi="Calibri" w:eastAsia="Times New Roman" w:cs="Calibri"/>
      <w:color w:val="000000"/>
      <w:sz w:val="21"/>
      <w:szCs w:val="21"/>
      <w:lang w:val="en-US" w:eastAsia="zh-CN" w:bidi="ar-SA"/>
    </w:rPr>
  </w:style>
  <w:style w:type="paragraph" w:styleId="1050" w:customStyle="1">
    <w:name w:val="标题1"/>
    <w:basedOn w:val="692"/>
    <w:next w:val="692"/>
    <w:uiPriority w:val="0"/>
    <w:qFormat/>
    <w:pPr>
      <w:jc w:val="center"/>
      <w:spacing w:line="700" w:lineRule="atLeast"/>
      <w:tabs>
        <w:tab w:val="left" w:pos="9193" w:leader="none"/>
        <w:tab w:val="left" w:pos="9827" w:leader="none"/>
      </w:tabs>
    </w:pPr>
    <w:rPr>
      <w:rFonts w:eastAsia="方正小标宋_GBK"/>
      <w:sz w:val="44"/>
    </w:rPr>
  </w:style>
  <w:style w:type="paragraph" w:styleId="1051" w:customStyle="1">
    <w:name w:val="Char1"/>
    <w:basedOn w:val="692"/>
    <w:uiPriority w:val="0"/>
    <w:qFormat/>
    <w:rPr>
      <w:rFonts w:ascii="Tahoma" w:hAnsi="Tahoma"/>
      <w:sz w:val="24"/>
      <w:szCs w:val="20"/>
    </w:rPr>
  </w:style>
  <w:style w:type="paragraph" w:styleId="105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3" w:customStyle="1">
    <w:name w:val="xl47"/>
    <w:basedOn w:val="69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54" w:customStyle="1">
    <w:name w:val="第四级"/>
    <w:basedOn w:val="692"/>
    <w:next w:val="692"/>
    <w:uiPriority w:val="0"/>
    <w:qFormat/>
    <w:pPr>
      <w:numPr>
        <w:ilvl w:val="3"/>
        <w:numId w:val="1"/>
      </w:numPr>
      <w:spacing w:line="360" w:lineRule="auto"/>
    </w:pPr>
    <w:rPr>
      <w:rFonts w:ascii="宋体" w:hAnsi="宋体" w:eastAsia="仿宋"/>
      <w:sz w:val="28"/>
      <w:szCs w:val="21"/>
    </w:rPr>
  </w:style>
  <w:style w:type="paragraph" w:styleId="1055">
    <w:name w:val="List Paragraph"/>
    <w:basedOn w:val="692"/>
    <w:uiPriority w:val="0"/>
    <w:qFormat/>
    <w:pPr>
      <w:ind w:firstLine="420"/>
    </w:pPr>
    <w:rPr>
      <w:rFonts w:ascii="Calibri" w:hAnsi="Calibri"/>
      <w:szCs w:val="22"/>
    </w:rPr>
  </w:style>
  <w:style w:type="paragraph" w:styleId="1056"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57" w:customStyle="1">
    <w:name w:val="_Style 120"/>
    <w:basedOn w:val="693"/>
    <w:next w:val="692"/>
    <w:uiPriority w:val="0"/>
    <w:qFormat/>
    <w:pPr>
      <w:keepLines/>
      <w:spacing w:before="340" w:after="330" w:line="578" w:lineRule="auto"/>
      <w:outlineLvl w:val="9"/>
    </w:pPr>
    <w:rPr>
      <w:rFonts w:ascii="Times New Roman" w:eastAsia="宋体"/>
      <w:b/>
      <w:bCs/>
      <w:sz w:val="44"/>
      <w:szCs w:val="44"/>
    </w:rPr>
  </w:style>
  <w:style w:type="paragraph" w:styleId="1058" w:customStyle="1">
    <w:name w:val="Heading 41"/>
    <w:basedOn w:val="692"/>
    <w:uiPriority w:val="0"/>
    <w:qFormat/>
    <w:pPr>
      <w:jc w:val="left"/>
      <w:outlineLvl w:val="4"/>
    </w:pPr>
    <w:rPr>
      <w:rFonts w:ascii="宋体" w:hAnsi="宋体" w:cs="宋体"/>
      <w:sz w:val="32"/>
      <w:szCs w:val="32"/>
      <w:lang w:eastAsia="en-US"/>
    </w:rPr>
  </w:style>
  <w:style w:type="paragraph" w:styleId="1059" w:customStyle="1">
    <w:name w:val="Table Paragraph"/>
    <w:basedOn w:val="692"/>
    <w:uiPriority w:val="0"/>
    <w:qFormat/>
    <w:pPr>
      <w:jc w:val="left"/>
    </w:pPr>
    <w:rPr>
      <w:rFonts w:ascii="Calibri" w:hAnsi="Calibri" w:cs="Calibri"/>
      <w:sz w:val="22"/>
      <w:szCs w:val="22"/>
      <w:lang w:eastAsia="en-US"/>
    </w:rPr>
  </w:style>
  <w:style w:type="paragraph" w:styleId="1060" w:customStyle="1">
    <w:name w:val="Blockquote"/>
    <w:basedOn w:val="692"/>
    <w:uiPriority w:val="0"/>
    <w:qFormat/>
    <w:pPr>
      <w:ind w:left="360" w:right="360"/>
      <w:jc w:val="left"/>
      <w:spacing w:before="100" w:after="100"/>
    </w:pPr>
    <w:rPr>
      <w:sz w:val="24"/>
      <w:szCs w:val="20"/>
    </w:rPr>
  </w:style>
  <w:style w:type="paragraph" w:styleId="1061" w:customStyle="1">
    <w:name w:val="样式 标题 3 + (中文) 黑体 小四 非加粗 段前: 7.8 磅 段后: 0 磅 行距: 固定值 20 磅"/>
    <w:basedOn w:val="695"/>
    <w:uiPriority w:val="0"/>
    <w:qFormat/>
    <w:pPr>
      <w:spacing w:before="0" w:after="0" w:line="400" w:lineRule="exact"/>
    </w:pPr>
    <w:rPr>
      <w:rFonts w:eastAsia="黑体" w:cs="宋体"/>
      <w:b w:val="0"/>
      <w:sz w:val="24"/>
    </w:rPr>
  </w:style>
  <w:style w:type="paragraph" w:styleId="1062" w:customStyle="1">
    <w:name w:val="空半行"/>
    <w:basedOn w:val="692"/>
    <w:uiPriority w:val="0"/>
    <w:qFormat/>
    <w:pPr>
      <w:spacing w:line="120" w:lineRule="exact"/>
    </w:pPr>
    <w:rPr>
      <w:rFonts w:eastAsia="仿宋_GB2312"/>
      <w:color w:val="ffffff"/>
      <w:sz w:val="30"/>
      <w:szCs w:val="20"/>
    </w:rPr>
  </w:style>
  <w:style w:type="paragraph" w:styleId="1063" w:customStyle="1">
    <w:name w:val="flNote"/>
    <w:basedOn w:val="692"/>
    <w:uiPriority w:val="0"/>
    <w:qFormat/>
    <w:pPr>
      <w:jc w:val="center"/>
      <w:spacing w:before="320" w:after="160" w:line="360" w:lineRule="atLeast"/>
    </w:pPr>
    <w:rPr>
      <w:rFonts w:ascii="Arial" w:eastAsia="黑体"/>
      <w:sz w:val="30"/>
      <w:szCs w:val="20"/>
    </w:rPr>
  </w:style>
  <w:style w:type="paragraph" w:styleId="1064" w:customStyle="1">
    <w:name w:val="Char Char Char1 Char Char Char Char Char Char Char1"/>
    <w:basedOn w:val="692"/>
    <w:uiPriority w:val="0"/>
    <w:qFormat/>
    <w:rPr>
      <w:rFonts w:ascii="Tahoma" w:hAnsi="Tahoma"/>
      <w:sz w:val="24"/>
      <w:szCs w:val="20"/>
    </w:rPr>
  </w:style>
  <w:style w:type="paragraph" w:styleId="1065" w:customStyle="1">
    <w:name w:val="正文_1"/>
    <w:next w:val="1066"/>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正文首行缩进 21"/>
    <w:basedOn w:val="1067"/>
    <w:uiPriority w:val="99"/>
    <w:unhideWhenUsed/>
    <w:qFormat/>
    <w:pPr>
      <w:ind w:firstLine="420"/>
    </w:pPr>
  </w:style>
  <w:style w:type="paragraph" w:styleId="1067" w:customStyle="1">
    <w:name w:val="正文文本缩进_0"/>
    <w:basedOn w:val="1065"/>
    <w:uiPriority w:val="0"/>
    <w:qFormat/>
    <w:pPr>
      <w:ind w:firstLine="435"/>
      <w:spacing w:line="360" w:lineRule="auto"/>
    </w:pPr>
    <w:rPr>
      <w:sz w:val="24"/>
    </w:rPr>
  </w:style>
  <w:style w:type="paragraph" w:styleId="1068" w:customStyle="1">
    <w:name w:val="Normal_0"/>
    <w:uiPriority w:val="0"/>
    <w:qFormat/>
    <w:pPr>
      <w:widowControl w:val="off"/>
    </w:pPr>
    <w:rPr>
      <w:rFonts w:hint="default" w:ascii="Calibri" w:hAnsi="Calibri" w:eastAsia="宋体" w:cs="Times New Roman"/>
      <w:sz w:val="21"/>
      <w:szCs w:val="22"/>
      <w:lang w:val="en-US" w:eastAsia="zh-CN" w:bidi="ar-SA"/>
    </w:rPr>
  </w:style>
  <w:style w:type="paragraph" w:styleId="1069" w:customStyle="1">
    <w:name w:val="_Style 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071" w:customStyle="1">
    <w:name w:val="样式 标题 2 + 黑色 行距: 1.5 倍行距"/>
    <w:basedOn w:val="694"/>
    <w:uiPriority w:val="0"/>
    <w:qFormat/>
    <w:pPr>
      <w:jc w:val="both"/>
      <w:spacing w:line="360" w:lineRule="auto"/>
    </w:pPr>
    <w:rPr>
      <w:rFonts w:eastAsia="宋体" w:cs="宋体"/>
      <w:bCs/>
      <w:color w:val="000000"/>
      <w:sz w:val="32"/>
      <w:szCs w:val="32"/>
    </w:rPr>
  </w:style>
  <w:style w:type="paragraph" w:styleId="107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7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4" w:customStyle="1">
    <w:name w:val="纯文本1_0"/>
    <w:basedOn w:val="692"/>
    <w:uiPriority w:val="0"/>
    <w:qFormat/>
    <w:rPr>
      <w:rFonts w:ascii="宋体" w:hAnsi="Courier New"/>
      <w:sz w:val="28"/>
    </w:rPr>
  </w:style>
  <w:style w:type="paragraph" w:styleId="107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纯文本1_0_0"/>
    <w:basedOn w:val="692"/>
    <w:uiPriority w:val="0"/>
    <w:qFormat/>
    <w:rPr>
      <w:rFonts w:ascii="宋体" w:hAnsi="Courier New"/>
      <w:sz w:val="28"/>
    </w:rPr>
  </w:style>
  <w:style w:type="paragraph" w:styleId="1077" w:customStyle="1">
    <w:name w:val="正文_13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Normal_12"/>
    <w:uiPriority w:val="0"/>
    <w:qFormat/>
    <w:rPr>
      <w:rFonts w:hint="default" w:ascii="黑体" w:hAnsi="黑体" w:eastAsia="黑体" w:cs="Times New Roman"/>
      <w:b/>
      <w:sz w:val="32"/>
      <w:szCs w:val="24"/>
      <w:lang w:val="en-US" w:eastAsia="zh-CN" w:bidi="ar-SA"/>
    </w:rPr>
  </w:style>
  <w:style w:type="character" w:styleId="1079" w:customStyle="1">
    <w:name w:val="NormalCharacter1"/>
    <w:uiPriority w:val="0"/>
    <w:qFormat/>
  </w:style>
  <w:style w:type="paragraph" w:styleId="1080" w:customStyle="1">
    <w:name w:val="标题 31"/>
    <w:basedOn w:val="692"/>
    <w:next w:val="705"/>
    <w:link w:val="1081"/>
    <w:uiPriority w:val="0"/>
    <w:qFormat/>
    <w:pPr>
      <w:keepLines/>
      <w:keepNext/>
      <w:spacing w:before="260" w:after="260" w:line="416" w:lineRule="auto"/>
      <w:outlineLvl w:val="2"/>
    </w:pPr>
    <w:rPr>
      <w:b/>
      <w:bCs/>
      <w:sz w:val="32"/>
      <w:szCs w:val="32"/>
    </w:rPr>
  </w:style>
  <w:style w:type="character" w:styleId="1081" w:customStyle="1">
    <w:name w:val="标题 3 字符1"/>
    <w:link w:val="1080"/>
    <w:uiPriority w:val="0"/>
    <w:qFormat/>
    <w:rPr>
      <w:rFonts w:ascii="Times New Roman" w:hAnsi="Times New Roman" w:eastAsia="宋体" w:cs="Times New Roman"/>
      <w:b/>
      <w:bCs/>
      <w:sz w:val="32"/>
      <w:szCs w:val="32"/>
    </w:rPr>
  </w:style>
  <w:style w:type="character" w:styleId="1082" w:customStyle="1">
    <w:name w:val="样式1 Char"/>
    <w:basedOn w:val="702"/>
    <w:uiPriority w:val="0"/>
    <w:qFormat/>
    <w:rPr>
      <w:b/>
      <w:bCs/>
    </w:rPr>
  </w:style>
  <w:style w:type="character" w:styleId="1083" w:customStyle="1">
    <w:name w:val="正文缩进 Char1"/>
    <w:uiPriority w:val="0"/>
    <w:qFormat/>
    <w:rPr>
      <w:rFonts w:eastAsia="宋体"/>
      <w:sz w:val="21"/>
      <w:lang w:val="en-US" w:eastAsia="zh-CN" w:bidi="ar-SA"/>
    </w:rPr>
  </w:style>
  <w:style w:type="paragraph" w:styleId="1084" w:customStyle="1">
    <w:name w:val="首行缩进"/>
    <w:basedOn w:val="692"/>
    <w:uiPriority w:val="0"/>
    <w:qFormat/>
    <w:pPr>
      <w:ind w:firstLine="480"/>
      <w:spacing w:line="360" w:lineRule="auto"/>
    </w:pPr>
    <w:rPr>
      <w:rFonts w:ascii="宋体" w:hAnsi="宋体" w:cs="宋体"/>
      <w:sz w:val="24"/>
    </w:rPr>
  </w:style>
  <w:style w:type="character" w:styleId="1085" w:customStyle="1">
    <w:name w:val="正文文本 Char2"/>
    <w:uiPriority w:val="0"/>
    <w:qFormat/>
    <w:rPr>
      <w:rFonts w:ascii="楷体_GB2312" w:hAnsi="Arial" w:eastAsia="楷体_GB2312"/>
      <w:sz w:val="28"/>
    </w:rPr>
  </w:style>
  <w:style w:type="paragraph" w:styleId="1086" w:customStyle="1">
    <w:name w:val="正文缩进1"/>
    <w:basedOn w:val="692"/>
    <w:uiPriority w:val="0"/>
    <w:qFormat/>
    <w:pPr>
      <w:ind w:firstLine="420"/>
    </w:pPr>
    <w:rPr>
      <w:szCs w:val="20"/>
    </w:rPr>
  </w:style>
  <w:style w:type="character" w:styleId="1087" w:customStyle="1">
    <w:name w:val="cf01"/>
    <w:basedOn w:val="702"/>
    <w:uiPriority w:val="0"/>
    <w:qFormat/>
    <w:rPr>
      <w:rFonts w:hint="eastAsia" w:ascii="Microsoft YaHei UI" w:hAnsi="Microsoft YaHei UI" w:eastAsia="Microsoft YaHei UI"/>
      <w:sz w:val="18"/>
      <w:szCs w:val="18"/>
    </w:rPr>
  </w:style>
  <w:style w:type="character" w:styleId="1088" w:customStyle="1">
    <w:name w:val="Unresolved Mention"/>
    <w:basedOn w:val="702"/>
    <w:uiPriority w:val="99"/>
    <w:semiHidden/>
    <w:unhideWhenUsed/>
    <w:qFormat/>
    <w:rPr>
      <w:color w:val="605e5c"/>
      <w:shd w:val="clear" w:color="auto" w:fill="e1dfdd"/>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陈利燕</cp:lastModifiedBy>
  <cp:revision>59</cp:revision>
  <dcterms:created xsi:type="dcterms:W3CDTF">2024-10-19T02:42:00Z</dcterms:created>
  <dcterms:modified xsi:type="dcterms:W3CDTF">2026-07-14T05:57:28Z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84170FE8E9A349B49D01F402C9688E74_13</vt:lpwstr>
  </property>
  <property fmtid="{D5CDD505-2E9C-101B-9397-08002B2CF9AE}" pid="4" name="KSOTemplateDocerSaveRecord">
    <vt:lpwstr>eyJoZGlkIjoiMmMzMzRmOGZmYTViNDVlYWQyNmRkMWMxNzg4Mjk1YmMiLCJ1c2VySWQiOiIxMjc5NzE2MTcxIn0=</vt:lpwstr>
  </property>
</Properties>
</file>