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0"/>
        <w:ind w:firstLine="0"/>
        <w:rPr>
          <w:rFonts w:hint="eastAsia" w:eastAsia="黑体"/>
          <w:b/>
          <w:bCs/>
          <w:sz w:val="84"/>
          <w:shd w:val="clear" w:color="ffffff" w:fill="d9d9d9"/>
        </w:rPr>
      </w:pPr>
      <w:r>
        <w:rPr>
          <w:rFonts w:hint="eastAsia" w:eastAsia="黑体"/>
          <w:b/>
          <w:bCs/>
          <w:sz w:val="84"/>
          <w:shd w:val="clear" w:color="ffffff" w:fill="d9d9d9"/>
        </w:rPr>
      </w:r>
      <w:r/>
    </w:p>
    <w:p>
      <w:pPr>
        <w:pStyle w:val="970"/>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70"/>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p>
    <w:p>
      <w:pPr>
        <w:pStyle w:val="97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auto"/>
          <w:sz w:val="32"/>
          <w:szCs w:val="32"/>
          <w:highlight w:val="none"/>
        </w:rPr>
        <w:t xml:space="preserve">：</w:t>
      </w:r>
      <w:r>
        <w:rPr>
          <w:rFonts w:hint="eastAsia" w:ascii="黑体" w:hAnsi="华文中宋" w:eastAsia="黑体"/>
          <w:bCs/>
          <w:color w:val="auto"/>
          <w:sz w:val="32"/>
          <w:szCs w:val="32"/>
          <w:highlight w:val="none"/>
          <w:lang w:eastAsia="zh-CN"/>
        </w:rPr>
        <w:t xml:space="preserve">JSZC-320214-JZCG-G2026-0040</w:t>
      </w:r>
      <w:r>
        <w:rPr>
          <w:rFonts w:hint="eastAsia" w:ascii="黑体" w:hAnsi="华文中宋" w:eastAsia="黑体"/>
          <w:bCs/>
          <w:color w:val="auto"/>
          <w:sz w:val="32"/>
          <w:szCs w:val="32"/>
          <w:highlight w:val="none"/>
          <w:lang w:eastAsia="zh-CN"/>
        </w:rPr>
        <w:tab/>
      </w:r>
      <w:r/>
    </w:p>
    <w:p>
      <w:pPr>
        <w:ind w:left="3515"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无锡高新区锡企服务平台新吴旗舰店(锡新通) 升级改造项目</w:t>
      </w:r>
      <w:r/>
    </w:p>
    <w:p>
      <w:pPr>
        <w:ind w:left="3515"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无锡市新吴区区域社会治理现代化指挥中心</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970"/>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70"/>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70"/>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70"/>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970"/>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eastAsia="zh-CN"/>
        </w:rPr>
        <w:t xml:space="preserve">六</w:t>
      </w:r>
      <w:r>
        <w:rPr>
          <w:rFonts w:hint="eastAsia" w:ascii="黑体" w:hAnsi="华文中宋" w:eastAsia="黑体"/>
          <w:bCs/>
          <w:color w:val="auto"/>
          <w:sz w:val="32"/>
          <w:szCs w:val="32"/>
          <w:highlight w:val="none"/>
        </w:rPr>
        <w:t xml:space="preserve">月</w:t>
      </w:r>
      <w:r/>
    </w:p>
    <w:p>
      <w:pPr>
        <w:pStyle w:val="970"/>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20823272"/>
      <w:r/>
      <w:bookmarkStart w:id="2" w:name="_Toc479757206"/>
      <w:r/>
      <w:bookmarkStart w:id="3" w:name="_Toc16938516"/>
      <w:r/>
      <w:bookmarkStart w:id="4" w:name="_Toc513029200"/>
      <w:r/>
      <w:bookmarkStart w:id="5" w:name="_Toc523127445"/>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投标邀请----------------------------------（2）</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投标人须知--------------------------------（6）</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合同文本---------------------------------（20）</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采购需求---------------------------------（2</w:t>
      </w:r>
      <w:r>
        <w:rPr>
          <w:rFonts w:hint="eastAsia" w:ascii="宋体" w:hAnsi="宋体"/>
          <w:sz w:val="30"/>
          <w:szCs w:val="30"/>
          <w:lang w:val="en-US" w:eastAsia="zh-CN"/>
        </w:rPr>
        <w:t xml:space="preserve">3</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109</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119</w:t>
      </w:r>
      <w:r>
        <w:rPr>
          <w:rFonts w:hint="eastAsia" w:ascii="宋体" w:hAnsi="宋体"/>
          <w:sz w:val="30"/>
          <w:szCs w:val="30"/>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受</w:t>
      </w:r>
      <w:r>
        <w:rPr>
          <w:rFonts w:hint="eastAsia" w:ascii="宋体" w:hAnsi="宋体"/>
          <w:color w:val="auto"/>
          <w:sz w:val="24"/>
          <w:szCs w:val="24"/>
          <w:lang w:eastAsia="zh-CN"/>
        </w:rPr>
        <w:t xml:space="preserve">无锡市新吴区区域社会治理现代化指挥中心</w:t>
      </w:r>
      <w:r>
        <w:rPr>
          <w:rFonts w:hint="eastAsia" w:ascii="宋体" w:hAnsi="宋体"/>
          <w:color w:val="auto"/>
          <w:sz w:val="24"/>
          <w:szCs w:val="24"/>
        </w:rPr>
        <w:t xml:space="preserve">的委托，</w:t>
      </w:r>
      <w:r>
        <w:rPr>
          <w:rFonts w:hint="eastAsia" w:ascii="宋体" w:hAnsi="宋体"/>
          <w:color w:val="auto"/>
          <w:sz w:val="24"/>
          <w:szCs w:val="24"/>
          <w:lang w:eastAsia="zh-CN"/>
        </w:rPr>
        <w:t xml:space="preserve">无锡市公共资源交易中心新吴分中心</w:t>
      </w:r>
      <w:r>
        <w:rPr>
          <w:rFonts w:hint="eastAsia" w:ascii="宋体" w:hAnsi="宋体"/>
          <w:color w:val="auto"/>
          <w:sz w:val="24"/>
          <w:szCs w:val="24"/>
        </w:rPr>
        <w:t xml:space="preserve">就</w:t>
      </w:r>
      <w:r>
        <w:rPr>
          <w:rFonts w:hint="eastAsia" w:ascii="宋体" w:hAnsi="宋体"/>
          <w:color w:val="auto"/>
          <w:sz w:val="24"/>
          <w:szCs w:val="24"/>
          <w:lang w:eastAsia="zh-CN"/>
        </w:rPr>
        <w:t xml:space="preserve">无锡高新区锡企服务平台新吴旗舰店(锡新通) 升级改造项目</w:t>
      </w:r>
      <w:r>
        <w:rPr>
          <w:rFonts w:hint="eastAsia" w:ascii="宋体" w:hAnsi="宋体"/>
          <w:color w:val="auto"/>
          <w:sz w:val="24"/>
          <w:szCs w:val="24"/>
        </w:rPr>
        <w:t xml:space="preserve">（</w:t>
      </w:r>
      <w:r>
        <w:rPr>
          <w:rFonts w:hint="eastAsia" w:ascii="宋体" w:hAnsi="宋体"/>
          <w:color w:val="auto"/>
          <w:sz w:val="24"/>
          <w:szCs w:val="24"/>
          <w:lang w:eastAsia="zh-CN"/>
        </w:rPr>
        <w:t xml:space="preserve">JSZC-320214-JZCG-G2026-0040</w:t>
      </w:r>
      <w:r>
        <w:rPr>
          <w:rFonts w:hint="eastAsia" w:ascii="宋体" w:hAnsi="宋体"/>
          <w:color w:val="auto"/>
          <w:sz w:val="24"/>
          <w:szCs w:val="24"/>
        </w:rPr>
        <w:t xml:space="preserve">）进行公开招标采购，欢迎符合条件的供应商投标。</w:t>
      </w:r>
      <w:r/>
    </w:p>
    <w:p>
      <w:pPr>
        <w:ind w:firstLine="480"/>
        <w:spacing w:line="500" w:lineRule="exact"/>
        <w:rPr>
          <w:rFonts w:ascii="宋体" w:hAnsi="宋体"/>
          <w:color w:val="auto"/>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rPr>
        <w:t xml:space="preserve">项目概况</w:t>
      </w:r>
      <w:r/>
    </w:p>
    <w:p>
      <w:pPr>
        <w:ind w:firstLine="480"/>
        <w:spacing w:line="500" w:lineRule="exact"/>
        <w:rPr>
          <w:rFonts w:ascii="宋体" w:hAnsi="宋体"/>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lang w:eastAsia="zh-CN"/>
        </w:rPr>
        <w:t xml:space="preserve">无锡高新区锡企服务平台新吴旗舰店(锡新通) 升级改造项目</w:t>
      </w:r>
      <w:r>
        <w:rPr>
          <w:rFonts w:hint="eastAsia" w:ascii="宋体" w:hAnsi="宋体"/>
          <w:color w:val="auto"/>
          <w:sz w:val="24"/>
          <w:szCs w:val="24"/>
        </w:rPr>
        <w:t xml:space="preserve">采购项目的潜在投标人应在“江苏政府采购网”自行浏览招标文件，如有投标意向须在本招标文件有效获取期内通</w:t>
      </w:r>
      <w:r>
        <w:rPr>
          <w:rFonts w:hint="eastAsia" w:ascii="宋体" w:hAnsi="宋体"/>
          <w:color w:val="auto"/>
          <w:sz w:val="24"/>
          <w:szCs w:val="24"/>
          <w:highlight w:val="none"/>
        </w:rPr>
        <w:t xml:space="preserve">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07</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03</w:t>
      </w:r>
      <w:r>
        <w:rPr>
          <w:rFonts w:hint="eastAsia" w:ascii="宋体" w:hAnsi="宋体"/>
          <w:color w:val="auto"/>
          <w:sz w:val="24"/>
          <w:szCs w:val="24"/>
          <w:highlight w:val="none"/>
        </w:rPr>
        <w:t xml:space="preserve">日09点30分</w:t>
      </w:r>
      <w:r>
        <w:rPr>
          <w:rFonts w:hint="eastAsia" w:ascii="宋体" w:hAnsi="宋体"/>
          <w:bCs/>
          <w:color w:val="auto"/>
          <w:sz w:val="24"/>
          <w:szCs w:val="24"/>
          <w:highlight w:val="none"/>
        </w:rPr>
        <w:t xml:space="preserve">（北京</w:t>
      </w:r>
      <w:r>
        <w:rPr>
          <w:rFonts w:hint="eastAsia" w:ascii="宋体" w:hAnsi="宋体"/>
          <w:bCs/>
          <w:sz w:val="24"/>
          <w:szCs w:val="24"/>
        </w:rPr>
        <w:t xml:space="preserve">时间）前递交投标</w:t>
      </w:r>
      <w:r>
        <w:rPr>
          <w:rFonts w:ascii="宋体" w:hAnsi="宋体"/>
          <w:bCs/>
          <w:sz w:val="24"/>
          <w:szCs w:val="24"/>
        </w:rPr>
        <w:t xml:space="preserve">文件</w:t>
      </w:r>
      <w:r>
        <w:rPr>
          <w:rFonts w:hint="eastAsia" w:ascii="宋体" w:hAnsi="宋体"/>
          <w:sz w:val="24"/>
          <w:szCs w:val="24"/>
        </w:rPr>
        <w:t xml:space="preserve">。</w:t>
      </w:r>
      <w:r/>
    </w:p>
    <w:p>
      <w:pPr>
        <w:pStyle w:val="884"/>
        <w:ind w:firstLine="452"/>
        <w:keepLines w:val="0"/>
        <w:keepNext w:val="0"/>
        <w:spacing w:before="0" w:after="0" w:line="500" w:lineRule="exact"/>
        <w:rPr>
          <w:sz w:val="30"/>
          <w:szCs w:val="30"/>
        </w:rPr>
      </w:pPr>
      <w:r/>
      <w:bookmarkStart w:id="6" w:name="_Toc35393790"/>
      <w:r/>
      <w:bookmarkStart w:id="7" w:name="_Toc38985263"/>
      <w:r/>
      <w:bookmarkStart w:id="8" w:name="_Toc28359079"/>
      <w:r/>
      <w:bookmarkStart w:id="9" w:name="_Toc35393621"/>
      <w:r/>
      <w:bookmarkStart w:id="10" w:name="_Toc28359002"/>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s="Times New Roman"/>
          <w:sz w:val="24"/>
          <w:szCs w:val="24"/>
          <w:lang w:eastAsia="zh-CN"/>
        </w:rPr>
      </w:pPr>
      <w:r>
        <w:rPr>
          <w:rFonts w:hint="eastAsia" w:ascii="宋体" w:hAnsi="宋体"/>
          <w:sz w:val="24"/>
          <w:szCs w:val="24"/>
        </w:rPr>
        <w:t xml:space="preserve">1.项</w:t>
      </w:r>
      <w:r>
        <w:rPr>
          <w:rFonts w:hint="eastAsia" w:ascii="宋体" w:hAnsi="宋体" w:eastAsia="宋体" w:cs="Times New Roman"/>
          <w:sz w:val="24"/>
          <w:szCs w:val="24"/>
        </w:rPr>
        <w:t xml:space="preserve">目编号：</w:t>
      </w:r>
      <w:r>
        <w:rPr>
          <w:rFonts w:hint="eastAsia" w:ascii="宋体" w:hAnsi="宋体" w:eastAsia="宋体" w:cs="Times New Roman"/>
          <w:sz w:val="24"/>
          <w:szCs w:val="24"/>
          <w:lang w:eastAsia="zh-CN"/>
        </w:rPr>
        <w:t xml:space="preserve">JSZC-320214-JZCG-G2026-0040</w:t>
      </w:r>
      <w:r>
        <w:rPr>
          <w:rFonts w:hint="eastAsia" w:ascii="宋体" w:hAnsi="宋体" w:eastAsia="宋体" w:cs="Times New Roman"/>
          <w:sz w:val="24"/>
          <w:szCs w:val="24"/>
          <w:lang w:eastAsia="zh-CN"/>
        </w:rPr>
        <w:tab/>
      </w:r>
      <w:r/>
    </w:p>
    <w:p>
      <w:pPr>
        <w:ind w:firstLine="480"/>
        <w:spacing w:line="5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2.项目名称：</w:t>
      </w:r>
      <w:r>
        <w:rPr>
          <w:rFonts w:hint="eastAsia" w:ascii="宋体" w:hAnsi="宋体" w:eastAsia="宋体" w:cs="Times New Roman"/>
          <w:sz w:val="24"/>
          <w:szCs w:val="24"/>
          <w:lang w:eastAsia="zh-CN"/>
        </w:rPr>
        <w:t xml:space="preserve">无锡高新区锡企服务平台新吴旗舰店(锡新通) 升级改造项目</w:t>
      </w:r>
      <w:bookmarkEnd w:id="11"/>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3.项目预算金额：423.01万元</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4.项目最高限价：423.0</w:t>
      </w:r>
      <w:r>
        <w:rPr>
          <w:rFonts w:hint="eastAsia" w:ascii="宋体" w:hAnsi="宋体" w:cs="Times New Roman"/>
          <w:sz w:val="24"/>
          <w:szCs w:val="24"/>
          <w:lang w:val="en-US" w:eastAsia="zh-CN"/>
        </w:rPr>
        <w:t xml:space="preserve">057</w:t>
      </w:r>
      <w:r>
        <w:rPr>
          <w:rFonts w:hint="eastAsia" w:ascii="宋体" w:hAnsi="宋体" w:eastAsia="宋体" w:cs="Times New Roman"/>
          <w:sz w:val="24"/>
          <w:szCs w:val="24"/>
        </w:rPr>
        <w:t xml:space="preserve">万元</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5.采购方式：公开招标（暗标）</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6.采购需求：详见招标文件第四章《采购需求》</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7.合同履行期限：详见招标文件第四章《采购需求》</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8.本项目不接受联合体投标。</w:t>
      </w:r>
      <w:r/>
    </w:p>
    <w:p>
      <w:pPr>
        <w:pStyle w:val="884"/>
        <w:ind w:firstLine="452"/>
        <w:keepLines w:val="0"/>
        <w:keepNext w:val="0"/>
        <w:spacing w:before="0" w:after="0" w:line="500" w:lineRule="exact"/>
        <w:rPr>
          <w:sz w:val="30"/>
          <w:szCs w:val="30"/>
        </w:rPr>
      </w:pPr>
      <w:r/>
      <w:bookmarkStart w:id="12" w:name="_Toc35393622"/>
      <w:r/>
      <w:bookmarkStart w:id="13" w:name="_Toc28359003"/>
      <w:r/>
      <w:bookmarkStart w:id="14" w:name="_Toc28359080"/>
      <w:r/>
      <w:bookmarkStart w:id="15" w:name="_Toc38985264"/>
      <w:r/>
      <w:bookmarkStart w:id="16" w:name="_Toc35393791"/>
      <w:r>
        <w:rPr>
          <w:rFonts w:hint="eastAsia"/>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rPr>
      </w:pPr>
      <w:r/>
      <w:bookmarkStart w:id="17" w:name="_Toc28359081"/>
      <w:r/>
      <w:bookmarkStart w:id="18" w:name="_Toc35393623"/>
      <w:r/>
      <w:bookmarkStart w:id="19" w:name="_Toc35393792"/>
      <w:r/>
      <w:bookmarkStart w:id="20" w:name="_Toc38985265"/>
      <w:r/>
      <w:bookmarkStart w:id="21" w:name="_Toc28359004"/>
      <w:r>
        <w:rPr>
          <w:rFonts w:hint="eastAsia" w:ascii="宋体" w:hAnsi="宋体"/>
          <w:sz w:val="24"/>
          <w:szCs w:val="24"/>
        </w:rPr>
        <w:t xml:space="preserve">1.满足《中华人民共和国政府采购法》第二十二条规定；</w:t>
      </w:r>
      <w:r/>
    </w:p>
    <w:p>
      <w:pPr>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p>
    <w:p>
      <w:pPr>
        <w:ind w:firstLine="480"/>
        <w:spacing w:line="500" w:lineRule="exact"/>
        <w:rPr>
          <w:rFonts w:hint="eastAsia" w:ascii="宋体" w:hAnsi="宋体" w:eastAsia="宋体"/>
          <w:color w:val="auto"/>
          <w:sz w:val="24"/>
          <w:szCs w:val="24"/>
          <w:lang w:eastAsia="zh-CN"/>
        </w:rPr>
      </w:pPr>
      <w:r>
        <w:rPr>
          <w:rFonts w:hint="eastAsia" w:ascii="宋体" w:hAnsi="宋体"/>
          <w:sz w:val="24"/>
          <w:szCs w:val="24"/>
        </w:rPr>
        <w:t xml:space="preserve">2.1中小企业</w:t>
      </w:r>
      <w:r>
        <w:rPr>
          <w:rFonts w:hint="eastAsia" w:ascii="宋体" w:hAnsi="宋体"/>
          <w:color w:val="auto"/>
          <w:sz w:val="24"/>
          <w:szCs w:val="24"/>
        </w:rPr>
        <w:t xml:space="preserve">政策：本项目专门面向中小企业</w:t>
      </w:r>
      <w:r>
        <w:rPr>
          <w:rFonts w:hint="eastAsia" w:ascii="宋体" w:hAnsi="宋体"/>
          <w:color w:val="auto"/>
          <w:sz w:val="24"/>
          <w:szCs w:val="24"/>
          <w:lang w:eastAsia="zh-CN"/>
        </w:rPr>
        <w:t xml:space="preserve">；</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rPr>
      </w:pPr>
      <w:r>
        <w:rPr>
          <w:rFonts w:hint="eastAsia" w:ascii="宋体" w:hAnsi="宋体"/>
          <w:color w:val="auto"/>
          <w:sz w:val="24"/>
          <w:szCs w:val="24"/>
        </w:rPr>
        <w:t xml:space="preserve">3.本项目的特定资格要求：无。</w:t>
      </w:r>
      <w:r/>
    </w:p>
    <w:p>
      <w:pPr>
        <w:pStyle w:val="884"/>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p>
    <w:p>
      <w:pPr>
        <w:ind w:firstLine="540"/>
        <w:spacing w:line="500" w:lineRule="exact"/>
        <w:rPr>
          <w:rStyle w:val="932"/>
          <w:color w:val="auto"/>
          <w:highlight w:val="none"/>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w:t>
      </w:r>
      <w:r>
        <w:rPr>
          <w:rFonts w:ascii="宋体" w:hAnsi="宋体"/>
          <w:color w:val="auto"/>
          <w:sz w:val="24"/>
          <w:szCs w:val="24"/>
          <w:highlight w:val="none"/>
        </w:rPr>
        <w:t xml:space="preserve">购（苏采云）平台”（</w:t>
      </w:r>
      <w:r>
        <w:rPr>
          <w:rFonts w:hint="eastAsia" w:ascii="宋体" w:hAnsi="宋体"/>
          <w:color w:val="auto"/>
          <w:sz w:val="24"/>
          <w:szCs w:val="24"/>
          <w:highlight w:val="none"/>
        </w:rPr>
        <w:t xml:space="preserve">http://jszfcg.jsczt.cn/</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884"/>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07</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03</w:t>
      </w:r>
      <w:r>
        <w:rPr>
          <w:rFonts w:hint="eastAsia" w:ascii="宋体" w:hAnsi="宋体"/>
          <w:bCs/>
          <w:color w:val="auto"/>
          <w:sz w:val="24"/>
          <w:szCs w:val="24"/>
          <w:highlight w:val="none"/>
        </w:rPr>
        <w:t xml:space="preserve">日09点30分（北京时间）</w:t>
      </w:r>
      <w:r/>
    </w:p>
    <w:p>
      <w:pPr>
        <w:ind w:firstLine="480"/>
        <w:spacing w:line="500" w:lineRule="exact"/>
        <w:rPr>
          <w:rFonts w:hint="eastAsia" w:ascii="宋体" w:hAnsi="宋体"/>
          <w:bCs/>
          <w:sz w:val="24"/>
          <w:szCs w:val="24"/>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sz w:val="24"/>
          <w:szCs w:val="24"/>
        </w:rPr>
        <w:t xml:space="preserve">网上开标大厅。</w:t>
      </w:r>
      <w:r/>
    </w:p>
    <w:p>
      <w:pPr>
        <w:pStyle w:val="884"/>
        <w:ind w:firstLine="452"/>
        <w:keepLines w:val="0"/>
        <w:keepNext w:val="0"/>
        <w:spacing w:before="0" w:after="0" w:line="500" w:lineRule="exact"/>
        <w:rPr>
          <w:sz w:val="30"/>
          <w:szCs w:val="30"/>
        </w:rPr>
      </w:pPr>
      <w:r/>
      <w:bookmarkStart w:id="27" w:name="_Toc38985267"/>
      <w:r/>
      <w:bookmarkStart w:id="28" w:name="_Toc35393625"/>
      <w:r/>
      <w:bookmarkStart w:id="29" w:name="_Toc28359084"/>
      <w:r/>
      <w:bookmarkStart w:id="30" w:name="_Toc28359007"/>
      <w:r/>
      <w:bookmarkStart w:id="31" w:name="_Toc35393794"/>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（招标公告及招标文件公告期限）自本公告发布之日起5个工作日。</w:t>
      </w:r>
      <w:r/>
    </w:p>
    <w:p>
      <w:pPr>
        <w:pStyle w:val="884"/>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884"/>
        <w:ind w:firstLine="452"/>
        <w:keepLines w:val="0"/>
        <w:keepNext w:val="0"/>
        <w:spacing w:before="0" w:after="0" w:line="500" w:lineRule="exact"/>
        <w:rPr>
          <w:sz w:val="30"/>
          <w:szCs w:val="30"/>
        </w:rPr>
      </w:pPr>
      <w:r/>
      <w:bookmarkStart w:id="35" w:name="_Toc28359008"/>
      <w:r/>
      <w:bookmarkStart w:id="36" w:name="_Toc35393796"/>
      <w:r/>
      <w:bookmarkStart w:id="37" w:name="_Toc35393627"/>
      <w:r/>
      <w:bookmarkStart w:id="38" w:name="_Toc28359085"/>
      <w:r/>
      <w:bookmarkStart w:id="39" w:name="_Toc38985269"/>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w:t>
      </w:r>
      <w:r>
        <w:rPr>
          <w:rFonts w:hint="eastAsia" w:ascii="宋体" w:hAnsi="宋体" w:eastAsia="宋体" w:cs="宋体"/>
          <w:sz w:val="24"/>
          <w:szCs w:val="24"/>
          <w:lang w:eastAsia="zh-CN"/>
        </w:rPr>
        <w:t xml:space="preserve"> 称：无锡市新吴区区域社会治理现代化指挥中心</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    址：无锡市新吴区和风路32号汇业广场1号楼</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w:t>
      </w:r>
      <w:bookmarkStart w:id="40" w:name="_Toc28359086"/>
      <w:r/>
      <w:bookmarkStart w:id="41" w:name="_Toc28359009"/>
      <w:r>
        <w:rPr>
          <w:rFonts w:hint="eastAsia" w:ascii="宋体" w:hAnsi="宋体" w:eastAsia="宋体" w:cs="宋体"/>
          <w:sz w:val="24"/>
          <w:szCs w:val="24"/>
          <w:lang w:eastAsia="zh-CN"/>
        </w:rPr>
        <w:t xml:space="preserve">见“项目联系方式”</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bookmarkEnd w:id="40"/>
      <w:r/>
      <w:bookmarkEnd w:id="41"/>
      <w:r>
        <w:rPr>
          <w:rFonts w:hint="eastAsia" w:ascii="宋体" w:hAnsi="宋体" w:eastAsia="宋体" w:cs="宋体"/>
          <w:sz w:val="24"/>
          <w:szCs w:val="24"/>
          <w:lang w:eastAsia="zh-CN"/>
        </w:rPr>
        <w:t xml:space="preserve">采购代理机构信息</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    称：无锡市公共资源交易中心新吴分中心</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地    址：无锡市</w:t>
      </w:r>
      <w:r>
        <w:rPr>
          <w:rFonts w:hint="eastAsia" w:ascii="宋体" w:hAnsi="宋体" w:eastAsia="宋体" w:cs="宋体"/>
          <w:sz w:val="24"/>
          <w:szCs w:val="24"/>
          <w:lang w:val="en-US" w:eastAsia="zh-CN"/>
        </w:rPr>
        <w:t xml:space="preserve">新吴</w:t>
      </w:r>
      <w:r>
        <w:rPr>
          <w:rFonts w:hint="eastAsia" w:ascii="宋体" w:hAnsi="宋体" w:eastAsia="宋体" w:cs="宋体"/>
          <w:sz w:val="24"/>
          <w:szCs w:val="24"/>
          <w:lang w:eastAsia="zh-CN"/>
        </w:rPr>
        <w:t xml:space="preserve">区</w:t>
      </w:r>
      <w:r>
        <w:rPr>
          <w:rFonts w:hint="eastAsia" w:ascii="宋体" w:hAnsi="宋体" w:eastAsia="宋体" w:cs="宋体"/>
          <w:sz w:val="24"/>
          <w:szCs w:val="24"/>
          <w:lang w:val="en-US" w:eastAsia="zh-CN"/>
        </w:rPr>
        <w:t xml:space="preserve">清晏</w:t>
      </w:r>
      <w:r>
        <w:rPr>
          <w:rFonts w:hint="eastAsia" w:ascii="宋体" w:hAnsi="宋体" w:eastAsia="宋体" w:cs="宋体"/>
          <w:sz w:val="24"/>
          <w:szCs w:val="24"/>
          <w:lang w:eastAsia="zh-CN"/>
        </w:rPr>
        <w:t xml:space="preserve">路</w:t>
      </w:r>
      <w:r>
        <w:rPr>
          <w:rFonts w:hint="eastAsia" w:ascii="宋体" w:hAnsi="宋体" w:eastAsia="宋体" w:cs="宋体"/>
          <w:sz w:val="24"/>
          <w:szCs w:val="24"/>
          <w:lang w:val="en-US" w:eastAsia="zh-CN"/>
        </w:rPr>
        <w:t xml:space="preserve">30号</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联系方式：见“项目联系方式”</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3.项目联系方式</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采购人项目咨询联系人：张工；电话：0510-81890859</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采购人质疑受理联系人：张工；电话：0510-81890859</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交易中心项目联系人：华晓芸；电话：0510-</w:t>
      </w:r>
      <w:r>
        <w:rPr>
          <w:rFonts w:hint="eastAsia" w:ascii="宋体" w:hAnsi="宋体" w:eastAsia="宋体" w:cs="宋体"/>
          <w:sz w:val="24"/>
          <w:szCs w:val="24"/>
          <w:lang w:val="en-US" w:eastAsia="zh-CN"/>
        </w:rPr>
        <w:t xml:space="preserve">85253039</w:t>
      </w:r>
      <w:r/>
    </w:p>
    <w:p>
      <w:pPr>
        <w:pStyle w:val="884"/>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w:t>
      </w:r>
      <w:r>
        <w:rPr>
          <w:rFonts w:hint="eastAsia" w:ascii="宋体" w:hAnsi="宋体"/>
          <w:bCs/>
          <w:color w:val="000000"/>
          <w:sz w:val="24"/>
          <w:szCs w:val="24"/>
          <w:highlight w:val="none"/>
        </w:rPr>
        <w:t xml:space="preserve">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20823274"/>
      <w:r/>
      <w:bookmarkStart w:id="46" w:name="_Toc120614213"/>
      <w:r>
        <w:rPr>
          <w:rFonts w:hint="eastAsia" w:ascii="黑体" w:hAnsi="黑体" w:eastAsia="黑体"/>
          <w:sz w:val="36"/>
          <w:szCs w:val="36"/>
        </w:rPr>
        <w:t xml:space="preserve">投标人须知</w:t>
      </w:r>
      <w:bookmarkEnd w:id="43"/>
      <w:r/>
      <w:bookmarkEnd w:id="44"/>
      <w:r/>
      <w:bookmarkEnd w:id="45"/>
      <w:r/>
      <w:bookmarkEnd w:id="46"/>
      <w:r/>
      <w:r/>
    </w:p>
    <w:p>
      <w:pPr>
        <w:pStyle w:val="884"/>
        <w:ind w:firstLine="452"/>
        <w:keepLines w:val="0"/>
        <w:keepNext w:val="0"/>
        <w:spacing w:before="0" w:after="0" w:line="500" w:lineRule="exact"/>
        <w:rPr>
          <w:rFonts w:hint="eastAsia"/>
          <w:sz w:val="30"/>
          <w:szCs w:val="30"/>
        </w:rPr>
      </w:pPr>
      <w:r/>
      <w:bookmarkStart w:id="47" w:name="_Toc20823275"/>
      <w:r/>
      <w:bookmarkStart w:id="48" w:name="_Toc120614214"/>
      <w:r/>
      <w:bookmarkStart w:id="49" w:name="_Toc16938519"/>
      <w:r/>
      <w:bookmarkStart w:id="50" w:name="_Toc513029203"/>
      <w:r>
        <w:rPr>
          <w:rFonts w:hint="eastAsia"/>
          <w:sz w:val="30"/>
          <w:szCs w:val="30"/>
        </w:rPr>
        <w:t xml:space="preserve">一、总则</w:t>
      </w:r>
      <w:bookmarkEnd w:id="47"/>
      <w:r/>
      <w:bookmarkEnd w:id="48"/>
      <w:r/>
      <w:bookmarkEnd w:id="49"/>
      <w:r/>
      <w:bookmarkEnd w:id="50"/>
      <w:r/>
      <w:r/>
    </w:p>
    <w:p>
      <w:pPr>
        <w:pStyle w:val="885"/>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885"/>
        <w:ind w:firstLine="422"/>
        <w:keepLines w:val="0"/>
        <w:keepNext w:val="0"/>
        <w:spacing w:before="0" w:after="0" w:line="500" w:lineRule="exact"/>
        <w:rPr>
          <w:rFonts w:hint="eastAsia" w:ascii="宋体" w:hAnsi="宋体" w:eastAsia="宋体"/>
          <w:bCs w:val="0"/>
        </w:rPr>
      </w:pPr>
      <w:r/>
      <w:bookmarkStart w:id="55" w:name="_Toc20823277"/>
      <w:r/>
      <w:bookmarkStart w:id="56" w:name="_Toc513029205"/>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85"/>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885"/>
        <w:ind w:firstLine="422"/>
        <w:keepLines w:val="0"/>
        <w:keepNext w:val="0"/>
        <w:spacing w:before="0" w:after="0" w:line="500" w:lineRule="exact"/>
        <w:rPr>
          <w:rFonts w:hint="eastAsia" w:ascii="宋体" w:hAnsi="宋体" w:eastAsia="宋体"/>
          <w:bCs w:val="0"/>
        </w:rPr>
      </w:pPr>
      <w:r/>
      <w:bookmarkStart w:id="61" w:name="_Toc462564067"/>
      <w:r/>
      <w:bookmarkStart w:id="62" w:name="_Toc20823279"/>
      <w:r/>
      <w:bookmarkStart w:id="63" w:name="_Toc513029207"/>
      <w:r/>
      <w:bookmarkStart w:id="64" w:name="_Toc16938523"/>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88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84"/>
        <w:ind w:firstLine="452"/>
        <w:keepLines w:val="0"/>
        <w:keepNext w:val="0"/>
        <w:spacing w:before="0" w:after="0" w:line="500" w:lineRule="exact"/>
        <w:rPr>
          <w:rFonts w:hint="eastAsia"/>
          <w:sz w:val="30"/>
          <w:szCs w:val="30"/>
        </w:rPr>
      </w:pPr>
      <w:r/>
      <w:bookmarkStart w:id="65" w:name="_Toc120614215"/>
      <w:r/>
      <w:bookmarkStart w:id="66" w:name="_Toc16938525"/>
      <w:r/>
      <w:bookmarkStart w:id="67" w:name="_Toc513029209"/>
      <w:r/>
      <w:bookmarkStart w:id="68" w:name="_Toc20823281"/>
      <w:r>
        <w:rPr>
          <w:rFonts w:hint="eastAsia"/>
          <w:sz w:val="30"/>
          <w:szCs w:val="30"/>
        </w:rPr>
        <w:t xml:space="preserve">二、招标文件</w:t>
      </w:r>
      <w:bookmarkEnd w:id="65"/>
      <w:r/>
      <w:bookmarkEnd w:id="66"/>
      <w:r/>
      <w:bookmarkEnd w:id="67"/>
      <w:r/>
      <w:bookmarkEnd w:id="68"/>
      <w:r/>
      <w:r/>
    </w:p>
    <w:p>
      <w:pPr>
        <w:pStyle w:val="885"/>
        <w:ind w:firstLine="422"/>
        <w:keepLines w:val="0"/>
        <w:keepNext w:val="0"/>
        <w:spacing w:before="0" w:after="0" w:line="500" w:lineRule="exact"/>
        <w:rPr>
          <w:rFonts w:hint="eastAsia" w:ascii="宋体" w:hAnsi="宋体" w:eastAsia="宋体"/>
          <w:bCs w:val="0"/>
        </w:rPr>
      </w:pPr>
      <w:r/>
      <w:bookmarkStart w:id="69" w:name="_Toc16938526"/>
      <w:r/>
      <w:bookmarkStart w:id="70" w:name="_Toc513029210"/>
      <w:r/>
      <w:bookmarkStart w:id="71" w:name="_Toc20823282"/>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5"/>
        <w:ind w:firstLine="422"/>
        <w:keepLines w:val="0"/>
        <w:keepNext w:val="0"/>
        <w:spacing w:before="0" w:after="0" w:line="500" w:lineRule="exact"/>
        <w:rPr>
          <w:rFonts w:hint="eastAsia" w:ascii="宋体" w:hAnsi="宋体" w:eastAsia="宋体"/>
          <w:bCs w:val="0"/>
          <w:color w:val="auto"/>
        </w:rPr>
      </w:pPr>
      <w:r/>
      <w:bookmarkStart w:id="72" w:name="_Toc513029211"/>
      <w:r/>
      <w:bookmarkStart w:id="73" w:name="_Toc20823283"/>
      <w:r/>
      <w:bookmarkStart w:id="74" w:name="_Toc462564070"/>
      <w:r/>
      <w:bookmarkStart w:id="75" w:name="_Toc16938527"/>
      <w:r>
        <w:rPr>
          <w:rFonts w:hint="eastAsia" w:ascii="宋体" w:hAnsi="宋体" w:eastAsia="宋体"/>
          <w:bCs w:val="0"/>
          <w:color w:val="auto"/>
        </w:rPr>
        <w:t xml:space="preserve">7.招标文件的澄清</w:t>
      </w:r>
      <w:bookmarkEnd w:id="72"/>
      <w:r/>
      <w:bookmarkEnd w:id="73"/>
      <w:r/>
      <w:bookmarkEnd w:id="74"/>
      <w:r/>
      <w:bookmarkEnd w:id="75"/>
      <w:r/>
      <w:r/>
    </w:p>
    <w:p>
      <w:pPr>
        <w:ind w:firstLine="480"/>
        <w:spacing w:line="500" w:lineRule="exact"/>
        <w:rPr>
          <w:rFonts w:ascii="宋体" w:hAnsi="宋体"/>
          <w:bCs/>
          <w:color w:val="auto"/>
          <w:sz w:val="24"/>
          <w:szCs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85"/>
        <w:ind w:firstLine="422"/>
        <w:keepLines w:val="0"/>
        <w:keepNext w:val="0"/>
        <w:spacing w:before="0" w:after="0" w:line="500" w:lineRule="exact"/>
        <w:rPr>
          <w:rFonts w:hint="eastAsia" w:ascii="宋体" w:hAnsi="宋体" w:eastAsia="宋体"/>
          <w:bCs w:val="0"/>
        </w:rPr>
      </w:pPr>
      <w:r/>
      <w:bookmarkStart w:id="76" w:name="_Toc20823284"/>
      <w:r/>
      <w:bookmarkStart w:id="77" w:name="_Toc513029212"/>
      <w:r/>
      <w:bookmarkStart w:id="78" w:name="_Toc16938528"/>
      <w:r/>
      <w:bookmarkStart w:id="79" w:name="_Toc462564071"/>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884"/>
        <w:ind w:firstLine="452"/>
        <w:keepLines w:val="0"/>
        <w:keepNext w:val="0"/>
        <w:spacing w:before="0" w:after="0" w:line="500" w:lineRule="exact"/>
        <w:rPr>
          <w:rFonts w:hint="eastAsia"/>
          <w:sz w:val="30"/>
          <w:szCs w:val="30"/>
        </w:rPr>
      </w:pPr>
      <w:r/>
      <w:bookmarkStart w:id="80" w:name="_Toc120614216"/>
      <w:r/>
      <w:bookmarkStart w:id="81" w:name="_Toc513029213"/>
      <w:r/>
      <w:bookmarkStart w:id="82" w:name="_Toc20823285"/>
      <w:r/>
      <w:bookmarkStart w:id="83" w:name="_Toc462564072"/>
      <w:r/>
      <w:bookmarkStart w:id="84" w:name="_Toc16938529"/>
      <w:r>
        <w:rPr>
          <w:rFonts w:hint="eastAsia"/>
          <w:sz w:val="30"/>
          <w:szCs w:val="30"/>
        </w:rPr>
        <w:t xml:space="preserve">三、投标文件的编制</w:t>
      </w:r>
      <w:bookmarkEnd w:id="80"/>
      <w:r/>
      <w:bookmarkEnd w:id="81"/>
      <w:r/>
      <w:bookmarkEnd w:id="82"/>
      <w:r/>
      <w:bookmarkEnd w:id="83"/>
      <w:r/>
      <w:bookmarkEnd w:id="84"/>
      <w:r/>
      <w:r/>
    </w:p>
    <w:p>
      <w:pPr>
        <w:pStyle w:val="885"/>
        <w:ind w:firstLine="422"/>
        <w:keepLines w:val="0"/>
        <w:keepNext w:val="0"/>
        <w:spacing w:before="0" w:after="0" w:line="500" w:lineRule="exact"/>
        <w:rPr>
          <w:rFonts w:hint="eastAsia" w:ascii="宋体" w:hAnsi="宋体" w:eastAsia="宋体"/>
          <w:bCs w:val="0"/>
        </w:rPr>
      </w:pPr>
      <w:r/>
      <w:bookmarkStart w:id="85" w:name="_Toc20823286"/>
      <w:r/>
      <w:bookmarkStart w:id="86" w:name="_Toc16938530"/>
      <w:r/>
      <w:bookmarkStart w:id="87" w:name="_Toc513029214"/>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885"/>
        <w:ind w:firstLine="422"/>
        <w:keepLines w:val="0"/>
        <w:keepNext w:val="0"/>
        <w:spacing w:before="0" w:after="0" w:line="500" w:lineRule="exact"/>
        <w:rPr>
          <w:rFonts w:hint="eastAsia" w:ascii="宋体" w:hAnsi="宋体" w:eastAsia="宋体"/>
          <w:bCs w:val="0"/>
        </w:rPr>
      </w:pPr>
      <w:r/>
      <w:bookmarkStart w:id="89" w:name="_Toc513029215"/>
      <w:r/>
      <w:bookmarkStart w:id="90" w:name="_Toc20823287"/>
      <w:r/>
      <w:bookmarkStart w:id="91" w:name="_Toc462564074"/>
      <w:r/>
      <w:bookmarkStart w:id="92" w:name="_Toc16938531"/>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auto"/>
          <w:sz w:val="24"/>
        </w:rPr>
      </w:pPr>
      <w:r>
        <w:rPr>
          <w:rFonts w:hint="eastAsia" w:ascii="宋体" w:hAnsi="宋体"/>
          <w:sz w:val="24"/>
        </w:rPr>
        <w:t xml:space="preserve">10</w:t>
      </w:r>
      <w:r>
        <w:rPr>
          <w:rFonts w:hint="eastAsia" w:ascii="宋体" w:hAnsi="宋体"/>
          <w:color w:val="auto"/>
          <w:sz w:val="24"/>
        </w:rPr>
        <w:t xml:space="preserve">.2投标人所须提供的相关证明文件和要求以及投标文件的部分格式要求，详见第六章《投标文件内容与格式》。</w:t>
      </w:r>
      <w:r/>
    </w:p>
    <w:p>
      <w:pPr>
        <w:ind w:firstLine="480"/>
        <w:spacing w:line="500" w:lineRule="exact"/>
        <w:rPr>
          <w:rFonts w:hint="eastAsia" w:ascii="宋体" w:hAnsi="宋体"/>
          <w:color w:val="auto"/>
          <w:sz w:val="24"/>
        </w:rPr>
      </w:pPr>
      <w:r>
        <w:rPr>
          <w:rFonts w:hint="eastAsia" w:ascii="宋体" w:hAnsi="宋体"/>
          <w:color w:val="auto"/>
          <w:sz w:val="24"/>
        </w:rPr>
        <w:t xml:space="preserve">10.3如标书制作工具中格式和内容与招标文件不一致的，请以招标文件为准。</w:t>
      </w:r>
      <w:r/>
    </w:p>
    <w:p>
      <w:pPr>
        <w:ind w:firstLine="482"/>
        <w:spacing w:line="500" w:lineRule="exact"/>
        <w:rPr>
          <w:rFonts w:hint="eastAsia" w:ascii="宋体" w:hAnsi="宋体"/>
          <w:b/>
          <w:color w:val="auto"/>
          <w:sz w:val="24"/>
          <w:u w:val="single"/>
        </w:rPr>
      </w:pPr>
      <w:r>
        <w:rPr>
          <w:rFonts w:hint="eastAsia" w:ascii="宋体" w:hAnsi="宋体"/>
          <w:b/>
          <w:color w:val="auto"/>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b/>
          <w:color w:val="auto"/>
          <w:sz w:val="24"/>
          <w:u w:val="single"/>
        </w:rPr>
      </w:pPr>
      <w:r>
        <w:rPr>
          <w:rFonts w:hint="eastAsia" w:ascii="宋体" w:hAnsi="宋体"/>
          <w:b/>
          <w:color w:val="auto"/>
          <w:sz w:val="24"/>
        </w:rPr>
        <w:t xml:space="preserve">上述《评标方法与评标标准》中技术部分不得有体现投标人身份的内容是指：</w:t>
      </w:r>
      <w:r/>
    </w:p>
    <w:p>
      <w:pPr>
        <w:ind w:firstLine="482"/>
        <w:spacing w:line="500" w:lineRule="exact"/>
        <w:rPr>
          <w:rFonts w:hint="eastAsia" w:ascii="宋体" w:hAnsi="宋体"/>
          <w:b/>
          <w:color w:val="auto"/>
          <w:sz w:val="24"/>
        </w:rPr>
      </w:pPr>
      <w:r>
        <w:rPr>
          <w:rFonts w:hint="eastAsia" w:ascii="宋体" w:hAnsi="宋体"/>
          <w:b/>
          <w:color w:val="auto"/>
          <w:sz w:val="24"/>
        </w:rPr>
        <w:t xml:space="preserve">10.4.1技术部分不得出现能够体现投标人身份、名称的相关描述、材料、文件等内容；</w:t>
      </w:r>
      <w:r/>
    </w:p>
    <w:p>
      <w:pPr>
        <w:ind w:firstLine="482"/>
        <w:spacing w:line="500" w:lineRule="exact"/>
        <w:rPr>
          <w:rFonts w:hint="eastAsia" w:ascii="宋体" w:hAnsi="宋体"/>
          <w:b/>
          <w:color w:val="auto"/>
          <w:sz w:val="24"/>
        </w:rPr>
      </w:pPr>
      <w:r>
        <w:rPr>
          <w:rFonts w:hint="eastAsia" w:ascii="宋体" w:hAnsi="宋体"/>
          <w:b/>
          <w:color w:val="auto"/>
          <w:sz w:val="24"/>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b/>
          <w:color w:val="auto"/>
          <w:sz w:val="24"/>
        </w:rPr>
      </w:pPr>
      <w:r>
        <w:rPr>
          <w:rFonts w:hint="eastAsia" w:ascii="宋体" w:hAnsi="宋体"/>
          <w:b/>
          <w:color w:val="auto"/>
          <w:sz w:val="24"/>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ascii="宋体" w:hAnsi="宋体"/>
          <w:b/>
          <w:color w:val="auto"/>
          <w:sz w:val="24"/>
        </w:rPr>
      </w:pPr>
      <w:r>
        <w:rPr>
          <w:rFonts w:hint="eastAsia" w:ascii="宋体" w:hAnsi="宋体"/>
          <w:b/>
          <w:color w:val="auto"/>
          <w:sz w:val="24"/>
        </w:rPr>
        <w:t xml:space="preserve">10.4.4不得有其他体现投标人身份的内容。</w:t>
      </w:r>
      <w:r/>
    </w:p>
    <w:p>
      <w:pPr>
        <w:pStyle w:val="885"/>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670360"/>
      <w:r/>
      <w:bookmarkEnd w:id="94"/>
      <w:r/>
      <w:bookmarkStart w:id="95" w:name="_Hlt26954838"/>
      <w:r/>
      <w:bookmarkEnd w:id="95"/>
      <w:r/>
      <w:bookmarkStart w:id="96" w:name="_Toc14577357"/>
      <w:r/>
      <w:bookmarkStart w:id="97" w:name="_Toc49090509"/>
      <w:r/>
      <w:bookmarkStart w:id="98" w:name="_Toc513029219"/>
      <w:r/>
      <w:bookmarkStart w:id="99" w:name="_Toc513029216"/>
      <w:r/>
      <w:bookmarkStart w:id="100" w:name="_Toc14577354"/>
      <w:r/>
      <w:bookmarkStart w:id="101" w:name="_Toc49090507"/>
      <w:r>
        <w:rPr>
          <w:rFonts w:hint="eastAsia" w:ascii="宋体" w:hAnsi="宋体" w:eastAsia="宋体"/>
          <w:bCs w:val="0"/>
          <w:color w:val="auto"/>
        </w:rPr>
        <w:t xml:space="preserve">11.证明投标人及投标标的符合招标文件规定的</w:t>
      </w:r>
      <w:r>
        <w:rPr>
          <w:rFonts w:hint="eastAsia" w:ascii="宋体" w:hAnsi="宋体" w:eastAsia="宋体"/>
          <w:bCs w:val="0"/>
        </w:rPr>
        <w:t xml:space="preserve">文件</w:t>
      </w:r>
      <w:bookmarkEnd w:id="96"/>
      <w:r/>
      <w:bookmarkEnd w:id="97"/>
      <w:r/>
      <w:bookmarkEnd w:id="98"/>
      <w:r/>
      <w:bookmarkEnd w:id="99"/>
      <w:r/>
      <w:bookmarkEnd w:id="100"/>
      <w:r/>
      <w:bookmarkEnd w:id="101"/>
      <w:r/>
      <w:r/>
    </w:p>
    <w:p>
      <w:pPr>
        <w:ind w:firstLine="480"/>
        <w:spacing w:line="500" w:lineRule="exact"/>
        <w:rPr>
          <w:rFonts w:hint="eastAsia" w:ascii="宋体" w:hAnsi="宋体"/>
          <w:bCs/>
          <w:sz w:val="24"/>
        </w:rPr>
      </w:pPr>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85"/>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88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85"/>
        <w:ind w:firstLine="422"/>
        <w:keepLines w:val="0"/>
        <w:keepNext w:val="0"/>
        <w:spacing w:before="0" w:after="0" w:line="500" w:lineRule="exact"/>
        <w:rPr>
          <w:rFonts w:hint="eastAsia" w:ascii="宋体" w:hAnsi="宋体" w:eastAsia="宋体"/>
          <w:bCs w:val="0"/>
        </w:rPr>
      </w:pPr>
      <w:r/>
      <w:bookmarkStart w:id="108" w:name="_Hlt26670403"/>
      <w:r/>
      <w:bookmarkEnd w:id="108"/>
      <w:r/>
      <w:bookmarkStart w:id="109" w:name="_Hlt26954848"/>
      <w:r/>
      <w:bookmarkEnd w:id="109"/>
      <w:r/>
      <w:bookmarkStart w:id="110" w:name="_Hlt26670486"/>
      <w:r/>
      <w:bookmarkEnd w:id="110"/>
      <w:r/>
      <w:bookmarkStart w:id="111" w:name="_Hlt26954846"/>
      <w:r/>
      <w:bookmarkEnd w:id="111"/>
      <w:r/>
      <w:bookmarkStart w:id="112" w:name="_Hlt26668983"/>
      <w:r/>
      <w:bookmarkEnd w:id="112"/>
      <w:r/>
      <w:bookmarkStart w:id="113" w:name="_Hlt26954842"/>
      <w:r/>
      <w:bookmarkEnd w:id="113"/>
      <w:r/>
      <w:bookmarkStart w:id="114" w:name="_Hlt26954844"/>
      <w:r/>
      <w:bookmarkEnd w:id="114"/>
      <w:r/>
      <w:bookmarkStart w:id="115" w:name="_Hlt26954731"/>
      <w:r/>
      <w:bookmarkEnd w:id="115"/>
      <w:r/>
      <w:bookmarkStart w:id="116" w:name="_Hlt26670482"/>
      <w:r/>
      <w:bookmarkEnd w:id="116"/>
      <w:r/>
      <w:bookmarkStart w:id="117" w:name="_Hlt26670425"/>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885"/>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670489"/>
      <w:r/>
      <w:bookmarkEnd w:id="119"/>
      <w:r/>
      <w:bookmarkStart w:id="120" w:name="_Hlt26954734"/>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8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84"/>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20614217"/>
      <w:r/>
      <w:bookmarkStart w:id="126" w:name="_Toc16938540"/>
      <w:r/>
      <w:bookmarkStart w:id="127" w:name="_Toc513029224"/>
      <w:r/>
      <w:bookmarkStart w:id="128" w:name="_Toc20823296"/>
      <w:r>
        <w:rPr>
          <w:rFonts w:hint="eastAsia"/>
          <w:sz w:val="30"/>
          <w:szCs w:val="30"/>
        </w:rPr>
        <w:t xml:space="preserve">四、投标文件的递交</w:t>
      </w:r>
      <w:bookmarkEnd w:id="125"/>
      <w:r/>
      <w:bookmarkEnd w:id="126"/>
      <w:r/>
      <w:bookmarkEnd w:id="127"/>
      <w:r/>
      <w:bookmarkEnd w:id="128"/>
      <w:r/>
      <w:r/>
    </w:p>
    <w:p>
      <w:pPr>
        <w:pStyle w:val="885"/>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20823297"/>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995"/>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16938542"/>
      <w:r/>
      <w:bookmarkStart w:id="135" w:name="_Toc513029226"/>
      <w:r/>
      <w:r/>
    </w:p>
    <w:p>
      <w:pPr>
        <w:pStyle w:val="88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885"/>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885"/>
        <w:ind w:firstLine="422"/>
        <w:keepLines w:val="0"/>
        <w:keepNext w:val="0"/>
        <w:spacing w:before="0" w:after="0" w:line="500" w:lineRule="exact"/>
        <w:rPr>
          <w:rFonts w:hint="eastAsia" w:ascii="宋体" w:hAnsi="宋体" w:eastAsia="宋体"/>
          <w:bCs w:val="0"/>
        </w:rPr>
      </w:pPr>
      <w:r/>
      <w:bookmarkStart w:id="139" w:name="_Toc513029228"/>
      <w:r/>
      <w:bookmarkStart w:id="140" w:name="_Toc20823300"/>
      <w:r/>
      <w:bookmarkStart w:id="141" w:name="_Toc16938544"/>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84"/>
        <w:ind w:firstLine="452"/>
        <w:keepLines w:val="0"/>
        <w:keepNext w:val="0"/>
        <w:spacing w:before="0" w:after="0" w:line="500" w:lineRule="exact"/>
        <w:rPr>
          <w:rFonts w:hint="eastAsia"/>
          <w:sz w:val="30"/>
          <w:szCs w:val="30"/>
        </w:rPr>
      </w:pPr>
      <w:r/>
      <w:bookmarkStart w:id="142" w:name="_Toc20823301"/>
      <w:r/>
      <w:bookmarkStart w:id="143" w:name="_Toc120614218"/>
      <w:r/>
      <w:bookmarkStart w:id="144" w:name="_Toc513029229"/>
      <w:r/>
      <w:bookmarkStart w:id="145" w:name="_Toc16938545"/>
      <w:r>
        <w:rPr>
          <w:rFonts w:hint="eastAsia"/>
          <w:sz w:val="30"/>
          <w:szCs w:val="30"/>
        </w:rPr>
        <w:t xml:space="preserve">五、开标与评标</w:t>
      </w:r>
      <w:bookmarkEnd w:id="142"/>
      <w:r/>
      <w:bookmarkEnd w:id="143"/>
      <w:r/>
      <w:bookmarkEnd w:id="144"/>
      <w:r/>
      <w:bookmarkEnd w:id="145"/>
      <w:r/>
      <w:r/>
    </w:p>
    <w:p>
      <w:pPr>
        <w:pStyle w:val="885"/>
        <w:ind w:firstLine="422"/>
        <w:keepLines w:val="0"/>
        <w:keepNext w:val="0"/>
        <w:spacing w:before="0" w:after="0" w:line="500" w:lineRule="exact"/>
        <w:rPr>
          <w:rFonts w:hint="eastAsia" w:ascii="宋体" w:hAnsi="宋体" w:eastAsia="宋体"/>
          <w:bCs w:val="0"/>
        </w:rPr>
      </w:pPr>
      <w:r/>
      <w:bookmarkStart w:id="146" w:name="_Toc16938546"/>
      <w:r/>
      <w:bookmarkStart w:id="147" w:name="_Toc20823302"/>
      <w:r/>
      <w:bookmarkStart w:id="148" w:name="_Toc513029230"/>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885"/>
        <w:ind w:firstLine="422"/>
        <w:keepLines w:val="0"/>
        <w:keepNext w:val="0"/>
        <w:spacing w:before="0" w:after="0" w:line="500" w:lineRule="exact"/>
        <w:rPr>
          <w:rFonts w:hint="eastAsia" w:ascii="宋体" w:hAnsi="宋体" w:eastAsia="宋体"/>
          <w:bCs w:val="0"/>
        </w:rPr>
      </w:pPr>
      <w:r/>
      <w:bookmarkStart w:id="149" w:name="_Toc16938547"/>
      <w:r/>
      <w:bookmarkStart w:id="150" w:name="_Toc20823303"/>
      <w:r/>
      <w:bookmarkStart w:id="151" w:name="_Toc513029231"/>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88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r/>
      <w:bookmarkEnd w:id="150"/>
      <w:r/>
      <w:bookmarkEnd w:id="151"/>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885"/>
        <w:ind w:firstLine="422"/>
        <w:keepLines w:val="0"/>
        <w:keepNext w:val="0"/>
        <w:spacing w:before="0" w:after="0" w:line="500" w:lineRule="exact"/>
        <w:rPr>
          <w:rFonts w:hint="eastAsia" w:ascii="宋体" w:hAnsi="宋体" w:eastAsia="宋体"/>
          <w:bCs w:val="0"/>
        </w:rPr>
      </w:pPr>
      <w:r/>
      <w:bookmarkStart w:id="152" w:name="_Toc513029232"/>
      <w:r/>
      <w:bookmarkStart w:id="153" w:name="_Toc20823304"/>
      <w:r/>
      <w:bookmarkStart w:id="154" w:name="_Toc16938548"/>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885"/>
        <w:ind w:firstLine="422"/>
        <w:keepLines w:val="0"/>
        <w:keepNext w:val="0"/>
        <w:spacing w:before="0" w:after="0" w:line="500" w:lineRule="exact"/>
        <w:rPr>
          <w:rFonts w:hint="eastAsia" w:ascii="宋体" w:hAnsi="宋体" w:eastAsia="宋体"/>
          <w:bCs w:val="0"/>
        </w:rPr>
      </w:pPr>
      <w:r/>
      <w:bookmarkStart w:id="155" w:name="_Toc20823305"/>
      <w:r/>
      <w:bookmarkStart w:id="156" w:name="_Toc513029233"/>
      <w:r/>
      <w:bookmarkStart w:id="157" w:name="_Toc16938549"/>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highlight w:val="none"/>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w:t>
      </w:r>
      <w:r>
        <w:rPr>
          <w:rFonts w:hint="eastAsia" w:ascii="宋体" w:hAnsi="宋体"/>
          <w:bCs/>
          <w:sz w:val="24"/>
          <w:highlight w:val="none"/>
        </w:rPr>
        <w:t xml:space="preserve">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highlight w:val="none"/>
        </w:rPr>
      </w:pPr>
      <w:r/>
      <w:bookmarkStart w:id="158" w:name="_Toc20823306"/>
      <w:r/>
      <w:bookmarkStart w:id="159" w:name="_Toc16938550"/>
      <w:r/>
      <w:bookmarkStart w:id="160" w:name="_Toc513029234"/>
      <w:r>
        <w:rPr>
          <w:rFonts w:hint="eastAsia" w:ascii="宋体" w:hAnsi="宋体"/>
          <w:sz w:val="24"/>
          <w:highlight w:val="none"/>
        </w:rPr>
        <w:t xml:space="preserve">25.6投标人在开、评标全过程中应保持通讯畅通，及时登录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93"/>
        <w:ind w:firstLine="480"/>
        <w:rPr>
          <w:rFonts w:hint="eastAsia" w:ascii="宋体" w:hAnsi="宋体" w:eastAsia="宋体"/>
          <w:bCs/>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885"/>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1" w:name="_Toc16938551"/>
      <w:r/>
      <w:bookmarkStart w:id="162" w:name="_Toc20823307"/>
      <w:r/>
      <w:bookmarkStart w:id="163" w:name="_Toc513029235"/>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highlight w:val="none"/>
        </w:rPr>
        <w:t xml:space="preserve">26.1.6投标人不具备招标文件中规定的资格要求或未按招</w:t>
      </w:r>
      <w:r>
        <w:rPr>
          <w:rFonts w:hint="eastAsia" w:ascii="宋体" w:hAnsi="宋体"/>
          <w:bCs/>
          <w:sz w:val="24"/>
          <w:szCs w:val="24"/>
        </w:rPr>
        <w:t xml:space="preserve">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highlight w:val="none"/>
        </w:rPr>
      </w:pPr>
      <w:r>
        <w:rPr>
          <w:rFonts w:hint="eastAsia" w:ascii="宋体" w:hAnsi="宋体"/>
          <w:bCs/>
          <w:sz w:val="24"/>
        </w:rPr>
        <w:t xml:space="preserve">26.1.19不同投标人的投标资料相互混装、不同投标人的委托代理人、项目负责人以及其他相关人员有</w:t>
      </w:r>
      <w:r>
        <w:rPr>
          <w:rFonts w:hint="eastAsia" w:ascii="宋体" w:hAnsi="宋体"/>
          <w:bCs/>
          <w:sz w:val="24"/>
          <w:highlight w:val="none"/>
        </w:rPr>
        <w:t xml:space="preserve">在同一个单位缴纳社会保险、同一投标文件中单位名称落款与公章不是同一单位的。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highlight w:val="none"/>
          <w:shd w:val="clear" w:color="ffffff" w:fill="d9d9d9"/>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84"/>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885"/>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8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88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84"/>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20823308"/>
      <w:r/>
      <w:bookmarkStart w:id="172" w:name="_Toc16938552"/>
      <w:r>
        <w:rPr>
          <w:rFonts w:hint="eastAsia"/>
          <w:sz w:val="30"/>
          <w:szCs w:val="30"/>
        </w:rPr>
        <w:t xml:space="preserve">七、授予合同</w:t>
      </w:r>
      <w:bookmarkEnd w:id="169"/>
      <w:r/>
      <w:bookmarkEnd w:id="170"/>
      <w:r/>
      <w:bookmarkEnd w:id="171"/>
      <w:r/>
      <w:bookmarkEnd w:id="172"/>
      <w:r/>
      <w:r/>
    </w:p>
    <w:p>
      <w:pPr>
        <w:pStyle w:val="885"/>
        <w:ind w:firstLine="422"/>
        <w:keepLines w:val="0"/>
        <w:keepNext w:val="0"/>
        <w:spacing w:before="0" w:after="0" w:line="500" w:lineRule="exact"/>
        <w:rPr>
          <w:rFonts w:hint="eastAsia" w:ascii="宋体" w:hAnsi="宋体" w:eastAsia="宋体"/>
          <w:bCs w:val="0"/>
        </w:rPr>
      </w:pPr>
      <w:r/>
      <w:bookmarkStart w:id="173" w:name="_Toc16938553"/>
      <w:r/>
      <w:bookmarkStart w:id="174" w:name="_Toc20823309"/>
      <w:r/>
      <w:bookmarkStart w:id="175" w:name="_Toc513029237"/>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8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500" w:lineRule="exact"/>
        <w:tabs>
          <w:tab w:val="left" w:pos="1440" w:leader="none"/>
        </w:tabs>
        <w:rPr>
          <w:rFonts w:hint="eastAsia" w:ascii="黑体" w:hAnsi="黑体" w:eastAsia="黑体"/>
          <w:sz w:val="36"/>
          <w:szCs w:val="36"/>
        </w:rPr>
        <w:outlineLvl w:val="0"/>
      </w:pPr>
      <w:r/>
      <w:bookmarkStart w:id="176" w:name="_Toc513029242"/>
      <w:r/>
      <w:bookmarkStart w:id="177" w:name="_Toc479757207"/>
      <w:r/>
      <w:bookmarkStart w:id="178" w:name="_Toc120614221"/>
      <w:r/>
      <w:bookmarkStart w:id="179" w:name="_Toc20823314"/>
      <w:r/>
      <w:bookmarkStart w:id="180" w:name="_Toc16938558"/>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513029243"/>
      <w:r/>
      <w:bookmarkStart w:id="182" w:name="_Toc16938559"/>
      <w:r/>
      <w:bookmarkStart w:id="183" w:name="_Toc20823315"/>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rPr>
        <w:outlineLvl w:val="0"/>
      </w:pPr>
      <w:r>
        <w:rPr>
          <w:rFonts w:hint="eastAsia" w:ascii="宋体" w:hAnsi="宋体"/>
          <w:b/>
          <w:color w:val="auto"/>
          <w:sz w:val="30"/>
        </w:rPr>
        <w:t xml:space="preserve">江苏省政府采购合同（服务）</w:t>
      </w:r>
      <w:r/>
    </w:p>
    <w:p>
      <w:pPr>
        <w:pStyle w:val="905"/>
        <w:spacing w:line="400" w:lineRule="exact"/>
        <w:rPr>
          <w:rFonts w:hAnsi="宋体"/>
          <w:sz w:val="24"/>
          <w:szCs w:val="24"/>
        </w:rPr>
      </w:pPr>
      <w:r>
        <w:rPr>
          <w:rFonts w:hAnsi="宋体"/>
          <w:sz w:val="24"/>
          <w:szCs w:val="24"/>
        </w:rPr>
        <w:t xml:space="preserve">项目名称：                                       项目编号：</w:t>
      </w:r>
      <w:r/>
    </w:p>
    <w:p>
      <w:pPr>
        <w:pStyle w:val="905"/>
        <w:spacing w:line="400" w:lineRule="exact"/>
        <w:rPr>
          <w:rFonts w:hAnsi="宋体"/>
          <w:sz w:val="24"/>
          <w:szCs w:val="24"/>
        </w:rPr>
      </w:pPr>
      <w:r>
        <w:rPr>
          <w:rFonts w:hAnsi="宋体"/>
          <w:sz w:val="24"/>
          <w:szCs w:val="24"/>
        </w:rPr>
        <w:t xml:space="preserve">甲方：（买方、需方、采购人）_________</w:t>
      </w:r>
      <w:r/>
    </w:p>
    <w:p>
      <w:pPr>
        <w:pStyle w:val="905"/>
        <w:spacing w:line="400" w:lineRule="exact"/>
        <w:rPr>
          <w:rFonts w:hint="eastAsia" w:hAnsi="宋体"/>
          <w:sz w:val="24"/>
          <w:szCs w:val="24"/>
        </w:rPr>
      </w:pPr>
      <w:r>
        <w:rPr>
          <w:rFonts w:hAnsi="宋体"/>
          <w:sz w:val="24"/>
          <w:szCs w:val="24"/>
        </w:rPr>
        <w:t xml:space="preserve">乙方：（卖方、供方、供应商）_________</w:t>
      </w:r>
      <w:r/>
    </w:p>
    <w:p>
      <w:pPr>
        <w:pStyle w:val="905"/>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pStyle w:val="905"/>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05"/>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05"/>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05"/>
        <w:ind w:firstLine="480"/>
        <w:spacing w:line="400" w:lineRule="exact"/>
        <w:rPr>
          <w:rFonts w:hint="eastAsia" w:hAnsi="宋体"/>
          <w:sz w:val="24"/>
          <w:szCs w:val="24"/>
        </w:rPr>
      </w:pPr>
      <w:r>
        <w:rPr>
          <w:rFonts w:hint="eastAsia" w:hAnsi="宋体"/>
          <w:sz w:val="24"/>
          <w:szCs w:val="24"/>
        </w:rPr>
        <w:t xml:space="preserve">1.3 标的数量（规模）：</w:t>
      </w:r>
      <w:r/>
    </w:p>
    <w:p>
      <w:pPr>
        <w:pStyle w:val="905"/>
        <w:ind w:firstLine="480"/>
        <w:spacing w:line="400" w:lineRule="exact"/>
        <w:rPr>
          <w:rFonts w:hint="eastAsia" w:hAnsi="宋体"/>
          <w:sz w:val="24"/>
          <w:szCs w:val="24"/>
        </w:rPr>
      </w:pPr>
      <w:r>
        <w:rPr>
          <w:rFonts w:hint="eastAsia" w:hAnsi="宋体"/>
          <w:sz w:val="24"/>
          <w:szCs w:val="24"/>
        </w:rPr>
        <w:t xml:space="preserve">1.4 履行时间（期限）：</w:t>
      </w:r>
      <w:r/>
    </w:p>
    <w:p>
      <w:pPr>
        <w:pStyle w:val="905"/>
        <w:ind w:firstLine="480"/>
        <w:spacing w:line="400" w:lineRule="exact"/>
        <w:rPr>
          <w:rFonts w:hAnsi="宋体"/>
          <w:sz w:val="24"/>
          <w:szCs w:val="24"/>
        </w:rPr>
      </w:pPr>
      <w:r>
        <w:rPr>
          <w:rFonts w:hint="eastAsia" w:hAnsi="宋体"/>
          <w:sz w:val="24"/>
          <w:szCs w:val="24"/>
        </w:rPr>
        <w:t xml:space="preserve">1.5 履行地点：</w:t>
      </w:r>
      <w:r/>
    </w:p>
    <w:p>
      <w:pPr>
        <w:pStyle w:val="90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905"/>
        <w:ind w:firstLine="482"/>
        <w:spacing w:line="400" w:lineRule="exact"/>
        <w:rPr>
          <w:rFonts w:hAnsi="宋体"/>
          <w:b/>
          <w:sz w:val="24"/>
          <w:szCs w:val="24"/>
        </w:rPr>
      </w:pPr>
      <w:r>
        <w:rPr>
          <w:rFonts w:hAnsi="宋体"/>
          <w:b/>
          <w:sz w:val="24"/>
          <w:szCs w:val="24"/>
        </w:rPr>
        <w:t xml:space="preserve">二、合同金额</w:t>
      </w:r>
      <w:r/>
    </w:p>
    <w:p>
      <w:pPr>
        <w:pStyle w:val="905"/>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pStyle w:val="905"/>
        <w:ind w:firstLine="482"/>
        <w:spacing w:line="400" w:lineRule="exact"/>
        <w:rPr>
          <w:rFonts w:hAnsi="宋体"/>
          <w:b/>
          <w:sz w:val="24"/>
          <w:szCs w:val="24"/>
        </w:rPr>
      </w:pPr>
      <w:r>
        <w:rPr>
          <w:rFonts w:hAnsi="宋体"/>
          <w:b/>
          <w:sz w:val="24"/>
          <w:szCs w:val="24"/>
        </w:rPr>
        <w:t xml:space="preserve">三、技术资料</w:t>
      </w:r>
      <w:r/>
    </w:p>
    <w:p>
      <w:pPr>
        <w:pStyle w:val="905"/>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05"/>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05"/>
        <w:ind w:firstLine="482"/>
        <w:spacing w:line="400" w:lineRule="exact"/>
        <w:rPr>
          <w:rFonts w:hAnsi="宋体"/>
          <w:b/>
          <w:sz w:val="24"/>
          <w:szCs w:val="24"/>
        </w:rPr>
      </w:pPr>
      <w:r>
        <w:rPr>
          <w:rFonts w:hAnsi="宋体"/>
          <w:b/>
          <w:sz w:val="24"/>
          <w:szCs w:val="24"/>
        </w:rPr>
        <w:t xml:space="preserve">四、知识产权</w:t>
      </w:r>
      <w:r/>
    </w:p>
    <w:p>
      <w:pPr>
        <w:pStyle w:val="905"/>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05"/>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pStyle w:val="905"/>
        <w:ind w:firstLine="482"/>
        <w:spacing w:line="400" w:lineRule="exact"/>
        <w:rPr>
          <w:rFonts w:hAnsi="宋体"/>
          <w:sz w:val="24"/>
          <w:szCs w:val="24"/>
          <w:u w:val="single"/>
        </w:rPr>
      </w:pPr>
      <w:r>
        <w:rPr>
          <w:rFonts w:hAnsi="宋体"/>
          <w:b/>
          <w:sz w:val="24"/>
          <w:szCs w:val="24"/>
        </w:rPr>
        <w:t xml:space="preserve">五、产权担保</w:t>
      </w:r>
      <w:r/>
    </w:p>
    <w:p>
      <w:pPr>
        <w:pStyle w:val="905"/>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05"/>
        <w:ind w:firstLine="482"/>
        <w:spacing w:line="400" w:lineRule="exact"/>
        <w:rPr>
          <w:rFonts w:hAnsi="宋体"/>
          <w:b/>
          <w:sz w:val="24"/>
          <w:szCs w:val="24"/>
        </w:rPr>
      </w:pPr>
      <w:r>
        <w:rPr>
          <w:rFonts w:hAnsi="宋体"/>
          <w:b/>
          <w:sz w:val="24"/>
          <w:szCs w:val="24"/>
        </w:rPr>
        <w:t xml:space="preserve">六、履约保证金</w:t>
      </w:r>
      <w:r/>
    </w:p>
    <w:p>
      <w:pPr>
        <w:pStyle w:val="905"/>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p>
    <w:p>
      <w:pPr>
        <w:pStyle w:val="905"/>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p>
    <w:p>
      <w:pPr>
        <w:pStyle w:val="905"/>
        <w:ind w:firstLine="480"/>
        <w:spacing w:line="400" w:lineRule="exact"/>
        <w:rPr>
          <w:rFonts w:hint="eastAsia" w:hAnsi="宋体"/>
          <w:sz w:val="24"/>
          <w:szCs w:val="24"/>
        </w:rPr>
      </w:pPr>
      <w:r>
        <w:rPr>
          <w:rFonts w:hint="eastAsia" w:hAnsi="宋体"/>
          <w:sz w:val="24"/>
          <w:szCs w:val="24"/>
        </w:rPr>
        <w:t xml:space="preserve">6.2.1履约保证金退还方式：</w:t>
      </w:r>
      <w:r/>
    </w:p>
    <w:p>
      <w:pPr>
        <w:pStyle w:val="905"/>
        <w:ind w:firstLine="480"/>
        <w:spacing w:line="400" w:lineRule="exact"/>
        <w:rPr>
          <w:rFonts w:hint="eastAsia" w:hAnsi="宋体"/>
          <w:sz w:val="24"/>
          <w:szCs w:val="24"/>
        </w:rPr>
      </w:pPr>
      <w:r>
        <w:rPr>
          <w:rFonts w:hint="eastAsia" w:hAnsi="宋体"/>
          <w:sz w:val="24"/>
          <w:szCs w:val="24"/>
        </w:rPr>
        <w:t xml:space="preserve">6.2.2履约保证金退还时间：</w:t>
      </w:r>
      <w:r/>
    </w:p>
    <w:p>
      <w:pPr>
        <w:pStyle w:val="905"/>
        <w:ind w:firstLine="480"/>
        <w:spacing w:line="400" w:lineRule="exact"/>
        <w:rPr>
          <w:rFonts w:hint="eastAsia" w:hAnsi="宋体"/>
          <w:sz w:val="24"/>
          <w:szCs w:val="24"/>
        </w:rPr>
      </w:pPr>
      <w:r>
        <w:rPr>
          <w:rFonts w:hint="eastAsia" w:hAnsi="宋体"/>
          <w:sz w:val="24"/>
          <w:szCs w:val="24"/>
        </w:rPr>
        <w:t xml:space="preserve">6.2.3履约保证金退还条件：</w:t>
      </w:r>
      <w:r/>
    </w:p>
    <w:p>
      <w:pPr>
        <w:pStyle w:val="905"/>
        <w:ind w:firstLine="480"/>
        <w:spacing w:line="400" w:lineRule="exact"/>
        <w:rPr>
          <w:rFonts w:hAnsi="宋体"/>
          <w:sz w:val="24"/>
          <w:szCs w:val="24"/>
        </w:rPr>
      </w:pPr>
      <w:r>
        <w:rPr>
          <w:rFonts w:hint="eastAsia" w:hAnsi="宋体"/>
          <w:sz w:val="24"/>
          <w:szCs w:val="24"/>
        </w:rPr>
        <w:t xml:space="preserve">6.2.4履约保证金不予退还的情形：</w:t>
      </w:r>
      <w:r/>
    </w:p>
    <w:p>
      <w:pPr>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p>
    <w:p>
      <w:pPr>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05"/>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05"/>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905"/>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p>
    <w:p>
      <w:pPr>
        <w:pStyle w:val="905"/>
        <w:ind w:firstLine="480"/>
        <w:spacing w:line="400" w:lineRule="exact"/>
        <w:rPr>
          <w:rFonts w:hint="eastAsia" w:hAnsi="宋体"/>
          <w:sz w:val="24"/>
          <w:szCs w:val="24"/>
        </w:rPr>
      </w:pPr>
      <w:r>
        <w:rPr>
          <w:rFonts w:hint="eastAsia" w:hAnsi="宋体"/>
          <w:sz w:val="24"/>
          <w:szCs w:val="24"/>
        </w:rPr>
        <w:t xml:space="preserve">8.1.2 尾款支付时间：服务结束并验收合格,采购人收到发票后10个工作日内，尾款支付比例：合同金额的</w:t>
      </w:r>
      <w:r>
        <w:rPr>
          <w:rFonts w:hint="eastAsia" w:hAnsi="宋体"/>
          <w:sz w:val="24"/>
          <w:szCs w:val="24"/>
          <w:u w:val="single"/>
        </w:rPr>
        <w:t xml:space="preserve">  </w:t>
      </w:r>
      <w:r>
        <w:rPr>
          <w:rFonts w:hint="eastAsia" w:hAnsi="宋体"/>
          <w:sz w:val="24"/>
          <w:szCs w:val="24"/>
        </w:rPr>
        <w:t xml:space="preserve">%。</w:t>
      </w:r>
      <w:r/>
    </w:p>
    <w:p>
      <w:pPr>
        <w:pStyle w:val="905"/>
        <w:spacing w:line="400" w:lineRule="exact"/>
        <w:rPr>
          <w:rFonts w:hint="eastAsia" w:hAnsi="宋体"/>
          <w:bCs/>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2"/>
        <w:spacing w:line="400" w:lineRule="exact"/>
        <w:rPr>
          <w:rFonts w:ascii="宋体" w:hAnsi="宋体" w:eastAsia="仿宋_GB2312"/>
          <w:b/>
          <w:sz w:val="24"/>
          <w:szCs w:val="24"/>
        </w:rPr>
      </w:pPr>
      <w:r>
        <w:rPr>
          <w:rFonts w:hint="eastAsia" w:ascii="宋体" w:hAnsi="宋体"/>
          <w:b/>
          <w:sz w:val="24"/>
          <w:szCs w:val="24"/>
        </w:rPr>
        <w:t xml:space="preserve">九、税费</w:t>
      </w:r>
      <w:r/>
    </w:p>
    <w:p>
      <w:pPr>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05"/>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05"/>
        <w:ind w:firstLine="480"/>
        <w:spacing w:line="400" w:lineRule="exact"/>
        <w:rPr>
          <w:rFonts w:hint="eastAsia" w:hAnsi="宋体"/>
          <w:sz w:val="24"/>
          <w:szCs w:val="24"/>
        </w:rPr>
      </w:pPr>
      <w:r>
        <w:rPr>
          <w:rFonts w:hint="eastAsia" w:hAnsi="宋体"/>
          <w:sz w:val="24"/>
          <w:szCs w:val="24"/>
        </w:rPr>
        <w:t xml:space="preserve">10.1 甲方依法组织履约验收工作。</w:t>
      </w:r>
      <w:r/>
    </w:p>
    <w:p>
      <w:pPr>
        <w:pStyle w:val="905"/>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05"/>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05"/>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05"/>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05"/>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05"/>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0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0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0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0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05"/>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0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0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0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05"/>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05"/>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05"/>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、合同生效及其他</w:t>
      </w:r>
      <w:r/>
    </w:p>
    <w:p>
      <w:pPr>
        <w:pStyle w:val="90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0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w:t>
      </w:r>
      <w:r>
        <w:rPr>
          <w:rFonts w:hAnsi="宋体"/>
          <w:sz w:val="24"/>
          <w:szCs w:val="24"/>
        </w:rPr>
        <w:t xml:space="preserve">有关条文执行。</w:t>
      </w:r>
      <w:r/>
    </w:p>
    <w:p>
      <w:pPr>
        <w:pStyle w:val="90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05"/>
        <w:ind w:left="480" w:hanging="480"/>
        <w:spacing w:line="400" w:lineRule="exact"/>
        <w:rPr>
          <w:rFonts w:hAnsi="宋体"/>
          <w:sz w:val="24"/>
          <w:szCs w:val="24"/>
        </w:rPr>
      </w:pPr>
      <w:r>
        <w:rPr>
          <w:rFonts w:hAnsi="宋体"/>
          <w:sz w:val="24"/>
          <w:szCs w:val="24"/>
        </w:rPr>
        <w:t xml:space="preserve">  甲方：                        乙方： </w:t>
      </w:r>
      <w:r/>
    </w:p>
    <w:p>
      <w:pPr>
        <w:pStyle w:val="905"/>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05"/>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05"/>
        <w:ind w:firstLine="240"/>
        <w:spacing w:line="400" w:lineRule="exact"/>
        <w:rPr>
          <w:rFonts w:hint="eastAsia"/>
        </w:rPr>
      </w:pPr>
      <w:r>
        <w:rPr>
          <w:rFonts w:hint="eastAsia" w:hAnsi="宋体"/>
          <w:sz w:val="24"/>
          <w:szCs w:val="24"/>
        </w:rPr>
        <w:t xml:space="preserve">联系电话：                    联系电话：          </w:t>
      </w:r>
      <w:r/>
    </w:p>
    <w:p>
      <w:pPr>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pPr>
        <w:jc w:val="center"/>
        <w:spacing w:line="500" w:lineRule="exact"/>
        <w:tabs>
          <w:tab w:val="left" w:pos="1440" w:leader="none"/>
        </w:tabs>
        <w:rPr>
          <w:rFonts w:hint="eastAsia" w:ascii="黑体" w:hAnsi="黑体" w:eastAsia="黑体"/>
          <w:sz w:val="36"/>
          <w:szCs w:val="36"/>
        </w:rPr>
        <w:outlineLvl w:val="0"/>
      </w:pPr>
      <w:r>
        <w:rPr>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26554093"/>
      <w:r/>
      <w:bookmarkStart w:id="192" w:name="_Toc49090575"/>
      <w:r>
        <w:rPr>
          <w:rFonts w:hint="eastAsia" w:ascii="黑体" w:hAnsi="黑体" w:eastAsia="黑体"/>
          <w:color w:val="auto"/>
          <w:sz w:val="30"/>
          <w:szCs w:val="30"/>
        </w:rPr>
        <w:t xml:space="preserve">本项目属性：服务类项目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rFonts w:ascii="宋体" w:hAnsi="宋体"/>
          <w:bCs/>
          <w:color w:val="auto"/>
          <w:sz w:val="24"/>
          <w:szCs w:val="24"/>
          <w:highlight w:val="yellow"/>
        </w:rPr>
      </w:pPr>
      <w:r>
        <w:rPr>
          <w:rFonts w:hint="eastAsia" w:ascii="宋体" w:hAnsi="宋体"/>
          <w:bCs/>
          <w:color w:val="auto"/>
          <w:sz w:val="24"/>
          <w:szCs w:val="24"/>
        </w:rPr>
        <w:t xml:space="preserve">本项目标的物所属行业：详见项目技术要求</w:t>
      </w:r>
      <w:r/>
    </w:p>
    <w:p>
      <w:pPr>
        <w:ind w:firstLine="480"/>
        <w:spacing w:line="360" w:lineRule="auto"/>
        <w:rPr>
          <w:rFonts w:hint="eastAsia" w:ascii="宋体" w:hAnsi="宋体"/>
          <w:i/>
          <w:color w:val="00b050"/>
          <w:sz w:val="24"/>
          <w:szCs w:val="24"/>
        </w:rPr>
      </w:pPr>
      <w:r>
        <w:rPr>
          <w:rFonts w:hint="eastAsia" w:ascii="宋体" w:hAnsi="宋体"/>
          <w:i/>
          <w:color w:val="00b050"/>
          <w:sz w:val="24"/>
          <w:szCs w:val="24"/>
        </w:rPr>
      </w:r>
      <w:r/>
    </w:p>
    <w:p>
      <w:pPr>
        <w:ind w:firstLine="602"/>
        <w:spacing w:line="360" w:lineRule="auto"/>
        <w:rPr>
          <w:rFonts w:ascii="宋体" w:hAnsi="宋体"/>
          <w:b/>
          <w:color w:val="000000"/>
          <w:sz w:val="30"/>
          <w:szCs w:val="30"/>
          <w:u w:val="none"/>
        </w:rPr>
      </w:pPr>
      <w:r>
        <w:rPr>
          <w:rFonts w:hint="eastAsia" w:ascii="宋体" w:hAnsi="宋体"/>
          <w:b/>
          <w:color w:val="000000"/>
          <w:sz w:val="30"/>
          <w:szCs w:val="30"/>
          <w:u w:val="none"/>
        </w:rPr>
        <w:t xml:space="preserve">第一部分  项目技术要求</w:t>
      </w:r>
      <w:r/>
    </w:p>
    <w:p>
      <w:pPr>
        <w:pStyle w:val="883"/>
        <w:numPr>
          <w:ilvl w:val="0"/>
          <w:numId w:val="5"/>
        </w:numPr>
        <w:ind w:left="0"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项目概述</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无锡高新区锡企服务平台新吴旗舰店（锡新通）系“1+10”架构，即1个平台数据中心，党建引领、政策服务、资金兑现、供需对接、金融服务、活动中心、企服超市、人才服务、企业风采、行政审批等10个模块。此次锡新通升级改造涉及锡新通门户、基础应用支撑系统、政策申报和兑现系统、惠企政策服务系统、增值服务系统共5大子系统，主要从以下几个方面对系统进行全面升级改造：</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1.实现体系架构升级，提升系统应用支撑能力和安全性。</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2.用户界面升级，体现整体与部门特色。</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3.提升新吴旗舰店水平，充分共享互动。</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4.优化应用管理，实现应用模块的快速部署与灵活管理。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5.优化服务事项，统一涉企服务政策事项。</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6.建立企业数据要素库，充分实现数据要素价值。</w:t>
      </w:r>
      <w:r/>
    </w:p>
    <w:p>
      <w:pPr>
        <w:pStyle w:val="883"/>
        <w:numPr>
          <w:ilvl w:val="0"/>
          <w:numId w:val="5"/>
        </w:numPr>
        <w:ind w:left="0"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建设目标</w:t>
      </w:r>
      <w:r/>
    </w:p>
    <w:p>
      <w:pPr>
        <w:ind w:firstLine="480"/>
        <w:spacing w:line="500" w:lineRule="exact"/>
        <w:rPr>
          <w:rFonts w:hint="eastAsia" w:ascii="宋体" w:hAnsi="宋体" w:eastAsia="宋体" w:cs="宋体"/>
          <w:sz w:val="24"/>
          <w:szCs w:val="24"/>
        </w:rPr>
      </w:pPr>
      <w:r/>
      <w:bookmarkStart w:id="193" w:name="_Hlk212015671"/>
      <w:r>
        <w:rPr>
          <w:rFonts w:hint="eastAsia" w:ascii="宋体" w:hAnsi="宋体" w:eastAsia="宋体" w:cs="宋体"/>
          <w:sz w:val="24"/>
          <w:szCs w:val="24"/>
        </w:rPr>
        <w:t xml:space="preserve">无锡高新区锡企服务平台新吴旗舰店（锡新通）建设目标为以下几个方面：一是更进一步展现高新区形象，扩大双创主体与各局委办沟通交流的窗口，以建设特定门户或特色专区集中展现特色和服务供给；二是在已建成的系统框架之上，根据新颁布的《无锡高新区关于科技企业精准培育的实施办法》及1+N政策体系，对科技相关政策模块进行调整升级，力求与政策相</w:t>
      </w:r>
      <w:r>
        <w:rPr>
          <w:rFonts w:hint="eastAsia" w:ascii="宋体" w:hAnsi="宋体" w:eastAsia="宋体" w:cs="宋体"/>
          <w:sz w:val="24"/>
          <w:szCs w:val="24"/>
        </w:rPr>
        <w:t xml:space="preserve">适配，与科技创新服务工作及科技创新企业需求相契合；三是积极引入智能AI技术，对服务进行更交互化和社交化的升级，全面提升政企交流沟通效率，强化科技成果对企业服务的支撑；四是根据新需求和新变化，新建多个申报系统和数据库，促进企业服务更加多层次和立体化，规范服务标准、强化动态监管、创建综合评价体系，实现科学绩效评估，推动互联网与企业服务深度融合，支撑企业服务全生命周期管理与服务；五是在科技企业梯度培育与申报管理的部分场景尝试数据贯通，落实“放管服”减少企业申报、交互成本，通过不同场景的数据代入，提升企业交互体验。</w:t>
      </w:r>
      <w:r/>
    </w:p>
    <w:p>
      <w:pPr>
        <w:pStyle w:val="883"/>
        <w:numPr>
          <w:ilvl w:val="0"/>
          <w:numId w:val="5"/>
        </w:numPr>
        <w:ind w:left="0"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主要建设内容</w:t>
      </w:r>
      <w:r/>
    </w:p>
    <w:p>
      <w:pPr>
        <w:pStyle w:val="884"/>
        <w:numPr>
          <w:ilvl w:val="0"/>
          <w:numId w:val="6"/>
        </w:numPr>
        <w:spacing w:before="0" w:after="0" w:line="500" w:lineRule="exact"/>
        <w:rPr>
          <w:rFonts w:hint="eastAsia" w:ascii="宋体" w:hAnsi="宋体" w:eastAsia="宋体" w:cs="宋体"/>
          <w:sz w:val="24"/>
          <w:szCs w:val="24"/>
        </w:rPr>
      </w:pPr>
      <w:r/>
      <w:bookmarkStart w:id="194" w:name="_Toc2048"/>
      <w:r/>
      <w:bookmarkStart w:id="195" w:name="_Toc156464840"/>
      <w:r>
        <w:rPr>
          <w:rFonts w:hint="eastAsia" w:ascii="宋体" w:hAnsi="宋体" w:eastAsia="宋体" w:cs="宋体"/>
          <w:sz w:val="24"/>
          <w:szCs w:val="24"/>
        </w:rPr>
        <w:t xml:space="preserve">锡新通门户</w:t>
      </w:r>
      <w:bookmarkEnd w:id="194"/>
      <w:r/>
      <w:bookmarkEnd w:id="195"/>
      <w:r/>
      <w:r/>
    </w:p>
    <w:p>
      <w:pPr>
        <w:pStyle w:val="885"/>
        <w:numPr>
          <w:ilvl w:val="0"/>
          <w:numId w:val="7"/>
        </w:numPr>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锡新通PC门户</w:t>
      </w:r>
      <w:r/>
    </w:p>
    <w:p>
      <w:pPr>
        <w:ind w:firstLine="570"/>
        <w:spacing w:line="500" w:lineRule="exact"/>
        <w:rPr>
          <w:rFonts w:hint="eastAsia" w:ascii="宋体" w:hAnsi="宋体" w:eastAsia="宋体" w:cs="宋体"/>
          <w:sz w:val="24"/>
          <w:szCs w:val="24"/>
        </w:rPr>
      </w:pPr>
      <w:r>
        <w:rPr>
          <w:rFonts w:hint="eastAsia" w:ascii="宋体" w:hAnsi="宋体" w:eastAsia="宋体" w:cs="宋体"/>
          <w:sz w:val="24"/>
          <w:szCs w:val="24"/>
        </w:rPr>
        <w:t xml:space="preserve">以企业需求为导向，重构设计PC门户，全面提升服务体验。包括首页重构、导航栏调整以及风格统一等。并基于首页和用户中心，完成PC端各类应用面向公众和登录用户的功能集成。</w:t>
      </w:r>
      <w:r/>
    </w:p>
    <w:p>
      <w:pPr>
        <w:pStyle w:val="885"/>
        <w:numPr>
          <w:ilvl w:val="0"/>
          <w:numId w:val="7"/>
        </w:numPr>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科技创新服务门户</w:t>
      </w:r>
      <w:r/>
    </w:p>
    <w:p>
      <w:pPr>
        <w:ind w:firstLine="570"/>
        <w:spacing w:line="500" w:lineRule="exact"/>
        <w:rPr>
          <w:rFonts w:hint="eastAsia" w:ascii="宋体" w:hAnsi="宋体" w:eastAsia="宋体" w:cs="宋体"/>
          <w:sz w:val="24"/>
          <w:szCs w:val="24"/>
        </w:rPr>
      </w:pPr>
      <w:r>
        <w:rPr>
          <w:rFonts w:hint="eastAsia" w:ascii="宋体" w:hAnsi="宋体" w:eastAsia="宋体" w:cs="宋体"/>
          <w:sz w:val="24"/>
          <w:szCs w:val="24"/>
        </w:rPr>
        <w:t xml:space="preserve">按照科技创新领域各项业务模块对服务对象需求和业务条线进行分类，建设科技特色专区，优化专区总体布局，让服务的科技企业用户可以清晰、便捷的浏览查询科技资讯、产学研、技术交易、创新积分、政策申报、特色园区、科技招商等动态信息。</w:t>
      </w:r>
      <w:r/>
    </w:p>
    <w:p>
      <w:pPr>
        <w:pStyle w:val="885"/>
        <w:numPr>
          <w:ilvl w:val="0"/>
          <w:numId w:val="7"/>
        </w:numPr>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企业诉求管理</w:t>
      </w:r>
      <w:r/>
    </w:p>
    <w:p>
      <w:pPr>
        <w:ind w:firstLine="570"/>
        <w:spacing w:line="500" w:lineRule="exact"/>
        <w:rPr>
          <w:rFonts w:hint="eastAsia" w:ascii="宋体" w:hAnsi="宋体" w:eastAsia="宋体" w:cs="宋体"/>
          <w:sz w:val="24"/>
          <w:szCs w:val="24"/>
        </w:rPr>
      </w:pPr>
      <w:r>
        <w:rPr>
          <w:rFonts w:hint="eastAsia" w:ascii="宋体" w:hAnsi="宋体" w:eastAsia="宋体" w:cs="宋体"/>
          <w:sz w:val="24"/>
          <w:szCs w:val="24"/>
        </w:rPr>
        <w:t xml:space="preserve">以企业诉求为导向，新增企业诉求管理模块，全面提升服务体验，为企业、机构及个人用户提供更便捷的应用和服务。</w:t>
      </w:r>
      <w:r/>
    </w:p>
    <w:p>
      <w:pPr>
        <w:pStyle w:val="884"/>
        <w:numPr>
          <w:ilvl w:val="0"/>
          <w:numId w:val="6"/>
        </w:numPr>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锡新通基础应用支撑系统</w:t>
      </w:r>
      <w:r/>
    </w:p>
    <w:p>
      <w:pPr>
        <w:pStyle w:val="885"/>
        <w:numPr>
          <w:ilvl w:val="0"/>
          <w:numId w:val="8"/>
        </w:numPr>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锡新通应用支撑系统</w:t>
      </w:r>
      <w:r/>
    </w:p>
    <w:p>
      <w:pPr>
        <w:ind w:firstLine="570"/>
        <w:spacing w:line="500" w:lineRule="exact"/>
        <w:rPr>
          <w:rFonts w:hint="eastAsia" w:ascii="宋体" w:hAnsi="宋体" w:eastAsia="宋体" w:cs="宋体"/>
          <w:sz w:val="24"/>
          <w:szCs w:val="24"/>
        </w:rPr>
      </w:pPr>
      <w:r>
        <w:rPr>
          <w:rFonts w:hint="eastAsia" w:ascii="宋体" w:hAnsi="宋体" w:eastAsia="宋体" w:cs="宋体"/>
          <w:sz w:val="24"/>
          <w:szCs w:val="24"/>
        </w:rPr>
        <w:t xml:space="preserve">锡企服务平台新吴旗舰店建设，与市锡企服务平台对接，实现用户及数据互联互通，并提供运维服务；</w:t>
      </w:r>
      <w:r/>
    </w:p>
    <w:p>
      <w:pPr>
        <w:ind w:firstLine="570"/>
        <w:spacing w:line="500" w:lineRule="exact"/>
        <w:rPr>
          <w:rFonts w:hint="eastAsia" w:ascii="宋体" w:hAnsi="宋体" w:eastAsia="宋体" w:cs="宋体"/>
          <w:sz w:val="24"/>
          <w:szCs w:val="24"/>
        </w:rPr>
      </w:pPr>
      <w:r>
        <w:rPr>
          <w:rFonts w:hint="eastAsia" w:ascii="宋体" w:hAnsi="宋体" w:eastAsia="宋体" w:cs="宋体"/>
          <w:sz w:val="24"/>
          <w:szCs w:val="24"/>
        </w:rPr>
        <w:t xml:space="preserve">针对平台底层框架中统一身份认证、统一权限管理、统一应用管理、统一用户管理、访问控制等模块进行升级改造，满足国产信创化、多应用及服务、多类型用户以及安全管理要求。</w:t>
      </w:r>
      <w:r/>
    </w:p>
    <w:p>
      <w:pPr>
        <w:pStyle w:val="885"/>
        <w:numPr>
          <w:ilvl w:val="0"/>
          <w:numId w:val="8"/>
        </w:numPr>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现代产业发展资金申报和服务系统</w:t>
      </w:r>
      <w:r/>
    </w:p>
    <w:p>
      <w:pPr>
        <w:ind w:firstLine="570"/>
        <w:spacing w:line="500" w:lineRule="exact"/>
        <w:rPr>
          <w:rFonts w:hint="eastAsia" w:ascii="宋体" w:hAnsi="宋体" w:eastAsia="宋体" w:cs="宋体"/>
          <w:sz w:val="24"/>
          <w:szCs w:val="24"/>
        </w:rPr>
      </w:pPr>
      <w:r>
        <w:rPr>
          <w:rFonts w:hint="eastAsia" w:ascii="宋体" w:hAnsi="宋体" w:eastAsia="宋体" w:cs="宋体"/>
          <w:sz w:val="24"/>
          <w:szCs w:val="24"/>
        </w:rPr>
        <w:t xml:space="preserve">整合所有部门的惠企政策申报事项，汇集企业及个人全部申报数据，企业申报过程中实现智能化交互包括：个性化交互视图、智能化流程指引、智能填表、自动纠错等功能。审批时能够根据后台设置对企业申报的次数和金额进行自动验证并提醒。系统包括企业信息管理、个人信息管理、政策事项管理、政策申请管理、审批管理、综合查询、统计分析、流程管理等。</w:t>
      </w:r>
      <w:r/>
    </w:p>
    <w:p>
      <w:pPr>
        <w:pStyle w:val="885"/>
        <w:numPr>
          <w:ilvl w:val="0"/>
          <w:numId w:val="8"/>
        </w:numPr>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AI助手</w:t>
      </w:r>
      <w:r/>
    </w:p>
    <w:p>
      <w:pPr>
        <w:ind w:firstLine="570"/>
        <w:spacing w:line="500" w:lineRule="exact"/>
        <w:rPr>
          <w:rFonts w:hint="eastAsia" w:ascii="宋体" w:hAnsi="宋体" w:eastAsia="宋体" w:cs="宋体"/>
          <w:sz w:val="24"/>
          <w:szCs w:val="24"/>
        </w:rPr>
      </w:pPr>
      <w:r>
        <w:rPr>
          <w:rFonts w:hint="eastAsia" w:ascii="宋体" w:hAnsi="宋体" w:eastAsia="宋体" w:cs="宋体"/>
          <w:sz w:val="24"/>
          <w:szCs w:val="24"/>
        </w:rPr>
        <w:t xml:space="preserve">利用AI大模型的自然语言处理、知识图谱构建和智能推理能力与实时学习能力，实现在自然交互环境中为用户快速解决问题，包括智能问答、精准推送、业务导航等核心功能。</w:t>
      </w:r>
      <w:r/>
    </w:p>
    <w:p>
      <w:pPr>
        <w:pStyle w:val="884"/>
        <w:numPr>
          <w:ilvl w:val="0"/>
          <w:numId w:val="6"/>
        </w:numPr>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政策申报和兑现系统</w:t>
      </w:r>
      <w:r/>
    </w:p>
    <w:p>
      <w:pPr>
        <w:pStyle w:val="885"/>
        <w:numPr>
          <w:ilvl w:val="0"/>
          <w:numId w:val="9"/>
        </w:numPr>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集成电路申报</w:t>
      </w:r>
      <w:r/>
    </w:p>
    <w:p>
      <w:pPr>
        <w:ind w:firstLine="57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次升级涉及到企业入库申报、集成电路预申报、集成电路正式申报、企业绩效等子模块，此次升级需要根据最新的政策要求及数据统计要求进行，涉及10个类别17个申报子模块申报流程规范、审核流程调整及后台数据统计、整理及导出等环节升级改造，改造后需要兼容老数据。</w:t>
      </w:r>
      <w:r/>
    </w:p>
    <w:p>
      <w:pPr>
        <w:pStyle w:val="885"/>
        <w:numPr>
          <w:ilvl w:val="0"/>
          <w:numId w:val="9"/>
        </w:numPr>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新一代信息技术申报</w:t>
      </w:r>
      <w:r/>
    </w:p>
    <w:p>
      <w:pPr>
        <w:ind w:firstLine="570"/>
        <w:spacing w:line="500" w:lineRule="exact"/>
        <w:rPr>
          <w:rFonts w:hint="eastAsia" w:ascii="宋体" w:hAnsi="宋体" w:eastAsia="宋体" w:cs="宋体"/>
          <w:sz w:val="24"/>
          <w:szCs w:val="24"/>
        </w:rPr>
      </w:pPr>
      <w:r>
        <w:rPr>
          <w:rFonts w:hint="eastAsia" w:ascii="宋体" w:hAnsi="宋体" w:eastAsia="宋体" w:cs="宋体"/>
          <w:sz w:val="24"/>
          <w:szCs w:val="24"/>
        </w:rPr>
        <w:t xml:space="preserve">包括新一代信息技术企业资质认定申报、企业申报、统计分析等子模块，此次升级涉及30个申报子模块规范性调整、申报审核流程优化调整、后台数据统计、数据整理及数据导出等环节升级改造，改造后需要兼容老数据。</w:t>
      </w:r>
      <w:r/>
    </w:p>
    <w:p>
      <w:pPr>
        <w:pStyle w:val="885"/>
        <w:numPr>
          <w:ilvl w:val="0"/>
          <w:numId w:val="9"/>
        </w:numPr>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科技创新基金兑现</w:t>
      </w:r>
      <w:r/>
    </w:p>
    <w:p>
      <w:pPr>
        <w:ind w:firstLine="570"/>
        <w:spacing w:line="500" w:lineRule="exact"/>
        <w:rPr>
          <w:rFonts w:hint="eastAsia" w:ascii="宋体" w:hAnsi="宋体" w:eastAsia="宋体" w:cs="宋体"/>
          <w:sz w:val="24"/>
          <w:szCs w:val="24"/>
        </w:rPr>
      </w:pPr>
      <w:r>
        <w:rPr>
          <w:rFonts w:hint="eastAsia" w:ascii="宋体" w:hAnsi="宋体" w:eastAsia="宋体" w:cs="宋体"/>
          <w:sz w:val="24"/>
          <w:szCs w:val="24"/>
        </w:rPr>
        <w:t xml:space="preserve">引进外国高端人才（A类人才）奖励、国家引才引智示范基地、优秀外国专家工作室和国际科学技术合作奖奖励等子模块，实现企业网上自主申报，街道（园区）、主管部门审核；调整一事一议项目管理子模块，实现企业、各版块和区级机关项目申报、考核、兑现全流程管理。</w:t>
      </w:r>
      <w:r/>
    </w:p>
    <w:p>
      <w:pPr>
        <w:pStyle w:val="885"/>
        <w:numPr>
          <w:ilvl w:val="0"/>
          <w:numId w:val="9"/>
        </w:numPr>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生物医药申报</w:t>
      </w:r>
      <w:r/>
    </w:p>
    <w:p>
      <w:pPr>
        <w:ind w:firstLine="570"/>
        <w:spacing w:line="500" w:lineRule="exact"/>
        <w:rPr>
          <w:rFonts w:hint="eastAsia" w:ascii="宋体" w:hAnsi="宋体" w:eastAsia="宋体" w:cs="宋体"/>
          <w:sz w:val="24"/>
          <w:szCs w:val="24"/>
        </w:rPr>
      </w:pPr>
      <w:r>
        <w:rPr>
          <w:rFonts w:hint="eastAsia" w:ascii="宋体" w:hAnsi="宋体" w:eastAsia="宋体" w:cs="宋体"/>
          <w:sz w:val="24"/>
          <w:szCs w:val="24"/>
        </w:rPr>
        <w:t xml:space="preserve">升级A2-1获二、三类医疗器械产品注册证补贴、A2-2获二、三类医疗器械产品注册证补贴模块，新增A2-3获二、三类医疗器械产品注册证补贴等子模块</w:t>
      </w:r>
      <w:r/>
    </w:p>
    <w:p>
      <w:pPr>
        <w:pStyle w:val="885"/>
        <w:numPr>
          <w:ilvl w:val="0"/>
          <w:numId w:val="9"/>
        </w:numPr>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新招引申报</w:t>
      </w:r>
      <w:r/>
    </w:p>
    <w:p>
      <w:pPr>
        <w:ind w:firstLine="570"/>
        <w:spacing w:line="500" w:lineRule="exact"/>
        <w:rPr>
          <w:rFonts w:hint="eastAsia" w:ascii="宋体" w:hAnsi="宋体" w:eastAsia="宋体" w:cs="宋体"/>
          <w:sz w:val="24"/>
          <w:szCs w:val="24"/>
        </w:rPr>
      </w:pPr>
      <w:r>
        <w:rPr>
          <w:rFonts w:hint="eastAsia" w:ascii="宋体" w:hAnsi="宋体" w:eastAsia="宋体" w:cs="宋体"/>
          <w:sz w:val="24"/>
          <w:szCs w:val="24"/>
        </w:rPr>
        <w:t xml:space="preserve">根据最新新招引考核要求，对高企、人才及普通招引申报内容进行调整</w:t>
      </w:r>
      <w:r/>
    </w:p>
    <w:p>
      <w:pPr>
        <w:pStyle w:val="885"/>
        <w:numPr>
          <w:ilvl w:val="0"/>
          <w:numId w:val="9"/>
        </w:numPr>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科技领军人才申报</w:t>
      </w:r>
      <w:r/>
    </w:p>
    <w:p>
      <w:pPr>
        <w:ind w:firstLine="57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是根据领军人才政策优化调整申报流程，使申报和审批各个环节契合政策要求及人才需求；二是优化系统使用界面，提升用户的使用舒适度，同时完善各功能和布局，使新的系统能够更加便捷满足人才申报及局内审批需要；三是重点针对资金流程较长的二期申报打造申报、审批及数据储存处理功能，并与一期申报实现数据前后贯通，实现全流程的完整数据统计和分析。</w:t>
      </w:r>
      <w:r/>
    </w:p>
    <w:p>
      <w:pPr>
        <w:pStyle w:val="885"/>
        <w:numPr>
          <w:ilvl w:val="0"/>
          <w:numId w:val="9"/>
        </w:numPr>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高新技术企业入库申报</w:t>
      </w:r>
      <w:r/>
    </w:p>
    <w:p>
      <w:pPr>
        <w:ind w:firstLine="570"/>
        <w:spacing w:line="500" w:lineRule="exact"/>
        <w:rPr>
          <w:rFonts w:hint="eastAsia" w:ascii="宋体" w:hAnsi="宋体" w:eastAsia="宋体" w:cs="宋体"/>
          <w:sz w:val="24"/>
          <w:szCs w:val="24"/>
        </w:rPr>
      </w:pPr>
      <w:r>
        <w:rPr>
          <w:rFonts w:hint="eastAsia" w:ascii="宋体" w:hAnsi="宋体" w:eastAsia="宋体" w:cs="宋体"/>
          <w:sz w:val="24"/>
          <w:szCs w:val="24"/>
        </w:rPr>
        <w:t xml:space="preserve">实现企业摸排信息的申报、入库、出库、审核和统计等功能，打通企业、板块和区级机关全流程管理。</w:t>
      </w:r>
      <w:r/>
    </w:p>
    <w:p>
      <w:pPr>
        <w:pStyle w:val="885"/>
        <w:numPr>
          <w:ilvl w:val="0"/>
          <w:numId w:val="9"/>
        </w:numPr>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飞凤人才计划申报</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飞凤人才计划3.0政策出台，涉及10条青年人才政策及7条博士后人才政策的变更以及高技能人才引进、技能自主认定、技能竞赛、企业新型学徒制相关政策，需要同步对相应申报子模块功能进行升级改造及优化调整，涉及规范性调整、申报审核流程优化调整、后台数据统计、数据整理及数据导出等环节升级改造，另外还需要对短信通知服务等功能进行优化调整，另需要新建相关申报子模块，满足最新政策要求。</w:t>
      </w:r>
      <w:r/>
    </w:p>
    <w:p>
      <w:pPr>
        <w:pStyle w:val="884"/>
        <w:numPr>
          <w:ilvl w:val="0"/>
          <w:numId w:val="6"/>
        </w:numPr>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惠企政策服务系统</w:t>
      </w:r>
      <w:r/>
    </w:p>
    <w:p>
      <w:pPr>
        <w:pStyle w:val="885"/>
        <w:numPr>
          <w:ilvl w:val="0"/>
          <w:numId w:val="10"/>
        </w:numPr>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企业数据采集填报</w:t>
      </w:r>
      <w:r/>
    </w:p>
    <w:p>
      <w:pPr>
        <w:ind w:firstLine="570"/>
        <w:spacing w:line="500" w:lineRule="exact"/>
        <w:rPr>
          <w:rFonts w:hint="eastAsia" w:ascii="宋体" w:hAnsi="宋体" w:eastAsia="宋体" w:cs="宋体"/>
          <w:sz w:val="24"/>
          <w:szCs w:val="24"/>
        </w:rPr>
      </w:pPr>
      <w:r>
        <w:rPr>
          <w:rFonts w:hint="eastAsia" w:ascii="宋体" w:hAnsi="宋体" w:eastAsia="宋体" w:cs="宋体"/>
          <w:sz w:val="24"/>
          <w:szCs w:val="24"/>
        </w:rPr>
        <w:t xml:space="preserve">通过企业数据填报管理建立多维度的数据采集体系，并通过制定企业数据收集表单下发企业线上填报，获取企业生产经营、项目投资、人员、财税等各维度数据信息并汇聚到锡新通企业库中。</w:t>
      </w:r>
      <w:r/>
    </w:p>
    <w:p>
      <w:pPr>
        <w:pStyle w:val="885"/>
        <w:numPr>
          <w:ilvl w:val="0"/>
          <w:numId w:val="10"/>
        </w:numPr>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政策计算器</w:t>
      </w:r>
      <w:r/>
    </w:p>
    <w:p>
      <w:pPr>
        <w:ind w:firstLine="570"/>
        <w:spacing w:line="500" w:lineRule="exact"/>
        <w:rPr>
          <w:rFonts w:hint="eastAsia" w:ascii="宋体" w:hAnsi="宋体" w:eastAsia="宋体" w:cs="宋体"/>
          <w:sz w:val="24"/>
          <w:szCs w:val="24"/>
        </w:rPr>
      </w:pPr>
      <w:r>
        <w:rPr>
          <w:rFonts w:hint="eastAsia" w:ascii="宋体" w:hAnsi="宋体" w:eastAsia="宋体" w:cs="宋体"/>
          <w:sz w:val="24"/>
          <w:szCs w:val="24"/>
        </w:rPr>
        <w:t xml:space="preserve">根据政策标签体系以及政策文件和解读指南内容，对各局委办入库政策进行结构化拆分及打标签处理，实现更丰富的多层次政策信息精细化、智能化服务，包括标签聚合展示、政策定制报告、政策精准推送。</w:t>
      </w:r>
      <w:r/>
    </w:p>
    <w:p>
      <w:pPr>
        <w:pStyle w:val="884"/>
        <w:numPr>
          <w:ilvl w:val="0"/>
          <w:numId w:val="6"/>
        </w:numPr>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增值服务系统</w:t>
      </w:r>
      <w:r/>
    </w:p>
    <w:p>
      <w:pPr>
        <w:pStyle w:val="885"/>
        <w:numPr>
          <w:ilvl w:val="0"/>
          <w:numId w:val="11"/>
        </w:numPr>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工业企业绩效评价分析</w:t>
      </w:r>
      <w:r/>
    </w:p>
    <w:p>
      <w:pPr>
        <w:ind w:firstLine="570"/>
        <w:spacing w:line="500" w:lineRule="exact"/>
        <w:rPr>
          <w:rFonts w:hint="eastAsia" w:ascii="宋体" w:hAnsi="宋体" w:eastAsia="宋体" w:cs="宋体"/>
          <w:sz w:val="24"/>
          <w:szCs w:val="24"/>
        </w:rPr>
      </w:pPr>
      <w:r>
        <w:rPr>
          <w:rFonts w:hint="eastAsia" w:ascii="宋体" w:hAnsi="宋体" w:eastAsia="宋体" w:cs="宋体"/>
          <w:sz w:val="24"/>
          <w:szCs w:val="24"/>
        </w:rPr>
        <w:t xml:space="preserve">全区工业企业资源利用综合评价的指标体系实现指标管理、评价管理、绩效大屏。</w:t>
      </w:r>
      <w:r/>
    </w:p>
    <w:p>
      <w:pPr>
        <w:pStyle w:val="885"/>
        <w:numPr>
          <w:ilvl w:val="0"/>
          <w:numId w:val="11"/>
        </w:numPr>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科技年鉴管理</w:t>
      </w:r>
      <w:r/>
    </w:p>
    <w:p>
      <w:pPr>
        <w:ind w:firstLine="570"/>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包括科技产出与科技投入、各类科技企业认定、研发机构和公共技术服务平台、科技企业孵化器与特色产业基地、立项的各类科技项目、专利申请与授权、创新型企业梯队情况、行业标准建设、科技人才、科技进步奖等类别企业数据填报、审核、数据汇总、科技年鉴导出等功能，实现全面收集、管理科技数据。</w:t>
      </w:r>
      <w:r/>
    </w:p>
    <w:p>
      <w:pPr>
        <w:pStyle w:val="885"/>
        <w:numPr>
          <w:ilvl w:val="0"/>
          <w:numId w:val="11"/>
        </w:numPr>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企业创新积分</w:t>
      </w:r>
      <w:r/>
    </w:p>
    <w:p>
      <w:pPr>
        <w:ind w:firstLine="570"/>
        <w:spacing w:line="500" w:lineRule="exact"/>
        <w:rPr>
          <w:rFonts w:hint="eastAsia" w:ascii="宋体" w:hAnsi="宋体" w:eastAsia="宋体" w:cs="宋体"/>
          <w:sz w:val="24"/>
          <w:szCs w:val="24"/>
        </w:rPr>
      </w:pPr>
      <w:r>
        <w:rPr>
          <w:rFonts w:hint="eastAsia" w:ascii="宋体" w:hAnsi="宋体" w:eastAsia="宋体" w:cs="宋体"/>
          <w:sz w:val="24"/>
          <w:szCs w:val="24"/>
        </w:rPr>
        <w:t xml:space="preserve">系统包括积分指标管理、赋分规则管理、数据采集、积分模型建设、数据审核及积分生成、积分排名及结果查询等功能模块。 另协助导入从2021年至今所有的原始数据。</w:t>
      </w:r>
      <w:r/>
    </w:p>
    <w:p>
      <w:pPr>
        <w:pStyle w:val="885"/>
        <w:numPr>
          <w:ilvl w:val="0"/>
          <w:numId w:val="11"/>
        </w:numPr>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入境特殊物品联合监管</w:t>
      </w:r>
      <w:r/>
    </w:p>
    <w:p>
      <w:pPr>
        <w:ind w:firstLine="570"/>
        <w:spacing w:line="500" w:lineRule="exact"/>
        <w:rPr>
          <w:rFonts w:hint="eastAsia" w:ascii="宋体" w:hAnsi="宋体" w:eastAsia="宋体" w:cs="宋体"/>
          <w:sz w:val="24"/>
          <w:szCs w:val="24"/>
        </w:rPr>
      </w:pPr>
      <w:r>
        <w:rPr>
          <w:rFonts w:hint="eastAsia" w:ascii="宋体" w:hAnsi="宋体" w:eastAsia="宋体" w:cs="宋体"/>
          <w:sz w:val="24"/>
          <w:szCs w:val="24"/>
        </w:rPr>
        <w:t xml:space="preserve">通过搭建联合监管平台，构建科学高效的入境特殊物品联合监管机制，创新工作机制和流程，实行多部门联合监管，实现从多个部门各自监管向以信用风险管理为核心的联合监管模式、从过去“批批审批”到如今“一次审批、多次购进”的转变，进一步优化进出口特殊物品的审批流程，提升特殊物品监管服务效能，加速推动特殊物品通关便利化，为生物医药产业高质量发展提供科技支撑,增强企业的获得感、感受度。 </w:t>
      </w:r>
      <w:bookmarkEnd w:id="193"/>
      <w:r/>
      <w:r/>
    </w:p>
    <w:p>
      <w:pPr>
        <w:pStyle w:val="883"/>
        <w:numPr>
          <w:ilvl w:val="0"/>
          <w:numId w:val="5"/>
        </w:numPr>
        <w:ind w:left="0"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采购内容</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投标总报价包括满足本项目要求的所有产品及安装调试及售后服务、治理服务、数据汇聚与对接、</w:t>
      </w:r>
      <w:r>
        <w:rPr>
          <w:rFonts w:hint="eastAsia" w:ascii="宋体" w:hAnsi="宋体" w:eastAsia="宋体" w:cs="仿宋"/>
          <w:sz w:val="24"/>
          <w:szCs w:val="24"/>
        </w:rPr>
        <w:t xml:space="preserve">材料归档</w:t>
      </w:r>
      <w:r>
        <w:rPr>
          <w:rFonts w:hint="eastAsia" w:ascii="宋体" w:hAnsi="宋体" w:eastAsia="宋体" w:cs="宋体"/>
          <w:sz w:val="24"/>
          <w:szCs w:val="24"/>
        </w:rPr>
        <w:t xml:space="preserve">等从项目中标起到项目正式交付以及运维期内所发生的一切费用。</w:t>
      </w:r>
      <w:r/>
    </w:p>
    <w:p>
      <w:pPr>
        <w:pStyle w:val="884"/>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4.1 采购清单</w:t>
      </w:r>
      <w:r/>
    </w:p>
    <w:tbl>
      <w:tblPr>
        <w:tblStyle w:val="892"/>
        <w:tblW w:w="9937" w:type="dxa"/>
        <w:jc w:val="center"/>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87"/>
        <w:gridCol w:w="1338"/>
        <w:gridCol w:w="1689"/>
        <w:gridCol w:w="2490"/>
        <w:gridCol w:w="846"/>
        <w:gridCol w:w="962"/>
        <w:gridCol w:w="1725"/>
      </w:tblGrid>
      <w:tr>
        <w:trPr>
          <w:jc w:val="center"/>
          <w:trHeight w:val="399"/>
        </w:trPr>
        <w:tc>
          <w:tcPr>
            <w:shd w:val="clear" w:color="auto" w:fill="ffffff"/>
            <w:tcBorders>
              <w:top w:val="single" w:color="000000" w:sz="8" w:space="0"/>
              <w:left w:val="single" w:color="000000" w:sz="8" w:space="0"/>
              <w:bottom w:val="single" w:color="000000" w:sz="8" w:space="0"/>
              <w:right w:val="single" w:color="000000" w:sz="8" w:space="0"/>
            </w:tcBorders>
            <w:tcW w:w="8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序号</w:t>
            </w:r>
            <w:r/>
          </w:p>
        </w:tc>
        <w:tc>
          <w:tcPr>
            <w:gridSpan w:val="3"/>
            <w:shd w:val="clear" w:color="auto" w:fill="ffffff"/>
            <w:tcBorders>
              <w:top w:val="single" w:color="000000" w:sz="8" w:space="0"/>
              <w:left w:val="single" w:color="000000" w:sz="8" w:space="0"/>
              <w:bottom w:val="single" w:color="000000" w:sz="8" w:space="0"/>
              <w:right w:val="single" w:color="000000" w:sz="8" w:space="0"/>
            </w:tcBorders>
            <w:tcW w:w="551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采购内容</w:t>
            </w:r>
            <w:r/>
          </w:p>
        </w:tc>
        <w:tc>
          <w:tcPr>
            <w:shd w:val="clear" w:color="auto" w:fill="ffffff"/>
            <w:tcBorders>
              <w:top w:val="single" w:color="000000" w:sz="8" w:space="0"/>
              <w:left w:val="single" w:color="000000" w:sz="8" w:space="0"/>
              <w:bottom w:val="single" w:color="000000" w:sz="8" w:space="0"/>
              <w:right w:val="single" w:color="000000" w:sz="8" w:space="0"/>
            </w:tcBorders>
            <w:tcW w:w="84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数量</w:t>
            </w:r>
            <w:r/>
          </w:p>
        </w:tc>
        <w:tc>
          <w:tcPr>
            <w:shd w:val="clear" w:color="auto" w:fill="ffffff"/>
            <w:tcBorders>
              <w:top w:val="single" w:color="000000" w:sz="8" w:space="0"/>
              <w:left w:val="single" w:color="000000" w:sz="8" w:space="0"/>
              <w:bottom w:val="single" w:color="000000" w:sz="8" w:space="0"/>
              <w:right w:val="single" w:color="000000" w:sz="8" w:space="0"/>
            </w:tcBorders>
            <w:tcW w:w="96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单位</w:t>
            </w:r>
            <w:r/>
          </w:p>
        </w:tc>
        <w:tc>
          <w:tcPr>
            <w:shd w:val="clear" w:color="auto" w:fill="ffffff"/>
            <w:tcBorders>
              <w:top w:val="single" w:color="000000" w:sz="8" w:space="0"/>
              <w:left w:val="single" w:color="000000" w:sz="8" w:space="0"/>
              <w:bottom w:val="single" w:color="000000" w:sz="8" w:space="0"/>
              <w:right w:val="single" w:color="000000" w:sz="8" w:space="0"/>
            </w:tcBorders>
            <w:tcW w:w="172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所属行业</w:t>
            </w:r>
            <w:r/>
          </w:p>
        </w:tc>
      </w:tr>
      <w:tr>
        <w:trPr>
          <w:jc w:val="center"/>
          <w:trHeight w:val="321"/>
        </w:trPr>
        <w:tc>
          <w:tcPr>
            <w:shd w:val="clear" w:color="auto" w:fill="ffffff"/>
            <w:tcBorders>
              <w:top w:val="none" w:color="000000" w:sz="4" w:space="0"/>
              <w:left w:val="single" w:color="000000" w:sz="8" w:space="0"/>
              <w:bottom w:val="single" w:color="000000" w:sz="8" w:space="0"/>
              <w:right w:val="single" w:color="000000" w:sz="8" w:space="0"/>
            </w:tcBorders>
            <w:tcW w:w="8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ffffff"/>
            <w:tcBorders>
              <w:top w:val="none" w:color="000000" w:sz="4" w:space="0"/>
              <w:left w:val="single" w:color="000000" w:sz="8" w:space="0"/>
              <w:bottom w:val="single" w:color="000000" w:sz="8" w:space="0"/>
              <w:right w:val="single" w:color="000000" w:sz="8" w:space="0"/>
            </w:tcBorders>
            <w:tcW w:w="1338"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成品软件</w:t>
            </w:r>
            <w:r/>
          </w:p>
        </w:tc>
        <w:tc>
          <w:tcPr>
            <w:shd w:val="clear" w:color="auto" w:fill="ffffff"/>
            <w:tcBorders>
              <w:top w:val="single" w:color="000000" w:sz="8" w:space="0"/>
              <w:left w:val="single" w:color="000000" w:sz="8" w:space="0"/>
              <w:bottom w:val="single" w:color="000000" w:sz="8" w:space="0"/>
              <w:right w:val="single" w:color="000000" w:sz="8" w:space="0"/>
            </w:tcBorders>
            <w:tcW w:w="168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w:t>
            </w:r>
            <w:r/>
          </w:p>
        </w:tc>
        <w:tc>
          <w:tcPr>
            <w:shd w:val="clear" w:color="auto" w:fill="ffffff"/>
            <w:tcBorders>
              <w:top w:val="single" w:color="000000" w:sz="8" w:space="0"/>
              <w:left w:val="single" w:color="000000" w:sz="8" w:space="0"/>
              <w:bottom w:val="single" w:color="000000" w:sz="8" w:space="0"/>
              <w:right w:val="single" w:color="000000" w:sz="8" w:space="0"/>
            </w:tcBorders>
            <w:tcW w:w="249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国产主流操作系统</w:t>
            </w:r>
            <w:r/>
          </w:p>
        </w:tc>
        <w:tc>
          <w:tcPr>
            <w:shd w:val="clear" w:color="auto" w:fill="ffffff"/>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11</w:t>
            </w:r>
            <w:r/>
          </w:p>
        </w:tc>
        <w:tc>
          <w:tcPr>
            <w:shd w:val="clear" w:color="auto" w:fill="ffffff"/>
            <w:tcBorders>
              <w:top w:val="none" w:color="000000" w:sz="4" w:space="0"/>
              <w:left w:val="single" w:color="000000" w:sz="8" w:space="0"/>
              <w:bottom w:val="single" w:color="000000" w:sz="8" w:space="0"/>
              <w:right w:val="single" w:color="000000" w:sz="8" w:space="0"/>
            </w:tcBorders>
            <w:tcW w:w="96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套</w:t>
            </w:r>
            <w:r/>
          </w:p>
        </w:tc>
        <w:tc>
          <w:tcPr>
            <w:shd w:val="clear" w:color="auto" w:fill="ffffff"/>
            <w:tcBorders>
              <w:top w:val="single" w:color="000000" w:sz="8" w:space="0"/>
              <w:left w:val="single" w:color="000000" w:sz="8" w:space="0"/>
              <w:bottom w:val="single" w:color="000000" w:sz="8" w:space="0"/>
              <w:right w:val="single" w:color="000000" w:sz="8" w:space="0"/>
            </w:tcBorders>
            <w:tcW w:w="1725"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软件和信息技术服务业</w:t>
            </w:r>
            <w:r/>
          </w:p>
        </w:tc>
      </w:tr>
      <w:tr>
        <w:trPr>
          <w:jc w:val="center"/>
          <w:trHeight w:val="321"/>
        </w:trPr>
        <w:tc>
          <w:tcPr>
            <w:shd w:val="clear" w:color="auto" w:fill="ffffff"/>
            <w:tcBorders>
              <w:top w:val="none" w:color="000000" w:sz="4" w:space="0"/>
              <w:left w:val="single" w:color="000000" w:sz="8" w:space="0"/>
              <w:bottom w:val="single" w:color="000000" w:sz="8" w:space="0"/>
              <w:right w:val="single" w:color="000000" w:sz="8" w:space="0"/>
            </w:tcBorders>
            <w:tcW w:w="8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shd w:val="clear" w:color="auto" w:fill="ffffff"/>
            <w:tcBorders>
              <w:top w:val="none" w:color="000000" w:sz="4" w:space="0"/>
              <w:left w:val="single" w:color="000000" w:sz="8" w:space="0"/>
              <w:bottom w:val="single" w:color="000000" w:sz="8" w:space="0"/>
              <w:right w:val="single" w:color="000000" w:sz="8" w:space="0"/>
            </w:tcBorders>
            <w:tcW w:w="133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Borders>
              <w:top w:val="none" w:color="000000" w:sz="4" w:space="0"/>
              <w:left w:val="single" w:color="000000" w:sz="8" w:space="0"/>
              <w:bottom w:val="single" w:color="000000" w:sz="8" w:space="0"/>
              <w:right w:val="single" w:color="000000" w:sz="8" w:space="0"/>
            </w:tcBorders>
            <w:tcW w:w="168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数据库软件</w:t>
            </w:r>
            <w:r/>
          </w:p>
        </w:tc>
        <w:tc>
          <w:tcPr>
            <w:shd w:val="clear" w:color="auto" w:fill="ffffff"/>
            <w:tcBorders>
              <w:top w:val="none" w:color="000000" w:sz="4" w:space="0"/>
              <w:left w:val="single" w:color="000000" w:sz="8" w:space="0"/>
              <w:bottom w:val="single" w:color="000000" w:sz="8" w:space="0"/>
              <w:right w:val="single" w:color="000000" w:sz="8" w:space="0"/>
            </w:tcBorders>
            <w:tcW w:w="249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国产关系型数据库</w:t>
            </w:r>
            <w:r/>
          </w:p>
        </w:tc>
        <w:tc>
          <w:tcPr>
            <w:shd w:val="clear" w:color="auto" w:fill="ffffff"/>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shd w:val="clear" w:color="auto" w:fill="ffffff"/>
            <w:tcBorders>
              <w:top w:val="none" w:color="000000" w:sz="4" w:space="0"/>
              <w:left w:val="single" w:color="000000" w:sz="8" w:space="0"/>
              <w:bottom w:val="single" w:color="000000" w:sz="8" w:space="0"/>
              <w:right w:val="single" w:color="000000" w:sz="8" w:space="0"/>
            </w:tcBorders>
            <w:tcW w:w="96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单节点</w:t>
            </w:r>
            <w:r/>
          </w:p>
        </w:tc>
        <w:tc>
          <w:tcPr>
            <w:shd w:val="clear" w:color="auto" w:fill="ffffff"/>
            <w:tcBorders>
              <w:top w:val="single" w:color="000000" w:sz="8" w:space="0"/>
              <w:left w:val="single" w:color="000000" w:sz="8" w:space="0"/>
              <w:bottom w:val="single" w:color="000000" w:sz="8" w:space="0"/>
              <w:right w:val="single" w:color="000000" w:sz="8" w:space="0"/>
            </w:tcBorders>
            <w:tcW w:w="172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21"/>
        </w:trPr>
        <w:tc>
          <w:tcPr>
            <w:shd w:val="clear" w:color="auto" w:fill="ffffff"/>
            <w:tcBorders>
              <w:top w:val="none" w:color="000000" w:sz="4" w:space="0"/>
              <w:left w:val="single" w:color="000000" w:sz="8" w:space="0"/>
              <w:bottom w:val="single" w:color="000000" w:sz="8" w:space="0"/>
              <w:right w:val="single" w:color="000000" w:sz="8" w:space="0"/>
            </w:tcBorders>
            <w:tcW w:w="8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shd w:val="clear" w:color="auto" w:fill="ffffff"/>
            <w:tcBorders>
              <w:top w:val="none" w:color="000000" w:sz="4" w:space="0"/>
              <w:left w:val="single" w:color="000000" w:sz="8" w:space="0"/>
              <w:bottom w:val="single" w:color="000000" w:sz="8" w:space="0"/>
              <w:right w:val="single" w:color="000000" w:sz="8" w:space="0"/>
            </w:tcBorders>
            <w:tcW w:w="1338"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数据工程服务</w:t>
            </w:r>
            <w:r/>
          </w:p>
        </w:tc>
        <w:tc>
          <w:tcPr>
            <w:shd w:val="clear" w:color="auto" w:fill="ffffff"/>
            <w:tcBorders>
              <w:top w:val="none" w:color="000000" w:sz="4" w:space="0"/>
              <w:left w:val="single" w:color="000000" w:sz="8" w:space="0"/>
              <w:bottom w:val="single" w:color="000000" w:sz="8" w:space="0"/>
              <w:right w:val="single" w:color="000000" w:sz="8" w:space="0"/>
            </w:tcBorders>
            <w:tcW w:w="168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政策申报和兑现系统</w:t>
            </w:r>
            <w:r/>
          </w:p>
        </w:tc>
        <w:tc>
          <w:tcPr>
            <w:shd w:val="clear" w:color="auto" w:fill="ffffff"/>
            <w:tcBorders>
              <w:top w:val="none" w:color="000000" w:sz="4" w:space="0"/>
              <w:left w:val="single" w:color="000000" w:sz="8" w:space="0"/>
              <w:bottom w:val="single" w:color="000000" w:sz="8" w:space="0"/>
              <w:right w:val="single" w:color="000000" w:sz="8" w:space="0"/>
            </w:tcBorders>
            <w:tcW w:w="2490"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老系统数据整理迁移</w:t>
            </w:r>
            <w:r/>
          </w:p>
        </w:tc>
        <w:tc>
          <w:tcPr>
            <w:shd w:val="clear" w:color="auto" w:fill="ffffff"/>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ffffff"/>
            <w:tcBorders>
              <w:top w:val="none" w:color="000000" w:sz="4" w:space="0"/>
              <w:left w:val="single" w:color="000000" w:sz="8" w:space="0"/>
              <w:bottom w:val="single" w:color="000000" w:sz="8" w:space="0"/>
              <w:right w:val="single" w:color="000000" w:sz="8" w:space="0"/>
            </w:tcBorders>
            <w:tcW w:w="96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项</w:t>
            </w:r>
            <w:r/>
          </w:p>
        </w:tc>
        <w:tc>
          <w:tcPr>
            <w:shd w:val="clear" w:color="auto" w:fill="ffffff"/>
            <w:tcBorders>
              <w:top w:val="single" w:color="000000" w:sz="8" w:space="0"/>
              <w:left w:val="single" w:color="000000" w:sz="8" w:space="0"/>
              <w:bottom w:val="single" w:color="000000" w:sz="8" w:space="0"/>
              <w:right w:val="single" w:color="000000" w:sz="8" w:space="0"/>
            </w:tcBorders>
            <w:tcW w:w="1725"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软件和信息技术服务业</w:t>
            </w:r>
            <w:r/>
          </w:p>
        </w:tc>
      </w:tr>
      <w:tr>
        <w:trPr>
          <w:jc w:val="center"/>
          <w:trHeight w:val="321"/>
        </w:trPr>
        <w:tc>
          <w:tcPr>
            <w:shd w:val="clear" w:color="auto" w:fill="ffffff"/>
            <w:tcBorders>
              <w:top w:val="none" w:color="000000" w:sz="4" w:space="0"/>
              <w:left w:val="single" w:color="000000" w:sz="8" w:space="0"/>
              <w:bottom w:val="single" w:color="000000" w:sz="8" w:space="0"/>
              <w:right w:val="single" w:color="000000" w:sz="8" w:space="0"/>
            </w:tcBorders>
            <w:tcW w:w="8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w:t>
            </w:r>
            <w:r/>
          </w:p>
        </w:tc>
        <w:tc>
          <w:tcPr>
            <w:shd w:val="clear" w:color="auto" w:fill="ffffff"/>
            <w:tcBorders>
              <w:top w:val="none" w:color="000000" w:sz="4" w:space="0"/>
              <w:left w:val="single" w:color="000000" w:sz="8" w:space="0"/>
              <w:bottom w:val="single" w:color="000000" w:sz="8" w:space="0"/>
              <w:right w:val="single" w:color="000000" w:sz="8" w:space="0"/>
            </w:tcBorders>
            <w:tcW w:w="133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Borders>
              <w:top w:val="none" w:color="000000" w:sz="4" w:space="0"/>
              <w:left w:val="single" w:color="000000" w:sz="8" w:space="0"/>
              <w:bottom w:val="single" w:color="000000" w:sz="8" w:space="0"/>
              <w:right w:val="single" w:color="000000" w:sz="8" w:space="0"/>
            </w:tcBorders>
            <w:tcW w:w="168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AI助手</w:t>
            </w:r>
            <w:r/>
          </w:p>
        </w:tc>
        <w:tc>
          <w:tcPr>
            <w:shd w:val="clear" w:color="auto" w:fill="ffffff"/>
            <w:tcBorders>
              <w:top w:val="none" w:color="000000" w:sz="4" w:space="0"/>
              <w:left w:val="single" w:color="000000" w:sz="8" w:space="0"/>
              <w:bottom w:val="single" w:color="000000" w:sz="8" w:space="0"/>
              <w:right w:val="single" w:color="000000" w:sz="8" w:space="0"/>
            </w:tcBorders>
            <w:tcW w:w="2490"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训练模型</w:t>
            </w:r>
            <w:r/>
          </w:p>
        </w:tc>
        <w:tc>
          <w:tcPr>
            <w:shd w:val="clear" w:color="auto" w:fill="ffffff"/>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ffffff"/>
            <w:tcBorders>
              <w:top w:val="none" w:color="000000" w:sz="4" w:space="0"/>
              <w:left w:val="single" w:color="000000" w:sz="8" w:space="0"/>
              <w:bottom w:val="single" w:color="000000" w:sz="8" w:space="0"/>
              <w:right w:val="single" w:color="000000" w:sz="8" w:space="0"/>
            </w:tcBorders>
            <w:tcW w:w="96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项</w:t>
            </w:r>
            <w:r/>
          </w:p>
        </w:tc>
        <w:tc>
          <w:tcPr>
            <w:shd w:val="clear" w:color="auto" w:fill="ffffff"/>
            <w:tcBorders>
              <w:top w:val="single" w:color="000000" w:sz="8" w:space="0"/>
              <w:left w:val="single" w:color="000000" w:sz="8" w:space="0"/>
              <w:bottom w:val="single" w:color="000000" w:sz="8" w:space="0"/>
              <w:right w:val="single" w:color="000000" w:sz="8" w:space="0"/>
            </w:tcBorders>
            <w:tcW w:w="1725" w:type="dxa"/>
            <w:vAlign w:val="center"/>
            <w:vMerge w:val="continue"/>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21"/>
        </w:trPr>
        <w:tc>
          <w:tcPr>
            <w:shd w:val="clear" w:color="auto" w:fill="ffffff"/>
            <w:tcBorders>
              <w:top w:val="none" w:color="000000" w:sz="4" w:space="0"/>
              <w:left w:val="single" w:color="000000" w:sz="8" w:space="0"/>
              <w:bottom w:val="single" w:color="000000" w:sz="8" w:space="0"/>
              <w:right w:val="single" w:color="000000" w:sz="8" w:space="0"/>
            </w:tcBorders>
            <w:tcW w:w="8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shd w:val="clear" w:color="auto" w:fill="ffffff"/>
            <w:tcBorders>
              <w:top w:val="none" w:color="000000" w:sz="4" w:space="0"/>
              <w:left w:val="single" w:color="000000" w:sz="8" w:space="0"/>
              <w:bottom w:val="single" w:color="000000" w:sz="8" w:space="0"/>
              <w:right w:val="single" w:color="000000" w:sz="8" w:space="0"/>
            </w:tcBorders>
            <w:tcW w:w="133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Borders>
              <w:top w:val="none" w:color="000000" w:sz="4" w:space="0"/>
              <w:left w:val="single" w:color="000000" w:sz="8" w:space="0"/>
              <w:bottom w:val="single" w:color="000000" w:sz="8" w:space="0"/>
              <w:right w:val="single" w:color="000000" w:sz="8" w:space="0"/>
            </w:tcBorders>
            <w:tcW w:w="1689"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政策计算器</w:t>
            </w:r>
            <w:r/>
          </w:p>
        </w:tc>
        <w:tc>
          <w:tcPr>
            <w:shd w:val="clear" w:color="auto" w:fill="ffffff"/>
            <w:tcBorders>
              <w:top w:val="single" w:color="000000" w:sz="8" w:space="0"/>
              <w:left w:val="single" w:color="000000" w:sz="8" w:space="0"/>
              <w:bottom w:val="single" w:color="000000" w:sz="8" w:space="0"/>
              <w:right w:val="single" w:color="000000" w:sz="8" w:space="0"/>
            </w:tcBorders>
            <w:tcW w:w="249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政策数据汇聚</w:t>
            </w:r>
            <w:r/>
          </w:p>
        </w:tc>
        <w:tc>
          <w:tcPr>
            <w:shd w:val="clear" w:color="auto" w:fill="ffffff"/>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ffffff"/>
            <w:tcBorders>
              <w:top w:val="none" w:color="000000" w:sz="4" w:space="0"/>
              <w:left w:val="single" w:color="000000" w:sz="8" w:space="0"/>
              <w:bottom w:val="single" w:color="000000" w:sz="8" w:space="0"/>
              <w:right w:val="single" w:color="000000" w:sz="8" w:space="0"/>
            </w:tcBorders>
            <w:tcW w:w="96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项</w:t>
            </w:r>
            <w:r/>
          </w:p>
        </w:tc>
        <w:tc>
          <w:tcPr>
            <w:shd w:val="clear" w:color="auto" w:fill="ffffff"/>
            <w:tcBorders>
              <w:top w:val="single" w:color="000000" w:sz="8" w:space="0"/>
              <w:left w:val="single" w:color="000000" w:sz="8" w:space="0"/>
              <w:bottom w:val="single" w:color="000000" w:sz="8" w:space="0"/>
              <w:right w:val="single" w:color="000000" w:sz="8" w:space="0"/>
            </w:tcBorders>
            <w:tcW w:w="1725" w:type="dxa"/>
            <w:vAlign w:val="center"/>
            <w:vMerge w:val="continue"/>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21"/>
        </w:trPr>
        <w:tc>
          <w:tcPr>
            <w:shd w:val="clear" w:color="auto" w:fill="ffffff"/>
            <w:tcBorders>
              <w:top w:val="none" w:color="000000" w:sz="4" w:space="0"/>
              <w:left w:val="single" w:color="000000" w:sz="8" w:space="0"/>
              <w:bottom w:val="single" w:color="000000" w:sz="8" w:space="0"/>
              <w:right w:val="single" w:color="000000" w:sz="8" w:space="0"/>
            </w:tcBorders>
            <w:tcW w:w="8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6</w:t>
            </w:r>
            <w:r/>
          </w:p>
        </w:tc>
        <w:tc>
          <w:tcPr>
            <w:shd w:val="clear" w:color="auto" w:fill="ffffff"/>
            <w:tcBorders>
              <w:top w:val="none" w:color="000000" w:sz="4" w:space="0"/>
              <w:left w:val="single" w:color="000000" w:sz="8" w:space="0"/>
              <w:bottom w:val="single" w:color="000000" w:sz="8" w:space="0"/>
              <w:right w:val="single" w:color="000000" w:sz="8" w:space="0"/>
            </w:tcBorders>
            <w:tcW w:w="133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Borders>
              <w:top w:val="none" w:color="000000" w:sz="4" w:space="0"/>
              <w:left w:val="single" w:color="000000" w:sz="8" w:space="0"/>
              <w:bottom w:val="single" w:color="000000" w:sz="8" w:space="0"/>
              <w:right w:val="single" w:color="000000" w:sz="8" w:space="0"/>
            </w:tcBorders>
            <w:tcW w:w="1689"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Borders>
              <w:top w:val="none" w:color="000000" w:sz="4" w:space="0"/>
              <w:left w:val="single" w:color="000000" w:sz="8" w:space="0"/>
              <w:bottom w:val="single" w:color="000000" w:sz="8" w:space="0"/>
              <w:right w:val="single" w:color="000000" w:sz="8" w:space="0"/>
            </w:tcBorders>
            <w:tcW w:w="249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政策数据梳理</w:t>
            </w:r>
            <w:r/>
          </w:p>
        </w:tc>
        <w:tc>
          <w:tcPr>
            <w:shd w:val="clear" w:color="auto" w:fill="ffffff"/>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ffffff"/>
            <w:tcBorders>
              <w:top w:val="none" w:color="000000" w:sz="4" w:space="0"/>
              <w:left w:val="single" w:color="000000" w:sz="8" w:space="0"/>
              <w:bottom w:val="single" w:color="000000" w:sz="8" w:space="0"/>
              <w:right w:val="single" w:color="000000" w:sz="8" w:space="0"/>
            </w:tcBorders>
            <w:tcW w:w="96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项</w:t>
            </w:r>
            <w:r/>
          </w:p>
        </w:tc>
        <w:tc>
          <w:tcPr>
            <w:shd w:val="clear" w:color="auto" w:fill="ffffff"/>
            <w:tcBorders>
              <w:top w:val="single" w:color="000000" w:sz="8" w:space="0"/>
              <w:left w:val="single" w:color="000000" w:sz="8" w:space="0"/>
              <w:bottom w:val="single" w:color="000000" w:sz="8" w:space="0"/>
              <w:right w:val="single" w:color="000000" w:sz="8" w:space="0"/>
            </w:tcBorders>
            <w:tcW w:w="1725" w:type="dxa"/>
            <w:vAlign w:val="center"/>
            <w:vMerge w:val="continue"/>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21"/>
        </w:trPr>
        <w:tc>
          <w:tcPr>
            <w:shd w:val="clear" w:color="auto" w:fill="ffffff"/>
            <w:tcBorders>
              <w:top w:val="none" w:color="000000" w:sz="4" w:space="0"/>
              <w:left w:val="single" w:color="000000" w:sz="8" w:space="0"/>
              <w:bottom w:val="single" w:color="000000" w:sz="8" w:space="0"/>
              <w:right w:val="single" w:color="000000" w:sz="8" w:space="0"/>
            </w:tcBorders>
            <w:tcW w:w="8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7</w:t>
            </w:r>
            <w:r/>
          </w:p>
        </w:tc>
        <w:tc>
          <w:tcPr>
            <w:shd w:val="clear" w:color="auto" w:fill="ffffff"/>
            <w:tcBorders>
              <w:top w:val="none" w:color="000000" w:sz="4" w:space="0"/>
              <w:left w:val="single" w:color="000000" w:sz="8" w:space="0"/>
              <w:bottom w:val="single" w:color="000000" w:sz="8" w:space="0"/>
              <w:right w:val="single" w:color="000000" w:sz="8" w:space="0"/>
            </w:tcBorders>
            <w:tcW w:w="133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Borders>
              <w:top w:val="none" w:color="000000" w:sz="4" w:space="0"/>
              <w:left w:val="single" w:color="000000" w:sz="8" w:space="0"/>
              <w:bottom w:val="single" w:color="000000" w:sz="8" w:space="0"/>
              <w:right w:val="single" w:color="000000" w:sz="8" w:space="0"/>
            </w:tcBorders>
            <w:tcW w:w="1689"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Borders>
              <w:top w:val="none" w:color="000000" w:sz="4" w:space="0"/>
              <w:left w:val="single" w:color="000000" w:sz="8" w:space="0"/>
              <w:bottom w:val="single" w:color="000000" w:sz="8" w:space="0"/>
              <w:right w:val="single" w:color="000000" w:sz="8" w:space="0"/>
            </w:tcBorders>
            <w:tcW w:w="249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政策数据拆解</w:t>
            </w:r>
            <w:r/>
          </w:p>
        </w:tc>
        <w:tc>
          <w:tcPr>
            <w:shd w:val="clear" w:color="auto" w:fill="ffffff"/>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ffffff"/>
            <w:tcBorders>
              <w:top w:val="none" w:color="000000" w:sz="4" w:space="0"/>
              <w:left w:val="single" w:color="000000" w:sz="8" w:space="0"/>
              <w:bottom w:val="single" w:color="000000" w:sz="8" w:space="0"/>
              <w:right w:val="single" w:color="000000" w:sz="8" w:space="0"/>
            </w:tcBorders>
            <w:tcW w:w="96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项</w:t>
            </w:r>
            <w:r/>
          </w:p>
        </w:tc>
        <w:tc>
          <w:tcPr>
            <w:shd w:val="clear" w:color="auto" w:fill="ffffff"/>
            <w:tcBorders>
              <w:top w:val="single" w:color="000000" w:sz="8" w:space="0"/>
              <w:left w:val="single" w:color="000000" w:sz="8" w:space="0"/>
              <w:bottom w:val="single" w:color="000000" w:sz="8" w:space="0"/>
              <w:right w:val="single" w:color="000000" w:sz="8" w:space="0"/>
            </w:tcBorders>
            <w:tcW w:w="1725" w:type="dxa"/>
            <w:vAlign w:val="center"/>
            <w:vMerge w:val="continue"/>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21"/>
        </w:trPr>
        <w:tc>
          <w:tcPr>
            <w:shd w:val="clear" w:color="auto" w:fill="ffffff"/>
            <w:tcBorders>
              <w:top w:val="none" w:color="000000" w:sz="4" w:space="0"/>
              <w:left w:val="single" w:color="000000" w:sz="8" w:space="0"/>
              <w:bottom w:val="single" w:color="000000" w:sz="8" w:space="0"/>
              <w:right w:val="single" w:color="000000" w:sz="8" w:space="0"/>
            </w:tcBorders>
            <w:tcW w:w="8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8</w:t>
            </w:r>
            <w:r/>
          </w:p>
        </w:tc>
        <w:tc>
          <w:tcPr>
            <w:shd w:val="clear" w:color="auto" w:fill="ffffff"/>
            <w:tcBorders>
              <w:top w:val="none" w:color="000000" w:sz="4" w:space="0"/>
              <w:left w:val="single" w:color="000000" w:sz="8" w:space="0"/>
              <w:bottom w:val="single" w:color="000000" w:sz="8" w:space="0"/>
              <w:right w:val="single" w:color="000000" w:sz="8" w:space="0"/>
            </w:tcBorders>
            <w:tcW w:w="133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Borders>
              <w:top w:val="none" w:color="000000" w:sz="4" w:space="0"/>
              <w:left w:val="single" w:color="000000" w:sz="8" w:space="0"/>
              <w:bottom w:val="single" w:color="000000" w:sz="8" w:space="0"/>
              <w:right w:val="single" w:color="000000" w:sz="8" w:space="0"/>
            </w:tcBorders>
            <w:tcW w:w="1689"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Borders>
              <w:top w:val="none" w:color="000000" w:sz="4" w:space="0"/>
              <w:left w:val="single" w:color="000000" w:sz="8" w:space="0"/>
              <w:bottom w:val="single" w:color="000000" w:sz="8" w:space="0"/>
              <w:right w:val="single" w:color="000000" w:sz="8" w:space="0"/>
            </w:tcBorders>
            <w:tcW w:w="249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政策图解制作</w:t>
            </w:r>
            <w:r/>
          </w:p>
        </w:tc>
        <w:tc>
          <w:tcPr>
            <w:shd w:val="clear" w:color="auto" w:fill="ffffff"/>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ffffff"/>
            <w:tcBorders>
              <w:top w:val="none" w:color="000000" w:sz="4" w:space="0"/>
              <w:left w:val="single" w:color="000000" w:sz="8" w:space="0"/>
              <w:bottom w:val="single" w:color="000000" w:sz="8" w:space="0"/>
              <w:right w:val="single" w:color="000000" w:sz="8" w:space="0"/>
            </w:tcBorders>
            <w:tcW w:w="96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项</w:t>
            </w:r>
            <w:r/>
          </w:p>
        </w:tc>
        <w:tc>
          <w:tcPr>
            <w:shd w:val="clear" w:color="auto" w:fill="ffffff"/>
            <w:tcBorders>
              <w:top w:val="single" w:color="000000" w:sz="8" w:space="0"/>
              <w:left w:val="single" w:color="000000" w:sz="8" w:space="0"/>
              <w:bottom w:val="single" w:color="000000" w:sz="8" w:space="0"/>
              <w:right w:val="single" w:color="000000" w:sz="8" w:space="0"/>
            </w:tcBorders>
            <w:tcW w:w="1725" w:type="dxa"/>
            <w:vAlign w:val="center"/>
            <w:vMerge w:val="continue"/>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21"/>
        </w:trPr>
        <w:tc>
          <w:tcPr>
            <w:shd w:val="clear" w:color="auto" w:fill="ffffff"/>
            <w:tcBorders>
              <w:top w:val="none" w:color="000000" w:sz="4" w:space="0"/>
              <w:left w:val="single" w:color="000000" w:sz="8" w:space="0"/>
              <w:bottom w:val="single" w:color="000000" w:sz="8" w:space="0"/>
              <w:right w:val="single" w:color="000000" w:sz="8" w:space="0"/>
            </w:tcBorders>
            <w:tcW w:w="8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9</w:t>
            </w:r>
            <w:r/>
          </w:p>
        </w:tc>
        <w:tc>
          <w:tcPr>
            <w:shd w:val="clear" w:color="auto" w:fill="ffffff"/>
            <w:tcBorders>
              <w:top w:val="none" w:color="000000" w:sz="4" w:space="0"/>
              <w:left w:val="single" w:color="000000" w:sz="8" w:space="0"/>
              <w:bottom w:val="single" w:color="000000" w:sz="8" w:space="0"/>
              <w:right w:val="single" w:color="000000" w:sz="8" w:space="0"/>
            </w:tcBorders>
            <w:tcW w:w="133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Borders>
              <w:top w:val="none" w:color="000000" w:sz="4" w:space="0"/>
              <w:left w:val="single" w:color="000000" w:sz="8" w:space="0"/>
              <w:bottom w:val="single" w:color="000000" w:sz="8" w:space="0"/>
              <w:right w:val="single" w:color="000000" w:sz="8" w:space="0"/>
            </w:tcBorders>
            <w:tcW w:w="1689"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企业创新积分</w:t>
            </w:r>
            <w:r/>
          </w:p>
        </w:tc>
        <w:tc>
          <w:tcPr>
            <w:shd w:val="clear" w:color="auto" w:fill="ffffff"/>
            <w:tcBorders>
              <w:top w:val="none" w:color="000000" w:sz="4" w:space="0"/>
              <w:left w:val="single" w:color="000000" w:sz="8" w:space="0"/>
              <w:bottom w:val="single" w:color="000000" w:sz="8" w:space="0"/>
              <w:right w:val="single" w:color="000000" w:sz="8" w:space="0"/>
            </w:tcBorders>
            <w:tcW w:w="249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数据整理</w:t>
            </w:r>
            <w:r/>
          </w:p>
        </w:tc>
        <w:tc>
          <w:tcPr>
            <w:shd w:val="clear" w:color="auto" w:fill="ffffff"/>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ffffff"/>
            <w:tcBorders>
              <w:top w:val="none" w:color="000000" w:sz="4" w:space="0"/>
              <w:left w:val="single" w:color="000000" w:sz="8" w:space="0"/>
              <w:bottom w:val="single" w:color="000000" w:sz="8" w:space="0"/>
              <w:right w:val="single" w:color="000000" w:sz="8" w:space="0"/>
            </w:tcBorders>
            <w:tcW w:w="96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项</w:t>
            </w:r>
            <w:r/>
          </w:p>
        </w:tc>
        <w:tc>
          <w:tcPr>
            <w:shd w:val="clear" w:color="auto" w:fill="ffffff"/>
            <w:tcBorders>
              <w:top w:val="single" w:color="000000" w:sz="8" w:space="0"/>
              <w:left w:val="single" w:color="000000" w:sz="8" w:space="0"/>
              <w:bottom w:val="single" w:color="000000" w:sz="8" w:space="0"/>
              <w:right w:val="single" w:color="000000" w:sz="8" w:space="0"/>
            </w:tcBorders>
            <w:tcW w:w="1725" w:type="dxa"/>
            <w:vAlign w:val="center"/>
            <w:vMerge w:val="continue"/>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21"/>
        </w:trPr>
        <w:tc>
          <w:tcPr>
            <w:shd w:val="clear" w:color="auto" w:fill="ffffff"/>
            <w:tcBorders>
              <w:top w:val="none" w:color="000000" w:sz="4" w:space="0"/>
              <w:left w:val="single" w:color="000000" w:sz="8" w:space="0"/>
              <w:bottom w:val="single" w:color="000000" w:sz="8" w:space="0"/>
              <w:right w:val="single" w:color="000000" w:sz="8" w:space="0"/>
            </w:tcBorders>
            <w:tcW w:w="8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10</w:t>
            </w:r>
            <w:r/>
          </w:p>
        </w:tc>
        <w:tc>
          <w:tcPr>
            <w:shd w:val="clear" w:color="auto" w:fill="ffffff"/>
            <w:tcBorders>
              <w:top w:val="none" w:color="000000" w:sz="4" w:space="0"/>
              <w:left w:val="single" w:color="000000" w:sz="8" w:space="0"/>
              <w:bottom w:val="single" w:color="000000" w:sz="8" w:space="0"/>
              <w:right w:val="single" w:color="000000" w:sz="8" w:space="0"/>
            </w:tcBorders>
            <w:tcW w:w="1338" w:type="dxa"/>
            <w:vAlign w:val="center"/>
            <w:vMerge w:val="restart"/>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lang w:eastAsia="zh-CN" w:bidi="ar"/>
              </w:rPr>
              <w:t xml:space="preserve">软件开发服务</w:t>
            </w:r>
            <w:r/>
          </w:p>
        </w:tc>
        <w:tc>
          <w:tcPr>
            <w:gridSpan w:val="2"/>
            <w:shd w:val="clear" w:color="auto" w:fill="ffffff"/>
            <w:tcBorders>
              <w:top w:val="none" w:color="000000" w:sz="4" w:space="0"/>
              <w:left w:val="single" w:color="000000" w:sz="8" w:space="0"/>
              <w:bottom w:val="single" w:color="000000" w:sz="8" w:space="0"/>
              <w:right w:val="single" w:color="000000" w:sz="8" w:space="0"/>
            </w:tcBorders>
            <w:tcW w:w="417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锡新通门户</w:t>
            </w:r>
            <w:r/>
          </w:p>
        </w:tc>
        <w:tc>
          <w:tcPr>
            <w:shd w:val="clear" w:color="auto" w:fill="ffffff"/>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ffffff"/>
            <w:tcBorders>
              <w:top w:val="none" w:color="000000" w:sz="4" w:space="0"/>
              <w:left w:val="single" w:color="000000" w:sz="8" w:space="0"/>
              <w:bottom w:val="single" w:color="000000" w:sz="8" w:space="0"/>
              <w:right w:val="single" w:color="000000" w:sz="8" w:space="0"/>
            </w:tcBorders>
            <w:tcW w:w="96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套</w:t>
            </w:r>
            <w:r/>
          </w:p>
        </w:tc>
        <w:tc>
          <w:tcPr>
            <w:shd w:val="clear" w:color="auto" w:fill="ffffff"/>
            <w:tcBorders>
              <w:top w:val="single" w:color="000000" w:sz="8" w:space="0"/>
              <w:left w:val="single" w:color="000000" w:sz="8" w:space="0"/>
              <w:bottom w:val="single" w:color="000000" w:sz="8" w:space="0"/>
              <w:right w:val="single" w:color="000000" w:sz="8" w:space="0"/>
            </w:tcBorders>
            <w:tcW w:w="1725"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软件和信息技术服务业</w:t>
            </w:r>
            <w:r/>
          </w:p>
        </w:tc>
      </w:tr>
      <w:tr>
        <w:trPr>
          <w:jc w:val="center"/>
          <w:trHeight w:val="321"/>
        </w:trPr>
        <w:tc>
          <w:tcPr>
            <w:shd w:val="clear" w:color="auto" w:fill="ffffff"/>
            <w:tcBorders>
              <w:top w:val="none" w:color="000000" w:sz="4" w:space="0"/>
              <w:left w:val="single" w:color="000000" w:sz="8" w:space="0"/>
              <w:bottom w:val="single" w:color="000000" w:sz="8" w:space="0"/>
              <w:right w:val="single" w:color="000000" w:sz="8" w:space="0"/>
            </w:tcBorders>
            <w:tcW w:w="8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11</w:t>
            </w:r>
            <w:r/>
          </w:p>
        </w:tc>
        <w:tc>
          <w:tcPr>
            <w:shd w:val="clear" w:color="auto" w:fill="ffffff"/>
            <w:tcBorders>
              <w:top w:val="none" w:color="000000" w:sz="4" w:space="0"/>
              <w:left w:val="single" w:color="000000" w:sz="8" w:space="0"/>
              <w:bottom w:val="single" w:color="000000" w:sz="8" w:space="0"/>
              <w:right w:val="single" w:color="000000" w:sz="8" w:space="0"/>
            </w:tcBorders>
            <w:tcW w:w="133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Borders>
              <w:top w:val="none" w:color="000000" w:sz="4" w:space="0"/>
              <w:left w:val="single" w:color="000000" w:sz="8" w:space="0"/>
              <w:bottom w:val="single" w:color="000000" w:sz="8" w:space="0"/>
              <w:right w:val="single" w:color="000000" w:sz="8" w:space="0"/>
            </w:tcBorders>
            <w:tcW w:w="417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锡新通基础应用支撑系统</w:t>
            </w:r>
            <w:r/>
          </w:p>
        </w:tc>
        <w:tc>
          <w:tcPr>
            <w:shd w:val="clear" w:color="auto" w:fill="ffffff"/>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ffffff"/>
            <w:tcBorders>
              <w:top w:val="none" w:color="000000" w:sz="4" w:space="0"/>
              <w:left w:val="single" w:color="000000" w:sz="8" w:space="0"/>
              <w:bottom w:val="single" w:color="000000" w:sz="8" w:space="0"/>
              <w:right w:val="single" w:color="000000" w:sz="8" w:space="0"/>
            </w:tcBorders>
            <w:tcW w:w="96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套</w:t>
            </w:r>
            <w:r/>
          </w:p>
        </w:tc>
        <w:tc>
          <w:tcPr>
            <w:shd w:val="clear" w:color="auto" w:fill="ffffff"/>
            <w:tcBorders>
              <w:top w:val="single" w:color="000000" w:sz="8" w:space="0"/>
              <w:left w:val="single" w:color="000000" w:sz="8" w:space="0"/>
              <w:bottom w:val="single" w:color="000000" w:sz="8" w:space="0"/>
              <w:right w:val="single" w:color="000000" w:sz="8" w:space="0"/>
            </w:tcBorders>
            <w:tcW w:w="172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21"/>
        </w:trPr>
        <w:tc>
          <w:tcPr>
            <w:shd w:val="clear" w:color="auto" w:fill="ffffff"/>
            <w:tcBorders>
              <w:top w:val="none" w:color="000000" w:sz="4" w:space="0"/>
              <w:left w:val="single" w:color="000000" w:sz="8" w:space="0"/>
              <w:bottom w:val="single" w:color="000000" w:sz="8" w:space="0"/>
              <w:right w:val="single" w:color="000000" w:sz="8" w:space="0"/>
            </w:tcBorders>
            <w:tcW w:w="8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12</w:t>
            </w:r>
            <w:r/>
          </w:p>
        </w:tc>
        <w:tc>
          <w:tcPr>
            <w:shd w:val="clear" w:color="auto" w:fill="ffffff"/>
            <w:tcBorders>
              <w:top w:val="none" w:color="000000" w:sz="4" w:space="0"/>
              <w:left w:val="single" w:color="000000" w:sz="8" w:space="0"/>
              <w:bottom w:val="single" w:color="000000" w:sz="8" w:space="0"/>
              <w:right w:val="single" w:color="000000" w:sz="8" w:space="0"/>
            </w:tcBorders>
            <w:tcW w:w="133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Borders>
              <w:top w:val="none" w:color="000000" w:sz="4" w:space="0"/>
              <w:left w:val="single" w:color="000000" w:sz="8" w:space="0"/>
              <w:bottom w:val="single" w:color="000000" w:sz="8" w:space="0"/>
              <w:right w:val="single" w:color="000000" w:sz="8" w:space="0"/>
            </w:tcBorders>
            <w:tcW w:w="417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政策申报和兑现系统</w:t>
            </w:r>
            <w:r/>
          </w:p>
        </w:tc>
        <w:tc>
          <w:tcPr>
            <w:shd w:val="clear" w:color="auto" w:fill="ffffff"/>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ffffff"/>
            <w:tcBorders>
              <w:top w:val="none" w:color="000000" w:sz="4" w:space="0"/>
              <w:left w:val="single" w:color="000000" w:sz="8" w:space="0"/>
              <w:bottom w:val="single" w:color="000000" w:sz="8" w:space="0"/>
              <w:right w:val="single" w:color="000000" w:sz="8" w:space="0"/>
            </w:tcBorders>
            <w:tcW w:w="96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套</w:t>
            </w:r>
            <w:r/>
          </w:p>
        </w:tc>
        <w:tc>
          <w:tcPr>
            <w:shd w:val="clear" w:color="auto" w:fill="ffffff"/>
            <w:tcBorders>
              <w:top w:val="single" w:color="000000" w:sz="8" w:space="0"/>
              <w:left w:val="single" w:color="000000" w:sz="8" w:space="0"/>
              <w:bottom w:val="single" w:color="000000" w:sz="8" w:space="0"/>
              <w:right w:val="single" w:color="000000" w:sz="8" w:space="0"/>
            </w:tcBorders>
            <w:tcW w:w="172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21"/>
        </w:trPr>
        <w:tc>
          <w:tcPr>
            <w:shd w:val="clear" w:color="auto" w:fill="ffffff"/>
            <w:tcBorders>
              <w:top w:val="none" w:color="000000" w:sz="4" w:space="0"/>
              <w:left w:val="single" w:color="000000" w:sz="8" w:space="0"/>
              <w:bottom w:val="single" w:color="000000" w:sz="8" w:space="0"/>
              <w:right w:val="single" w:color="000000" w:sz="8" w:space="0"/>
            </w:tcBorders>
            <w:tcW w:w="8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13</w:t>
            </w:r>
            <w:r/>
          </w:p>
        </w:tc>
        <w:tc>
          <w:tcPr>
            <w:shd w:val="clear" w:color="auto" w:fill="ffffff"/>
            <w:tcBorders>
              <w:top w:val="none" w:color="000000" w:sz="4" w:space="0"/>
              <w:left w:val="single" w:color="000000" w:sz="8" w:space="0"/>
              <w:bottom w:val="single" w:color="000000" w:sz="8" w:space="0"/>
              <w:right w:val="single" w:color="000000" w:sz="8" w:space="0"/>
            </w:tcBorders>
            <w:tcW w:w="133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Borders>
              <w:top w:val="none" w:color="000000" w:sz="4" w:space="0"/>
              <w:left w:val="single" w:color="000000" w:sz="8" w:space="0"/>
              <w:bottom w:val="single" w:color="000000" w:sz="8" w:space="0"/>
              <w:right w:val="single" w:color="000000" w:sz="8" w:space="0"/>
            </w:tcBorders>
            <w:tcW w:w="417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惠企政策服务系统</w:t>
            </w:r>
            <w:r/>
          </w:p>
        </w:tc>
        <w:tc>
          <w:tcPr>
            <w:shd w:val="clear" w:color="auto" w:fill="ffffff"/>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ffffff"/>
            <w:tcBorders>
              <w:top w:val="none" w:color="000000" w:sz="4" w:space="0"/>
              <w:left w:val="single" w:color="000000" w:sz="8" w:space="0"/>
              <w:bottom w:val="single" w:color="000000" w:sz="8" w:space="0"/>
              <w:right w:val="single" w:color="000000" w:sz="8" w:space="0"/>
            </w:tcBorders>
            <w:tcW w:w="96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套</w:t>
            </w:r>
            <w:r/>
          </w:p>
        </w:tc>
        <w:tc>
          <w:tcPr>
            <w:shd w:val="clear" w:color="auto" w:fill="ffffff"/>
            <w:tcBorders>
              <w:top w:val="single" w:color="000000" w:sz="8" w:space="0"/>
              <w:left w:val="single" w:color="000000" w:sz="8" w:space="0"/>
              <w:bottom w:val="single" w:color="000000" w:sz="8" w:space="0"/>
              <w:right w:val="single" w:color="000000" w:sz="8" w:space="0"/>
            </w:tcBorders>
            <w:tcW w:w="172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21"/>
        </w:trPr>
        <w:tc>
          <w:tcPr>
            <w:shd w:val="clear" w:color="auto" w:fill="ffffff"/>
            <w:tcBorders>
              <w:top w:val="none" w:color="000000" w:sz="4" w:space="0"/>
              <w:left w:val="single" w:color="000000" w:sz="8" w:space="0"/>
              <w:bottom w:val="single" w:color="000000" w:sz="8" w:space="0"/>
              <w:right w:val="single" w:color="000000" w:sz="8" w:space="0"/>
            </w:tcBorders>
            <w:tcW w:w="88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14</w:t>
            </w:r>
            <w:r/>
          </w:p>
        </w:tc>
        <w:tc>
          <w:tcPr>
            <w:shd w:val="clear" w:color="auto" w:fill="ffffff"/>
            <w:tcBorders>
              <w:top w:val="none" w:color="000000" w:sz="4" w:space="0"/>
              <w:left w:val="single" w:color="000000" w:sz="8" w:space="0"/>
              <w:bottom w:val="single" w:color="000000" w:sz="8" w:space="0"/>
              <w:right w:val="single" w:color="000000" w:sz="8" w:space="0"/>
            </w:tcBorders>
            <w:tcW w:w="133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Borders>
              <w:top w:val="none" w:color="000000" w:sz="4" w:space="0"/>
              <w:left w:val="single" w:color="000000" w:sz="8" w:space="0"/>
              <w:bottom w:val="single" w:color="000000" w:sz="8" w:space="0"/>
              <w:right w:val="single" w:color="000000" w:sz="8" w:space="0"/>
            </w:tcBorders>
            <w:tcW w:w="417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增值服务系统</w:t>
            </w:r>
            <w:r/>
          </w:p>
        </w:tc>
        <w:tc>
          <w:tcPr>
            <w:shd w:val="clear" w:color="auto" w:fill="ffffff"/>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ffffff"/>
            <w:tcBorders>
              <w:top w:val="none" w:color="000000" w:sz="4" w:space="0"/>
              <w:left w:val="single" w:color="000000" w:sz="8" w:space="0"/>
              <w:bottom w:val="single" w:color="000000" w:sz="8" w:space="0"/>
              <w:right w:val="single" w:color="000000" w:sz="8" w:space="0"/>
            </w:tcBorders>
            <w:tcW w:w="96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套</w:t>
            </w:r>
            <w:r/>
          </w:p>
        </w:tc>
        <w:tc>
          <w:tcPr>
            <w:shd w:val="clear" w:color="auto" w:fill="ffffff"/>
            <w:tcBorders>
              <w:top w:val="single" w:color="000000" w:sz="8" w:space="0"/>
              <w:left w:val="single" w:color="000000" w:sz="8" w:space="0"/>
              <w:bottom w:val="single" w:color="000000" w:sz="8" w:space="0"/>
              <w:right w:val="single" w:color="000000" w:sz="8" w:space="0"/>
            </w:tcBorders>
            <w:tcW w:w="172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pStyle w:val="884"/>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4.2 主要性能指标</w:t>
      </w:r>
      <w:r/>
    </w:p>
    <w:p>
      <w:pPr>
        <w:pStyle w:val="975"/>
        <w:numPr>
          <w:ilvl w:val="0"/>
          <w:numId w:val="12"/>
        </w:numPr>
        <w:ind w:left="901"/>
        <w:spacing w:line="500" w:lineRule="exact"/>
        <w:rPr>
          <w:rFonts w:hint="eastAsia" w:ascii="宋体" w:hAnsi="宋体" w:eastAsia="宋体" w:cs="宋体"/>
          <w:sz w:val="24"/>
          <w:szCs w:val="24"/>
        </w:rPr>
        <w:outlineLvl w:val="3"/>
      </w:pPr>
      <w:r>
        <w:rPr>
          <w:rFonts w:hint="eastAsia" w:ascii="宋体" w:hAnsi="宋体" w:eastAsia="宋体" w:cs="宋体"/>
          <w:sz w:val="24"/>
          <w:szCs w:val="24"/>
        </w:rPr>
        <w:t xml:space="preserve">成品软件</w:t>
      </w:r>
      <w:bookmarkStart w:id="196" w:name="_Hlk202528464"/>
      <w:r/>
      <w:r/>
    </w:p>
    <w:tbl>
      <w:tblPr>
        <w:tblStyle w:val="892"/>
        <w:tblW w:w="11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456"/>
        <w:gridCol w:w="816"/>
        <w:gridCol w:w="1176"/>
        <w:gridCol w:w="8865"/>
      </w:tblGrid>
      <w:tr>
        <w:trPr>
          <w:jc w:val="center"/>
          <w:trHeight w:val="407"/>
        </w:trPr>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序号</w:t>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分类</w:t>
            </w:r>
            <w:r/>
          </w:p>
        </w:tc>
        <w:tc>
          <w:tcPr>
            <w:tcW w:w="81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一级指标</w:t>
            </w:r>
            <w:r/>
          </w:p>
        </w:tc>
        <w:tc>
          <w:tcPr>
            <w:tcW w:w="1176" w:type="dxa"/>
            <w:vAlign w:val="center"/>
            <w:textDirection w:val="lrTb"/>
            <w:noWrap w:val="false"/>
          </w:tcPr>
          <w:p>
            <w:pPr>
              <w:ind w:firstLine="240"/>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二级指标</w:t>
            </w:r>
            <w:r/>
          </w:p>
        </w:tc>
        <w:tc>
          <w:tcPr>
            <w:tcW w:w="886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指标要求</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操作系统支持多CPU架构</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同源兼容多CPU平台架构</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操作系统支持同源兼容ARM、LoongArch、MIPS、SW64、x86架构的CPU</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操作系统支持CPU内置功能</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多核支持</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操作系统支持双核及多核处理器，包括核间负载均衡、线程绑定等，并提供接口，通过访问接口获取运行状态和控制多核调度</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CPU虚拟化支持</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操作系统支持CPU虚拟化技术</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动态调节CPU运行频率</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操作系统根据负载情况，自动调节CPU的运行频率</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支持多CPU</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支持跨路内存访问，支持CPU间负载均衡，支持并优化NUMA体系架构</w:t>
            </w:r>
            <w:r/>
          </w:p>
        </w:tc>
      </w:tr>
      <w:tr>
        <w:trPr>
          <w:jc w:val="center"/>
          <w:trHeight w:val="918"/>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支持CPU内置安全功能</w:t>
            </w:r>
            <w:r/>
          </w:p>
        </w:tc>
        <w:tc>
          <w:tcPr>
            <w:tcW w:w="8865" w:type="dxa"/>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操作系统支持CPU硬件密码运算与随机数生成等功能；</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提供编程接口供应用程序调用；</w:t>
            </w:r>
            <w:r/>
          </w:p>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支持通过硬件指令判别临界区冲突；支持调用CPU指令，实现自旋锁</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安装部署</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安装方式</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操作系统支持光盘安装、USB闪存盘安装、网络安装和无人值守安装</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安装模式</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操作系统支持图形或文本安装模式</w:t>
            </w:r>
            <w:r/>
          </w:p>
        </w:tc>
      </w:tr>
      <w:tr>
        <w:trPr>
          <w:jc w:val="center"/>
          <w:trHeight w:val="1224"/>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安装过程配置</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安装界面文种设置、逻辑分区配置（如LVM）、自定义分区设置、安装组件设置、时区设置、键盘布局设置、初始用户设置、计算机名设置和网络设置，支持通过USB闪存盘等方式加载硬件驱动、支持设置加密文件系统</w:t>
            </w:r>
            <w:r/>
          </w:p>
        </w:tc>
      </w:tr>
      <w:tr>
        <w:trPr>
          <w:jc w:val="center"/>
          <w:trHeight w:val="90"/>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系统引导</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a)操作系统应支持UEFI2.0及以上规范固件引导，当计算机以UEFI模式启动安装时，安装程序应分配ESP，并在ESP中放置启动引导文件，使系统能以UEFI模式引导；</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b)支持bootloader引导，支持MBR及GPT</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引导修复</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操作系统安装媒体提供系统引导修复功能，当已安装的系统引导被破坏时，可重建系统引导</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引导参数编辑</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操作系统支持用户编辑引导参数，支持GRUB口令保护</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数据保护</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安装程序在安装执行前明确提示用户可能会删除已有数据，并提供退出/取消功能，当用户取消安装时，不改变硬盘上已有数据</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分辨率自适应</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操作系统安装完成后应自动适配显示器最佳分辨率(文本模式除外)</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安装配置正确性校验</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操作系统安装和配置过程中，如用户自定义的某些配置可能会影响系统启动或正常使用，予以明确提示</w:t>
            </w:r>
            <w:r/>
          </w:p>
        </w:tc>
      </w:tr>
      <w:tr>
        <w:trPr>
          <w:jc w:val="center"/>
          <w:trHeight w:val="1530"/>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系统内核</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内核要求</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a)若操作系统是基于Linux内核的服务器操作系统应兼容4.19版内核</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b)若操作系统属于其他类型内核不做要求</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进程、线程调度</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NUMA</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操作系统支持基于NUMA的亲和调度</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多核轮询</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操作系统支持CPU多核轮询调度</w:t>
            </w:r>
            <w:r/>
          </w:p>
        </w:tc>
      </w:tr>
      <w:tr>
        <w:trPr>
          <w:jc w:val="center"/>
          <w:trHeight w:val="918"/>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进程调度</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操作系统具备进程优先级动态调整能力，允许在进程运行时对优先级进行调整；区分实时进程与非实时进程，分别进行调度；支持进程运行状态检查</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内存管理</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内存容量</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操作系统支持最大内存不小于4TB</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内存大页管理</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操作系统允许应用申请内存大页降低页表转换</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NUMA</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操作系统支持NUMA近节点优化</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存储管理</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RAID支持</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操作系统支持硬RAID和软RAID，支持软RAID级别0、1、5、6、10</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虚拟文件系统</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操作系统支持将不同功能的外部设备抽象为统一的文件操作接口，包括存储、输入输出设备</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文件管理</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操作系统支持文件存储、检索和共享</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可移动存储</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操作系统支持对可移动外部存储的管理，包括启停、禁用、恢复等</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外部独立存储</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操作系统支持使用外部独立存储设备</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多路径聚合</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操作系统支持存储多路径聚合及I/O动态负载均衡</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故障检测</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操作系统支持硬盘损坏或老化检测及信息收集</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虚拟内存</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操作系统支持将硬盘的特定分区或文件作为虚拟扩展内存用于存放内存数据，支持虚拟内存压缩</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网络块设备挂载</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操作系统支持FCoE、iSCSI，支持将Ceph块设备视为常规存储设备挂载到某个目录并作为标准文件系统使用</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网络管理</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网络链路检测</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操作系统支持网络链路故障检测、链路事件通知和链路状态查询</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TCP卸载引擎</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操作系统支持运行TCP协议卸载引擎的网卡</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网络协议</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操作系统支持IPv4、IPv6</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多网卡绑定</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操作系统支持多网卡绑定</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用户态TCP/IP协议栈</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操作系统支持用户态TCP/IP协议栈</w:t>
            </w:r>
            <w:r/>
          </w:p>
        </w:tc>
      </w:tr>
      <w:tr>
        <w:trPr>
          <w:jc w:val="center"/>
          <w:trHeight w:val="377"/>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文件系统</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文件系统支持</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操作系统支持XFS、EXT3、EXT4、NTFS、FAT32等文件系统，支持相应格式分区创建、删除、格式化等</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日志式文件系统</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操作系统支持日志式文件系统</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文件处理能力</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操作系统支持最大文件不小于4TB，最大分区与文件系统不小于10PB，最大文件名长度不小于255字节</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分区大小调整</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操作系统支持动态调整分区大小，对系统分区容量进行改变</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应用开发运行环境</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集成开发环境/开发框架</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操作系统通过内置、软件仓库或附加光盘等方式提供开发环境，包括Qt、Eclipse、VSCode等</w:t>
            </w:r>
            <w:r/>
          </w:p>
        </w:tc>
      </w:tr>
      <w:tr>
        <w:trPr>
          <w:jc w:val="center"/>
          <w:trHeight w:val="918"/>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开发工具库</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操作系统通过内置、软件仓库或附加光盘等方式提供开发库，包括GNU C、GNU、C++、Java、Qt、Gtk+、Cairo、OpenGL、Perl、Python、Ruby、Rust、Golang、JS等</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编译器开发工具</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操作系统通过内置、软件仓库或附加光盘等方式提供编译开发工具，包括GCC、G++、Binutils、GDB、Make、CMake等</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文本编辑工具</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操作系统通过内置、软件仓库或附加光盘等方式提供文本编辑工具，包括Emacs、Vim等</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软件包管理</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操作系统支持查询软件包描述和包含文件，以及软件包依赖；</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支持在安装时自动提示并下载安装缺失的依赖软件包</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开发文档</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供应商应提供软件开发参考文档、驱动开发参考文档、应用移植开发文档、API文档</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服务支持</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网络服务</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操作系统支持TCP/UDP</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网络共享</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操作系统支持基于NFS、SMB、FTP、CIFS等协议的数据网络共享服务</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WEB服务</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操作系统支持基于HTTP、HTTPS、FastCGI等协议WEB服务</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加密传输服务</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操作系统支持基于IPSec和SSL协议的隧道加密传输服务</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数字证书服务</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操作系统支持基于PKI体系的数字证书服务</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访问控制服务</w:t>
            </w:r>
            <w:r/>
          </w:p>
        </w:tc>
        <w:tc>
          <w:tcPr>
            <w:tcW w:w="8865" w:type="dxa"/>
            <w:vAlign w:val="center"/>
            <w:textDirection w:val="lrTb"/>
            <w:noWrap w:val="false"/>
          </w:tcPr>
          <w:p>
            <w:pPr>
              <w:jc w:val="left"/>
              <w:widowControl/>
              <w:rPr>
                <w:rFonts w:hint="eastAsia" w:ascii="宋体" w:hAnsi="宋体" w:eastAsia="宋体" w:cs="宋体"/>
                <w:sz w:val="24"/>
                <w:szCs w:val="24"/>
              </w:rPr>
            </w:pPr>
            <w:r>
              <w:fldChar w:fldCharType="begin"/>
            </w:r>
            <w:r>
              <w:instrText xml:space="preserve"> HYPERLINK "HTTP" </w:instrText>
            </w:r>
            <w:r>
              <w:fldChar w:fldCharType="separate"/>
            </w:r>
            <w:r>
              <w:rPr>
                <w:rStyle w:val="931"/>
                <w:rFonts w:hint="eastAsia" w:ascii="宋体" w:hAnsi="宋体" w:eastAsia="宋体" w:cs="宋体"/>
                <w:color w:val="auto"/>
                <w:sz w:val="24"/>
                <w:szCs w:val="24"/>
                <w:u w:val="none"/>
              </w:rPr>
              <w:t xml:space="preserve">操作系统支持基于RBAC(基于角色的访问控制)机制的访问控制服务</w:t>
            </w:r>
            <w:r>
              <w:rPr>
                <w:rStyle w:val="931"/>
                <w:rFonts w:hint="eastAsia" w:ascii="宋体" w:hAnsi="宋体" w:eastAsia="宋体" w:cs="宋体"/>
                <w:color w:val="auto"/>
                <w:sz w:val="24"/>
                <w:szCs w:val="24"/>
                <w:u w:val="none"/>
              </w:rPr>
              <w:fldChar w:fldCharType="end"/>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网络管理服务</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操作系统支持基于SNMP、NETCONF、RESTCONF等协议的网络管理服务</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时间同步服务</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操作系统支持基于NTP协议网络时间同步服务</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远程连接服务</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操作系统支持RPC、rsync、SSH等远程服务</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top"/>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邮件服务</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操作系统支持基于SMTP、POP3、IMAP等的邮件服务</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top"/>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身份鉴别服务</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操作系统支持基于轻量级目录访问协议的统一身份鉴别服务</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top"/>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数据存储和查询服务</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操作系统支持结构化和非结构化格式数据的存储和查询服务</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top"/>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操作系统支持块、文件、对象等类型的数据存储服务</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top"/>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操作系统支持SQL、NoSQL、键值等类型的数据库</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top"/>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存储服务</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操作系统支持多种传输速率和存储协议的SAN和NAS存储</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top"/>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集群支持</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操作系统支持服务基于主备机制的分布式集群、高可用集群的部署模式</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top"/>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操作系统支持服务基于分布式通信协议的分布式集群、高可用集群的部署模式</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top"/>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操作系统支持基于虚拟路由器冗余协议的高可用集群部署模式</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top"/>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分布式服务</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操作系统支持基于同步、异步请求处理机制的分布式服务</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top"/>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负载均衡模式</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操作系统支持基于OSI模型的4/7层和链路层的负载均衡模式</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top"/>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操作系统支持基于不同调度算法的负载均衡模式</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top"/>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高可用服务</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操作系统提供对HA的支持，支持多种集群配置模式，包括主主模式、主备模式、N+1模式和N+M模式，支持资源及节点故障检测</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虚拟化</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虚拟化部署</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操作系统支持在KVM、Xen、Hyper-V虚拟机上安装部署操作系统</w:t>
            </w:r>
            <w:r/>
          </w:p>
        </w:tc>
      </w:tr>
      <w:tr>
        <w:trPr>
          <w:jc w:val="center"/>
          <w:trHeight w:val="1937"/>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内核虚拟化(KVM)</w:t>
            </w:r>
            <w:r/>
          </w:p>
        </w:tc>
        <w:tc>
          <w:tcPr>
            <w:tcW w:w="8865" w:type="dxa"/>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操作系统支持KVM虚拟化：</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对虚拟机进行启、停等管理操作；</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对虚拟机硬盘做快照并从快照恢复；</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兼容qemu、libvirt标准接口；</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支持UEFI或legacy BIOS方式启动；</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支持虚拟时钟arch-timer；</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支持虚拟鼠标、键盘、触控板、声卡、显卡、硬盘、CDROM、串口pty/pipe/file等设备；</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支持Virtio协议下的虚拟设备，包括串口、blk驱动硬盘、SCSI驱动硬盘、不同后端控制器类型的Virtio网卡(包括内核态、用户态、qemu)、GPU、vsock设备等；</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支持硬盘和网卡选择类型VFIO设备；</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支持虚拟机CPU、内存、网卡、硬盘等离线调整；</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支持虚拟机网卡、硬盘、USB设备热插拔；</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支持PCI/PCIE设备直通；支持虚拟机热迁移和加密传输；</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支持虚拟机远程访问；</w:t>
            </w:r>
            <w:r/>
          </w:p>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支持虚拟机CPU和I/O线程绑定</w:t>
            </w:r>
            <w:r/>
          </w:p>
        </w:tc>
      </w:tr>
      <w:tr>
        <w:trPr>
          <w:jc w:val="center"/>
          <w:trHeight w:val="1530"/>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KVM虚拟机管理</w:t>
            </w:r>
            <w:r/>
          </w:p>
        </w:tc>
        <w:tc>
          <w:tcPr>
            <w:tcW w:w="8865" w:type="dxa"/>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操作系统支持虚拟机对主机的访问控制；</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虚拟机可以拥有独立的物理资源，且各个虚拟机之间严格隔离；</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支持大页内存运行虚拟机；支持三种CPU型号模拟模式，包括直通、宿主模型、自定义；</w:t>
            </w:r>
            <w:r/>
          </w:p>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支持虚拟机资源调配控制，包括Numa、CPU、内存、I/O、网卡；支持CPU拓扑模拟和透传</w:t>
            </w:r>
            <w:r/>
          </w:p>
        </w:tc>
      </w:tr>
      <w:tr>
        <w:trPr>
          <w:jc w:val="center"/>
          <w:trHeight w:val="3200"/>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容器</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容器虚拟化</w:t>
            </w:r>
            <w:r/>
          </w:p>
        </w:tc>
        <w:tc>
          <w:tcPr>
            <w:tcW w:w="8865" w:type="dxa"/>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操作系统支持OCI；</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支持进程命名空间隔离技术包括不限于mnt、pid、ipc、uts、user、network等；</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支持在同CPU指令架构下的不同规格硬件上无缝分发，保障运行兼容性；</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支持沙箱扩展；</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支持面向容器的独立逻辑文件管理，具备在容器创建时指定专用根文件夹，容器内进程文件访问重定向等功能；</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支持日志查询功能；</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支持通过控制终端对容器内主进程的标准输入输出对接交互；</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支持通过控制终端对容器内新建进程的标准输入输出对接交互；</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支持容器存储卷管理（新增、删除、卷容量配置、自动回收）、卷共享；</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支持面向容器的网络设备资源分配和使用；</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支持CNI；</w:t>
            </w:r>
            <w:r/>
          </w:p>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支持容器获取物理节点资源信息</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top"/>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容器镜像和存储管理</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操作系统支持容器镜像导入、导出；支持容器镜像分层保存、导入</w:t>
            </w:r>
            <w:r/>
          </w:p>
        </w:tc>
      </w:tr>
      <w:tr>
        <w:trPr>
          <w:jc w:val="center"/>
          <w:trHeight w:val="2754"/>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tcW w:w="816" w:type="dxa"/>
            <w:vAlign w:val="top"/>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容器资源隔离</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和调配</w:t>
            </w:r>
            <w:r/>
          </w:p>
        </w:tc>
        <w:tc>
          <w:tcPr>
            <w:tcW w:w="8865" w:type="dxa"/>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操作系统支持容器资源在线调整，包括CPU资源、内存资源、I/O资源等；</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支持文件配额分配、存储带宽资源使用量监控等机制，实现容器级I/O控制能力；</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支持面向容器的网络带宽调度策略，实现容器级网络带宽分配、使用量监控等机制；</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支持面向容器的存储空间使用监控、分配机制；</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支持容器CPU核独占；</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支持面向容器的CPU时间片资源按需划分机制；</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支持面向容器的内存分配和回收机制，实现内存使用量跟踪和管理；</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支持同一集群在线、离线业务混合部署；</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支持对容器的编排、负载均衡、调度等能力；</w:t>
            </w:r>
            <w:r/>
          </w:p>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支持根据容器在线与离线混合部署状态进行资源优先调度，提高计算机资源利用率</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易用性要求</w:t>
            </w:r>
            <w:r/>
          </w:p>
        </w:tc>
        <w:tc>
          <w:tcPr>
            <w:tcW w:w="816"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中文支持</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字符编码集</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操作系统应符合GB 18030的要求</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易用性要求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中文帮助文档</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操作系统内置中文帮助文档</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易用性要求</w:t>
            </w:r>
            <w:r/>
          </w:p>
        </w:tc>
        <w:tc>
          <w:tcPr>
            <w:tcW w:w="816"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管理工具</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系统信息查看工具</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操作系统支持查看系统版本、内核版本、内存容量、CPU型号等信息</w:t>
            </w:r>
            <w:r/>
          </w:p>
        </w:tc>
      </w:tr>
      <w:tr>
        <w:trPr>
          <w:jc w:val="center"/>
          <w:trHeight w:val="918"/>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易用性要求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网络管理工具</w:t>
            </w:r>
            <w:r/>
          </w:p>
        </w:tc>
        <w:tc>
          <w:tcPr>
            <w:tcW w:w="8865" w:type="dxa"/>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操作系统支持多网口自动连接、网络地址（常被称为“IP地址”）设置、DNS设置、路由设置；</w:t>
            </w:r>
            <w:r/>
          </w:p>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支持多网卡链路聚合，模式类型包括但不仅限于轮询、主备、802.3AD动态链路聚合</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易用性要求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日期和时间管理工具</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操作系统可设置时间同步服务器地址，支持局域网和广域网的同步设置</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易用性要求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日志服务管理工具</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操作系统支持收集系统日志</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易用性要求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cs="宋体"/>
                <w:sz w:val="24"/>
                <w:szCs w:val="24"/>
                <w:lang w:eastAsia="zh-CN" w:bidi="ar"/>
              </w:rPr>
              <w:t xml:space="preserve">账户</w:t>
            </w:r>
            <w:r>
              <w:rPr>
                <w:rFonts w:hint="eastAsia" w:ascii="宋体" w:hAnsi="宋体" w:eastAsia="宋体" w:cs="宋体"/>
                <w:sz w:val="24"/>
                <w:szCs w:val="24"/>
                <w:lang w:bidi="ar"/>
              </w:rPr>
              <w:t xml:space="preserve">管理工具</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w:t>
            </w:r>
            <w:r>
              <w:rPr>
                <w:rFonts w:hint="eastAsia" w:ascii="宋体" w:hAnsi="宋体" w:cs="宋体"/>
                <w:sz w:val="24"/>
                <w:szCs w:val="24"/>
                <w:lang w:eastAsia="zh-CN" w:bidi="ar"/>
              </w:rPr>
              <w:t xml:space="preserve">账户</w:t>
            </w:r>
            <w:r>
              <w:rPr>
                <w:rFonts w:hint="eastAsia" w:ascii="宋体" w:hAnsi="宋体" w:eastAsia="宋体" w:cs="宋体"/>
                <w:sz w:val="24"/>
                <w:szCs w:val="24"/>
                <w:lang w:bidi="ar"/>
              </w:rPr>
              <w:t xml:space="preserve">添加、删除、属性修改等</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易用性要求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用户操作审计工具</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操作系统支持用户操作痕迹查询</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易用性要求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存储管理工具</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操作系统支持EXT、XFS、NTFS、FAT、SWAP等多种格式的分区管理</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易用性要求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SNMP协议工具包</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操作系统支持SNMP设备和操作信息检索</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易用性要求</w:t>
            </w:r>
            <w:r/>
          </w:p>
        </w:tc>
        <w:tc>
          <w:tcPr>
            <w:tcW w:w="816" w:type="dxa"/>
            <w:vAlign w:val="top"/>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文本终端连接工具</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操作系统支持多终端协同管理</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易用性要求</w:t>
            </w:r>
            <w:r/>
          </w:p>
        </w:tc>
        <w:tc>
          <w:tcPr>
            <w:tcW w:w="816" w:type="dxa"/>
            <w:vAlign w:val="top"/>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服务管理工具集</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操作系统支持服务启动与停止，查看服务状态及日志，查询服务启动顺序及依赖关系</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易用性要求</w:t>
            </w:r>
            <w:r/>
          </w:p>
        </w:tc>
        <w:tc>
          <w:tcPr>
            <w:tcW w:w="816" w:type="dxa"/>
            <w:vAlign w:val="top"/>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配置管理工具</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操作系统提供配置管理工具，可以简化任务配置及服务管理</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易用性要求</w:t>
            </w:r>
            <w:r/>
          </w:p>
        </w:tc>
        <w:tc>
          <w:tcPr>
            <w:tcW w:w="816" w:type="dxa"/>
            <w:vAlign w:val="top"/>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监控管理工具</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操作系统支持监控系统资源使用情况，包含CPU、内存、存储I/O、网络I/O等</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易用性要求</w:t>
            </w:r>
            <w:r/>
          </w:p>
        </w:tc>
        <w:tc>
          <w:tcPr>
            <w:tcW w:w="816" w:type="dxa"/>
            <w:vAlign w:val="top"/>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守护进程</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操作系统支持按需启动守护进程，用户可自定义设定需求守护的进程，如遇异常可重新加载，实现应用持续运行</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兼容性要求</w:t>
            </w:r>
            <w:r/>
          </w:p>
        </w:tc>
        <w:tc>
          <w:tcPr>
            <w:tcW w:w="816"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基础组件兼容</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版本兼容</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操作系统基础运行库或开发环境向后（向下）兼容，即系统版本升级后，能兼容上一版本所运行的软件与设备</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兼容性要求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兼容周期</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操作系统主版本兼容维护时间自发布之日起不低于5年，包括但不限于安全修复、功能升级、新硬件支持等</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兼容性要求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兼容方式</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操作系统支持以增量升级包的方式实现版本更新</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兼容性要求</w:t>
            </w:r>
            <w:r/>
          </w:p>
        </w:tc>
        <w:tc>
          <w:tcPr>
            <w:tcW w:w="816"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运行环境</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文件系统层次结构</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供应商应给出长期兼容支持的文件系统层次结构</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兼容性要求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运行库</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供应商应给出长期兼容支持的运行库</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兼容性要求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命令</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供应商应给出长期兼容支持的常用命令</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兼容性要求</w:t>
            </w:r>
            <w:r/>
          </w:p>
        </w:tc>
        <w:tc>
          <w:tcPr>
            <w:tcW w:w="81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软件包格式</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软件包格式转换</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操作系统支持RPM或DEB格式的软件包，当系统不支持RPM或DEB格式的软件包时，提供工具对软件包格式进行转换</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兼容性要求</w:t>
            </w:r>
            <w:r/>
          </w:p>
        </w:tc>
        <w:tc>
          <w:tcPr>
            <w:tcW w:w="816"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软件兼容</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集群软件</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供应商提供兼容的集群软件清单，且至少兼容一款产品</w:t>
            </w:r>
            <w:r/>
          </w:p>
        </w:tc>
      </w:tr>
      <w:tr>
        <w:trPr>
          <w:jc w:val="center"/>
          <w:trHeight w:val="741"/>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兼容性要求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虚拟化云平台</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供应商提供兼容的虚拟化平台软件清单，且至少兼容三款产品</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兼容性要求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容器云</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供应商提供兼容的容器云软件清单，且至少兼容三款产品</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兼容性要求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存储软件</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供应商提供兼容的存储软件清单，且至少兼容一款产品</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兼容性要求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数据库管理系统</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供应商提供兼容的数据库软件清单，且至少兼容三款产品</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兼容性要求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中间件</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供应商提供兼容的中间件软件清单，且至少兼容三款产品</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兼容性要求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运维平台</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供应商提供兼容的运维平台软件清单，且至少兼容一款产品</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兼容性要求</w:t>
            </w:r>
            <w:r/>
          </w:p>
        </w:tc>
        <w:tc>
          <w:tcPr>
            <w:tcW w:w="816" w:type="dxa"/>
            <w:vAlign w:val="top"/>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备份软件</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供应商提供兼容的备份恢复软件清单，且至少兼容一款产品</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兼容性要求</w:t>
            </w:r>
            <w:r/>
          </w:p>
        </w:tc>
        <w:tc>
          <w:tcPr>
            <w:tcW w:w="816" w:type="dxa"/>
            <w:vAlign w:val="top"/>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大数据平台</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供应商提供兼容的大数据平台软件清单，且至少兼容一款产品</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兼容性要求</w:t>
            </w:r>
            <w:r/>
          </w:p>
        </w:tc>
        <w:tc>
          <w:tcPr>
            <w:tcW w:w="816" w:type="dxa"/>
            <w:vAlign w:val="top"/>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终端防护及杀毒</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供应商提供兼容的终端防护及杀毒软件清单，且至少兼容一款产品</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兼容性要求</w:t>
            </w:r>
            <w:r/>
          </w:p>
        </w:tc>
        <w:tc>
          <w:tcPr>
            <w:tcW w:w="816" w:type="dxa"/>
            <w:vAlign w:val="top"/>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网络防护</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供应商提供兼容的网络防护软件清单，且至少兼容一款产品</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兼容性要求</w:t>
            </w:r>
            <w:r/>
          </w:p>
        </w:tc>
        <w:tc>
          <w:tcPr>
            <w:tcW w:w="816" w:type="dxa"/>
            <w:vAlign w:val="top"/>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身份认证</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供应商提供兼容的身份认证软件清单，且至少兼容一款产品</w:t>
            </w:r>
            <w:r/>
          </w:p>
        </w:tc>
      </w:tr>
      <w:tr>
        <w:trPr>
          <w:jc w:val="center"/>
          <w:trHeight w:val="600"/>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兼容性要求</w:t>
            </w:r>
            <w:r/>
          </w:p>
        </w:tc>
        <w:tc>
          <w:tcPr>
            <w:tcW w:w="816"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硬件兼容</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服务器整机</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供应商提供兼容的服务器整机品牌及型号清单，且至少兼容一款产品</w:t>
            </w:r>
            <w:r/>
          </w:p>
        </w:tc>
      </w:tr>
      <w:tr>
        <w:trPr>
          <w:jc w:val="center"/>
          <w:trHeight w:val="600"/>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兼容性要求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AI服务器</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供应商提供兼容的AI服务器整机品牌及型号清单，且至少兼容一款产品</w:t>
            </w:r>
            <w:r/>
          </w:p>
        </w:tc>
      </w:tr>
      <w:tr>
        <w:trPr>
          <w:jc w:val="center"/>
          <w:trHeight w:val="600"/>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兼容性要求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存储</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供应商提供兼容的存储服务器整机品牌及型号清单，且至少兼容一款产品</w:t>
            </w:r>
            <w:r/>
          </w:p>
        </w:tc>
      </w:tr>
      <w:tr>
        <w:trPr>
          <w:jc w:val="center"/>
          <w:trHeight w:val="600"/>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兼容性要求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部件兼容</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供应商提供兼容的系统总线、HBA卡、RAID卡、网卡、光纤卡、AI加速卡、GPU、NPU等品牌及型号清单</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可靠性要求</w:t>
            </w:r>
            <w:r/>
          </w:p>
        </w:tc>
        <w:tc>
          <w:tcPr>
            <w:tcW w:w="81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稳定性</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操作系统连续运行168小时</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操作系统高负载下连续常态运行168小时无故障</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可靠性要求</w:t>
            </w:r>
            <w:r/>
          </w:p>
        </w:tc>
        <w:tc>
          <w:tcPr>
            <w:tcW w:w="81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备份还原</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备份还原</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操作系统提供备份还原功能，支持生成系统状态快照及恢复系统状态</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可靠性要求</w:t>
            </w:r>
            <w:r/>
          </w:p>
        </w:tc>
        <w:tc>
          <w:tcPr>
            <w:tcW w:w="81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内存纠错</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内存纠错</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操作系统支持DDR3、DDR4等内存上的ECC查错、纠错</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可靠性要求</w:t>
            </w:r>
            <w:r/>
          </w:p>
        </w:tc>
        <w:tc>
          <w:tcPr>
            <w:tcW w:w="8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热插拔</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硬盘热插拔</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硬件支持时，操作系统支持硬盘热插拔</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可维护性要求</w:t>
            </w:r>
            <w:r/>
          </w:p>
        </w:tc>
        <w:tc>
          <w:tcPr>
            <w:tcW w:w="816"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维护工具</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远程维护</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操作系统提供远程控制管理工具，支持RDP、SSH、SPICE、VNC等协议，方便用户进行文本或图形化形式的远程连接及维护</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可维护性要求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文件完整检查</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操作系统提供文件系统检查工具，对文件系统完整性进行检测和修复</w:t>
            </w:r>
            <w:r/>
          </w:p>
        </w:tc>
      </w:tr>
      <w:tr>
        <w:trPr>
          <w:jc w:val="center"/>
          <w:trHeight w:val="918"/>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可维护性要求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内核分析</w:t>
            </w:r>
            <w:r/>
          </w:p>
        </w:tc>
        <w:tc>
          <w:tcPr>
            <w:tcW w:w="8865" w:type="dxa"/>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操作系统提供内核性能分析工具，提供性能分析框架，支持对内核函数层面进行分析；</w:t>
            </w:r>
            <w:r/>
          </w:p>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提供内核探测工具，支持对内核及用户态程序动态追踪</w:t>
            </w:r>
            <w:r/>
          </w:p>
        </w:tc>
      </w:tr>
      <w:tr>
        <w:trPr>
          <w:jc w:val="center"/>
          <w:trHeight w:val="988"/>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可维护性要求</w:t>
            </w:r>
            <w:r/>
          </w:p>
        </w:tc>
        <w:tc>
          <w:tcPr>
            <w:tcW w:w="816"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日志管理</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日志记录与存储</w:t>
            </w:r>
            <w:r/>
          </w:p>
        </w:tc>
        <w:tc>
          <w:tcPr>
            <w:tcW w:w="8865" w:type="dxa"/>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操作系统支持对安全事件的日志记录，包括</w:t>
            </w:r>
            <w:r>
              <w:rPr>
                <w:rFonts w:hint="eastAsia" w:ascii="宋体" w:hAnsi="宋体" w:cs="宋体"/>
                <w:sz w:val="24"/>
                <w:szCs w:val="24"/>
                <w:lang w:eastAsia="zh-CN" w:bidi="ar"/>
              </w:rPr>
              <w:t xml:space="preserve">账户</w:t>
            </w:r>
            <w:r>
              <w:rPr>
                <w:rFonts w:hint="eastAsia" w:ascii="宋体" w:hAnsi="宋体" w:eastAsia="宋体" w:cs="宋体"/>
                <w:sz w:val="24"/>
                <w:szCs w:val="24"/>
                <w:lang w:bidi="ar"/>
              </w:rPr>
              <w:t xml:space="preserve">增删改、成功登录、失败登录、敏感服务开启关闭、配置修改等，日志信息详实，包括所属用户、访问时间、访问地址等；支持内核异常日志信息的记录和存储；支持内核崩溃转储机制，系统崩溃时可收集整个内存信息；</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支持配置远程日志功能，可将指定日志内容归档到日志服务器；</w:t>
            </w:r>
            <w:r/>
          </w:p>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支持对日志功能进行访问控制，防止未经授权的访问</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可维护性要求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日志处理与分析</w:t>
            </w:r>
            <w:r/>
          </w:p>
        </w:tc>
        <w:tc>
          <w:tcPr>
            <w:tcW w:w="8865" w:type="dxa"/>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操作系统提供系统错误问题回溯分析工具，对系统崩溃问题及错误问题进行回溯；</w:t>
            </w:r>
            <w:r/>
          </w:p>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支持日志切分、一键收集、转储、同步机制</w:t>
            </w:r>
            <w:r/>
          </w:p>
        </w:tc>
      </w:tr>
      <w:tr>
        <w:trPr>
          <w:jc w:val="center"/>
          <w:trHeight w:val="2448"/>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可维护性要求</w:t>
            </w:r>
            <w:r/>
          </w:p>
        </w:tc>
        <w:tc>
          <w:tcPr>
            <w:tcW w:w="81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脆弱性管理</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脆弱性管理</w:t>
            </w:r>
            <w:r/>
          </w:p>
        </w:tc>
        <w:tc>
          <w:tcPr>
            <w:tcW w:w="8865" w:type="dxa"/>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操作系统提供故障管理框架，内置故障分析专家系统，可与外部同类型系统互联；</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具备故障响应、故障警告功能，提供用户接口，支持故障响应、警告信息分发；</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支持故障管理守护进程，使用统一的传输信道或机制上报故障信息；</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具备硬件故障信息捕获、紧急处理功能，包括CPU、内存及PCIe设备等硬件的故障；</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支持诊断/响应组件动态加载机制；</w:t>
            </w:r>
            <w:r/>
          </w:p>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提供或支持第三方远程诊断框架及调测工具集，实现远程诊断及调试断点功能；</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支持物理机、虚拟机中操作系统的故障恢复</w:t>
            </w:r>
            <w:r/>
          </w:p>
        </w:tc>
      </w:tr>
      <w:tr>
        <w:trPr>
          <w:jc w:val="center"/>
          <w:trHeight w:val="1461"/>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可维护性要求</w:t>
            </w:r>
            <w:r/>
          </w:p>
        </w:tc>
        <w:tc>
          <w:tcPr>
            <w:tcW w:w="81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热补丁</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热补丁</w:t>
            </w:r>
            <w:r/>
          </w:p>
        </w:tc>
        <w:tc>
          <w:tcPr>
            <w:tcW w:w="8865" w:type="dxa"/>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操作系统支持对内核热补丁进行编号，每个热补丁拥有独立编号；</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支持增量修复以及回滚机制；</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提供热补丁合法性和一致性校验功能；</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提供热补丁管理机制和工具，功能至少覆盖补丁查询、安装、移除；</w:t>
            </w:r>
            <w:r/>
          </w:p>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提供热补丁升级和回滚系统日志，便于查询或回溯</w:t>
            </w:r>
            <w:r/>
          </w:p>
        </w:tc>
      </w:tr>
      <w:tr>
        <w:trPr>
          <w:jc w:val="center"/>
          <w:trHeight w:val="639"/>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可维护性要求</w:t>
            </w:r>
            <w:r/>
          </w:p>
        </w:tc>
        <w:tc>
          <w:tcPr>
            <w:tcW w:w="816"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系统升级</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升级内容</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操作系统支持系统增量升级功能，对系统部件、安全补丁等升级</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可维护性要求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升级方式</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操作系统支持在线升级和离线升级</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可维护性要求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数据保护</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操作系统升级不得修改破坏用户数据</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可维护性要求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兼容性</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操作系统升级不得影响原有软硬件兼容性，如有影响应显式的提示告知用户</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可维护性要求</w:t>
            </w:r>
            <w:r/>
          </w:p>
        </w:tc>
        <w:tc>
          <w:tcPr>
            <w:tcW w:w="816" w:type="dxa"/>
            <w:vAlign w:val="top"/>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回退</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操作系统提供升级回退机制，能卸载已升级的软件包，恢复系统原有状态，如升级为不可回退，则系统升级前以显式的提示告知用户</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服务要求</w:t>
            </w:r>
            <w:r/>
          </w:p>
        </w:tc>
        <w:tc>
          <w:tcPr>
            <w:tcW w:w="81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交付方式</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交付方式</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供应商提供光盘、USB闪存盘、镜像文件（下载）等交付方式</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服务要求</w:t>
            </w:r>
            <w:r/>
          </w:p>
        </w:tc>
        <w:tc>
          <w:tcPr>
            <w:tcW w:w="816"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服务周期</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产品维护周期</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产品自发布之日起至产品停止功能升级（包含不限于新特性、新硬件支持、问题修复、安全补丁等）之日止≥5年</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服务要求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产品延伸服务周期</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产品停止功能升级之日起至产品停止功能维护（包括问题修复、安全补丁等）之日止≥5年</w:t>
            </w:r>
            <w:r/>
          </w:p>
        </w:tc>
      </w:tr>
      <w:tr>
        <w:trPr>
          <w:jc w:val="center"/>
          <w:trHeight w:val="918"/>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服务要求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产品延伸安全服务周期</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≥3年</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服务要求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售后服务最小保障期</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≥8年</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服务要求</w:t>
            </w:r>
            <w:r/>
          </w:p>
        </w:tc>
        <w:tc>
          <w:tcPr>
            <w:tcW w:w="816"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售后服务</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原厂服务</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服务由操作系统厂商的正式员工提供，不由代理商提供</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服务要求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服务热线电话</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操作系统厂商为最终用户提供工作日每日不少于8h（覆盖一般工作时间，具体时间由企业标准给出）中文技术服务热线</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服务要求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技术服务标准</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操作系统厂商提供工作日每日不少于8h技术支持服务</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服务要求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技术服务时效</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操作系统厂商满足同城4h、异地12h响要求，两个工作日解决问题，对于未能解决的问题和故障提供可行的升级方案</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服务要求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技术服务保障</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发生非人为因素故障，在七日内由操作系统厂商原厂人员免费对产品进行补充或更换</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服务要求</w:t>
            </w:r>
            <w:r/>
          </w:p>
        </w:tc>
        <w:tc>
          <w:tcPr>
            <w:tcW w:w="816"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现场交付与安装调试</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现场安装调试</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操作系统厂商提供产品安装与现场调试，并提供安装与调试所需的工具和设备</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服务要求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配套资料</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交付产品时操作系统厂商提供配套的技术资料，包括但不限于系统说明文件、用户手册（用户安装、操作、维护、故障排除）等</w:t>
            </w:r>
            <w:r/>
          </w:p>
        </w:tc>
      </w:tr>
      <w:tr>
        <w:trPr>
          <w:jc w:val="center"/>
          <w:trHeight w:val="918"/>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服务要求</w:t>
            </w:r>
            <w:r/>
          </w:p>
        </w:tc>
        <w:tc>
          <w:tcPr>
            <w:tcW w:w="81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系统更换</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系统更换</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服务期内，操作系统厂商支持版本免费更换（注：更换后不延长服务期）</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服务要求</w:t>
            </w:r>
            <w:r/>
          </w:p>
        </w:tc>
        <w:tc>
          <w:tcPr>
            <w:tcW w:w="81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厂商能力要求</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服务团队</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操作系统厂商建立全国技术服务体系和服务团队，为客户提供专业的原厂中文服务</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供应保障要求</w:t>
            </w:r>
            <w:r/>
          </w:p>
        </w:tc>
        <w:tc>
          <w:tcPr>
            <w:tcW w:w="816"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数据安全保障</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数据收集安全</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保障</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除用户授权采集的信息外不采集其他数据，相关信息采集无安全风险，相关数据存储在大陆境内</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供应保障要求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数据供给安全</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保障</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涉及数据下载的线上服务物理服务器不出境，包括代码仓库、系统补丁、安全补丁、服务网站等</w:t>
            </w:r>
            <w:r/>
          </w:p>
        </w:tc>
      </w:tr>
      <w:tr>
        <w:trPr>
          <w:jc w:val="center"/>
          <w:trHeight w:val="918"/>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供应保障要求</w:t>
            </w:r>
            <w:r/>
          </w:p>
        </w:tc>
        <w:tc>
          <w:tcPr>
            <w:tcW w:w="81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代码无风险</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代码无风险</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操作系统厂商提供源代码，源代码可供第三方机构审查，开源许可合规，代码知识产权无风险，无恶意安全漏洞或后门，代码可追溯、可重构</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安全要求</w:t>
            </w:r>
            <w:r/>
          </w:p>
        </w:tc>
        <w:tc>
          <w:tcPr>
            <w:tcW w:w="81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基本要求</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基本要求</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操作系统应当符合安全可靠测评要求</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安全要求</w:t>
            </w:r>
            <w:r/>
          </w:p>
        </w:tc>
        <w:tc>
          <w:tcPr>
            <w:tcW w:w="816"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密码算法支持</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密码算法实现</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操作系统支持GM/T0002、GM/T0003和GM/T0004规定的密码算法运算</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安全要求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随机数生成</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操作系统随机数质量符合GM/T0005《随机性检测规范》或GB/T32915《信息安全技术二元序列随机性检测方法》</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安全要求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内置数字证书</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操作系统内置国家电子认证根CA的根证书</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安全要求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密码协议实现</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操作系统支持符合GB/T38636—2020的TLCP</w:t>
            </w:r>
            <w:r/>
          </w:p>
        </w:tc>
      </w:tr>
      <w:tr>
        <w:trPr>
          <w:jc w:val="center"/>
          <w:trHeight w:val="1224"/>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安全要求</w:t>
            </w:r>
            <w:r/>
          </w:p>
        </w:tc>
        <w:tc>
          <w:tcPr>
            <w:tcW w:w="816"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安全管理</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防火墙</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操作系统提供防火墙配置管理工具，支持基于协议、网络地址、端口的访问控制规则配置，规则修改后立即生效；支持关闭指定服务和端口，包括但不限于关闭远程访问、共享访问等；支持防止ARP欺骗攻击</w:t>
            </w:r>
            <w:r/>
          </w:p>
        </w:tc>
      </w:tr>
      <w:tr>
        <w:trPr>
          <w:jc w:val="center"/>
          <w:trHeight w:val="30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安全要求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安全框架</w:t>
            </w:r>
            <w:r/>
          </w:p>
        </w:tc>
        <w:tc>
          <w:tcPr>
            <w:tcW w:w="8865"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操作系统提供统一访问控制安全框架</w:t>
            </w:r>
            <w:r/>
          </w:p>
        </w:tc>
      </w:tr>
      <w:tr>
        <w:trPr>
          <w:jc w:val="center"/>
          <w:trHeight w:val="645"/>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安全要求</w:t>
            </w:r>
            <w:r/>
          </w:p>
        </w:tc>
        <w:tc>
          <w:tcPr>
            <w:tcW w:w="81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身份鉴别</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身份鉴别服务</w:t>
            </w:r>
            <w:r/>
          </w:p>
        </w:tc>
        <w:tc>
          <w:tcPr>
            <w:tcW w:w="8865" w:type="dxa"/>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用户标识使用</w:t>
            </w:r>
            <w:r>
              <w:rPr>
                <w:rFonts w:hint="eastAsia" w:ascii="宋体" w:hAnsi="宋体" w:cs="宋体"/>
                <w:sz w:val="24"/>
                <w:szCs w:val="24"/>
                <w:lang w:eastAsia="zh-CN" w:bidi="ar"/>
              </w:rPr>
              <w:t xml:space="preserve">账户</w:t>
            </w:r>
            <w:r>
              <w:rPr>
                <w:rFonts w:hint="eastAsia" w:ascii="宋体" w:hAnsi="宋体" w:eastAsia="宋体" w:cs="宋体"/>
                <w:sz w:val="24"/>
                <w:szCs w:val="24"/>
                <w:lang w:bidi="ar"/>
              </w:rPr>
              <w:t xml:space="preserve">名和</w:t>
            </w:r>
            <w:r>
              <w:rPr>
                <w:rFonts w:hint="eastAsia" w:ascii="宋体" w:hAnsi="宋体" w:cs="宋体"/>
                <w:sz w:val="24"/>
                <w:szCs w:val="24"/>
                <w:lang w:eastAsia="zh-CN" w:bidi="ar"/>
              </w:rPr>
              <w:t xml:space="preserve">账户</w:t>
            </w:r>
            <w:r>
              <w:rPr>
                <w:rFonts w:hint="eastAsia" w:ascii="宋体" w:hAnsi="宋体" w:eastAsia="宋体" w:cs="宋体"/>
                <w:sz w:val="24"/>
                <w:szCs w:val="24"/>
                <w:lang w:bidi="ar"/>
              </w:rPr>
              <w:t xml:space="preserve">ID，在操作系统的整个生存周期内用户标识具有唯一性；</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支持用户口令复杂度校验及强口令管理；</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支持用户口令有效期配置；</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支持口令鉴别失败控制；</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支持口令加密算法配置，用户口令进行加密后以不可逆的密文形式保存；</w:t>
            </w:r>
            <w:r/>
          </w:p>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支持禁止根</w:t>
            </w:r>
            <w:r>
              <w:rPr>
                <w:rFonts w:hint="eastAsia" w:ascii="宋体" w:hAnsi="宋体" w:cs="宋体"/>
                <w:sz w:val="24"/>
                <w:szCs w:val="24"/>
                <w:lang w:eastAsia="zh-CN" w:bidi="ar"/>
              </w:rPr>
              <w:t xml:space="preserve">账户</w:t>
            </w:r>
            <w:r>
              <w:rPr>
                <w:rFonts w:hint="eastAsia" w:ascii="宋体" w:hAnsi="宋体" w:eastAsia="宋体" w:cs="宋体"/>
                <w:sz w:val="24"/>
                <w:szCs w:val="24"/>
                <w:lang w:bidi="ar"/>
              </w:rPr>
              <w:t xml:space="preserve">（root）远程登录设置</w:t>
            </w:r>
            <w:r/>
          </w:p>
        </w:tc>
      </w:tr>
      <w:tr>
        <w:trPr>
          <w:jc w:val="center"/>
          <w:trHeight w:val="183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安全要求</w:t>
            </w:r>
            <w:r/>
          </w:p>
        </w:tc>
        <w:tc>
          <w:tcPr>
            <w:tcW w:w="816"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访问控制</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自主访问控制</w:t>
            </w:r>
            <w:r/>
          </w:p>
        </w:tc>
        <w:tc>
          <w:tcPr>
            <w:tcW w:w="8865" w:type="dxa"/>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允许客体拥有者以普通</w:t>
            </w:r>
            <w:r>
              <w:rPr>
                <w:rFonts w:hint="eastAsia" w:ascii="宋体" w:hAnsi="宋体" w:cs="宋体"/>
                <w:sz w:val="24"/>
                <w:szCs w:val="24"/>
                <w:lang w:eastAsia="zh-CN" w:bidi="ar"/>
              </w:rPr>
              <w:t xml:space="preserve">账户</w:t>
            </w:r>
            <w:r>
              <w:rPr>
                <w:rFonts w:hint="eastAsia" w:ascii="宋体" w:hAnsi="宋体" w:eastAsia="宋体" w:cs="宋体"/>
                <w:sz w:val="24"/>
                <w:szCs w:val="24"/>
                <w:lang w:bidi="ar"/>
              </w:rPr>
              <w:t xml:space="preserve">决定并控制对客体的访问，并阻止非授权用户对客体的访问；</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普通用户缺省拥有新建、读写和删除私有目录下文件的权限；</w:t>
            </w:r>
            <w:r/>
          </w:p>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细粒度的自主访问控制，将访问控制的粒度控制在单个用户，对系统中的每一个客体，实现由客体拥有者以指定用户方式确定其对该客体的访问权限，而其他同组用户或非同组的用户和用户组对该客体的访问权则由客体拥有者授予</w:t>
            </w:r>
            <w:r/>
          </w:p>
        </w:tc>
      </w:tr>
      <w:tr>
        <w:trPr>
          <w:jc w:val="center"/>
          <w:trHeight w:val="612"/>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安全要求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强制访问控制</w:t>
            </w:r>
            <w:r/>
          </w:p>
        </w:tc>
        <w:tc>
          <w:tcPr>
            <w:tcW w:w="8865" w:type="dxa"/>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操作系统支持对应用程序的访问控制与资源限制，包括对文件、网络等客体的访问控制；</w:t>
            </w:r>
            <w:r/>
          </w:p>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支持应用安装控制、应用执行控制</w:t>
            </w:r>
            <w:r/>
          </w:p>
        </w:tc>
      </w:tr>
      <w:tr>
        <w:trPr>
          <w:jc w:val="center"/>
          <w:trHeight w:val="1224"/>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安全要求</w:t>
            </w:r>
            <w:r/>
          </w:p>
        </w:tc>
        <w:tc>
          <w:tcPr>
            <w:tcW w:w="816"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安全审计</w:t>
            </w:r>
            <w:r/>
          </w:p>
        </w:tc>
        <w:tc>
          <w:tcPr>
            <w:tcW w:w="8865" w:type="dxa"/>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操作系统能对身份鉴别的使用、自主访问控制、标记和强制访问控制策略的修改等生成审计日志；</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审计记录包括：事件类型、事件发生的日期、触发事件的用户、事件成功或失败等字段；</w:t>
            </w:r>
            <w:r/>
          </w:p>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支持审计日志查询和导出功能</w:t>
            </w:r>
            <w:r/>
          </w:p>
        </w:tc>
      </w:tr>
      <w:tr>
        <w:trPr>
          <w:jc w:val="center"/>
          <w:trHeight w:val="1536"/>
        </w:trPr>
        <w:tc>
          <w:tcPr>
            <w:tcW w:w="456" w:type="dxa"/>
            <w:vAlign w:val="center"/>
            <w:textDirection w:val="lrTb"/>
            <w:noWrap w:val="false"/>
          </w:tcPr>
          <w:p>
            <w:pPr>
              <w:pStyle w:val="975"/>
              <w:numPr>
                <w:ilvl w:val="0"/>
                <w:numId w:val="13"/>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安全要求</w:t>
            </w:r>
            <w:r/>
          </w:p>
        </w:tc>
        <w:tc>
          <w:tcPr>
            <w:tcW w:w="81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漏洞管理</w:t>
            </w:r>
            <w:r/>
          </w:p>
        </w:tc>
        <w:tc>
          <w:tcPr>
            <w:tcW w:w="117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漏洞管理</w:t>
            </w:r>
            <w:r/>
          </w:p>
        </w:tc>
        <w:tc>
          <w:tcPr>
            <w:tcW w:w="8865" w:type="dxa"/>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操作系统支持漏洞编号，每个漏洞独立编号，可直接使用NVDB、CNVD或CVE编号；</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漏洞提醒，发现或获悉漏洞信息时，通过系统推送、电子邮件或官方网站等方式通知用户；</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漏洞修复，对已发现的安全漏洞通过补丁等方式对系统漏洞进行修复；</w:t>
            </w:r>
            <w:r/>
          </w:p>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漏洞列表，提供每个版本已修复的漏洞列表，提供命令或网页等方式方便用户查询漏洞及其修复情况</w:t>
            </w:r>
            <w:r/>
          </w:p>
        </w:tc>
      </w:tr>
    </w:tbl>
    <w:p>
      <w:pPr>
        <w:pStyle w:val="975"/>
        <w:ind w:left="482" w:firstLine="0"/>
        <w:spacing w:line="500" w:lineRule="exact"/>
        <w:rPr>
          <w:rFonts w:hint="eastAsia" w:ascii="宋体" w:hAnsi="宋体" w:eastAsia="宋体" w:cs="宋体"/>
          <w:sz w:val="24"/>
          <w:szCs w:val="24"/>
        </w:rPr>
        <w:outlineLvl w:val="3"/>
      </w:pPr>
      <w:r>
        <w:rPr>
          <w:rFonts w:hint="eastAsia" w:ascii="宋体" w:hAnsi="宋体" w:eastAsia="宋体" w:cs="宋体"/>
          <w:sz w:val="24"/>
          <w:szCs w:val="24"/>
        </w:rPr>
        <w:t xml:space="preserve">（1）操作系统</w:t>
      </w:r>
      <w:r/>
    </w:p>
    <w:p>
      <w:pPr>
        <w:pStyle w:val="975"/>
        <w:ind w:left="482" w:firstLine="0"/>
        <w:spacing w:line="500" w:lineRule="exact"/>
        <w:rPr>
          <w:rFonts w:hint="eastAsia" w:ascii="宋体" w:hAnsi="宋体" w:eastAsia="宋体" w:cs="宋体"/>
          <w:sz w:val="24"/>
          <w:szCs w:val="24"/>
        </w:rPr>
        <w:outlineLvl w:val="3"/>
      </w:pPr>
      <w:r>
        <w:rPr>
          <w:rFonts w:hint="eastAsia" w:ascii="宋体" w:hAnsi="宋体" w:eastAsia="宋体" w:cs="宋体"/>
          <w:sz w:val="24"/>
          <w:szCs w:val="24"/>
        </w:rPr>
        <w:t xml:space="preserve">（2）数据库</w:t>
      </w:r>
      <w:r/>
    </w:p>
    <w:tbl>
      <w:tblPr>
        <w:tblStyle w:val="892"/>
        <w:tblW w:w="9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775"/>
        <w:gridCol w:w="1413"/>
        <w:gridCol w:w="1350"/>
        <w:gridCol w:w="1406"/>
        <w:gridCol w:w="4994"/>
      </w:tblGrid>
      <w:tr>
        <w:trPr>
          <w:jc w:val="center"/>
          <w:trHeight w:val="440"/>
        </w:trPr>
        <w:tc>
          <w:tcPr>
            <w:shd w:val="clear" w:color="auto" w:fill="ffffff"/>
            <w:tcW w:w="77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序号</w:t>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指标分类</w:t>
            </w:r>
            <w:r/>
          </w:p>
        </w:tc>
        <w:tc>
          <w:tcPr>
            <w:shd w:val="clear" w:color="auto" w:fill="ffffff"/>
            <w:tcW w:w="1350" w:type="dxa"/>
            <w:vAlign w:val="center"/>
            <w:textDirection w:val="lrTb"/>
            <w:noWrap w:val="false"/>
          </w:tcPr>
          <w:p>
            <w:pPr>
              <w:jc w:val="center"/>
              <w:widowControl/>
              <w:rPr>
                <w:rFonts w:hint="eastAsia" w:ascii="宋体" w:hAnsi="宋体" w:eastAsia="宋体" w:cs="宋体"/>
                <w:sz w:val="24"/>
                <w:szCs w:val="24"/>
              </w:rPr>
            </w:pPr>
            <w:r>
              <w:fldChar w:fldCharType="begin"/>
            </w:r>
            <w:r>
              <w:instrText xml:space="preserve"> HYPERLINK \l "Sheet1!A6" </w:instrText>
            </w:r>
            <w:r>
              <w:fldChar w:fldCharType="separate"/>
            </w:r>
            <w:r>
              <w:rPr>
                <w:rStyle w:val="931"/>
                <w:rFonts w:hint="eastAsia" w:ascii="宋体" w:hAnsi="宋体" w:eastAsia="宋体" w:cs="宋体"/>
                <w:color w:val="auto"/>
                <w:sz w:val="24"/>
                <w:szCs w:val="24"/>
                <w:u w:val="none"/>
              </w:rPr>
              <w:t xml:space="preserve">一级指标</w:t>
            </w:r>
            <w:r>
              <w:rPr>
                <w:rStyle w:val="931"/>
                <w:rFonts w:hint="eastAsia" w:ascii="宋体" w:hAnsi="宋体" w:eastAsia="宋体" w:cs="宋体"/>
                <w:color w:val="auto"/>
                <w:sz w:val="24"/>
                <w:szCs w:val="24"/>
                <w:u w:val="none"/>
              </w:rPr>
              <w:fldChar w:fldCharType="end"/>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二级指标</w:t>
            </w:r>
            <w:r/>
          </w:p>
        </w:tc>
        <w:tc>
          <w:tcPr>
            <w:shd w:val="clear" w:color="auto" w:fill="ffffff"/>
            <w:tcW w:w="4994"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指标要求</w:t>
            </w:r>
            <w:r/>
          </w:p>
        </w:tc>
      </w:tr>
      <w:tr>
        <w:trPr>
          <w:jc w:val="center"/>
          <w:trHeight w:val="1224"/>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安装与升级</w:t>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数据库安装</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a)支持命令行或图形化的安装；</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b)支持命令行或图形化的可配置安装能力；</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c)依据安装环境提供相应的初始化参数配置值；</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d)提供图形化软件组件管理向导工具</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数据库重启</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a)支持命令行或图形化的方式关闭和启动服务；</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b)关闭服务后，再启动服务，服务正常</w:t>
            </w:r>
            <w:r/>
          </w:p>
        </w:tc>
      </w:tr>
      <w:tr>
        <w:trPr>
          <w:jc w:val="center"/>
          <w:trHeight w:val="1224"/>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安装配置日志</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a)提供软件安装的日志记录功能；</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b)记录的软件安装信息完整正确；</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c)提供安装配置操作的日志记录功能；</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d)记录的配置操作信息完整正确</w:t>
            </w:r>
            <w:r/>
          </w:p>
        </w:tc>
      </w:tr>
      <w:tr>
        <w:trPr>
          <w:jc w:val="center"/>
          <w:trHeight w:val="918"/>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升级维护</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a)支持版本升级，保证版本间功能和数据的兼容性；</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b)厂商提供当前版本与历史版本的差异说明文档，包含新版本对软件和硬件的支持情况</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安装和升级的兼容性</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支持在不同CPU架构的节点上安装配置、升级，且安装配置、升级数据库的命令行或图形界面相同或相似</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节点部署</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a)支持节点安装配置；</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b)支持通过单一节点发起并将数据库部署在多个节点上</w:t>
            </w:r>
            <w:r/>
          </w:p>
        </w:tc>
      </w:tr>
      <w:tr>
        <w:trPr>
          <w:jc w:val="center"/>
          <w:trHeight w:val="918"/>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数据配置</w:t>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参数配置</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a)依据工作负载和运行环境，提供配置参数修改的能力；</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b)修改数据库配置参数后，配置参数立即生效或数据库重新启动生效，立即生效的配置参数和需要数据库重新启动方可生效的配置参数应在相关文档中明确</w:t>
            </w:r>
            <w:r/>
          </w:p>
        </w:tc>
      </w:tr>
      <w:tr>
        <w:trPr>
          <w:jc w:val="center"/>
          <w:trHeight w:val="214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SQL功能</w:t>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基础数据类型</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a)支持数值类型；</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b)支持字符类型；</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c)支持二进制类型；</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d)支持日期和时间类型；</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e)支持布尔类型；</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f)支持（大）文本类型；</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g)支持大对象类型</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扩展数据类型</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支持间隔、XML、JSON等数据类型</w:t>
            </w:r>
            <w:r/>
          </w:p>
        </w:tc>
      </w:tr>
      <w:tr>
        <w:trPr>
          <w:jc w:val="center"/>
          <w:trHeight w:val="306"/>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数据存储基础功能</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支持基础数据类型</w:t>
            </w:r>
            <w:r/>
          </w:p>
        </w:tc>
      </w:tr>
      <w:tr>
        <w:trPr>
          <w:jc w:val="center"/>
          <w:trHeight w:val="306"/>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数据检索基础功能</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支持基础数据类型</w:t>
            </w:r>
            <w:r/>
          </w:p>
        </w:tc>
      </w:tr>
      <w:tr>
        <w:trPr>
          <w:jc w:val="center"/>
          <w:trHeight w:val="918"/>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数据检索增强功能</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a)支持扩展数据类型；</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b)支持自定义数据类型；</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c)支持中文检索功能，如使用中国纪年历法进行检索</w:t>
            </w:r>
            <w:r/>
          </w:p>
        </w:tc>
      </w:tr>
      <w:tr>
        <w:trPr>
          <w:jc w:val="center"/>
          <w:trHeight w:val="1224"/>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核心SQL能力</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a)支持左外连接；</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b)支持右外连接；</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c)支持内连接；</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d)支持全连接</w:t>
            </w:r>
            <w:r/>
          </w:p>
        </w:tc>
      </w:tr>
      <w:tr>
        <w:trPr>
          <w:jc w:val="center"/>
          <w:trHeight w:val="306"/>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字符集</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中文字符集符合GB 18030的要求</w:t>
            </w:r>
            <w:r/>
          </w:p>
        </w:tc>
      </w:tr>
      <w:tr>
        <w:trPr>
          <w:jc w:val="center"/>
          <w:trHeight w:val="918"/>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常用操作符</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a)支持逻辑操作符及相关运算；</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b)支持比较操作符及相关运算；</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c)支持算术运算符及相关运算</w:t>
            </w:r>
            <w:r/>
          </w:p>
        </w:tc>
      </w:tr>
      <w:tr>
        <w:trPr>
          <w:jc w:val="center"/>
          <w:trHeight w:val="2754"/>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条件表达式</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a)支持对比条件表达式；</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b)支持逻辑条件表达式；</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c)支持空值条件表达式；</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d)支持等于条件表达式；</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e)支持模式匹配条件表达式；</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f)支持区间条件表达式；</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g)支持IN条件表达式；</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h)支持存在条件表达式；</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i)支持以上条件表达式的复合表达式</w:t>
            </w:r>
            <w:r/>
          </w:p>
        </w:tc>
      </w:tr>
      <w:tr>
        <w:trPr>
          <w:jc w:val="center"/>
          <w:trHeight w:val="306"/>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SQL执行计划</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支持SQL计划，使SQL按照指定的语句执行，并实现预期结果</w:t>
            </w:r>
            <w:r/>
          </w:p>
        </w:tc>
      </w:tr>
      <w:tr>
        <w:trPr>
          <w:jc w:val="center"/>
          <w:trHeight w:val="3060"/>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数据库对象</w:t>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基础对象类型</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a)支持用户的创建、删除、修改；</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b)支持角色的创建、删除、修改；</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c)支持存储过程的创建、删除、修改；</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d)支持表操作功能；</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e)支持自增序列；</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f)支持主键约束、唯一性约束、检查约束和联合主键约束；</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g)支持游标功能；</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h)支持视图的创建、删除、修改；</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i)支持数值计算函数、字符处理函数、日期时间值函数、间隔函数、类型转换函数、位运算函数、聚合函数、格式化、系统信息等常用函数</w:t>
            </w:r>
            <w:r/>
          </w:p>
        </w:tc>
      </w:tr>
      <w:tr>
        <w:trPr>
          <w:jc w:val="center"/>
          <w:trHeight w:val="918"/>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基础表分区管理</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a)哈希分区方式；</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b)范围分区方式；</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c)列表分区方式</w:t>
            </w:r>
            <w:r/>
          </w:p>
        </w:tc>
      </w:tr>
      <w:tr>
        <w:trPr>
          <w:jc w:val="center"/>
          <w:trHeight w:val="918"/>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对象变更</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a)支持数据库的创建、删除、更新以及数据库属性的查询；</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b)支持在线变更表结构、索引；</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c)支持数据的增加、删除、修改和查询</w:t>
            </w:r>
            <w:r/>
          </w:p>
        </w:tc>
      </w:tr>
      <w:tr>
        <w:trPr>
          <w:jc w:val="center"/>
          <w:trHeight w:val="1691"/>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查看会话系统表/视图</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a)提供查看会话标识的视图或图形化管理工具；</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b)提供查看进程/线程标识的视图或图形化管理工具；</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c)提供查看用户标识的视图或图形化管理工具；</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d)提供查看最近的用户请求命令的视图或图形化管理工具；</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e)提供查看缺省模式的视图或图形化管理工具；</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f)提供查看登录时间/会话状态的视图或图形化管理工具；</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g)提供查看会话状态的视图或图形化管理工具；</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h)提供查看等待会话的锁信息的视图或图形化管理工具；</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i)提供查看等待时间统计信息的视图或图形化管理工具；</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j)提供查看使用时间统计信息的视图或图形化管理工具</w:t>
            </w:r>
            <w:r/>
          </w:p>
        </w:tc>
      </w:tr>
      <w:tr>
        <w:trPr>
          <w:jc w:val="center"/>
          <w:trHeight w:val="1318"/>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查看监控连接系统表/视图</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a)提供查看连接标识的视图或图形化管理工具；</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b)提供查看连接状态的视图或图形化管理工具；</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c)提供查看连接用户的视图或图形化管理工具；</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d)提供查看连接类型的视图或图形化管理工具；</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e)提供查看当前事务信息的视图或图形化管理工具</w:t>
            </w:r>
            <w:r/>
          </w:p>
        </w:tc>
      </w:tr>
      <w:tr>
        <w:trPr>
          <w:jc w:val="center"/>
          <w:trHeight w:val="306"/>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事务能力</w:t>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事务基础特性</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支持事务的ACID</w:t>
            </w:r>
            <w:r/>
          </w:p>
        </w:tc>
      </w:tr>
      <w:tr>
        <w:trPr>
          <w:jc w:val="center"/>
          <w:trHeight w:val="1530"/>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死锁检测与处理</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a)在并发执行过程中，能检测到死锁；</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b)提供解决全局死锁的机制；</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c)具备死锁处理能力；</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d)具备死锁超时回滚的能力；</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e)具备死锁检测与处理记录功能</w:t>
            </w:r>
            <w:r/>
          </w:p>
        </w:tc>
      </w:tr>
      <w:tr>
        <w:trPr>
          <w:jc w:val="center"/>
          <w:trHeight w:val="2754"/>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运维</w:t>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运行时统计信息基础功能</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a）数据库慢SQL统计：</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1）支持统计SQL语句；</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2）支持统计用户名；</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3）支持统计数据库名；</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4）支持统计执行时长；</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b）数据库性能状态统计：</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1）支持统计每秒事务数和查询数；</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2）支持统计SQL平均响应时间；</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3）支持统计高频SQL</w:t>
            </w:r>
            <w:r/>
          </w:p>
        </w:tc>
      </w:tr>
      <w:tr>
        <w:trPr>
          <w:jc w:val="center"/>
          <w:trHeight w:val="1836"/>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日志</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a)具备对各类事件进行日志记录的功能，可通过日志查看操作内容、执行过程和结果；</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b)具备提示和警告功能，提示或警告数据库结构修改、数据库运行配置修改等重要操作；</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c)日志完整正确，并且提供可读文本的形式；</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d)支持中文日志</w:t>
            </w:r>
            <w:r/>
          </w:p>
        </w:tc>
      </w:tr>
      <w:tr>
        <w:trPr>
          <w:jc w:val="center"/>
          <w:trHeight w:val="306"/>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远程运维</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具备远程维护功能</w:t>
            </w:r>
            <w:r/>
          </w:p>
        </w:tc>
      </w:tr>
      <w:tr>
        <w:trPr>
          <w:jc w:val="center"/>
          <w:trHeight w:val="839"/>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报警</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a)厂商提供通知管理员的方法或工具；</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b)支持设置报警基线，数据库运行中遇到重要事件、异常事件和状态、超过报警阈值等情况时，通知管理员；</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c)提供报警API；</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d)报警发生时，支持报警信息的实时展示</w:t>
            </w:r>
            <w:r/>
          </w:p>
        </w:tc>
      </w:tr>
      <w:tr>
        <w:trPr>
          <w:jc w:val="center"/>
          <w:trHeight w:val="918"/>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SQL监测与优化建议</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a)实时监测SQL执行过程中资源使用情况；</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b)提供查询计划的缓存管理功能；</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c)提供SQL改写的优化建议</w:t>
            </w:r>
            <w:r/>
          </w:p>
        </w:tc>
      </w:tr>
      <w:tr>
        <w:trPr>
          <w:jc w:val="center"/>
          <w:trHeight w:val="1040"/>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迁移</w:t>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数据迁移</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a)提供元数据、数据库、数据库对象、表数据快速迁移的功能；</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b)支持数据迁移工具实现同构或异构数据库之间的数据迁移；</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c)支持全量数据迁移、增量数据持续同步等迁移模式；</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d)在数据迁移过程中具备应对传输异常的能力，保障数据迁移的稳定性、连续性和一致性；</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e)支持存量数据的一次性迁移和增量数据库的持续同步；</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f)支持多种不同类型的源数据库和目标数据库之间的数据迁移</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top"/>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数据比对基础功能</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对源数据库和目标数据库之间的数据进行比对，支持数据一致性，并提供一致性比对报告</w:t>
            </w:r>
            <w:r/>
          </w:p>
        </w:tc>
      </w:tr>
      <w:tr>
        <w:trPr>
          <w:jc w:val="center"/>
          <w:trHeight w:val="918"/>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备份恢复</w:t>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数据备份</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a)运行状态下支持对数据库进行全库备份；</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b)运行状态下支持对数据库进行部分备份；</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c)运行状态下支持对数据库进行增量备份</w:t>
            </w:r>
            <w:r/>
          </w:p>
        </w:tc>
      </w:tr>
      <w:tr>
        <w:trPr>
          <w:jc w:val="center"/>
          <w:trHeight w:val="918"/>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备份数据管理</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a)支持备份数据的加密；</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b)支持备份数据的压缩；</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c)支持备份数据的存储</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用户/模式备份、恢复</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a)支持对数据库的所有或指定用户/模式下的数据进行备份；</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b)支持对数据库的所有或指定用户/模式下的数据备份进行恢复</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多种存储媒体备份、还原</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支持多种备份存储媒体，支持多种存储媒体的部分、完整数据库数据还原处理能力</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备份还原的一致性校验</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提供数据库备份数据一致性校验的命令或工具</w:t>
            </w:r>
            <w:r/>
          </w:p>
        </w:tc>
      </w:tr>
      <w:tr>
        <w:trPr>
          <w:jc w:val="center"/>
          <w:trHeight w:val="918"/>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集群管理</w:t>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集群构建与管理</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a)支持集群的运行环境；</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b)支持创建并配置数据库集群；</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c)配置信息至少包括日常运维管理、容灾管理、日志管理、备份管理、监控等</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数据分布</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a)支持自动数据分布；</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b)按照指定规则设置数据分布</w:t>
            </w:r>
            <w:r/>
          </w:p>
        </w:tc>
      </w:tr>
      <w:tr>
        <w:trPr>
          <w:jc w:val="center"/>
          <w:trHeight w:val="306"/>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分布式计算</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支持在分布式节点上的并行计算</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集群扩展</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a)支持在线扩容、缩容；</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b)集群扩容、缩容过程中支持分布式事务ACID特性</w:t>
            </w:r>
            <w:r/>
          </w:p>
        </w:tc>
      </w:tr>
      <w:tr>
        <w:trPr>
          <w:jc w:val="center"/>
          <w:trHeight w:val="306"/>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数据重分布</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支持按照数据库集群的节点、状态和负载的变化，进行动态重分布</w:t>
            </w:r>
            <w:r/>
          </w:p>
        </w:tc>
      </w:tr>
      <w:tr>
        <w:trPr>
          <w:jc w:val="center"/>
          <w:trHeight w:val="306"/>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对应用透明</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当数据分布、分布计算、集群扩展、数据重分布等变化时，不需要修改应用代码</w:t>
            </w:r>
            <w:r/>
          </w:p>
        </w:tc>
      </w:tr>
      <w:tr>
        <w:trPr>
          <w:jc w:val="center"/>
          <w:trHeight w:val="306"/>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均分负载</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支持在集群环境下，事务并行执行</w:t>
            </w:r>
            <w:r/>
          </w:p>
        </w:tc>
      </w:tr>
      <w:tr>
        <w:trPr>
          <w:jc w:val="center"/>
          <w:trHeight w:val="1224"/>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工具</w:t>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数据库开发调试工具</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a)具备图形化功能，提高易用性；</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b)具备导入、编辑、保存、执行SQL语句和SQL脚本功能；</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c)具备复制、编辑现有数据库对象功能；</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d)具备关键词显示标记、动态语法提示的SQL编辑器功能</w:t>
            </w:r>
            <w:r/>
          </w:p>
        </w:tc>
      </w:tr>
      <w:tr>
        <w:trPr>
          <w:jc w:val="center"/>
          <w:trHeight w:val="918"/>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用户、角色管理工具</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a)支持创建、修改、删除用户的功能；</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b）提供定义用户的功能；</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c)支持创建、修改、删除角色的功能，且提供用户自定义角色的功能</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SQL执行计划查看工具</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a)提供与数据库管理系统进行SQL交互的工具，方便运维工作；</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b)支持查看SQL语句查询执行计划与统计信息</w:t>
            </w:r>
            <w:r/>
          </w:p>
        </w:tc>
      </w:tr>
      <w:tr>
        <w:trPr>
          <w:jc w:val="center"/>
          <w:trHeight w:val="1836"/>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数据库对象工具</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a)支持创建、修改、删除表的功能，支持定义表结构、约束、存储配置管理的功能；</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b)支持创建、修改、删除索引的功能，支持定义索引结构、类型、存储配置管理的功能；</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c)支持创建、修改、删除视图的功能，支持视图定义的功能；</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d)支持创建、修改、删除约束的功能，支持约束定义的功能</w:t>
            </w:r>
            <w:r/>
          </w:p>
        </w:tc>
      </w:tr>
      <w:tr>
        <w:trPr>
          <w:jc w:val="center"/>
          <w:trHeight w:val="1224"/>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导入导出工具</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a)支持导出不同格式，可以将不同格式数据导入到数据库中；</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b)支持不同级别和不同数据库对象的导入/导出功能；</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c)支持从文本文件或者其他上游数据源将数据导入；</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d)支持SQL脚本进行导入导出</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触发器、存储过程/函数工具</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a)支持创建、修改、删除触发器的功能，支持触发条件、事件的设置；</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b)支持创建、修改、删除存储过程/函数的功能，提供定义存储过程/函数的工具</w:t>
            </w:r>
            <w:r/>
          </w:p>
        </w:tc>
      </w:tr>
      <w:tr>
        <w:trPr>
          <w:jc w:val="center"/>
          <w:trHeight w:val="1530"/>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数据库运维工具</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a)支持数据库、数据库存储对象结构、数据、统计信息更新维护；</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b)支持数据库创建、数据库修改、数据库删除、数据库模板维护；</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c)支持数据库任务自动化调度作业管理；</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d)支持图形化展示数据库管理的各种元数据界面，展示的内容具有层次性，包括模式、非模式数据字典信息</w:t>
            </w:r>
            <w:r/>
          </w:p>
        </w:tc>
      </w:tr>
      <w:tr>
        <w:trPr>
          <w:jc w:val="center"/>
          <w:trHeight w:val="388"/>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监控跟踪工具</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a)收集和统计数据库某时间段的运行状态及性能信息，判断该时间的数据库运行性能瓶颈；</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b)支持系统状态监控能力，包括对集群、服务器和数据库状态的监控等；</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c)支持性能瓶颈跟踪、运行过程监测与调优；</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d)提供数据库实例、网络通信、数据库对象的跟踪日志，日志数据准确、完整；</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e)支持特定事件或事务发生时收集监控数据库活动事务数据；</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f)支持跟踪数据库等待事件；</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g)提供捕获并记录实例、数据库在特定时间点的状态</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图形化管理</w:t>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图形化的开发工具</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厂商提供图形化的开发工具</w:t>
            </w:r>
            <w:r/>
          </w:p>
        </w:tc>
      </w:tr>
      <w:tr>
        <w:trPr>
          <w:jc w:val="center"/>
          <w:trHeight w:val="918"/>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图形化运维工具</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厂商提供图形化的运维工具</w:t>
            </w:r>
            <w:r/>
          </w:p>
        </w:tc>
      </w:tr>
      <w:tr>
        <w:trPr>
          <w:jc w:val="center"/>
          <w:trHeight w:val="3366"/>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图形界面配置参数基础功能</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a）基本配置参数：</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1）配置资源使用限额；</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2）配置连接数；</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3）配置白名单；</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b）逻辑存储配置：</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1）图形界面支持逻辑存储配置；</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2）提供图形化界面管理数据库对象逻辑空间分配功能；</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c）提供图形界面配置参数功能，支持图形界面配置用户口令；</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d）配置审计：</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1）支持图形化界面配置审计策略；</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2）支持查看审计数据</w:t>
            </w:r>
            <w:r/>
          </w:p>
        </w:tc>
      </w:tr>
      <w:tr>
        <w:trPr>
          <w:jc w:val="center"/>
          <w:trHeight w:val="684"/>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图形化管理数据库对象</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图形化管理统一的数据库实例、数据库日志文件、数据库运行模式、表对象、表数据存储空间、索引定义类型、视图、触发器、存储过程/函数、角色/用户权限、同义词、序列、外部表、物化视图、作业调度、数据库链接、分区表数据、服务器资源分配、自增列</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图形化监控</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a）支持多实例集成监控与管理；</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b）支持操作系统和网络资源集成监控与管理</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图形化管理数据的备份、还原/恢复</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提供图形化管理数据的备份、还原/恢复的功能</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可靠性要求</w:t>
            </w:r>
            <w:r/>
          </w:p>
        </w:tc>
        <w:tc>
          <w:tcPr>
            <w:shd w:val="clear" w:color="auto" w:fill="ffffff"/>
            <w:tcW w:w="13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稳定运行</w:t>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稳定运行</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a)支持连续稳定运行；</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b)支持数据库管理系统运行风险的报警能力</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可靠性要求</w:t>
            </w:r>
            <w:r/>
          </w:p>
        </w:tc>
        <w:tc>
          <w:tcPr>
            <w:shd w:val="clear" w:color="auto" w:fill="ffffff"/>
            <w:tcW w:w="1350"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故障切换</w:t>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快速切换</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支持快速切换，在主数据库出现故障时，能够快速切换到备用数据库，保障业务正常运行</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可靠性要求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恢复无断点</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支持无断点恢复能力</w:t>
            </w:r>
            <w:r/>
          </w:p>
        </w:tc>
      </w:tr>
      <w:tr>
        <w:trPr>
          <w:jc w:val="center"/>
          <w:trHeight w:val="918"/>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可靠性要求</w:t>
            </w:r>
            <w:r/>
          </w:p>
        </w:tc>
        <w:tc>
          <w:tcPr>
            <w:shd w:val="clear" w:color="auto" w:fill="ffffff"/>
            <w:tcW w:w="1350"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容灾能力</w:t>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主备备份</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a)支持多副本，支持主副本与从副本之间的数据同步，最低时延由生产厂商提供；</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b)提供数据库复制技术，包括基于日志的备用数据库远程数据库备份技术，并具备数据副本间的复制能力</w:t>
            </w:r>
            <w:r/>
          </w:p>
        </w:tc>
      </w:tr>
      <w:tr>
        <w:trPr>
          <w:jc w:val="center"/>
          <w:trHeight w:val="918"/>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可靠性要求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实例容灾</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a)在任意数据库实例出现故障时，集群内服务正常运行，数据不丢失，集群整体业务可用；</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b)在实例故障、节点故障等单数据库实例故障时，RPO时间等于0，RTO时间小于30s</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可靠性要求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容灾部署</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a)提供远程容灾部署与管理功能；</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b)提供生产中心与备份中心之间的容灾部署与管理功能</w:t>
            </w:r>
            <w:r/>
          </w:p>
        </w:tc>
      </w:tr>
      <w:tr>
        <w:trPr>
          <w:jc w:val="center"/>
          <w:trHeight w:val="918"/>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可靠性要求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同城容灾</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a)支持同城双中心部署，当主中心故障时，业务切换到备中心；</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b)由于网络、供电等原因造成的可用区级故障，触发集群计划外停机，在同城多可用区场景下，RPO时间等于0，RTO时间小于1分钟</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可靠性要求</w:t>
            </w:r>
            <w:r/>
          </w:p>
        </w:tc>
        <w:tc>
          <w:tcPr>
            <w:shd w:val="clear" w:color="auto" w:fill="ffffff"/>
            <w:tcW w:w="1350"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容错性</w:t>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服务端编程稳定性</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支持当用户自定义的存储过程、函数运行异常时，数据库稳定运行</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可靠性要求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网络容错</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网络中断时，保障事务一致性</w:t>
            </w:r>
            <w:r/>
          </w:p>
        </w:tc>
      </w:tr>
      <w:tr>
        <w:trPr>
          <w:jc w:val="center"/>
          <w:trHeight w:val="1224"/>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可靠性要求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检测报警</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a)支持数据库实例启动时错误检测能力；</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b)支持加载不同文件格式、不同大小数据出现错误时的故障检测和处理能力；</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c)支持数据库备份执行过程中发生故障时报错或者报警能力；</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d)支持数据库恢复发生故障时报错或者报警能力</w:t>
            </w:r>
            <w:r/>
          </w:p>
        </w:tc>
      </w:tr>
      <w:tr>
        <w:trPr>
          <w:jc w:val="center"/>
          <w:trHeight w:val="918"/>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可靠性要求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故障恢复</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a)系统故障重启后能正常运行且支持数据一致性；</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b)支持完全媒体故障恢复的能力；</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c)提供基于时间点故障恢复功能</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可靠性要求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不同级别故障可恢复</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支持数据库事务故障、系统故障、存储媒体故障不同级别的可恢复能力</w:t>
            </w:r>
            <w:r/>
          </w:p>
        </w:tc>
      </w:tr>
      <w:tr>
        <w:trPr>
          <w:jc w:val="center"/>
          <w:trHeight w:val="306"/>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兼容要求</w:t>
            </w:r>
            <w:r/>
          </w:p>
        </w:tc>
        <w:tc>
          <w:tcPr>
            <w:shd w:val="clear" w:color="auto" w:fill="ffffff"/>
            <w:tcW w:w="13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软件兼容</w:t>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云化部署</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支持虚拟化部署或容器化部署等云化部署方式</w:t>
            </w:r>
            <w:r/>
          </w:p>
        </w:tc>
      </w:tr>
      <w:tr>
        <w:trPr>
          <w:jc w:val="center"/>
          <w:trHeight w:val="214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兼容要求</w:t>
            </w:r>
            <w:r/>
          </w:p>
        </w:tc>
        <w:tc>
          <w:tcPr>
            <w:shd w:val="clear" w:color="auto" w:fill="ffffff"/>
            <w:tcW w:w="13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硬件兼容</w:t>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硬件平台兼容</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a)同源支持以下至少三种CPU平台架构：</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1)ARM；</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2)LoongArch；</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3)MIPS；</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4)SW64；</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5)x86；</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b)支持SMP和NUMA的运行环境</w:t>
            </w:r>
            <w:r/>
          </w:p>
        </w:tc>
      </w:tr>
      <w:tr>
        <w:trPr>
          <w:jc w:val="center"/>
          <w:trHeight w:val="306"/>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兼容要求</w:t>
            </w:r>
            <w:r/>
          </w:p>
        </w:tc>
        <w:tc>
          <w:tcPr>
            <w:shd w:val="clear" w:color="auto" w:fill="ffffff"/>
            <w:tcW w:w="1350"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标准兼容</w:t>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ODBC</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支持ODBC</w:t>
            </w:r>
            <w:r/>
          </w:p>
        </w:tc>
      </w:tr>
      <w:tr>
        <w:trPr>
          <w:jc w:val="center"/>
          <w:trHeight w:val="306"/>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兼容要求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JDBC</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支持JDBC</w:t>
            </w:r>
            <w:r/>
          </w:p>
        </w:tc>
      </w:tr>
      <w:tr>
        <w:trPr>
          <w:jc w:val="center"/>
          <w:trHeight w:val="306"/>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服务要求</w:t>
            </w:r>
            <w:r/>
          </w:p>
        </w:tc>
        <w:tc>
          <w:tcPr>
            <w:shd w:val="clear" w:color="auto" w:fill="ffffff"/>
            <w:tcW w:w="13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交付方式</w:t>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交付方式</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以光盘、便携式移动设备、镜像文件、在线下载等交付方式提供产品交付物</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服务要求</w:t>
            </w:r>
            <w:r/>
          </w:p>
        </w:tc>
        <w:tc>
          <w:tcPr>
            <w:shd w:val="clear" w:color="auto" w:fill="ffffff"/>
            <w:tcW w:w="1350"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服务周期</w:t>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产品维护周期</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产品自发布之日起至产品停止功能升级（包含不限于新特性、新硬件支持、问题修复、安全补丁等）之日止≥5年</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服务要求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产品延伸服务周期</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产品停止功能升级之日起至产品停止功能维护（包括问题修复、安全补丁等）之日止≥4年</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服务要求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产品延伸安全服务周期</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产品功能维护停止之日起至产品停止安全维护（包括中高风险漏洞修复）之日止≥2年</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服务要求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售后服务最小保障期</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自销售之日起，产品售后服务周期≥6年</w:t>
            </w:r>
            <w:r/>
          </w:p>
        </w:tc>
      </w:tr>
      <w:tr>
        <w:trPr>
          <w:jc w:val="center"/>
          <w:trHeight w:val="3060"/>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服务要求</w:t>
            </w:r>
            <w:r/>
          </w:p>
        </w:tc>
        <w:tc>
          <w:tcPr>
            <w:shd w:val="clear" w:color="auto" w:fill="ffffff"/>
            <w:tcW w:w="13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供应链与服务保障</w:t>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供应链与服务保障基础要求</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a)提供多种形式支持服务，包含电话、电子邮件、远程连接等；</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b)提供同城7*24小时响应支持服务，对于未能解决的问题和故障提供可行的升级方案；</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c)提供培训材料、产品手册、培训视频等培训相关内容；</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d)建立技术服务体系和服务团队，符合专业服务体系标准要求，提供原厂中文服务；</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e)服务周期内支持版本免费升级；</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f)开源产品对获得的社区源代码进行安全性和知识产权审查与管理；</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g)提供数据库参数、慢SQL语句的性能优化指南，包含性能优化的具体措施、技巧、案例及建议等</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安全要求</w:t>
            </w:r>
            <w:r/>
          </w:p>
        </w:tc>
        <w:tc>
          <w:tcPr>
            <w:shd w:val="clear" w:color="auto" w:fill="ffffff"/>
            <w:tcW w:w="13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基本要求</w:t>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基本要求</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数据库应当符合安全可靠测评要求</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安全要求</w:t>
            </w:r>
            <w:r/>
          </w:p>
        </w:tc>
        <w:tc>
          <w:tcPr>
            <w:shd w:val="clear" w:color="auto" w:fill="ffffff"/>
            <w:tcW w:w="1350"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基础安全</w:t>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安全架构</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将系统管理员分为数据库管理员、数据库安全员和数据库审计员三种类型</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安全要求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漏洞管理</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建立漏洞管理机制，及时通过邮件、网站等方式将安全漏洞告知用户，并提供安全补丁对漏洞进行修复</w:t>
            </w:r>
            <w:r/>
          </w:p>
        </w:tc>
      </w:tr>
      <w:tr>
        <w:trPr>
          <w:jc w:val="center"/>
          <w:trHeight w:val="612"/>
        </w:trPr>
        <w:tc>
          <w:tcPr>
            <w:shd w:val="clear" w:color="auto" w:fill="ffffff"/>
            <w:tcW w:w="775" w:type="dxa"/>
            <w:vAlign w:val="center"/>
            <w:textDirection w:val="lrTb"/>
            <w:noWrap w:val="false"/>
          </w:tcPr>
          <w:p>
            <w:pPr>
              <w:pStyle w:val="975"/>
              <w:numPr>
                <w:ilvl w:val="0"/>
                <w:numId w:val="14"/>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1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安全要求</w:t>
            </w:r>
            <w:r/>
          </w:p>
        </w:tc>
        <w:tc>
          <w:tcPr>
            <w:shd w:val="clear" w:color="auto" w:fill="ffffff"/>
            <w:tcW w:w="13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40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身份鉴别及访问控制</w:t>
            </w:r>
            <w:r/>
          </w:p>
        </w:tc>
        <w:tc>
          <w:tcPr>
            <w:shd w:val="clear" w:color="auto" w:fill="ffffff"/>
            <w:tcW w:w="499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提供身份鉴别及访问控制，加解密的密码要求符合GM/T 0028的相关规定</w:t>
            </w:r>
            <w:r/>
          </w:p>
        </w:tc>
      </w:tr>
    </w:tbl>
    <w:p>
      <w:pPr>
        <w:pStyle w:val="975"/>
        <w:numPr>
          <w:ilvl w:val="0"/>
          <w:numId w:val="12"/>
        </w:numPr>
        <w:ind w:left="901"/>
        <w:spacing w:line="500" w:lineRule="exact"/>
        <w:rPr>
          <w:rFonts w:hint="eastAsia" w:ascii="宋体" w:hAnsi="宋体" w:eastAsia="宋体" w:cs="宋体"/>
          <w:sz w:val="24"/>
          <w:szCs w:val="24"/>
        </w:rPr>
        <w:outlineLvl w:val="3"/>
      </w:pPr>
      <w:r>
        <w:rPr>
          <w:rFonts w:hint="eastAsia" w:ascii="宋体" w:hAnsi="宋体" w:eastAsia="宋体" w:cs="宋体"/>
          <w:sz w:val="24"/>
          <w:szCs w:val="24"/>
        </w:rPr>
        <w:t xml:space="preserve">数据工程服务</w:t>
      </w:r>
      <w:r/>
    </w:p>
    <w:tbl>
      <w:tblPr>
        <w:tblStyle w:val="892"/>
        <w:tblW w:w="9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138"/>
        <w:gridCol w:w="1212"/>
        <w:gridCol w:w="1263"/>
        <w:gridCol w:w="5562"/>
      </w:tblGrid>
      <w:tr>
        <w:trPr>
          <w:jc w:val="center"/>
          <w:trHeight w:val="457"/>
        </w:trPr>
        <w:tc>
          <w:tcPr>
            <w:tcW w:w="73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序号</w:t>
            </w:r>
            <w:r/>
          </w:p>
        </w:tc>
        <w:tc>
          <w:tcPr>
            <w:gridSpan w:val="2"/>
            <w:tcW w:w="23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系统模块</w:t>
            </w:r>
            <w:r/>
          </w:p>
        </w:tc>
        <w:tc>
          <w:tcPr>
            <w:tcW w:w="126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工作内容</w:t>
            </w:r>
            <w:r/>
          </w:p>
        </w:tc>
        <w:tc>
          <w:tcPr>
            <w:tcW w:w="556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详细说明</w:t>
            </w:r>
            <w:r/>
          </w:p>
        </w:tc>
      </w:tr>
      <w:tr>
        <w:trPr>
          <w:jc w:val="center"/>
          <w:trHeight w:val="6135"/>
        </w:trPr>
        <w:tc>
          <w:tcPr>
            <w:tcW w:w="7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W w:w="1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政策申报和兑现系统</w:t>
            </w:r>
            <w:r/>
          </w:p>
        </w:tc>
        <w:tc>
          <w:tcPr>
            <w:tcW w:w="121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w:t>
            </w:r>
            <w:r/>
          </w:p>
        </w:tc>
        <w:tc>
          <w:tcPr>
            <w:tcW w:w="1263"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老系统数据整理迁移</w:t>
            </w:r>
            <w:r/>
          </w:p>
        </w:tc>
        <w:tc>
          <w:tcPr>
            <w:tcW w:w="5562" w:type="dxa"/>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根据本项目建设的信息资源规划与数据库设计要求，需严格遵循最新数据标准和格式规范，对当前平台中已上线运行的各委办局超过60个非信创架构的应用模块数据库，实施系统性、全量化的数据迁移与标准化重构工作。</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本次迁移覆盖平台全维度业务数据，包括但不限于：</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用户身份与权限信息、企业全生命周期主体信息、各级各类惠企政策原文与结构化标签信息、涵盖60余个申报应用模块的政策申报、审核、兑现全流程业务数据、工业企业绩效评价与分类数据、人才引进、评定与服务信息、第三方服务机构与服务资源信息、平台门户新闻、动态、通知等资讯内容。</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主要工作内容包括：</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1、数据资产盘点与确认：逐库逐表梳理数据字典、业务逻辑关联与历史数据现状，明确迁移范围和一致性规则；</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2、数据清洗与标准化：针对多源异构数据进行格式转换、内容校验、重复剔除、缺失补全及质量提升；</w:t>
            </w:r>
            <w:r/>
          </w:p>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3、非信创至信创数据库迁移：在保障业务连续性的前提下，完成数据从原有数据库至国产化信创数据库的平滑迁移与兼容适配；</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4、数据映射与逻辑重构：依据新平台数据模型，重新构建数据关联关系与业务规则，确保数据在新环境中语义一致、调用顺畅；</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5、迁移后验证与一致性审计：执行全链路数据比对、业务场景回归测试与性能验证，确保数据迁移完整、准确、可用。</w:t>
            </w:r>
            <w:r/>
          </w:p>
        </w:tc>
      </w:tr>
      <w:tr>
        <w:trPr>
          <w:jc w:val="center"/>
          <w:trHeight w:val="7359"/>
        </w:trPr>
        <w:tc>
          <w:tcPr>
            <w:tcW w:w="7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W w:w="1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锡新通应用支撑系统</w:t>
            </w:r>
            <w:r/>
          </w:p>
        </w:tc>
        <w:tc>
          <w:tcPr>
            <w:tcW w:w="121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AI助手</w:t>
            </w:r>
            <w:r/>
          </w:p>
        </w:tc>
        <w:tc>
          <w:tcPr>
            <w:tcW w:w="1263"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训练模型</w:t>
            </w:r>
            <w:r/>
          </w:p>
        </w:tc>
        <w:tc>
          <w:tcPr>
            <w:tcW w:w="55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围绕新吴区企业服务政策智能问答与精准匹配能力建设，需开展持续化、系统化的政策知识库构建与AI模型训练工作，具体任务包括：</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1、多源政策文档采集与结构化治理</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全面对接区发改委、科工局、人社局、金融监管局等十余个涉企服务部门，系统收集产业扶持、人才引育、科技创新、金融惠企等全维度政策文本，涵盖办法、细则、通知、解读等各类公文及补充材料。</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对收集的政策文档进行统一格式标准化处理，开展内容解析、关键信息提取（如适用对象、申报条件、扶持方式、截止时间等），并建立动态更新机制，确保政策库的时效性与完整性。</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2、多层次知识库构建与动态维护</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依据政策类型、产业领域、企业规模、申报阶段等多重维度，构建可扩展、可关联的政策知识图谱，实现条款级标签化与结构化存储。</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持续梳理和录入企业常见咨询问题、历史办理案例、政策解读口径及答复模板，形成覆盖政策咨询、申报指导、流程解惑的问答知识体系。</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建立政策关联规则与匹配逻辑，支持跨部门、跨层级的政策整合与智能推荐。</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3、持续化模型训练与优化迭代</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基于积累的政策文本与问答数据，开展自然语言处理模型训练，持续提升政策语义理解、意图识别、相似问法匹配等核心能力。</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结合企业用户真实咨询反馈与满意度数据，建立模型效果评估与迭代机制，定期优化问答准确率、响应速度与政策匹配精度。</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针对政策变化与企业需求演进，不断补充训练样本、调整模型参数，确保系统具备持续学习与适应能力。</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提供3年服务。</w:t>
            </w:r>
            <w:r/>
          </w:p>
        </w:tc>
      </w:tr>
      <w:tr>
        <w:trPr>
          <w:jc w:val="center"/>
          <w:trHeight w:val="2769"/>
        </w:trPr>
        <w:tc>
          <w:tcPr>
            <w:tcW w:w="7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W w:w="1138"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惠企政策服务系统</w:t>
            </w:r>
            <w:r/>
          </w:p>
        </w:tc>
        <w:tc>
          <w:tcPr>
            <w:tcW w:w="1212"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政策计算器</w:t>
            </w:r>
            <w:r/>
          </w:p>
        </w:tc>
        <w:tc>
          <w:tcPr>
            <w:tcW w:w="1263"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政策数据汇聚</w:t>
            </w:r>
            <w:r/>
          </w:p>
        </w:tc>
        <w:tc>
          <w:tcPr>
            <w:tcW w:w="55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1、区级政策：对于区级各业务局办政策数据，经过数据清洗后，加载至政策库的前置数据库中；</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国家级、江苏省级、无锡市级政策：通过大数据技术，定向、定时采集相关权威网站（中华人民共和国中央人民政府、中华人民共和国工业和信息化部、江苏省人民政府、江苏省工业和信息化厅、江苏省科技厅、无锡市人民政府、无锡市科技局、无锡市工业和信息化局等单位）的2016年1月1日后发布的政策信息作为政策库的补充，并对采集的海量数据加载至统一政策库的数据库当中，准备下一步的加工处理；</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要求入库政策总数量不低于300条，提供3年服务。</w:t>
            </w:r>
            <w:r/>
          </w:p>
        </w:tc>
      </w:tr>
      <w:tr>
        <w:trPr>
          <w:jc w:val="center"/>
          <w:trHeight w:val="1851"/>
        </w:trPr>
        <w:tc>
          <w:tcPr>
            <w:tcW w:w="7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w:t>
            </w:r>
            <w:r/>
          </w:p>
        </w:tc>
        <w:tc>
          <w:tcPr>
            <w:tcW w:w="113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12"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63"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政策数据梳理</w:t>
            </w:r>
            <w:r/>
          </w:p>
        </w:tc>
        <w:tc>
          <w:tcPr>
            <w:tcW w:w="55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1、政策数据完成复核入库后，对政策进行条目梳理，首先需要将政策中的惠企条目梳理出来，同时对这些条目从行业及产业类别分别进行标注；</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搜集整理该条政策是否有政策解读，申报指南，如果有统一维护入库。如果区级政策需要与对应部门科室进行确认同时还要搜集政策条目有效期，已过有效期的条目应该自动下架，为前台政策查询功能提供数据支撑；</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要求政策整理条目总数量不低于300条，提供3年服务。</w:t>
            </w:r>
            <w:r/>
          </w:p>
        </w:tc>
      </w:tr>
      <w:tr>
        <w:trPr>
          <w:jc w:val="center"/>
          <w:trHeight w:val="3381"/>
        </w:trPr>
        <w:tc>
          <w:tcPr>
            <w:tcW w:w="7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W w:w="113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12"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63"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政策数据拆解</w:t>
            </w:r>
            <w:r/>
          </w:p>
        </w:tc>
        <w:tc>
          <w:tcPr>
            <w:tcW w:w="55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1、政策数据统一汇聚到政策库后，首先由运营人员对政策的内容进行理解，对政策数据进行初步加工，进行数据的加工、处理和管理，形成第一版的数据指标，相关部门处室人员再对分解的指标进行复核，查缺补漏，形成可靠、多维度、结构合理的数据链与数据指标，为政策服务各系统赋能；</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政策指标分解主要针对涉企的申报类政策，政策拆解的过程包含了标签化拆解、指标化拆解和政策结构化处理三个部分，标签化拆解包含但不限于该条政策的适用企业类型、适用的行业、适用的产业和政策分类等；指标化拆解包含可量化的指标要求，譬如：注册资本大于1000万元，知识产权数量大于5个等；结构化处理主要针对申报类的政策，包含了政策申报时间要求、政策申报材料要求以及申报对接哪些业务科室等内容；</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要求优先完成新吴区科工局、人社局政策拆解，提供3年服务。</w:t>
            </w:r>
            <w:r/>
          </w:p>
        </w:tc>
      </w:tr>
      <w:tr>
        <w:trPr>
          <w:jc w:val="center"/>
          <w:trHeight w:val="1239"/>
        </w:trPr>
        <w:tc>
          <w:tcPr>
            <w:tcW w:w="7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6</w:t>
            </w:r>
            <w:r/>
          </w:p>
        </w:tc>
        <w:tc>
          <w:tcPr>
            <w:tcW w:w="113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12"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263"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政策图解制作</w:t>
            </w:r>
            <w:r/>
          </w:p>
        </w:tc>
        <w:tc>
          <w:tcPr>
            <w:tcW w:w="55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1、根据政策原文，提炼政策关键词，便于企业理解申报材料构成及其申报流程、申报截止时间、咨询电话等关键信息；</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2、美工根据内容视觉优化设计成一张图解，便于宣传转发；</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要求发布政策图解内容总数量不低于36条；提供3年服务。</w:t>
            </w:r>
            <w:r/>
          </w:p>
        </w:tc>
      </w:tr>
      <w:tr>
        <w:trPr>
          <w:jc w:val="center"/>
          <w:trHeight w:val="7359"/>
        </w:trPr>
        <w:tc>
          <w:tcPr>
            <w:tcW w:w="7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7</w:t>
            </w:r>
            <w:r/>
          </w:p>
        </w:tc>
        <w:tc>
          <w:tcPr>
            <w:tcW w:w="113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增值服务系统</w:t>
            </w:r>
            <w:r/>
          </w:p>
        </w:tc>
        <w:tc>
          <w:tcPr>
            <w:tcW w:w="121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企业创新积分</w:t>
            </w:r>
            <w:r/>
          </w:p>
        </w:tc>
        <w:tc>
          <w:tcPr>
            <w:tcW w:w="1263"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数据整理</w:t>
            </w:r>
            <w:r/>
          </w:p>
        </w:tc>
        <w:tc>
          <w:tcPr>
            <w:tcW w:w="55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根据企业创新积分制试点工作要求，需开展持续、系统、精细化的数据归集、治理与积分计算服务工作，具体任务包括：</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1、多源异构数据体系化归集与融合</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对接科工局等主管部门，系统获取自2021年起历年火炬统计企业全量原始数据，覆盖企业基本信息、经济指标、研发活动、知识产权等多维度字段。</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整合各业务处室在科技企业培育、项目申报、人才评定等过程中积累的结构化与非结构化数据。</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贯通锡新通平台已汇聚的科技企业库数据，实现跨系统、跨年度、跨部门数据的统一接入与动态同步。</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2、企业创新积分全流程数据治理</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依据国家火炬中心企业创新积分评价指标体系，对归集的数据开展字段映射、格式标准化、单位统一及缺失值识别。</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执行数据清洗与质量提升，包括异常值检测与修正、重复记录去重、逻辑一致性校验及历史数据溯源补全。</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构建企业—指标—数据项三层映射关系，确保每条数据可对应至具体积分指标，支撑精准计算与动态追溯。</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3、积分指标计算、验证与迭代优化</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基于清洗后的数据，按年度、分批次开展企业创新积分各指标计算，涵盖创新投入、创新产出、成长性、辅助指标等类别。</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建立计算结果交叉验证机制，通过统计分析、区间比对、趋势检验等方法确保积分计算的准确性与合理性。</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结合企业反馈与主管部门审核意见，对计算模型与数据逻辑进行持续调优，形成“计算—校验—修正”闭环。</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4、3年服务期长效数据运营与支持。</w:t>
            </w:r>
            <w:r/>
          </w:p>
        </w:tc>
      </w:tr>
    </w:tbl>
    <w:p>
      <w:pPr>
        <w:pStyle w:val="975"/>
        <w:numPr>
          <w:ilvl w:val="0"/>
          <w:numId w:val="12"/>
        </w:numPr>
        <w:ind w:left="901"/>
        <w:spacing w:line="500" w:lineRule="exact"/>
        <w:rPr>
          <w:rFonts w:hint="eastAsia" w:ascii="宋体" w:hAnsi="宋体" w:eastAsia="宋体" w:cs="宋体"/>
          <w:sz w:val="24"/>
          <w:szCs w:val="24"/>
        </w:rPr>
        <w:outlineLvl w:val="3"/>
      </w:pPr>
      <w:r>
        <w:rPr>
          <w:rFonts w:hint="eastAsia" w:ascii="宋体" w:hAnsi="宋体" w:cs="宋体"/>
          <w:sz w:val="24"/>
          <w:szCs w:val="24"/>
          <w:lang w:eastAsia="zh-CN"/>
        </w:rPr>
        <w:t xml:space="preserve">软件开发服务</w:t>
      </w:r>
      <w:r/>
    </w:p>
    <w:tbl>
      <w:tblPr>
        <w:tblStyle w:val="892"/>
        <w:tblW w:w="9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12"/>
        <w:gridCol w:w="1268"/>
        <w:gridCol w:w="1520"/>
        <w:gridCol w:w="221"/>
        <w:gridCol w:w="1741"/>
        <w:gridCol w:w="4450"/>
      </w:tblGrid>
      <w:tr>
        <w:trPr>
          <w:jc w:val="center"/>
          <w:trHeight w:val="485"/>
        </w:trPr>
        <w:tc>
          <w:tcPr>
            <w:shd w:val="clear" w:color="auto" w:fill="ffffff"/>
            <w:tcW w:w="71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ffffff"/>
            <w:tcW w:w="126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系统</w:t>
            </w:r>
            <w:r/>
          </w:p>
        </w:tc>
        <w:tc>
          <w:tcPr>
            <w:shd w:val="clear" w:color="auto" w:fill="ffffff"/>
            <w:tcW w:w="152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模块</w:t>
            </w:r>
            <w:r/>
          </w:p>
        </w:tc>
        <w:tc>
          <w:tcPr>
            <w:gridSpan w:val="2"/>
            <w:shd w:val="clear" w:color="auto" w:fill="ffffff"/>
            <w:tcW w:w="196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功能</w:t>
            </w:r>
            <w:r/>
          </w:p>
        </w:tc>
        <w:tc>
          <w:tcPr>
            <w:shd w:val="clear" w:color="auto" w:fill="ffffff"/>
            <w:tcW w:w="44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详细说明</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锡新通</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门户</w:t>
            </w:r>
            <w:r/>
          </w:p>
        </w:tc>
        <w:tc>
          <w:tcPr>
            <w:shd w:val="clear" w:color="auto" w:fill="ffffff"/>
            <w:tcW w:w="1520"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锡新通PC门户</w:t>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门户首页</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首页设置企业全生命周期服务入口，主要提供横幅、新闻资讯、政策服务、供需对接、企业风采、专业服务、帮助中心等模块、利用现有的智能搜索引擎，结合人工智能技术，能提供传统的快速检索、相关度排序等功能，方便企业快速检索任何信息，并精准直达对应版块。</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新闻资讯</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改版横幅、通知公告、新闻资讯、党建引领、企业风采、热点视频等超文本信息展示及管理版块。</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政策服务</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集成政策计算器，提供政策导航专题、政策检索、指南库、政策库、政策图解、政策解读等功能。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申报中心</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多条件查询，集成政策兑现和申报入口，方便用户一键直达政策申报和兑现系统开始申报兑现。</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供需对接</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改版供需配套、资源共享、厂房载体各子版块首页、列表及详情页面。</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专业服务</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遴选优质服务机构接入服务平台，包括大众创业万众创新示范基地、公共服务体系平台、以及国家、省、市、区认定的优质服务机构等。</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专业服务管理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提供服务机构管理以及服务机构产品发布管理等功能。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人才特色专区</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聚合展示人才相关政策、资讯等；聚焦创业资源汇聚和就业发展支持，集成人才招聘、人才认定及其他人才相关服务和应用入口；展示人才相关的活动、申报、动态、视频等信息。</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3"/>
            <w:shd w:val="clear" w:color="auto" w:fill="ffffff"/>
            <w:tcW w:w="348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lang w:bidi="ar"/>
              </w:rPr>
              <w:t xml:space="preserve">科技创新服务门户</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按照科技创新领域各项业务模块对服务对象需求和业务条线进行分类，建设科技特色专区，优化专区总体布局，让服务的科技企业用户可以清晰、便捷的浏览查询科技资讯、产学研、技术交易、创新积分、政策申报、特色园区、科技招商等动态信息。</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left"/>
              <w:rPr>
                <w:rFonts w:hint="eastAsia" w:ascii="宋体" w:hAnsi="宋体" w:eastAsia="宋体" w:cs="仿宋"/>
                <w:sz w:val="24"/>
                <w:szCs w:val="24"/>
                <w:lang w:bidi="ar"/>
              </w:rPr>
            </w:pPr>
            <w:r>
              <w:rPr>
                <w:rFonts w:hint="eastAsia" w:ascii="宋体" w:hAnsi="宋体" w:eastAsia="宋体" w:cs="仿宋"/>
                <w:sz w:val="24"/>
                <w:szCs w:val="24"/>
                <w:lang w:bidi="ar"/>
              </w:rPr>
            </w:r>
            <w:r/>
          </w:p>
        </w:tc>
        <w:tc>
          <w:tcPr>
            <w:gridSpan w:val="2"/>
            <w:shd w:val="clear" w:color="auto" w:fill="ffffff"/>
            <w:tcW w:w="1741" w:type="dxa"/>
            <w:vAlign w:val="center"/>
            <w:vMerge w:val="restart"/>
            <w:textDirection w:val="lrTb"/>
            <w:noWrap w:val="false"/>
          </w:tcPr>
          <w:p>
            <w:pPr>
              <w:jc w:val="left"/>
              <w:rPr>
                <w:rFonts w:hint="eastAsia" w:ascii="宋体" w:hAnsi="宋体" w:eastAsia="宋体" w:cs="宋体"/>
                <w:sz w:val="24"/>
                <w:szCs w:val="24"/>
                <w:lang w:bidi="ar"/>
              </w:rPr>
            </w:pPr>
            <w:r>
              <w:rPr>
                <w:rFonts w:hint="eastAsia" w:ascii="宋体" w:hAnsi="宋体" w:eastAsia="宋体" w:cs="仿宋"/>
                <w:sz w:val="24"/>
                <w:szCs w:val="24"/>
                <w:lang w:bidi="ar"/>
              </w:rPr>
              <w:t xml:space="preserve">企业诉求管理</w:t>
            </w:r>
            <w:r/>
          </w:p>
        </w:tc>
        <w:tc>
          <w:tcPr>
            <w:shd w:val="clear" w:color="auto" w:fill="ffffff"/>
            <w:tcW w:w="1741" w:type="dxa"/>
            <w:vAlign w:val="center"/>
            <w:textDirection w:val="lrTb"/>
            <w:noWrap w:val="false"/>
          </w:tcPr>
          <w:p>
            <w:pPr>
              <w:jc w:val="left"/>
              <w:rPr>
                <w:rFonts w:hint="eastAsia" w:ascii="宋体" w:hAnsi="宋体" w:eastAsia="宋体" w:cs="宋体"/>
                <w:sz w:val="24"/>
                <w:szCs w:val="24"/>
                <w:lang w:bidi="ar"/>
              </w:rPr>
            </w:pPr>
            <w:r>
              <w:rPr>
                <w:rFonts w:hint="eastAsia" w:ascii="宋体" w:hAnsi="宋体" w:eastAsia="宋体" w:cs="仿宋"/>
                <w:sz w:val="24"/>
                <w:szCs w:val="24"/>
                <w:lang w:bidi="ar"/>
              </w:rPr>
              <w:t xml:space="preserve">登录模块</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仿宋"/>
                <w:sz w:val="24"/>
                <w:szCs w:val="24"/>
                <w:lang w:bidi="ar"/>
              </w:rPr>
              <w:t xml:space="preserve">登录模块支持微信账号单点登录、手机号验证码登录、账号和密码登录三种登录方式，支持解绑微信账号。</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741" w:type="dxa"/>
            <w:vAlign w:val="center"/>
            <w:vMerge w:val="continue"/>
            <w:textDirection w:val="lrTb"/>
            <w:noWrap w:val="false"/>
          </w:tcPr>
          <w:p>
            <w:pPr>
              <w:jc w:val="left"/>
              <w:rPr>
                <w:rFonts w:hint="eastAsia" w:ascii="宋体" w:hAnsi="宋体" w:eastAsia="宋体" w:cs="宋体"/>
                <w:sz w:val="24"/>
                <w:szCs w:val="24"/>
                <w:lang w:bidi="ar"/>
              </w:rPr>
            </w:pPr>
            <w:r>
              <w:rPr>
                <w:rFonts w:hint="eastAsia" w:ascii="宋体" w:hAnsi="宋体" w:eastAsia="宋体" w:cs="宋体"/>
                <w:sz w:val="24"/>
                <w:szCs w:val="24"/>
                <w:lang w:bidi="ar"/>
              </w:rPr>
            </w:r>
            <w:r/>
          </w:p>
        </w:tc>
        <w:tc>
          <w:tcPr>
            <w:shd w:val="clear" w:color="auto" w:fill="ffffff"/>
            <w:tcW w:w="1741" w:type="dxa"/>
            <w:vAlign w:val="center"/>
            <w:textDirection w:val="lrTb"/>
            <w:noWrap w:val="false"/>
          </w:tcPr>
          <w:p>
            <w:pPr>
              <w:jc w:val="left"/>
              <w:rPr>
                <w:rFonts w:hint="eastAsia" w:ascii="宋体" w:hAnsi="宋体" w:eastAsia="宋体" w:cs="宋体"/>
                <w:sz w:val="24"/>
                <w:szCs w:val="24"/>
                <w:lang w:bidi="ar"/>
              </w:rPr>
            </w:pPr>
            <w:r>
              <w:rPr>
                <w:rFonts w:hint="eastAsia" w:ascii="宋体" w:hAnsi="宋体" w:eastAsia="宋体" w:cs="仿宋"/>
                <w:sz w:val="24"/>
                <w:szCs w:val="24"/>
                <w:lang w:bidi="ar"/>
              </w:rPr>
              <w:t xml:space="preserve">首页</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仿宋"/>
                <w:sz w:val="24"/>
                <w:szCs w:val="24"/>
                <w:lang w:bidi="ar"/>
              </w:rPr>
              <w:t xml:space="preserve">作为企业服务核心入口，根据本期页面设计风格改版APP及企业服务首页，包括页面样式及显示内容，利用现有的智能搜索引擎，结合人工智能技术，能提供传统的快速检索、相关度排序等功能，方便企业快速检索任何信息，并精准直达。</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741" w:type="dxa"/>
            <w:vAlign w:val="center"/>
            <w:vMerge w:val="continue"/>
            <w:textDirection w:val="lrTb"/>
            <w:noWrap w:val="false"/>
          </w:tcPr>
          <w:p>
            <w:pPr>
              <w:jc w:val="left"/>
              <w:rPr>
                <w:rFonts w:hint="eastAsia" w:ascii="宋体" w:hAnsi="宋体" w:eastAsia="宋体" w:cs="宋体"/>
                <w:sz w:val="24"/>
                <w:szCs w:val="24"/>
                <w:lang w:bidi="ar"/>
              </w:rPr>
            </w:pPr>
            <w:r>
              <w:rPr>
                <w:rFonts w:hint="eastAsia" w:ascii="宋体" w:hAnsi="宋体" w:eastAsia="宋体" w:cs="宋体"/>
                <w:sz w:val="24"/>
                <w:szCs w:val="24"/>
                <w:lang w:bidi="ar"/>
              </w:rPr>
            </w:r>
            <w:r/>
          </w:p>
        </w:tc>
        <w:tc>
          <w:tcPr>
            <w:shd w:val="clear" w:color="auto" w:fill="ffffff"/>
            <w:tcW w:w="1741" w:type="dxa"/>
            <w:vAlign w:val="center"/>
            <w:textDirection w:val="lrTb"/>
            <w:noWrap w:val="false"/>
          </w:tcPr>
          <w:p>
            <w:pPr>
              <w:jc w:val="left"/>
              <w:rPr>
                <w:rFonts w:hint="eastAsia" w:ascii="宋体" w:hAnsi="宋体" w:eastAsia="宋体" w:cs="宋体"/>
                <w:sz w:val="24"/>
                <w:szCs w:val="24"/>
                <w:lang w:bidi="ar"/>
              </w:rPr>
            </w:pPr>
            <w:r>
              <w:rPr>
                <w:rFonts w:hint="eastAsia" w:ascii="宋体" w:hAnsi="宋体" w:eastAsia="宋体" w:cs="仿宋"/>
                <w:sz w:val="24"/>
                <w:szCs w:val="24"/>
                <w:lang w:bidi="ar"/>
              </w:rPr>
              <w:t xml:space="preserve">新闻资讯</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仿宋"/>
                <w:sz w:val="24"/>
                <w:szCs w:val="24"/>
                <w:lang w:bidi="ar"/>
              </w:rPr>
              <w:t xml:space="preserve">根据PC端新闻资讯管理模块以及本期页面设计风格改版企业服务新闻资讯模块，包括页面样式及显示内容，包含通知公告、新闻资讯、产业政策、政策解读、政策图解、政策订阅、地区概况等版块首页、列表及详情页面。</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741" w:type="dxa"/>
            <w:vAlign w:val="center"/>
            <w:vMerge w:val="continue"/>
            <w:textDirection w:val="lrTb"/>
            <w:noWrap w:val="false"/>
          </w:tcPr>
          <w:p>
            <w:pPr>
              <w:jc w:val="left"/>
              <w:rPr>
                <w:rFonts w:hint="eastAsia" w:ascii="宋体" w:hAnsi="宋体" w:eastAsia="宋体" w:cs="宋体"/>
                <w:sz w:val="24"/>
                <w:szCs w:val="24"/>
                <w:lang w:bidi="ar"/>
              </w:rPr>
            </w:pPr>
            <w:r>
              <w:rPr>
                <w:rFonts w:hint="eastAsia" w:ascii="宋体" w:hAnsi="宋体" w:eastAsia="宋体" w:cs="宋体"/>
                <w:sz w:val="24"/>
                <w:szCs w:val="24"/>
                <w:lang w:bidi="ar"/>
              </w:rPr>
            </w:r>
            <w:r/>
          </w:p>
        </w:tc>
        <w:tc>
          <w:tcPr>
            <w:shd w:val="clear" w:color="auto" w:fill="ffffff"/>
            <w:tcW w:w="1741" w:type="dxa"/>
            <w:vAlign w:val="center"/>
            <w:vMerge w:val="restart"/>
            <w:textDirection w:val="lrTb"/>
            <w:noWrap w:val="false"/>
          </w:tcPr>
          <w:p>
            <w:pPr>
              <w:jc w:val="left"/>
              <w:rPr>
                <w:rFonts w:hint="eastAsia" w:ascii="宋体" w:hAnsi="宋体" w:eastAsia="宋体" w:cs="宋体"/>
                <w:sz w:val="24"/>
                <w:szCs w:val="24"/>
                <w:lang w:bidi="ar"/>
              </w:rPr>
            </w:pPr>
            <w:r>
              <w:rPr>
                <w:rFonts w:hint="eastAsia" w:ascii="宋体" w:hAnsi="宋体" w:eastAsia="宋体" w:cs="仿宋"/>
                <w:sz w:val="24"/>
                <w:szCs w:val="24"/>
                <w:lang w:bidi="ar"/>
              </w:rPr>
              <w:t xml:space="preserve">企业诉求管理</w:t>
            </w:r>
            <w:r/>
          </w:p>
        </w:tc>
        <w:tc>
          <w:tcPr>
            <w:shd w:val="clear" w:color="auto" w:fill="ffffff"/>
            <w:tcW w:w="4450" w:type="dxa"/>
            <w:vAlign w:val="center"/>
            <w:vMerge w:val="restart"/>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仿宋"/>
                <w:sz w:val="24"/>
                <w:szCs w:val="24"/>
                <w:lang w:bidi="ar"/>
              </w:rPr>
              <w:t xml:space="preserve">企业用户可以在企业用户端反馈企业诉求，诉求信息包含企业基本信息以及诉求内容信息，并提供提交诉求信息检索及浏览功能。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741" w:type="dxa"/>
            <w:vAlign w:val="center"/>
            <w:vMerge w:val="continue"/>
            <w:textDirection w:val="lrTb"/>
            <w:noWrap w:val="false"/>
          </w:tcPr>
          <w:p>
            <w:pPr>
              <w:jc w:val="left"/>
              <w:rPr>
                <w:rFonts w:hint="eastAsia" w:ascii="宋体" w:hAnsi="宋体" w:eastAsia="宋体" w:cs="宋体"/>
                <w:sz w:val="24"/>
                <w:szCs w:val="24"/>
                <w:lang w:bidi="ar"/>
              </w:rPr>
            </w:pPr>
            <w:r>
              <w:rPr>
                <w:rFonts w:hint="eastAsia" w:ascii="宋体" w:hAnsi="宋体" w:eastAsia="宋体" w:cs="宋体"/>
                <w:sz w:val="24"/>
                <w:szCs w:val="24"/>
                <w:lang w:bidi="ar"/>
              </w:rPr>
            </w:r>
            <w:r/>
          </w:p>
        </w:tc>
        <w:tc>
          <w:tcPr>
            <w:shd w:val="clear" w:color="auto" w:fill="ffffff"/>
            <w:tcW w:w="1741" w:type="dxa"/>
            <w:vAlign w:val="center"/>
            <w:vMerge w:val="continue"/>
            <w:textDirection w:val="lrTb"/>
            <w:noWrap w:val="false"/>
          </w:tcPr>
          <w:p>
            <w:pPr>
              <w:jc w:val="left"/>
              <w:rPr>
                <w:rFonts w:hint="eastAsia" w:ascii="宋体" w:hAnsi="宋体" w:eastAsia="宋体" w:cs="宋体"/>
                <w:sz w:val="24"/>
                <w:szCs w:val="24"/>
                <w:lang w:bidi="ar"/>
              </w:rPr>
            </w:pPr>
            <w:r>
              <w:rPr>
                <w:rFonts w:hint="eastAsia" w:ascii="宋体" w:hAnsi="宋体" w:eastAsia="宋体" w:cs="宋体"/>
                <w:sz w:val="24"/>
                <w:szCs w:val="24"/>
                <w:lang w:bidi="ar"/>
              </w:rPr>
            </w:r>
            <w:r/>
          </w:p>
        </w:tc>
        <w:tc>
          <w:tcPr>
            <w:shd w:val="clear" w:color="auto" w:fill="ffffff"/>
            <w:tcW w:w="4450" w:type="dxa"/>
            <w:vAlign w:val="center"/>
            <w:vMerge w:val="restart"/>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仿宋"/>
                <w:sz w:val="24"/>
                <w:szCs w:val="24"/>
                <w:lang w:bidi="ar"/>
              </w:rPr>
              <w:t xml:space="preserve">PC管理端提供诉求管理功能，包括诉求台账管理、权限管理、统计分析等功能。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741" w:type="dxa"/>
            <w:vAlign w:val="center"/>
            <w:vMerge w:val="continue"/>
            <w:textDirection w:val="lrTb"/>
            <w:noWrap w:val="false"/>
          </w:tcPr>
          <w:p>
            <w:pPr>
              <w:jc w:val="left"/>
              <w:rPr>
                <w:rFonts w:hint="eastAsia" w:ascii="宋体" w:hAnsi="宋体" w:eastAsia="宋体" w:cs="宋体"/>
                <w:sz w:val="24"/>
                <w:szCs w:val="24"/>
                <w:lang w:bidi="ar"/>
              </w:rPr>
            </w:pPr>
            <w:r>
              <w:rPr>
                <w:rFonts w:hint="eastAsia" w:ascii="宋体" w:hAnsi="宋体" w:eastAsia="宋体" w:cs="宋体"/>
                <w:sz w:val="24"/>
                <w:szCs w:val="24"/>
                <w:lang w:bidi="ar"/>
              </w:rPr>
            </w:r>
            <w:r/>
          </w:p>
        </w:tc>
        <w:tc>
          <w:tcPr>
            <w:shd w:val="clear" w:color="auto" w:fill="ffffff"/>
            <w:tcW w:w="1741" w:type="dxa"/>
            <w:vAlign w:val="center"/>
            <w:vMerge w:val="continue"/>
            <w:textDirection w:val="lrTb"/>
            <w:noWrap w:val="false"/>
          </w:tcPr>
          <w:p>
            <w:pPr>
              <w:jc w:val="left"/>
              <w:rPr>
                <w:rFonts w:hint="eastAsia" w:ascii="宋体" w:hAnsi="宋体" w:eastAsia="宋体" w:cs="宋体"/>
                <w:sz w:val="24"/>
                <w:szCs w:val="24"/>
                <w:lang w:bidi="ar"/>
              </w:rPr>
            </w:pPr>
            <w:r>
              <w:rPr>
                <w:rFonts w:hint="eastAsia" w:ascii="宋体" w:hAnsi="宋体" w:eastAsia="宋体" w:cs="宋体"/>
                <w:sz w:val="24"/>
                <w:szCs w:val="24"/>
                <w:lang w:bidi="ar"/>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仿宋"/>
                <w:sz w:val="24"/>
                <w:szCs w:val="24"/>
                <w:lang w:bidi="ar"/>
              </w:rPr>
              <w:t xml:space="preserve">委办局用户端提供管理用户诉求信息检索、浏览、接收、分配、回复提交以及统计分析功能。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3"/>
            <w:shd w:val="clear" w:color="auto" w:fill="ffffff"/>
            <w:tcW w:w="348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lang w:bidi="ar"/>
              </w:rPr>
              <w:t xml:space="preserve">信创化改造</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按照国产化及信创化要求，对平台进行信创化改造。</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锡新通基础应用支撑系统</w:t>
            </w:r>
            <w:r/>
          </w:p>
        </w:tc>
        <w:tc>
          <w:tcPr>
            <w:shd w:val="clear" w:color="auto" w:fill="ffffff"/>
            <w:tcW w:w="1520"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锡新通应用支撑系统</w:t>
            </w:r>
            <w:r/>
          </w:p>
        </w:tc>
        <w:tc>
          <w:tcPr>
            <w:gridSpan w:val="2"/>
            <w:shd w:val="clear" w:color="auto" w:fill="ffffff"/>
            <w:tcW w:w="1962"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统一身份认证</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单点登录：用户通过身份认证子系统，实现单点登录，支持微信、灵锡、苏服办扫码登录。</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系统漫游：用户通过身份认证子系统，实现系统漫游功能和访问控制。</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信息安全：支持加密传输，防止口令窃取、窜改，防止重放攻击，加强信息安全，实现信息保密性和用户行为的不可抵赖性。</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统一用户管理 </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升级改造统一管理端用户管理，系统按照企业用户、个人用户、组织机构用户、局委办用户、系统用户5种不同类型用户进行完善提升。</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统一权限管理 </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功能权限：实现各功能模块操作权限管理。</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数据权限：实现字段级数据可见性控制管理。</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流程权限：实现节点级办理权限配置管理。</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流程引擎 </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可视化流程设计：提供拖拽式流程建模工具（BPMN 2.0标准），支持复杂流程模式（会签/或签/加签/退回）以及子流程嵌套与调用等功能。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智能流程执行:提供动态路由决策（基于表单数据/业务规则）、自动节点分配（角色/部门/特定人员）等功能。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流程监控与优化:提供实时流程拓扑图展示、流程瓶颈分析（耗时节点识别）等功能。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表单引擎 </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可视化表单设计器：提供拖拽式界面设计工具，支持30+种表单控件（输入框、下拉框、日期选择器等），支持表单布局自定义（栅格布局、Tab页签、折叠面板等），实时预览功能，所见即所得。</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动态表单配置：提供表单条件显示逻辑、联动逻辑、计算公式等功能。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多端适配能力：自动生成PC端和移动端适配的表单界面，支持H5和小程序表单嵌入等。</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业务流程集成：与工作流引擎深度集成，支持表单数据驱动流程。</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统一消息服务 </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提供消息推送、消息模版管理、消息可靠投资保障、智能消息处理等功能。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日志管理 </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主要包括日志收集、存储、分析和处理，旨在帮助维护系统运行状况、确保安全性和获取运营智能。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信创化改造</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按照国产化及信创化要求，对平台进行信创化改造。</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现代产业发展资金申报和服务系统</w:t>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企业信息管理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提供企业注册与认证、企业信息维护等功能，企业信息包括基本信息、人员信息、财税信息、知识产权信息、产品信息、政策资助信息等各维度信息。</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个人信息管理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提供个人注册与认证、个人信息维护、个人画像等功能。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常用文件管理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提供企业用户和个人用户常用文件管理功能，包括文件分类与目录管理、文件管理、文件搜索、文件预览、文件权限管理、文件修改记录、文件下载及导出等功能。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政策兑现办理指南</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提供政策兑现申报办理指南相关信息维护功能。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政策事项管理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提供政策事项管理、政策事项分类与标签管理、表单管理等功能。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申报管理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提供用户申报功能，包括申报、进度查询、智能填表、材料补充、自动纠错、申报结果通知等功能。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审批管理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审批权限管理：根据不同角色的审批权限，设置系统的访问控制和数据权限。</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流程管理：支持多级审核，提供配置和管理审批流程功能，包括指定审批人员、设定审批环节、定义审批顺序等。</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审批意见：审批人员可以在系统中填写审批意见，包括建议改进、补充材料要求等。</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审批进度查询：提供查询功能，让企业能够实时了解申请的审批进度和当前所处环节。</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审批结果通知：系统可以自动向企业发送审批结果通知。</w:t>
            </w:r>
            <w:r/>
          </w:p>
        </w:tc>
      </w:tr>
      <w:tr>
        <w:trPr>
          <w:jc w:val="center"/>
        </w:trPr>
        <w:tc>
          <w:tcPr>
            <w:shd w:val="clear" w:color="auto" w:fill="ffffff"/>
            <w:tcW w:w="712" w:type="dxa"/>
            <w:vAlign w:val="center"/>
            <w:textDirection w:val="lrTb"/>
            <w:noWrap/>
          </w:tcPr>
          <w:p>
            <w:pPr>
              <w:pStyle w:val="975"/>
              <w:numPr>
                <w:ilvl w:val="0"/>
                <w:numId w:val="15"/>
              </w:num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审批记录：对每一次申请审批过程的记录进行管理，包括申请人信息、审批人信息、审核意见、审批时间等。</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统计分析报表：对审批数据进行统计和分析，生成各类报表和图表，包括审批通过率、审批耗时、审批环节效率等指标。</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综合查询</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提供政策查询及申报记录查询功能。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统计分析</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提供申报数据分析、资金使用分析、政策效果分析及自定义报表等功能。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流程管理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提供业务流程统一管理，流程查看等功能。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申报验证参数管理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提供验证规则配置、参数管理、异常处理等功能。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智能化交互功能</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提供根据用户角色展示个性化申报界面及智能化流程指引功能。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消息管理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提供申报过程系统通知和站内信功能。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信创化改造</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按照国产化及信创化要求，对平台进行信创化改造。</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3"/>
            <w:shd w:val="clear" w:color="auto" w:fill="ffffff"/>
            <w:tcW w:w="348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lang w:bidi="ar"/>
              </w:rPr>
              <w:t xml:space="preserve">AI助手</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利用AI大模型的自然语言处理、知识图谱构建和智能推理能力与实时学习能力，实现在自然交互环境中为用户快速解决问题，包括智能问答、精准推送、业务导航等核心功能。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政策申报和兑现系统</w:t>
            </w:r>
            <w:r/>
          </w:p>
        </w:tc>
        <w:tc>
          <w:tcPr>
            <w:shd w:val="clear" w:color="auto" w:fill="ffffff"/>
            <w:tcW w:w="1520"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集成电路申报（升级）</w:t>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入库申报</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根据最新政策及区内集成电路设计、装备、材料、封装、测试企业相关条件对所有入库申报表单进行调整。</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预申报管理</w:t>
            </w:r>
            <w:r/>
          </w:p>
        </w:tc>
        <w:tc>
          <w:tcPr>
            <w:shd w:val="clear" w:color="auto" w:fill="ffffff"/>
            <w:tcW w:w="4450"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根据最新的政策要求，对所有申报子模块表单内容调整、规范性调整、申报审核流程优化调整、后台数据统计、数据整理及数据导出等环节升级改造，涉及到企业申报、局委办审批、流程管理、汇总所有模块，改造后需要兼容老数据。</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正式申报管理</w:t>
            </w:r>
            <w:r/>
          </w:p>
        </w:tc>
        <w:tc>
          <w:tcPr>
            <w:shd w:val="clear" w:color="auto" w:fill="ffffff"/>
            <w:tcW w:w="445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信创化改造</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按照国产化及信创化要求，对平台进行信创化改造。</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新一代信息技术申报（升级）</w:t>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预申报管理</w:t>
            </w:r>
            <w:r/>
          </w:p>
        </w:tc>
        <w:tc>
          <w:tcPr>
            <w:shd w:val="clear" w:color="auto" w:fill="ffffff"/>
            <w:tcW w:w="4450"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根据最新的政策要求，对所有申报子模块表单内容调整、规范性调整、申报审核流程优化调整、后台数据统计、数据整理及数据导出等环节升级改造，涉及到企业申报、局委办审批、流程管理、汇总所有模块，改造后需要兼容老数据。</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正式申报管理</w:t>
            </w:r>
            <w:r/>
          </w:p>
        </w:tc>
        <w:tc>
          <w:tcPr>
            <w:shd w:val="clear" w:color="auto" w:fill="ffffff"/>
            <w:tcW w:w="445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信创化改造</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按照国产化及信创化要求，对平台进行信创化改造。</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科技创新基金兑现（升级）</w:t>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“一事一议”项目补贴类申报</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新增包括 1-10-1 贷款贴息-协议兑现、 1-10-2 房租补贴-协议兑现、 1-10-3 公寓补贴-协议兑现、 1-10-4 高级人才奖励-协议兑现、 1-10-5 科技企业规模补贴-协议兑现、 1-10-6 协议兑现等子申报。</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领军人才项目支持类申报</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新增包括 2-2-0 </w:t>
            </w:r>
            <w:r>
              <w:rPr>
                <w:rFonts w:hint="eastAsia" w:ascii="宋体" w:hAnsi="宋体" w:eastAsia="宋体" w:cs="宋体"/>
                <w:sz w:val="24"/>
                <w:szCs w:val="24"/>
                <w:lang w:bidi="ar"/>
              </w:rPr>
              <w:t xml:space="preserve">领军人才项目绩效评估材料、 2-2-1-1 启动资金补贴（首期资金）-领军人才创业、 2-2-1.2 风投奖励-领军人才创业、 2-2-1.3 房租补贴（指标考核通过）-领军人才创业、 2-2-1.4 贷款贴息-领军人才创业、 2-2-1.5 启动资金补贴（分年度资金）-领军人才创业、 2-2-1.6 房租补贴（现场检查通过）-领军人才创业、 2-2-2-1 启动资金补贴(首期资金)-领军人才创新、 2-2-2.2 贷款贴息-领军人才创新、 2-2-2.3 启动资金补贴(分年度资金)-领军人才创新等子申报。</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外专政策兑现类申报</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新增包括 10-1-1 外籍人才友谊奖奖励、 10-1-3 外国专家工作室补贴、 10-1-4 引进外国高端人才（A类人才）等子申报。</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信创化改造</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按照国产化及信创化要求，对平台进行信创化改造。</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生物医药申报（升级）</w:t>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生物医药企业入库申报</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调整生物医药企业入库申报内容。</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生物医药企业预申报</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升级A2-1获二、三类医疗器械产品注册证补贴、A2-2获二、三类医疗器械产品注册证补贴模块，新增A2-3获二、三类医疗器械产品注册证补贴。</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生物医药企业正式申报</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升级A2-1获二、三类医疗器械产品注册证补贴、A2-2获二、三类医疗器械产品注册证补贴模块，新增A2-3获二、三类医疗器械产品注册证补贴。</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企业数据更新</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企业在申报通过后，必须要在接下来的三年，每年需要定期更新申报数据。</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信创化改造</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按照国产化及信创化要求，对平台进行信创化改造。</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新招引（升级）</w:t>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普通科技企业入库申报</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提供普通科技企业入库申报和审批功能。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符合（人才、高企）培育申报</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提供符合（人才、高企）培育申报和审批功能。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警报清单管理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提供对重复提交的申报数据进行仲裁功能。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信创化改造</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按照国产化及信创化要求，对平台进行信创化改造。</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科技领军人才申报</w:t>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企业入库管理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提供创新领军人才、创新领军人才团队、创业领军人才、创业领军人才团队类型企业，入库申报、申报审批、入库汇总等功能。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企业协议管理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提供从填报内容中抓取填报信息并智能填充到协议模版中功能。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领军人才申报</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创新领军人才申报和审批管理。</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创新领军人才团队申报和审批管理。</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创业领军人才申报和审批管理。</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创业领军人才团队申报和审批管理。</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领军人才资金申请管理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提供领军人才首期资金申请管理。</w:t>
            </w:r>
            <w:r/>
          </w:p>
        </w:tc>
      </w:tr>
      <w:tr>
        <w:trPr>
          <w:jc w:val="center"/>
          <w:trHeight w:val="542"/>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领军人才资金审批管理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年度资金申请管理功能，包括申报、自查、审核、汇总等功能。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信创化改造</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按照国产化及信创化要求，对平台进行信创化改造。</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高新技术企业入库申报</w:t>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目标企业清单管理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提供目标企业清单导入、导出、新增、修改、查询、删除等功能。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企业入库申报</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提供申报、审批及汇总等功能。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入库信息更新</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提供入库企业定期更新入库备案信息、消息提醒等功能。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企业出库管理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提供出库申请、出库审核及出库汇总等功能。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信创化改造</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按照国产化及信创化要求，对平台进行信创化改造。</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飞凤人才申报</w:t>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企业人才数据库</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升级优化申报企业人才数据库，实现人才学历、生源地、就业地、专业、企业类型、行业流向和主导产业等数据信息的分析利用。</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一事一议入库申报</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企业根据实际情况，一年一次，发起“一事一议”申报，选择协议企业类型信息，下载承诺书，并上传相关承诺书，提交一事一议协议。只有入库的企业才能进行人才政策申报。</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薪酬补贴</w:t>
            </w:r>
            <w:r/>
          </w:p>
        </w:tc>
        <w:tc>
          <w:tcPr>
            <w:shd w:val="clear" w:color="auto" w:fill="ffffff"/>
            <w:tcW w:w="4450"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根据最新的人才政策，对涉及到的相关人才申报子模块进行升级，涉及到22条人才政策申报子模块申报表调整、申报条件验证规则调整、数据导出、新吴区首次就业数据获取、审核规则调整等。</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购房补贴</w:t>
            </w:r>
            <w:r/>
          </w:p>
        </w:tc>
        <w:tc>
          <w:tcPr>
            <w:shd w:val="clear" w:color="auto" w:fill="ffffff"/>
            <w:tcW w:w="445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“三带”乡土人才奖励</w:t>
            </w:r>
            <w:r/>
          </w:p>
        </w:tc>
        <w:tc>
          <w:tcPr>
            <w:shd w:val="clear" w:color="auto" w:fill="ffffff"/>
            <w:tcW w:w="445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乡土人才技能大赛资助</w:t>
            </w:r>
            <w:r/>
          </w:p>
        </w:tc>
        <w:tc>
          <w:tcPr>
            <w:shd w:val="clear" w:color="auto" w:fill="ffffff"/>
            <w:tcW w:w="445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博士后科研工作站建站补贴</w:t>
            </w:r>
            <w:r/>
          </w:p>
        </w:tc>
        <w:tc>
          <w:tcPr>
            <w:shd w:val="clear" w:color="auto" w:fill="ffffff"/>
            <w:tcW w:w="445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博士后进站补贴</w:t>
            </w:r>
            <w:r/>
          </w:p>
        </w:tc>
        <w:tc>
          <w:tcPr>
            <w:shd w:val="clear" w:color="auto" w:fill="ffffff"/>
            <w:tcW w:w="445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博士后在站生活补贴</w:t>
            </w:r>
            <w:r/>
          </w:p>
        </w:tc>
        <w:tc>
          <w:tcPr>
            <w:shd w:val="clear" w:color="auto" w:fill="ffffff"/>
            <w:tcW w:w="445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出站博士后安家补贴</w:t>
            </w:r>
            <w:r/>
          </w:p>
        </w:tc>
        <w:tc>
          <w:tcPr>
            <w:shd w:val="clear" w:color="auto" w:fill="ffffff"/>
            <w:tcW w:w="445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博士后科研工作站奖励性补贴</w:t>
            </w:r>
            <w:r/>
          </w:p>
        </w:tc>
        <w:tc>
          <w:tcPr>
            <w:shd w:val="clear" w:color="auto" w:fill="ffffff"/>
            <w:tcW w:w="445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高层次人才租房补贴</w:t>
            </w:r>
            <w:r/>
          </w:p>
        </w:tc>
        <w:tc>
          <w:tcPr>
            <w:shd w:val="clear" w:color="auto" w:fill="ffffff"/>
            <w:tcW w:w="445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奖学金补贴</w:t>
            </w:r>
            <w:r/>
          </w:p>
        </w:tc>
        <w:tc>
          <w:tcPr>
            <w:shd w:val="clear" w:color="auto" w:fill="ffffff"/>
            <w:tcW w:w="445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高校储备人才录用补贴</w:t>
            </w:r>
            <w:r/>
          </w:p>
        </w:tc>
        <w:tc>
          <w:tcPr>
            <w:shd w:val="clear" w:color="auto" w:fill="ffffff"/>
            <w:tcW w:w="445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高校储备人才招聘补贴</w:t>
            </w:r>
            <w:r/>
          </w:p>
        </w:tc>
        <w:tc>
          <w:tcPr>
            <w:shd w:val="clear" w:color="auto" w:fill="ffffff"/>
            <w:tcW w:w="445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猎头补贴</w:t>
            </w:r>
            <w:r/>
          </w:p>
        </w:tc>
        <w:tc>
          <w:tcPr>
            <w:shd w:val="clear" w:color="auto" w:fill="ffffff"/>
            <w:tcW w:w="445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储备青年人才招聘补贴</w:t>
            </w:r>
            <w:r/>
          </w:p>
        </w:tc>
        <w:tc>
          <w:tcPr>
            <w:shd w:val="clear" w:color="auto" w:fill="ffffff"/>
            <w:tcW w:w="445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建立“无锡高新区实习基地”</w:t>
            </w:r>
            <w:r/>
          </w:p>
        </w:tc>
        <w:tc>
          <w:tcPr>
            <w:shd w:val="clear" w:color="auto" w:fill="ffffff"/>
            <w:tcW w:w="445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青年人才实习留用补贴</w:t>
            </w:r>
            <w:r/>
          </w:p>
        </w:tc>
        <w:tc>
          <w:tcPr>
            <w:shd w:val="clear" w:color="auto" w:fill="ffffff"/>
            <w:tcW w:w="445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青年人才创业运营支持</w:t>
            </w:r>
            <w:r/>
          </w:p>
        </w:tc>
        <w:tc>
          <w:tcPr>
            <w:shd w:val="clear" w:color="auto" w:fill="ffffff"/>
            <w:tcW w:w="445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青年人才创业项目奖励</w:t>
            </w:r>
            <w:r/>
          </w:p>
        </w:tc>
        <w:tc>
          <w:tcPr>
            <w:shd w:val="clear" w:color="auto" w:fill="ffffff"/>
            <w:tcW w:w="445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青年人才生活补贴</w:t>
            </w:r>
            <w:r/>
          </w:p>
        </w:tc>
        <w:tc>
          <w:tcPr>
            <w:shd w:val="clear" w:color="auto" w:fill="ffffff"/>
            <w:tcW w:w="445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青年人才购房补贴</w:t>
            </w:r>
            <w:r/>
          </w:p>
        </w:tc>
        <w:tc>
          <w:tcPr>
            <w:shd w:val="clear" w:color="auto" w:fill="ffffff"/>
            <w:tcW w:w="445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92"/>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“无锡高新区”奖学金补贴</w:t>
            </w:r>
            <w:r/>
          </w:p>
        </w:tc>
        <w:tc>
          <w:tcPr>
            <w:shd w:val="clear" w:color="auto" w:fill="ffffff"/>
            <w:tcW w:w="445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博士后科研工作</w:t>
            </w:r>
            <w:r/>
          </w:p>
        </w:tc>
        <w:tc>
          <w:tcPr>
            <w:shd w:val="clear" w:color="auto" w:fill="ffffff"/>
            <w:tcW w:w="4450"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最新人才政策修订，新增4个新人才政策，需要新开发4个申报子模块，保障人才政策兑现工作平稳顺畅开展。</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博士后创新创业</w:t>
            </w:r>
            <w:r/>
          </w:p>
        </w:tc>
        <w:tc>
          <w:tcPr>
            <w:shd w:val="clear" w:color="auto" w:fill="ffffff"/>
            <w:tcW w:w="445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青年人才求职交通补贴</w:t>
            </w:r>
            <w:r/>
          </w:p>
        </w:tc>
        <w:tc>
          <w:tcPr>
            <w:shd w:val="clear" w:color="auto" w:fill="ffffff"/>
            <w:tcW w:w="445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青年人才驿站保障</w:t>
            </w:r>
            <w:r/>
          </w:p>
        </w:tc>
        <w:tc>
          <w:tcPr>
            <w:shd w:val="clear" w:color="auto" w:fill="ffffff"/>
            <w:tcW w:w="445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高技能领军人才引育奖励-领军人才认定奖励</w:t>
            </w:r>
            <w:r/>
          </w:p>
        </w:tc>
        <w:tc>
          <w:tcPr>
            <w:shd w:val="clear" w:color="auto" w:fill="ffffff"/>
            <w:tcW w:w="4450"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根据最新人才政策，新增高技能人才引进、技能自主认定、技能竞赛、企业新型学徒制等类别共21个申报子模块。</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高技能人才引进奖励-生活补贴</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高技能人才引进奖励-购房补贴</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高技能人才引进奖励-安居补贴</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技能自主培育奖励-企业开班奖励（学徒、订单等）</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技能自主培育奖励-企业重点项目奖励</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技能自主培育奖励-培训机构社会化培训奖励</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技能自主培育奖励-培训机构校企合作培训奖励</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技能自主认定奖励-企业首次备案奖励</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技能自主认定奖励-企业特级技师、首席技师评聘奖励</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技能自主认定奖励-企业认定成效奖励</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技能自主认定奖励-个人技能提升奖励</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技能自主认定奖励-个人职业发展贯通奖励</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技术资源开发奖励-企业技术资源开发奖励</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技能竞赛奖励-个人竞赛奖励</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技能竞赛奖励-企业推荐奖励</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技能竞赛承办资助-竞赛承办奖励</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企业新型学徒制-新职业（工种）培训奖励-新职业（工种）培训奖励</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企业新型学徒制-海外技能人才补贴-海外技能人才补贴</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企业新型学徒制-导师补贴</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企业新型学徒制-学徒补贴</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近5年引进青年人才情况分析</w:t>
            </w:r>
            <w:r/>
          </w:p>
        </w:tc>
        <w:tc>
          <w:tcPr>
            <w:shd w:val="clear" w:color="auto" w:fill="ffffff"/>
            <w:tcW w:w="4450"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可以根据引进人员的学历、生源地、就业地、专业、企业类型、行业流向和主导产业等等不同信息，新增统计分析模块实现综合数据统计、对比分析、动态生成饼状图等各类图表，实现数据的立体显示。</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近5年引进应届毕业生情况分析</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年度青年人才就业分布分析</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年度应届毕业生学历分布分析</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年度应届毕业生生源分布分析</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年度应届毕业生就业地分布分析</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年度制造业企业引进应届毕业生情况分析</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年度高新技术企业引进应届毕业生情况分析</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年度生物医药重点企业引进应届毕业生情况分析</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年度物联网重点企业引进应届毕业生情况分析</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年度生物医药/物联网/集成电路企业引进应届毕业生情况分析</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其他自定义统计分析图表</w:t>
            </w:r>
            <w:r/>
          </w:p>
        </w:tc>
        <w:tc>
          <w:tcPr>
            <w:shd w:val="clear" w:color="auto" w:fill="ffffff"/>
            <w:tcW w:w="4450"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信创化改造</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按照国产化及信创化要求，对平台进行信创化改造。</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惠企政策服务系统</w:t>
            </w:r>
            <w:r/>
          </w:p>
        </w:tc>
        <w:tc>
          <w:tcPr>
            <w:shd w:val="clear" w:color="auto" w:fill="ffffff"/>
            <w:tcW w:w="1520"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企业数据采集填报</w:t>
            </w:r>
            <w:r/>
          </w:p>
        </w:tc>
        <w:tc>
          <w:tcPr>
            <w:gridSpan w:val="2"/>
            <w:shd w:val="clear" w:color="auto" w:fill="ffffff"/>
            <w:tcW w:w="1962"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企业数据填报管理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提供企业填报各维度数据及审核功能，包括企业基本信息、人员信息、财税信息、产品信息、知识产权信息等。</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数据维护预定义：后台可以对各类型数据预先设定是否必须管理、以及数据更新可以根据数据类型的更新频率，定期维护并提交相关数据。</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数据审核和认证：平台应该提供审核和认证机制。</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数据导出与汇总：管理员按照预先规划的数据模板，导出企业用户填报数据明细。</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数据填报分类管理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数据填报预先设定好数据分类管理，按照不同的数据维度设定不同的分类。</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提醒和警示管理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系统可以维护企业数据填报提醒和警示规则，系统可以自动执行已定义规则，主动提醒用户及时维护缺失的文件及数据，并引导用户进行数据维护。</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信创化改造</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按照国产化及信创化要求，对平台进行信创化改造。</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政策计算器</w:t>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政策首页</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政策首页是整个政策计算器的门户首页和信息展示主界面，以图文列表形式汇总展示管理端发布的国家、省、市、区各类型政策以及政策相关宣传横幅。</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政策导览</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政策一览：提供按照政策产业类别、政策级别、政策分类、关键字等筛选符合条件的政策并列表显示筛选结果。</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政策检索：提供模糊查询功能以及根据政策级别、领域、支持方式、政策分类、适用对象等条件组合检索符合条件的政策等功能。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政策产品：按照政策产品所属的大类、小类展示各政策产品，用户可以根据类别进行政策产品筛选，并列表展示符合条件的政策产品。</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政策图解：对企业用户展示政策图解内容，方便企业快速阅读、理解政策内容。</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政策收藏：以对关注的政策进行添加收藏操作，政策将收藏在个人中心我的收藏中。</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政策计算器</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智能匹配：系统分别计算政策各指标与企业信息的匹配情况。</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智能匹配记录：企业用户可以在智能匹配记录模块中查询最近10次主动智能匹配的历史记录。</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企业信息完善：在智能匹配过程中，对于企业信息不全时，系统会提醒企业用户完善企业信息。</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政策申报：企业用户可以申报的政策按照到期时间进行倒排，将目前还在申报期的政策及匹配情况统一列表展示。</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政策管理：提供国家、省、市、区各条线政策原始内容维护管理功能。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政策产品管理：提供维护拆解出各政策产品及政策产品对应的政策指标和指标条件信息功能。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政策指标库管理：维护政策匹配时需要用到的政策指标项信息。</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政策解读管理：提供政策解读信息维护和管理功能。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政策图解管理：提供政策图文信息维护和管理功能。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政策推送管理：后台人员可以对政策进行手动推送，系统也可以智能将政策推给用户。</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政策下架管理：政策条目可设置有效期，到期后自动下架，也支持手动下架。</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增值服务系统</w:t>
            </w:r>
            <w:r/>
          </w:p>
        </w:tc>
        <w:tc>
          <w:tcPr>
            <w:shd w:val="clear" w:color="auto" w:fill="ffffff"/>
            <w:tcW w:w="1520"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工业企业绩效评价</w:t>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指标管理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系统通过指标体系设定、分数设定、分类评定、结果发布等，实现对全区工业企业资源利用评分计算、综合评价，对工业企业实行分类管理。</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评价管理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提供工业企业绩效评价管理功能，评价指标和权重按照规模以上工业企业与规模以下工业企业分别设置。</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绩效大屏</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通过地图、图表等展示方式对企业绩效数据进行板块、行业、规上企业等维度的全局分析，包括大屏首页、规上分析、版块分析、行业分析、宗地分析。</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信创化改造</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按照国产化及信创化要求，对平台进行信创化改造。</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科技年鉴管理</w:t>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科技产出与科技投入管理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提供历年高新区企业科技产出与科技投入数据管理功能，包括导入、新增、修改、查询、审核及汇总等功能。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科技企业认定信息管理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提供各类科技企业认定数据的导入、新增、修改、查询、审核及汇总等功能。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创新平台信息管理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提供各类研发机构和公共技术服务平台等创新平台信息数据的导入、新增、修改、查询、审核及汇总等功能。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载体信息管理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提供科技企业孵化器与特色产业基地等载体信息数据的导入、新增、修改、查询、审核及汇总等功能。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科技项目信息管理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提供高新区各类科技项目拨款及对上争取资金项目信息数据的导入、新增、修改、查询、审核及汇总等功能。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企业梯队信息管理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提供高新区科技企业梯队信息数据的导入、新增、修改、查询、审核及汇总等功能。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科技人才信息管理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提供市级“太湖人才计划”创新创业领军人才/团队、区级科技领军人才创业项目等人才信息数据的导入、新增、修改、查询、审核及汇总等功能。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科技进步奖信息管理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提供历年科技进步奖信息数据的导入、新增、修改、查询、审核及汇总等功能。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科技年鉴文件管理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提供科技年鉴生成、浏览和导出功能，年鉴可在平台生成电子版（版式）。</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企业创新积分</w:t>
            </w:r>
            <w:r/>
          </w:p>
        </w:tc>
        <w:tc>
          <w:tcPr>
            <w:gridSpan w:val="2"/>
            <w:shd w:val="clear" w:color="auto" w:fill="ffffff"/>
            <w:tcW w:w="1962"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积分管理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指标定义管理：维护企业积分的积分依据等内容。</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企业分类管理：维护企业分类。</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企业积分导入：企业积分可由高新区相关部门将获得的企业数据通过标准表格导入。</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企业积分计算：根据导入的企业指标数据，系统自动计算该企业积分。</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企业积分状态查询处理：查询并显示企业积分处理工作流程状态，显示目前企业还有多少待确认、待审核和有疑问的计分数据项。</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企业待办事项：显示企业尚未确认的</w:t>
            </w:r>
            <w:bookmarkStart w:id="215" w:name="_GoBack"/>
            <w:r>
              <w:rPr>
                <w:rFonts w:hint="eastAsia" w:ascii="宋体" w:hAnsi="宋体" w:eastAsia="宋体" w:cs="宋体"/>
                <w:sz w:val="24"/>
                <w:szCs w:val="24"/>
                <w:lang w:bidi="ar"/>
              </w:rPr>
              <w:t xml:space="preserve">计分数据</w:t>
            </w:r>
            <w:bookmarkEnd w:id="215"/>
            <w:r>
              <w:rPr>
                <w:rFonts w:hint="eastAsia" w:ascii="宋体" w:hAnsi="宋体" w:eastAsia="宋体" w:cs="宋体"/>
                <w:sz w:val="24"/>
                <w:szCs w:val="24"/>
                <w:lang w:bidi="ar"/>
              </w:rPr>
              <w:t xml:space="preserve">项数量，提示企业有待处理任务。</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积分展示</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根据用户类型提供积分展示、积分排名及分析、积分查询、积分历史查询、积分导出等功能。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后台管理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提供用户、角色、菜单、权限等基础管理功能。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信创化改造</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按照国产化及信创化要求，对平台进行信创化改造。</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入境特殊物品联合监管</w:t>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企业白名单管理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提供白名单申报管理、白名单审批管理等功能。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特殊物品白名单管理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提供入境物品申报管理、入境物品审批管理等功能。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定期评价管理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提供企业白名单定期评价管理及物品白名单定期评价管理功能。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风险评估管理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提供专家风险评估功能。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通关管理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通关申报管理：提供企业对已通过审核的白名单物品进行分批申请通关。</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通关审批管理：提供对企业提交的分批通关申请进行审核的功能，包括形式审查及联合监管单位确认，审核时系统自动对数重量、有效期等进行预警提示；并与后续管理联动。</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台账管理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台账管理：提供企业对特殊物品使用台账进行登记功能，包括手工更新台账、表格导入及证明材料的上传,针对一个月内有信息变动的企业给予提醒。企业可以查询详细的台账记录及管理端的核查记录。</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核查管理：提供局委办管理人员根据权限进行全部企业台账的明细查看、导出、下载、追踪记录查看，支持增加核查记录包括核查记录的查询、修改等功能。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风险监测管理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提供上传相关病原体检测记录功能，包括手动录入、模版导入、查询、修改、浏览等功能。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restart"/>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后续管理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处罚信息录入管理：提供维护及管理相关处罚信息功能。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违法违规信息整改管理：提供违法违规信息可以整改并确认，与通关管理模块关联等功能。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信息提醒：提供通过多种途径向管理部门发送提醒信息等功能。</w:t>
            </w:r>
            <w:r/>
          </w:p>
        </w:tc>
      </w:tr>
      <w:tr>
        <w:trPr>
          <w:jc w:val="center"/>
        </w:trPr>
        <w:tc>
          <w:tcPr>
            <w:shd w:val="clear" w:color="auto" w:fill="ffffff"/>
            <w:tcW w:w="712" w:type="dxa"/>
            <w:vAlign w:val="center"/>
            <w:textDirection w:val="lrTb"/>
            <w:noWrap/>
          </w:tcPr>
          <w:p>
            <w:pPr>
              <w:pStyle w:val="975"/>
              <w:numPr>
                <w:ilvl w:val="0"/>
                <w:numId w:val="15"/>
              </w:num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26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20" w:type="dxa"/>
            <w:vAlign w:val="center"/>
            <w:vMerge w:val="continue"/>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ffffff"/>
            <w:tcW w:w="1962"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成效管理</w:t>
            </w:r>
            <w:r/>
          </w:p>
        </w:tc>
        <w:tc>
          <w:tcPr>
            <w:shd w:val="clear" w:color="auto" w:fill="ffffff"/>
            <w:tcW w:w="44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提供对企业申请数、产品类别、审批数、实际进口数、项目完成数、成果转换数等分析并以图表形式展示，逐层穿透等功能。</w:t>
            </w:r>
            <w:r/>
          </w:p>
        </w:tc>
      </w:tr>
    </w:tbl>
    <w:p>
      <w:pPr>
        <w:pStyle w:val="883"/>
        <w:numPr>
          <w:ilvl w:val="0"/>
          <w:numId w:val="5"/>
        </w:numPr>
        <w:ind w:left="0"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项目技术要求</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中各项建设必须符合国家和地方相关标准规范，系统建设必须遵循国家电子政务信息安全保障体系要求，按照国家法规实施安全等级保护，加强系统信息安全管理，符合新吴城运技术要求，按照标准实现层级联动服务接口及应用。所用通信协议和通信接口等遵循当前最新信息行业标准。</w:t>
      </w:r>
      <w:r/>
    </w:p>
    <w:p>
      <w:pPr>
        <w:numPr>
          <w:ilvl w:val="1"/>
          <w:numId w:val="16"/>
        </w:numPr>
        <w:ind w:left="0" w:firstLine="482"/>
        <w:spacing w:line="500" w:lineRule="exact"/>
        <w:tabs>
          <w:tab w:val="left" w:pos="420" w:leader="none"/>
        </w:tabs>
        <w:rPr>
          <w:rFonts w:hint="eastAsia" w:ascii="宋体" w:hAnsi="宋体" w:eastAsia="宋体" w:cs="宋体"/>
          <w:b/>
          <w:sz w:val="24"/>
          <w:szCs w:val="24"/>
        </w:rPr>
        <w:outlineLvl w:val="2"/>
      </w:pPr>
      <w:r>
        <w:rPr>
          <w:rFonts w:hint="eastAsia" w:ascii="宋体" w:hAnsi="宋体" w:eastAsia="宋体" w:cs="宋体"/>
          <w:b/>
          <w:sz w:val="24"/>
          <w:szCs w:val="24"/>
        </w:rPr>
        <w:t xml:space="preserve">功能扩展性要求</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本系统将与多网络及平台的业务系统及数据库相连接，要采用开放性、标准化的设备、软件及信息资源；系统对于未来可能增添的新的系统、新的数据库、新的功能、新的用户都要留有接口，并符合电子政务相关技术标准，系统可以随形势的发展而不断成长扩大。</w:t>
      </w:r>
      <w:r/>
    </w:p>
    <w:p>
      <w:pPr>
        <w:numPr>
          <w:ilvl w:val="1"/>
          <w:numId w:val="16"/>
        </w:numPr>
        <w:ind w:left="0" w:firstLine="482"/>
        <w:spacing w:line="500" w:lineRule="exact"/>
        <w:tabs>
          <w:tab w:val="left" w:pos="420" w:leader="none"/>
        </w:tabs>
        <w:rPr>
          <w:rFonts w:hint="eastAsia" w:ascii="宋体" w:hAnsi="宋体" w:eastAsia="宋体" w:cs="宋体"/>
          <w:b/>
          <w:sz w:val="24"/>
          <w:szCs w:val="24"/>
        </w:rPr>
        <w:outlineLvl w:val="2"/>
      </w:pPr>
      <w:r>
        <w:rPr>
          <w:rFonts w:hint="eastAsia" w:ascii="宋体" w:hAnsi="宋体" w:eastAsia="宋体" w:cs="宋体"/>
          <w:b/>
          <w:sz w:val="24"/>
          <w:szCs w:val="24"/>
        </w:rPr>
        <w:t xml:space="preserve">接口开放性要求</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项目系统应提供清晰、标准的接口规范，以便与其他系统进行数据交换和集成。系统应支持多种接口协议和格式，如API、Web服务、数据库连接等，以满足不同系统的接入需求。同时，接口应具备良好的安全性和稳定性，确保数据在传输和交换过程中的完整性和保密性。</w:t>
      </w:r>
      <w:r/>
    </w:p>
    <w:p>
      <w:pPr>
        <w:numPr>
          <w:ilvl w:val="1"/>
          <w:numId w:val="16"/>
        </w:numPr>
        <w:ind w:left="0" w:firstLine="482"/>
        <w:spacing w:line="500" w:lineRule="exact"/>
        <w:tabs>
          <w:tab w:val="left" w:pos="420" w:leader="none"/>
        </w:tabs>
        <w:rPr>
          <w:rFonts w:hint="eastAsia" w:ascii="宋体" w:hAnsi="宋体" w:eastAsia="宋体" w:cs="宋体"/>
          <w:b/>
          <w:sz w:val="24"/>
          <w:szCs w:val="24"/>
        </w:rPr>
        <w:outlineLvl w:val="2"/>
      </w:pPr>
      <w:r>
        <w:rPr>
          <w:rFonts w:hint="eastAsia" w:ascii="宋体" w:hAnsi="宋体" w:eastAsia="宋体" w:cs="宋体"/>
          <w:b/>
          <w:sz w:val="24"/>
          <w:szCs w:val="24"/>
        </w:rPr>
        <w:t xml:space="preserve">数据对接和汇聚要求</w:t>
      </w:r>
      <w:r/>
    </w:p>
    <w:p>
      <w:pPr>
        <w:ind w:firstLine="480"/>
        <w:spacing w:line="480" w:lineRule="exact"/>
        <w:rPr>
          <w:rFonts w:hint="eastAsia" w:ascii="宋体" w:hAnsi="宋体" w:eastAsia="宋体" w:cs="Times New Roman"/>
          <w:sz w:val="24"/>
          <w:szCs w:val="24"/>
        </w:rPr>
      </w:pPr>
      <w:r>
        <w:rPr>
          <w:rFonts w:hint="eastAsia" w:ascii="宋体" w:hAnsi="宋体" w:eastAsia="宋体" w:cs="宋体"/>
          <w:sz w:val="24"/>
          <w:szCs w:val="24"/>
        </w:rPr>
        <w:t xml:space="preserve">在项目验收前，项目中标人需按区内数据共享规范，提供正式的、全量的数据资源清单，提出项目数据汇聚申请，并配合数据推送等对接工作，将全量数据资源推送汇聚至区城运中心。</w:t>
      </w:r>
      <w:r/>
    </w:p>
    <w:p>
      <w:pPr>
        <w:numPr>
          <w:ilvl w:val="1"/>
          <w:numId w:val="16"/>
        </w:numPr>
        <w:ind w:left="0" w:firstLine="482"/>
        <w:spacing w:line="500" w:lineRule="exact"/>
        <w:tabs>
          <w:tab w:val="left" w:pos="420" w:leader="none"/>
        </w:tabs>
        <w:rPr>
          <w:rFonts w:hint="eastAsia" w:ascii="宋体" w:hAnsi="宋体" w:eastAsia="宋体" w:cs="宋体"/>
          <w:b/>
          <w:sz w:val="24"/>
          <w:szCs w:val="24"/>
        </w:rPr>
        <w:outlineLvl w:val="2"/>
      </w:pPr>
      <w:r>
        <w:rPr>
          <w:rFonts w:hint="eastAsia" w:ascii="宋体" w:hAnsi="宋体" w:eastAsia="宋体" w:cs="宋体"/>
          <w:b/>
          <w:sz w:val="24"/>
          <w:szCs w:val="24"/>
        </w:rPr>
        <w:t xml:space="preserve">信创要求</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要求响应国家信息技术应用创新（信创）战略，确保技术方案的安全性和自主可控性。在软硬件选型时，需紧密结合国产化与信创要求，确保技术架构的先进性与合规性。</w:t>
      </w:r>
      <w:bookmarkEnd w:id="196"/>
      <w:r/>
      <w:r/>
    </w:p>
    <w:p>
      <w:pPr>
        <w:numPr>
          <w:ilvl w:val="1"/>
          <w:numId w:val="16"/>
        </w:numPr>
        <w:ind w:left="0" w:firstLine="482"/>
        <w:spacing w:line="500" w:lineRule="exact"/>
        <w:tabs>
          <w:tab w:val="left" w:pos="420" w:leader="none"/>
        </w:tabs>
        <w:rPr>
          <w:rFonts w:hint="eastAsia" w:ascii="宋体" w:hAnsi="宋体" w:eastAsia="宋体" w:cs="宋体"/>
          <w:b/>
          <w:sz w:val="24"/>
          <w:szCs w:val="24"/>
        </w:rPr>
        <w:outlineLvl w:val="2"/>
      </w:pPr>
      <w:r>
        <w:rPr>
          <w:rFonts w:hint="eastAsia" w:ascii="宋体" w:hAnsi="宋体" w:eastAsia="宋体" w:cs="宋体"/>
          <w:b/>
          <w:sz w:val="24"/>
          <w:szCs w:val="24"/>
        </w:rPr>
        <w:t xml:space="preserve">人员配置要求</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项目中标人应根据本项目要求组织一支由资深项目经理带领的经验丰富、技术能力强的项目团队，并确保项目实施全过程项目团队的稳定性，未经项目采购人同意原则上不能更换技术人员，项目团队成员变更时，须事先征得采购人的同意后，方可进行变更。</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本项目实施期间，人员配置应科学、合理、有效、应充分保证人员的数量和质量。项目实施过程中，投标人应配备符合以下条件的人员：</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 1 \* GB3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①</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项目组主要人员即项目负责人和专业技术人员（专业技术人员包括技术负责人、需求分析人员、产品设计人员、开发技术人员等），其中项目主要负责人不少于2人。在项目实施交付期内，项目组人员应相对稳定，更换人员须经采购方书面同意后方可更换。</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 2 \* GB3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②</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项目实施交付期内，如有必要采购方可以要求中标人安排项目经理、需求分析人员、产品设计人员或其他必要人员到现场临时短期驻场。</w:t>
      </w:r>
      <w:r/>
    </w:p>
    <w:p>
      <w:pPr>
        <w:ind w:firstLine="480"/>
        <w:spacing w:line="500" w:lineRule="exact"/>
        <w:rPr>
          <w:rFonts w:hint="eastAsia" w:ascii="宋体" w:hAnsi="宋体" w:eastAsia="宋体" w:cs="宋体"/>
          <w:bCs/>
          <w:sz w:val="24"/>
          <w:szCs w:val="24"/>
        </w:rPr>
      </w:pPr>
      <w:r/>
      <w:bookmarkStart w:id="197" w:name="_Hlk202529043"/>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 3 \* GB3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③</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运维期内，中标人需要安排不少于6人进行系统运维工作，对不符合要求人员采购人和需求方有权要求中标人进行更换，中标人应无条件配合。</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 4 \* GB3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④</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中标人在项目实施过程中出现资源、进度、质量协调控制不力的情况，采购人有权要求更换相关负责人，中标人必须予以配合，并确保不影响项目建设的进度和质量。</w:t>
      </w:r>
      <w:r/>
    </w:p>
    <w:p>
      <w:pPr>
        <w:numPr>
          <w:ilvl w:val="1"/>
          <w:numId w:val="16"/>
        </w:numPr>
        <w:ind w:left="0" w:firstLine="482"/>
        <w:spacing w:line="500" w:lineRule="exact"/>
        <w:tabs>
          <w:tab w:val="left" w:pos="420" w:leader="none"/>
        </w:tabs>
        <w:rPr>
          <w:rFonts w:hint="eastAsia" w:ascii="宋体" w:hAnsi="宋体" w:eastAsia="宋体" w:cs="宋体"/>
          <w:b/>
          <w:sz w:val="24"/>
          <w:szCs w:val="24"/>
        </w:rPr>
        <w:outlineLvl w:val="2"/>
      </w:pPr>
      <w:r>
        <w:rPr>
          <w:rFonts w:hint="eastAsia" w:ascii="宋体" w:hAnsi="宋体" w:eastAsia="宋体" w:cs="宋体"/>
          <w:b/>
          <w:sz w:val="24"/>
          <w:szCs w:val="24"/>
        </w:rPr>
        <w:t xml:space="preserve">政务云资源使用</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本项目试运行期间，系统需部署在政务云环境中。竣工验收前的云资源相关费用由中标人自行承担。</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项目竣工验收通过后的政务云资源相关费用由采购人承担。</w:t>
      </w:r>
      <w:r/>
    </w:p>
    <w:p>
      <w:pPr>
        <w:numPr>
          <w:ilvl w:val="1"/>
          <w:numId w:val="16"/>
        </w:numPr>
        <w:ind w:left="0" w:firstLine="482"/>
        <w:spacing w:line="500" w:lineRule="exact"/>
        <w:tabs>
          <w:tab w:val="left" w:pos="420" w:leader="none"/>
        </w:tabs>
        <w:rPr>
          <w:rFonts w:hint="eastAsia" w:ascii="宋体" w:hAnsi="宋体" w:eastAsia="宋体" w:cs="宋体"/>
          <w:b/>
          <w:sz w:val="24"/>
          <w:szCs w:val="24"/>
        </w:rPr>
        <w:outlineLvl w:val="2"/>
      </w:pPr>
      <w:r>
        <w:rPr>
          <w:rFonts w:hint="eastAsia" w:ascii="宋体" w:hAnsi="宋体" w:eastAsia="宋体" w:cs="宋体"/>
          <w:b/>
          <w:sz w:val="24"/>
          <w:szCs w:val="24"/>
        </w:rPr>
        <w:t xml:space="preserve">成果备案要求</w:t>
      </w:r>
      <w:r/>
    </w:p>
    <w:p>
      <w:pPr>
        <w:ind w:firstLine="480"/>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项目验收前，项目中标人需将系统各项材料、数据库、系统等管理账号等交予采购人备案。</w:t>
      </w:r>
      <w:bookmarkEnd w:id="197"/>
      <w:r/>
      <w:r/>
    </w:p>
    <w:p>
      <w:pPr>
        <w:numPr>
          <w:ilvl w:val="1"/>
          <w:numId w:val="16"/>
        </w:numPr>
        <w:ind w:left="0" w:firstLine="482"/>
        <w:spacing w:line="500" w:lineRule="exact"/>
        <w:tabs>
          <w:tab w:val="left" w:pos="420" w:leader="none"/>
        </w:tabs>
        <w:rPr>
          <w:rFonts w:hint="eastAsia" w:ascii="宋体" w:hAnsi="宋体" w:eastAsia="宋体" w:cstheme="minorEastAsia"/>
          <w:b/>
          <w:sz w:val="24"/>
          <w:szCs w:val="24"/>
        </w:rPr>
        <w:outlineLvl w:val="2"/>
      </w:pPr>
      <w:r>
        <w:rPr>
          <w:rFonts w:hint="eastAsia" w:ascii="宋体" w:hAnsi="宋体" w:eastAsia="宋体" w:cstheme="minorEastAsia"/>
          <w:b/>
          <w:sz w:val="24"/>
          <w:szCs w:val="24"/>
        </w:rPr>
        <w:t xml:space="preserve">项目验收要求</w:t>
      </w:r>
      <w:r/>
    </w:p>
    <w:p>
      <w:pPr>
        <w:ind w:firstLine="480"/>
        <w:spacing w:line="500" w:lineRule="exact"/>
        <w:rPr>
          <w:rFonts w:hint="eastAsia" w:ascii="宋体" w:hAnsi="宋体" w:eastAsia="宋体"/>
          <w:sz w:val="24"/>
          <w:szCs w:val="24"/>
        </w:rPr>
      </w:pPr>
      <w:r/>
      <w:bookmarkStart w:id="198" w:name="_Toc145662142"/>
      <w:r/>
      <w:bookmarkStart w:id="199" w:name="_Hlk202529341"/>
      <w:r>
        <w:rPr>
          <w:rFonts w:hint="eastAsia" w:ascii="宋体" w:hAnsi="宋体" w:eastAsia="宋体"/>
          <w:sz w:val="24"/>
          <w:szCs w:val="24"/>
        </w:rPr>
        <w:t xml:space="preserve">（1）履约验收主体</w:t>
      </w:r>
      <w:r/>
    </w:p>
    <w:p>
      <w:pPr>
        <w:ind w:firstLine="480"/>
        <w:spacing w:line="500" w:lineRule="exact"/>
        <w:rPr>
          <w:rFonts w:hint="eastAsia" w:ascii="宋体" w:hAnsi="宋体" w:eastAsia="宋体"/>
          <w:sz w:val="24"/>
          <w:szCs w:val="24"/>
        </w:rPr>
      </w:pPr>
      <w:r>
        <w:rPr>
          <w:rFonts w:hint="eastAsia" w:ascii="宋体" w:hAnsi="宋体" w:eastAsia="宋体"/>
          <w:sz w:val="24"/>
          <w:szCs w:val="24"/>
        </w:rPr>
        <w:t xml:space="preserve">初步验收：采购人</w:t>
      </w:r>
      <w:r/>
    </w:p>
    <w:p>
      <w:pPr>
        <w:ind w:firstLine="480"/>
        <w:spacing w:line="500" w:lineRule="exact"/>
        <w:rPr>
          <w:rFonts w:hint="eastAsia" w:ascii="宋体" w:hAnsi="宋体" w:eastAsia="宋体"/>
          <w:sz w:val="24"/>
          <w:szCs w:val="24"/>
        </w:rPr>
      </w:pPr>
      <w:r>
        <w:rPr>
          <w:rFonts w:hint="eastAsia" w:ascii="宋体" w:hAnsi="宋体" w:eastAsia="宋体"/>
          <w:sz w:val="24"/>
          <w:szCs w:val="24"/>
        </w:rPr>
        <w:t xml:space="preserve">档案验收：采购人</w:t>
      </w:r>
      <w:r/>
    </w:p>
    <w:p>
      <w:pPr>
        <w:ind w:firstLine="480"/>
        <w:spacing w:line="500" w:lineRule="exact"/>
        <w:rPr>
          <w:rFonts w:hint="eastAsia" w:ascii="宋体" w:hAnsi="宋体" w:eastAsia="宋体"/>
          <w:sz w:val="24"/>
          <w:szCs w:val="24"/>
        </w:rPr>
      </w:pPr>
      <w:r>
        <w:rPr>
          <w:rFonts w:hint="eastAsia" w:ascii="宋体" w:hAnsi="宋体" w:eastAsia="宋体"/>
          <w:sz w:val="24"/>
          <w:szCs w:val="24"/>
        </w:rPr>
        <w:t xml:space="preserve">竣工验收：需求单位</w:t>
      </w:r>
      <w:r/>
    </w:p>
    <w:p>
      <w:pPr>
        <w:ind w:firstLine="480"/>
        <w:spacing w:line="500" w:lineRule="exact"/>
        <w:rPr>
          <w:rFonts w:hint="eastAsia" w:ascii="宋体" w:hAnsi="宋体" w:eastAsia="宋体"/>
          <w:sz w:val="24"/>
          <w:szCs w:val="24"/>
        </w:rPr>
      </w:pPr>
      <w:r>
        <w:rPr>
          <w:rFonts w:hint="eastAsia" w:ascii="宋体" w:hAnsi="宋体" w:eastAsia="宋体"/>
          <w:sz w:val="24"/>
          <w:szCs w:val="24"/>
        </w:rPr>
        <w:t xml:space="preserve">（2）履约验收时间</w:t>
      </w:r>
      <w:r/>
    </w:p>
    <w:p>
      <w:pPr>
        <w:ind w:firstLine="480"/>
        <w:spacing w:line="500" w:lineRule="exact"/>
        <w:rPr>
          <w:rFonts w:hint="eastAsia" w:ascii="宋体" w:hAnsi="宋体" w:eastAsia="宋体"/>
          <w:sz w:val="24"/>
          <w:szCs w:val="24"/>
        </w:rPr>
      </w:pPr>
      <w:r>
        <w:rPr>
          <w:rFonts w:hint="eastAsia" w:ascii="宋体" w:hAnsi="宋体" w:eastAsia="宋体"/>
          <w:sz w:val="24"/>
          <w:szCs w:val="24"/>
        </w:rPr>
        <w:t xml:space="preserve">开始试运行：按照要求完成全部建设内容，并经采购人、需求单位核验通过</w:t>
      </w:r>
      <w:r/>
    </w:p>
    <w:p>
      <w:pPr>
        <w:ind w:firstLine="480"/>
        <w:spacing w:line="500" w:lineRule="exact"/>
        <w:rPr>
          <w:rFonts w:hint="eastAsia" w:ascii="宋体" w:hAnsi="宋体" w:eastAsia="宋体"/>
          <w:sz w:val="24"/>
          <w:szCs w:val="24"/>
        </w:rPr>
      </w:pPr>
      <w:r>
        <w:rPr>
          <w:rFonts w:hint="eastAsia" w:ascii="宋体" w:hAnsi="宋体" w:eastAsia="宋体"/>
          <w:sz w:val="24"/>
          <w:szCs w:val="24"/>
        </w:rPr>
        <w:t xml:space="preserve">初步验收：试运行不少于1个月</w:t>
      </w:r>
      <w:r/>
    </w:p>
    <w:p>
      <w:pPr>
        <w:ind w:firstLine="480"/>
        <w:spacing w:line="500" w:lineRule="exact"/>
        <w:rPr>
          <w:rFonts w:hint="eastAsia" w:ascii="宋体" w:hAnsi="宋体" w:eastAsia="宋体"/>
          <w:sz w:val="24"/>
          <w:szCs w:val="24"/>
        </w:rPr>
      </w:pPr>
      <w:r>
        <w:rPr>
          <w:rFonts w:hint="eastAsia" w:ascii="宋体" w:hAnsi="宋体" w:eastAsia="宋体"/>
          <w:sz w:val="24"/>
          <w:szCs w:val="24"/>
        </w:rPr>
        <w:t xml:space="preserve">档案验收：初验通过后，继续试运行不少于2个月</w:t>
      </w:r>
      <w:r/>
    </w:p>
    <w:p>
      <w:pPr>
        <w:ind w:firstLine="480"/>
        <w:spacing w:line="500" w:lineRule="exact"/>
        <w:rPr>
          <w:rFonts w:hint="eastAsia" w:ascii="宋体" w:hAnsi="宋体" w:eastAsia="宋体"/>
          <w:sz w:val="24"/>
          <w:szCs w:val="24"/>
        </w:rPr>
      </w:pPr>
      <w:r>
        <w:rPr>
          <w:rFonts w:hint="eastAsia" w:ascii="宋体" w:hAnsi="宋体" w:eastAsia="宋体"/>
          <w:sz w:val="24"/>
          <w:szCs w:val="24"/>
        </w:rPr>
        <w:t xml:space="preserve">竣工验收：通过档案验收</w:t>
      </w:r>
      <w:r/>
    </w:p>
    <w:p>
      <w:pPr>
        <w:ind w:firstLine="480"/>
        <w:spacing w:line="500" w:lineRule="exact"/>
        <w:rPr>
          <w:rFonts w:hint="eastAsia" w:ascii="宋体" w:hAnsi="宋体" w:eastAsia="宋体"/>
          <w:sz w:val="24"/>
          <w:szCs w:val="24"/>
        </w:rPr>
      </w:pPr>
      <w:r>
        <w:rPr>
          <w:rFonts w:hint="eastAsia" w:ascii="宋体" w:hAnsi="宋体" w:eastAsia="宋体"/>
          <w:sz w:val="24"/>
          <w:szCs w:val="24"/>
        </w:rPr>
        <w:t xml:space="preserve">（3）履约验收方式：组织专家验收</w:t>
      </w:r>
      <w:r/>
    </w:p>
    <w:p>
      <w:pPr>
        <w:ind w:firstLine="480"/>
        <w:spacing w:line="500" w:lineRule="exact"/>
        <w:rPr>
          <w:rFonts w:hint="eastAsia" w:ascii="宋体" w:hAnsi="宋体" w:eastAsia="宋体"/>
          <w:sz w:val="24"/>
          <w:szCs w:val="24"/>
        </w:rPr>
      </w:pPr>
      <w:r>
        <w:rPr>
          <w:rFonts w:hint="eastAsia" w:ascii="宋体" w:hAnsi="宋体" w:eastAsia="宋体"/>
          <w:sz w:val="24"/>
          <w:szCs w:val="24"/>
        </w:rPr>
        <w:t xml:space="preserve">（4）履约验收程序</w:t>
      </w:r>
      <w:r/>
    </w:p>
    <w:p>
      <w:pPr>
        <w:ind w:firstLine="480"/>
        <w:spacing w:line="500" w:lineRule="exact"/>
        <w:rPr>
          <w:rFonts w:hint="eastAsia" w:ascii="宋体" w:hAnsi="宋体" w:eastAsia="宋体"/>
          <w:sz w:val="24"/>
          <w:szCs w:val="24"/>
        </w:rPr>
      </w:pPr>
      <w:r>
        <w:rPr>
          <w:rFonts w:hint="eastAsia" w:ascii="宋体" w:hAnsi="宋体" w:eastAsia="宋体"/>
          <w:sz w:val="24"/>
          <w:szCs w:val="24"/>
        </w:rPr>
        <w:t xml:space="preserve">项目建设完成后，必须按照相关标准及规范进行验收，遵循试运行、初步验收、档案验收、竣工验收等环节。</w:t>
      </w:r>
      <w:r/>
    </w:p>
    <w:p>
      <w:pPr>
        <w:ind w:firstLine="480"/>
        <w:spacing w:line="500" w:lineRule="exact"/>
        <w:rPr>
          <w:rFonts w:hint="eastAsia" w:ascii="宋体" w:hAnsi="宋体" w:eastAsia="宋体"/>
          <w:sz w:val="24"/>
          <w:szCs w:val="24"/>
        </w:rPr>
      </w:pPr>
      <w:r>
        <w:rPr>
          <w:rFonts w:hint="eastAsia" w:ascii="宋体" w:hAnsi="宋体" w:eastAsia="宋体"/>
          <w:sz w:val="24"/>
          <w:szCs w:val="24"/>
        </w:rPr>
        <w:t xml:space="preserve">（5）履约验收内容</w:t>
      </w:r>
      <w:r/>
    </w:p>
    <w:p>
      <w:pPr>
        <w:ind w:firstLine="480"/>
        <w:spacing w:line="500" w:lineRule="exact"/>
        <w:rPr>
          <w:rFonts w:hint="eastAsia" w:ascii="宋体" w:hAnsi="宋体" w:eastAsia="宋体"/>
          <w:sz w:val="24"/>
          <w:szCs w:val="24"/>
        </w:rPr>
      </w:pPr>
      <w:r>
        <w:rPr>
          <w:rFonts w:hint="eastAsia" w:ascii="宋体" w:hAnsi="宋体" w:eastAsia="宋体"/>
          <w:sz w:val="24"/>
          <w:szCs w:val="24"/>
        </w:rPr>
        <w:t xml:space="preserve">初步验收内容：</w:t>
      </w:r>
      <w:r/>
    </w:p>
    <w:p>
      <w:pPr>
        <w:pStyle w:val="975"/>
        <w:numPr>
          <w:ilvl w:val="0"/>
          <w:numId w:val="17"/>
        </w:numPr>
        <w:ind w:left="0" w:firstLine="720"/>
        <w:spacing w:line="500" w:lineRule="exact"/>
        <w:rPr>
          <w:rFonts w:hint="eastAsia" w:ascii="宋体" w:hAnsi="宋体" w:eastAsia="宋体" w:cs="仿宋"/>
          <w:sz w:val="24"/>
          <w:szCs w:val="24"/>
        </w:rPr>
      </w:pPr>
      <w:r>
        <w:rPr>
          <w:rFonts w:hint="eastAsia" w:ascii="宋体" w:hAnsi="宋体" w:eastAsia="宋体" w:cs="仿宋"/>
          <w:sz w:val="24"/>
          <w:szCs w:val="24"/>
        </w:rPr>
        <w:t xml:space="preserve">是否按招投标文件、合同文件要求完成全部建设内容</w:t>
      </w:r>
      <w:r/>
    </w:p>
    <w:p>
      <w:pPr>
        <w:pStyle w:val="975"/>
        <w:numPr>
          <w:ilvl w:val="0"/>
          <w:numId w:val="17"/>
        </w:numPr>
        <w:ind w:left="0" w:firstLine="720"/>
        <w:spacing w:line="500" w:lineRule="exact"/>
        <w:rPr>
          <w:rFonts w:hint="eastAsia" w:ascii="宋体" w:hAnsi="宋体" w:eastAsia="宋体" w:cs="仿宋"/>
          <w:sz w:val="24"/>
          <w:szCs w:val="24"/>
        </w:rPr>
      </w:pPr>
      <w:r>
        <w:rPr>
          <w:rFonts w:hint="eastAsia" w:ascii="宋体" w:hAnsi="宋体" w:eastAsia="宋体" w:cs="仿宋"/>
          <w:sz w:val="24"/>
          <w:szCs w:val="24"/>
        </w:rPr>
        <w:t xml:space="preserve">功能、性能是否满足合同及技术规范  </w:t>
      </w:r>
      <w:r/>
    </w:p>
    <w:p>
      <w:pPr>
        <w:pStyle w:val="975"/>
        <w:numPr>
          <w:ilvl w:val="0"/>
          <w:numId w:val="17"/>
        </w:numPr>
        <w:ind w:left="0" w:firstLine="720"/>
        <w:spacing w:line="500" w:lineRule="exact"/>
        <w:rPr>
          <w:rFonts w:hint="eastAsia" w:ascii="宋体" w:hAnsi="宋体" w:eastAsia="宋体" w:cs="仿宋"/>
          <w:sz w:val="24"/>
          <w:szCs w:val="24"/>
        </w:rPr>
      </w:pPr>
      <w:r>
        <w:rPr>
          <w:rFonts w:hint="eastAsia" w:ascii="宋体" w:hAnsi="宋体" w:eastAsia="宋体" w:cs="仿宋"/>
          <w:sz w:val="24"/>
          <w:szCs w:val="24"/>
        </w:rPr>
        <w:t xml:space="preserve">试运行初期运行记录</w:t>
      </w:r>
      <w:r/>
    </w:p>
    <w:p>
      <w:pPr>
        <w:pStyle w:val="975"/>
        <w:numPr>
          <w:ilvl w:val="0"/>
          <w:numId w:val="17"/>
        </w:numPr>
        <w:ind w:left="0" w:firstLine="720"/>
        <w:spacing w:line="500" w:lineRule="exact"/>
        <w:rPr>
          <w:rFonts w:hint="eastAsia" w:ascii="宋体" w:hAnsi="宋体" w:eastAsia="宋体" w:cs="仿宋"/>
          <w:sz w:val="24"/>
          <w:szCs w:val="24"/>
        </w:rPr>
      </w:pPr>
      <w:r>
        <w:rPr>
          <w:rFonts w:hint="eastAsia" w:ascii="宋体" w:hAnsi="宋体" w:eastAsia="宋体" w:cs="仿宋"/>
          <w:sz w:val="24"/>
          <w:szCs w:val="24"/>
        </w:rPr>
        <w:t xml:space="preserve">初步验收资料的完整性</w:t>
      </w:r>
      <w:r/>
    </w:p>
    <w:p>
      <w:pPr>
        <w:ind w:firstLine="480"/>
        <w:spacing w:line="500" w:lineRule="exact"/>
        <w:rPr>
          <w:rFonts w:hint="eastAsia" w:ascii="宋体" w:hAnsi="宋体" w:eastAsia="宋体"/>
          <w:sz w:val="24"/>
          <w:szCs w:val="24"/>
        </w:rPr>
      </w:pPr>
      <w:r>
        <w:rPr>
          <w:rFonts w:hint="eastAsia" w:ascii="宋体" w:hAnsi="宋体" w:eastAsia="宋体"/>
          <w:sz w:val="24"/>
          <w:szCs w:val="24"/>
        </w:rPr>
        <w:t xml:space="preserve">档案验收内容：</w:t>
      </w:r>
      <w:r/>
    </w:p>
    <w:p>
      <w:pPr>
        <w:pStyle w:val="975"/>
        <w:numPr>
          <w:ilvl w:val="0"/>
          <w:numId w:val="17"/>
        </w:numPr>
        <w:ind w:left="0" w:firstLine="720"/>
        <w:spacing w:line="500" w:lineRule="exact"/>
        <w:rPr>
          <w:rFonts w:ascii="宋体" w:hAnsi="宋体" w:eastAsia="宋体" w:cs="仿宋"/>
          <w:sz w:val="24"/>
          <w:szCs w:val="24"/>
        </w:rPr>
      </w:pPr>
      <w:r>
        <w:rPr>
          <w:rFonts w:hint="eastAsia" w:ascii="宋体" w:hAnsi="宋体" w:eastAsia="宋体" w:cs="仿宋"/>
          <w:sz w:val="24"/>
          <w:szCs w:val="24"/>
        </w:rPr>
        <w:t xml:space="preserve">项目文档是否齐全、规范</w:t>
      </w:r>
      <w:r/>
    </w:p>
    <w:p>
      <w:pPr>
        <w:pStyle w:val="975"/>
        <w:numPr>
          <w:ilvl w:val="0"/>
          <w:numId w:val="17"/>
        </w:numPr>
        <w:ind w:left="0" w:firstLine="720"/>
        <w:spacing w:line="500" w:lineRule="exact"/>
        <w:rPr>
          <w:rFonts w:ascii="宋体" w:hAnsi="宋体" w:eastAsia="宋体" w:cs="仿宋"/>
          <w:sz w:val="24"/>
          <w:szCs w:val="24"/>
        </w:rPr>
      </w:pPr>
      <w:r>
        <w:rPr>
          <w:rFonts w:hint="eastAsia" w:ascii="宋体" w:hAnsi="宋体" w:eastAsia="宋体" w:cs="仿宋"/>
          <w:sz w:val="24"/>
          <w:szCs w:val="24"/>
        </w:rPr>
        <w:t xml:space="preserve">是否按照相关文档规范编制</w:t>
      </w:r>
      <w:r>
        <w:rPr>
          <w:rFonts w:ascii="宋体" w:hAnsi="宋体" w:eastAsia="宋体" w:cs="仿宋"/>
          <w:sz w:val="24"/>
          <w:szCs w:val="24"/>
        </w:rPr>
        <w:t xml:space="preserve">  </w:t>
      </w:r>
      <w:r/>
    </w:p>
    <w:p>
      <w:pPr>
        <w:pStyle w:val="975"/>
        <w:numPr>
          <w:ilvl w:val="0"/>
          <w:numId w:val="17"/>
        </w:numPr>
        <w:ind w:left="0" w:firstLine="720"/>
        <w:spacing w:line="500" w:lineRule="exact"/>
        <w:rPr>
          <w:rFonts w:ascii="宋体" w:hAnsi="宋体" w:eastAsia="宋体" w:cs="仿宋"/>
          <w:sz w:val="24"/>
          <w:szCs w:val="24"/>
        </w:rPr>
      </w:pPr>
      <w:r>
        <w:rPr>
          <w:rFonts w:hint="eastAsia" w:ascii="宋体" w:hAnsi="宋体" w:eastAsia="宋体" w:cs="仿宋"/>
          <w:sz w:val="24"/>
          <w:szCs w:val="24"/>
        </w:rPr>
        <w:t xml:space="preserve">与项目建设实际是否一致</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竣工验收内容：</w:t>
      </w:r>
      <w:r/>
    </w:p>
    <w:p>
      <w:pPr>
        <w:pStyle w:val="975"/>
        <w:numPr>
          <w:ilvl w:val="0"/>
          <w:numId w:val="17"/>
        </w:numPr>
        <w:ind w:left="0" w:firstLine="720"/>
        <w:spacing w:line="500" w:lineRule="exact"/>
        <w:rPr>
          <w:rFonts w:hint="eastAsia" w:ascii="宋体" w:hAnsi="宋体" w:eastAsia="宋体" w:cs="仿宋"/>
          <w:sz w:val="24"/>
          <w:szCs w:val="24"/>
        </w:rPr>
      </w:pPr>
      <w:r>
        <w:rPr>
          <w:rFonts w:hint="eastAsia" w:ascii="宋体" w:hAnsi="宋体" w:eastAsia="宋体" w:cs="仿宋"/>
          <w:sz w:val="24"/>
          <w:szCs w:val="24"/>
        </w:rPr>
        <w:t xml:space="preserve">初步验收问题是否全部完成整改</w:t>
      </w:r>
      <w:r/>
    </w:p>
    <w:p>
      <w:pPr>
        <w:pStyle w:val="975"/>
        <w:numPr>
          <w:ilvl w:val="0"/>
          <w:numId w:val="17"/>
        </w:numPr>
        <w:ind w:left="0" w:firstLine="720"/>
        <w:spacing w:line="500" w:lineRule="exact"/>
        <w:rPr>
          <w:rFonts w:ascii="宋体" w:hAnsi="宋体" w:eastAsia="宋体" w:cs="仿宋"/>
          <w:sz w:val="24"/>
          <w:szCs w:val="24"/>
        </w:rPr>
      </w:pPr>
      <w:r>
        <w:rPr>
          <w:rFonts w:hint="eastAsia" w:ascii="宋体" w:hAnsi="宋体" w:eastAsia="宋体" w:cs="仿宋"/>
          <w:sz w:val="24"/>
          <w:szCs w:val="24"/>
        </w:rPr>
        <w:t xml:space="preserve">试运行记录、内容是否齐全</w:t>
      </w:r>
      <w:r/>
    </w:p>
    <w:p>
      <w:pPr>
        <w:pStyle w:val="975"/>
        <w:numPr>
          <w:ilvl w:val="0"/>
          <w:numId w:val="17"/>
        </w:numPr>
        <w:ind w:left="0" w:firstLine="720"/>
        <w:spacing w:line="500" w:lineRule="exact"/>
        <w:rPr>
          <w:rFonts w:hint="eastAsia" w:ascii="宋体" w:hAnsi="宋体" w:eastAsia="宋体" w:cs="仿宋"/>
          <w:sz w:val="24"/>
          <w:szCs w:val="24"/>
        </w:rPr>
      </w:pPr>
      <w:r>
        <w:rPr>
          <w:rFonts w:hint="eastAsia" w:ascii="宋体" w:hAnsi="宋体" w:eastAsia="宋体" w:cs="仿宋"/>
          <w:sz w:val="24"/>
          <w:szCs w:val="24"/>
        </w:rPr>
        <w:t xml:space="preserve">是否通过第三方测评并出具测评报告</w:t>
      </w:r>
      <w:r/>
    </w:p>
    <w:p>
      <w:pPr>
        <w:pStyle w:val="975"/>
        <w:numPr>
          <w:ilvl w:val="0"/>
          <w:numId w:val="17"/>
        </w:numPr>
        <w:ind w:left="0" w:firstLine="720"/>
        <w:spacing w:line="500" w:lineRule="exact"/>
        <w:rPr>
          <w:rFonts w:hint="eastAsia" w:ascii="宋体" w:hAnsi="宋体" w:eastAsia="宋体" w:cs="仿宋"/>
          <w:sz w:val="24"/>
          <w:szCs w:val="24"/>
        </w:rPr>
      </w:pPr>
      <w:r>
        <w:rPr>
          <w:rFonts w:hint="eastAsia" w:ascii="宋体" w:hAnsi="宋体" w:eastAsia="宋体" w:cs="仿宋"/>
          <w:sz w:val="24"/>
          <w:szCs w:val="24"/>
        </w:rPr>
        <w:t xml:space="preserve">竣工验收资料是否完整</w:t>
      </w:r>
      <w:r/>
    </w:p>
    <w:p>
      <w:pPr>
        <w:pStyle w:val="975"/>
        <w:numPr>
          <w:ilvl w:val="0"/>
          <w:numId w:val="17"/>
        </w:numPr>
        <w:ind w:left="0" w:firstLine="720"/>
        <w:spacing w:line="500" w:lineRule="exact"/>
        <w:rPr>
          <w:rFonts w:ascii="宋体" w:hAnsi="宋体" w:eastAsia="宋体" w:cs="仿宋"/>
          <w:sz w:val="24"/>
          <w:szCs w:val="24"/>
        </w:rPr>
      </w:pPr>
      <w:r>
        <w:rPr>
          <w:rFonts w:hint="eastAsia" w:ascii="宋体" w:hAnsi="宋体" w:eastAsia="宋体" w:cs="仿宋"/>
          <w:sz w:val="24"/>
          <w:szCs w:val="24"/>
        </w:rPr>
        <w:t xml:space="preserve">项目整体是否达到竣工验收标准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（6）履约验收标准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初步验收标准：</w:t>
      </w:r>
      <w:r/>
    </w:p>
    <w:p>
      <w:pPr>
        <w:pStyle w:val="975"/>
        <w:numPr>
          <w:ilvl w:val="0"/>
          <w:numId w:val="17"/>
        </w:numPr>
        <w:ind w:left="0" w:firstLine="720"/>
        <w:spacing w:line="500" w:lineRule="exact"/>
        <w:rPr>
          <w:rFonts w:hint="eastAsia" w:ascii="宋体" w:hAnsi="宋体" w:eastAsia="宋体" w:cs="仿宋"/>
          <w:sz w:val="24"/>
          <w:szCs w:val="24"/>
        </w:rPr>
      </w:pPr>
      <w:r>
        <w:rPr>
          <w:rFonts w:ascii="宋体" w:hAnsi="宋体" w:eastAsia="宋体" w:cs="仿宋"/>
          <w:sz w:val="24"/>
          <w:szCs w:val="24"/>
        </w:rPr>
        <w:t xml:space="preserve">按招投标文件、合同文件要求完成全部建设内容</w:t>
      </w:r>
      <w:r>
        <w:rPr>
          <w:rFonts w:hint="eastAsia" w:ascii="宋体" w:hAnsi="宋体" w:eastAsia="宋体" w:cs="仿宋"/>
          <w:sz w:val="24"/>
          <w:szCs w:val="24"/>
        </w:rPr>
        <w:t xml:space="preserve">，并经采购人、需求单位核验合格</w:t>
      </w:r>
      <w:r/>
    </w:p>
    <w:p>
      <w:pPr>
        <w:pStyle w:val="975"/>
        <w:numPr>
          <w:ilvl w:val="0"/>
          <w:numId w:val="17"/>
        </w:numPr>
        <w:ind w:left="0" w:firstLine="720"/>
        <w:spacing w:line="500" w:lineRule="exact"/>
        <w:rPr>
          <w:rFonts w:ascii="宋体" w:hAnsi="宋体" w:eastAsia="宋体" w:cs="仿宋"/>
          <w:sz w:val="24"/>
          <w:szCs w:val="24"/>
        </w:rPr>
      </w:pPr>
      <w:r>
        <w:rPr>
          <w:rFonts w:hint="eastAsia" w:ascii="宋体" w:hAnsi="宋体" w:eastAsia="宋体" w:cs="仿宋"/>
          <w:sz w:val="24"/>
          <w:szCs w:val="24"/>
        </w:rPr>
        <w:t xml:space="preserve">功能、性能测试通过</w:t>
      </w:r>
      <w:r/>
    </w:p>
    <w:p>
      <w:pPr>
        <w:pStyle w:val="975"/>
        <w:numPr>
          <w:ilvl w:val="0"/>
          <w:numId w:val="17"/>
        </w:numPr>
        <w:ind w:left="0" w:firstLine="720"/>
        <w:spacing w:line="500" w:lineRule="exact"/>
        <w:rPr>
          <w:rFonts w:ascii="宋体" w:hAnsi="宋体" w:eastAsia="宋体" w:cs="仿宋"/>
          <w:sz w:val="24"/>
          <w:szCs w:val="24"/>
        </w:rPr>
      </w:pPr>
      <w:r>
        <w:rPr>
          <w:rFonts w:hint="eastAsia" w:ascii="宋体" w:hAnsi="宋体" w:eastAsia="宋体" w:cs="仿宋"/>
          <w:sz w:val="24"/>
          <w:szCs w:val="24"/>
        </w:rPr>
        <w:t xml:space="preserve">试运行时间不少于1个月</w:t>
      </w:r>
      <w:r/>
    </w:p>
    <w:p>
      <w:pPr>
        <w:pStyle w:val="975"/>
        <w:numPr>
          <w:ilvl w:val="0"/>
          <w:numId w:val="17"/>
        </w:numPr>
        <w:ind w:left="0" w:firstLine="720"/>
        <w:spacing w:line="500" w:lineRule="exact"/>
        <w:rPr>
          <w:rFonts w:hint="eastAsia" w:ascii="宋体" w:hAnsi="宋体" w:eastAsia="宋体" w:cs="仿宋"/>
          <w:sz w:val="24"/>
          <w:szCs w:val="24"/>
        </w:rPr>
      </w:pPr>
      <w:r>
        <w:rPr>
          <w:rFonts w:hint="eastAsia" w:ascii="宋体" w:hAnsi="宋体" w:eastAsia="宋体" w:cs="仿宋"/>
          <w:sz w:val="24"/>
          <w:szCs w:val="24"/>
        </w:rPr>
        <w:t xml:space="preserve">试运行期间各项功能、性能等指标基本正常，出现的问题已全部由中标人解决</w:t>
      </w:r>
      <w:r/>
    </w:p>
    <w:p>
      <w:pPr>
        <w:pStyle w:val="975"/>
        <w:numPr>
          <w:ilvl w:val="0"/>
          <w:numId w:val="17"/>
        </w:numPr>
        <w:ind w:left="0" w:firstLine="720"/>
        <w:spacing w:line="500" w:lineRule="exact"/>
        <w:rPr>
          <w:rFonts w:hint="eastAsia" w:ascii="宋体" w:hAnsi="宋体" w:eastAsia="宋体" w:cs="仿宋"/>
          <w:sz w:val="24"/>
          <w:szCs w:val="24"/>
        </w:rPr>
      </w:pPr>
      <w:r>
        <w:rPr>
          <w:rFonts w:hint="eastAsia" w:ascii="宋体" w:hAnsi="宋体" w:eastAsia="宋体" w:cs="仿宋"/>
          <w:sz w:val="24"/>
          <w:szCs w:val="24"/>
        </w:rPr>
        <w:t xml:space="preserve">初步验收材料完整、规范</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档案验收标准：</w:t>
      </w:r>
      <w:r/>
    </w:p>
    <w:p>
      <w:pPr>
        <w:pStyle w:val="975"/>
        <w:numPr>
          <w:ilvl w:val="0"/>
          <w:numId w:val="17"/>
        </w:numPr>
        <w:ind w:left="0" w:firstLine="720"/>
        <w:spacing w:line="500" w:lineRule="exact"/>
        <w:rPr>
          <w:rFonts w:ascii="宋体" w:hAnsi="宋体" w:eastAsia="宋体" w:cs="仿宋"/>
          <w:sz w:val="24"/>
          <w:szCs w:val="24"/>
        </w:rPr>
      </w:pPr>
      <w:r>
        <w:rPr>
          <w:rFonts w:hint="eastAsia" w:ascii="宋体" w:hAnsi="宋体" w:eastAsia="宋体" w:cs="仿宋"/>
          <w:sz w:val="24"/>
          <w:szCs w:val="24"/>
        </w:rPr>
        <w:t xml:space="preserve">初步验收</w:t>
      </w:r>
      <w:r>
        <w:rPr>
          <w:rFonts w:ascii="宋体" w:hAnsi="宋体" w:eastAsia="宋体" w:cs="仿宋"/>
          <w:sz w:val="24"/>
          <w:szCs w:val="24"/>
        </w:rPr>
        <w:t xml:space="preserve">通过后，继续试运行不少于2个月</w:t>
      </w:r>
      <w:r/>
    </w:p>
    <w:p>
      <w:pPr>
        <w:pStyle w:val="975"/>
        <w:numPr>
          <w:ilvl w:val="0"/>
          <w:numId w:val="17"/>
        </w:numPr>
        <w:ind w:left="0" w:firstLine="720"/>
        <w:spacing w:line="500" w:lineRule="exact"/>
        <w:rPr>
          <w:rFonts w:hint="eastAsia" w:ascii="宋体" w:hAnsi="宋体" w:eastAsia="宋体" w:cs="仿宋"/>
          <w:sz w:val="24"/>
          <w:szCs w:val="24"/>
        </w:rPr>
      </w:pPr>
      <w:r>
        <w:rPr>
          <w:rFonts w:hint="eastAsia" w:ascii="宋体" w:hAnsi="宋体" w:eastAsia="宋体" w:cs="仿宋"/>
          <w:sz w:val="24"/>
          <w:szCs w:val="24"/>
        </w:rPr>
        <w:t xml:space="preserve">归档材料符合国家、市区、行业、合同约定的文档规范及标准</w:t>
      </w:r>
      <w:r/>
    </w:p>
    <w:p>
      <w:pPr>
        <w:pStyle w:val="975"/>
        <w:numPr>
          <w:ilvl w:val="0"/>
          <w:numId w:val="17"/>
        </w:numPr>
        <w:ind w:left="0" w:firstLine="720"/>
        <w:spacing w:line="500" w:lineRule="exact"/>
        <w:rPr>
          <w:rFonts w:hint="eastAsia" w:ascii="宋体" w:hAnsi="宋体" w:eastAsia="宋体" w:cs="仿宋"/>
          <w:sz w:val="24"/>
          <w:szCs w:val="24"/>
        </w:rPr>
      </w:pPr>
      <w:r>
        <w:rPr>
          <w:rFonts w:hint="eastAsia" w:ascii="宋体" w:hAnsi="宋体" w:eastAsia="宋体" w:cs="仿宋"/>
          <w:sz w:val="24"/>
          <w:szCs w:val="24"/>
        </w:rPr>
        <w:t xml:space="preserve">归档材料内容真实、准确、完整</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竣工验收标准：</w:t>
      </w:r>
      <w:r/>
    </w:p>
    <w:p>
      <w:pPr>
        <w:pStyle w:val="975"/>
        <w:numPr>
          <w:ilvl w:val="0"/>
          <w:numId w:val="17"/>
        </w:numPr>
        <w:ind w:left="0" w:firstLine="720"/>
        <w:spacing w:line="500" w:lineRule="exact"/>
        <w:rPr>
          <w:rFonts w:hint="eastAsia" w:ascii="宋体" w:hAnsi="宋体" w:eastAsia="宋体" w:cs="仿宋"/>
          <w:sz w:val="24"/>
          <w:szCs w:val="24"/>
        </w:rPr>
      </w:pPr>
      <w:r>
        <w:rPr>
          <w:rFonts w:hint="eastAsia" w:ascii="宋体" w:hAnsi="宋体" w:eastAsia="宋体" w:cs="仿宋"/>
          <w:sz w:val="24"/>
          <w:szCs w:val="24"/>
        </w:rPr>
        <w:t xml:space="preserve">通过档案验收</w:t>
      </w:r>
      <w:r/>
    </w:p>
    <w:p>
      <w:pPr>
        <w:pStyle w:val="975"/>
        <w:numPr>
          <w:ilvl w:val="0"/>
          <w:numId w:val="17"/>
        </w:numPr>
        <w:ind w:left="0" w:firstLine="720"/>
        <w:spacing w:line="500" w:lineRule="exact"/>
        <w:rPr>
          <w:rFonts w:ascii="宋体" w:hAnsi="宋体" w:eastAsia="宋体" w:cs="仿宋"/>
          <w:sz w:val="24"/>
          <w:szCs w:val="24"/>
        </w:rPr>
      </w:pPr>
      <w:r>
        <w:rPr>
          <w:rFonts w:ascii="宋体" w:hAnsi="宋体" w:eastAsia="宋体" w:cs="仿宋"/>
          <w:sz w:val="24"/>
          <w:szCs w:val="24"/>
        </w:rPr>
        <w:t xml:space="preserve">试运行期间各项功能、性能</w:t>
      </w:r>
      <w:r>
        <w:rPr>
          <w:rFonts w:hint="eastAsia" w:ascii="宋体" w:hAnsi="宋体" w:eastAsia="宋体" w:cs="仿宋"/>
          <w:sz w:val="24"/>
          <w:szCs w:val="24"/>
        </w:rPr>
        <w:t xml:space="preserve">等指标全部</w:t>
      </w:r>
      <w:r>
        <w:rPr>
          <w:rFonts w:ascii="宋体" w:hAnsi="宋体" w:eastAsia="宋体" w:cs="仿宋"/>
          <w:sz w:val="24"/>
          <w:szCs w:val="24"/>
        </w:rPr>
        <w:t xml:space="preserve">正常</w:t>
      </w:r>
      <w:r>
        <w:rPr>
          <w:rFonts w:hint="eastAsia" w:ascii="宋体" w:hAnsi="宋体" w:eastAsia="宋体" w:cs="仿宋"/>
          <w:sz w:val="24"/>
          <w:szCs w:val="24"/>
        </w:rPr>
        <w:t xml:space="preserve">，满足需求单位的实际使用要求</w:t>
      </w:r>
      <w:r/>
    </w:p>
    <w:p>
      <w:pPr>
        <w:pStyle w:val="975"/>
        <w:numPr>
          <w:ilvl w:val="0"/>
          <w:numId w:val="17"/>
        </w:numPr>
        <w:ind w:left="0" w:firstLine="720"/>
        <w:spacing w:line="500" w:lineRule="exact"/>
        <w:rPr>
          <w:rFonts w:ascii="宋体" w:hAnsi="宋体" w:eastAsia="宋体" w:cs="仿宋"/>
          <w:sz w:val="24"/>
          <w:szCs w:val="24"/>
        </w:rPr>
      </w:pPr>
      <w:r>
        <w:rPr>
          <w:rFonts w:hint="eastAsia" w:ascii="宋体" w:hAnsi="宋体" w:eastAsia="宋体" w:cs="仿宋"/>
          <w:sz w:val="24"/>
          <w:szCs w:val="24"/>
        </w:rPr>
        <w:t xml:space="preserve">试运行期间</w:t>
      </w:r>
      <w:r>
        <w:rPr>
          <w:rFonts w:ascii="宋体" w:hAnsi="宋体" w:eastAsia="宋体" w:cs="仿宋"/>
          <w:sz w:val="24"/>
          <w:szCs w:val="24"/>
        </w:rPr>
        <w:t xml:space="preserve">出现的问题已全部由中标人解决</w:t>
      </w:r>
      <w:r/>
    </w:p>
    <w:p>
      <w:pPr>
        <w:pStyle w:val="975"/>
        <w:numPr>
          <w:ilvl w:val="0"/>
          <w:numId w:val="17"/>
        </w:numPr>
        <w:ind w:left="0" w:firstLine="720"/>
        <w:spacing w:line="500" w:lineRule="exact"/>
        <w:rPr>
          <w:rFonts w:hint="eastAsia" w:ascii="宋体" w:hAnsi="宋体" w:eastAsia="宋体" w:cs="仿宋"/>
          <w:sz w:val="24"/>
          <w:szCs w:val="24"/>
        </w:rPr>
      </w:pPr>
      <w:r>
        <w:rPr>
          <w:rFonts w:hint="eastAsia" w:ascii="宋体" w:hAnsi="宋体" w:eastAsia="宋体" w:cs="仿宋"/>
          <w:sz w:val="24"/>
          <w:szCs w:val="24"/>
        </w:rPr>
        <w:t xml:space="preserve">竣工验收材料完整、规范</w:t>
      </w:r>
      <w:r/>
    </w:p>
    <w:p>
      <w:pPr>
        <w:ind w:firstLine="480"/>
        <w:spacing w:line="500" w:lineRule="exact"/>
        <w:rPr>
          <w:rFonts w:hint="eastAsia" w:ascii="宋体" w:hAnsi="宋体" w:eastAsia="宋体"/>
          <w:sz w:val="24"/>
          <w:szCs w:val="24"/>
        </w:rPr>
      </w:pPr>
      <w:r>
        <w:rPr>
          <w:rFonts w:hint="eastAsia" w:ascii="宋体" w:hAnsi="宋体" w:eastAsia="宋体"/>
          <w:sz w:val="24"/>
          <w:szCs w:val="24"/>
        </w:rPr>
        <w:t xml:space="preserve">（7）履约验收其他事项</w:t>
      </w:r>
      <w:r/>
    </w:p>
    <w:p>
      <w:pPr>
        <w:ind w:firstLine="480"/>
        <w:spacing w:line="500" w:lineRule="exact"/>
        <w:rPr>
          <w:rFonts w:hint="eastAsia" w:asciiTheme="minorHAnsi" w:hAnsiTheme="minorHAnsi" w:eastAsiaTheme="minorEastAsia" w:cstheme="minorBidi"/>
          <w:sz w:val="21"/>
          <w:szCs w:val="22"/>
        </w:rPr>
      </w:pPr>
      <w:r>
        <w:rPr>
          <w:rFonts w:hint="eastAsia" w:ascii="宋体" w:hAnsi="宋体" w:eastAsia="宋体"/>
          <w:sz w:val="24"/>
          <w:szCs w:val="24"/>
        </w:rPr>
        <w:t xml:space="preserve">试运行期间若发生与技术要求不符或与初验记录不一致的情况时，中标人应负责解决问题，否则不予竣工验收。属于中标人工作严重失职造成的较大损失的，追究其单位的责任和损失。项目初步验收、档案验收、竣工验收需同时验收项目文档，提交验收的主要文件及内容符合相关文档规范，文档不合格的，不得通过项目初步验收、档案验收、竣工验收。</w:t>
      </w:r>
      <w:r/>
    </w:p>
    <w:p>
      <w:pPr>
        <w:pStyle w:val="883"/>
        <w:numPr>
          <w:ilvl w:val="0"/>
          <w:numId w:val="5"/>
        </w:numPr>
        <w:ind w:left="0" w:firstLine="482"/>
        <w:spacing w:before="0" w:after="0" w:line="500" w:lineRule="exact"/>
        <w:rPr>
          <w:rFonts w:hint="eastAsia" w:ascii="宋体" w:hAnsi="宋体" w:eastAsia="宋体" w:cstheme="minorEastAsia"/>
          <w:sz w:val="24"/>
          <w:szCs w:val="24"/>
        </w:rPr>
      </w:pPr>
      <w:r>
        <w:rPr>
          <w:rFonts w:hint="eastAsia" w:ascii="宋体" w:hAnsi="宋体" w:eastAsia="宋体" w:cstheme="minorEastAsia"/>
          <w:sz w:val="24"/>
          <w:szCs w:val="24"/>
        </w:rPr>
        <w:t xml:space="preserve">安全保密需求</w:t>
      </w:r>
      <w:bookmarkEnd w:id="198"/>
      <w:r/>
      <w:r/>
    </w:p>
    <w:p>
      <w:pPr>
        <w:ind w:firstLine="480"/>
        <w:spacing w:line="500" w:lineRule="exact"/>
        <w:rPr>
          <w:rFonts w:hint="eastAsia" w:ascii="宋体" w:hAnsi="宋体" w:eastAsia="宋体" w:cstheme="minorEastAsia"/>
          <w:sz w:val="24"/>
          <w:szCs w:val="24"/>
        </w:rPr>
      </w:pPr>
      <w:r>
        <w:rPr>
          <w:rFonts w:hint="eastAsia" w:ascii="宋体" w:hAnsi="宋体" w:eastAsia="宋体" w:cstheme="minorEastAsia"/>
          <w:sz w:val="24"/>
          <w:szCs w:val="24"/>
        </w:rPr>
        <w:t xml:space="preserve">项目建设必须遵循国家电子政务信息安全保障体系要求，按照国家法规实施安全等级保护，加强系统信息安全管理。</w:t>
      </w:r>
      <w:r/>
    </w:p>
    <w:p>
      <w:pPr>
        <w:ind w:firstLine="480"/>
        <w:spacing w:line="500" w:lineRule="exact"/>
        <w:rPr>
          <w:rFonts w:hint="eastAsia" w:ascii="宋体" w:hAnsi="宋体" w:eastAsia="宋体" w:cstheme="minorEastAsia"/>
          <w:sz w:val="24"/>
          <w:szCs w:val="24"/>
        </w:rPr>
      </w:pPr>
      <w:r>
        <w:rPr>
          <w:rFonts w:hint="eastAsia" w:ascii="宋体" w:hAnsi="宋体" w:eastAsia="宋体" w:cstheme="minorEastAsia"/>
          <w:sz w:val="24"/>
          <w:szCs w:val="24"/>
        </w:rPr>
        <w:t xml:space="preserve">投标人应有明确、完善、可行的网络安全系统方案，项目需满足国家信息系统安全等级保护二级要求。</w:t>
      </w:r>
      <w:r/>
    </w:p>
    <w:p>
      <w:pPr>
        <w:pStyle w:val="883"/>
        <w:numPr>
          <w:ilvl w:val="0"/>
          <w:numId w:val="5"/>
        </w:numPr>
        <w:ind w:left="0" w:firstLine="482"/>
        <w:spacing w:before="0" w:after="0" w:line="500" w:lineRule="exact"/>
        <w:rPr>
          <w:rFonts w:hint="eastAsia" w:ascii="宋体" w:hAnsi="宋体" w:eastAsia="宋体" w:cstheme="minorEastAsia"/>
          <w:sz w:val="24"/>
          <w:szCs w:val="24"/>
        </w:rPr>
      </w:pPr>
      <w:r>
        <w:rPr>
          <w:rFonts w:hint="eastAsia" w:ascii="宋体" w:hAnsi="宋体" w:eastAsia="宋体" w:cstheme="minorEastAsia"/>
          <w:sz w:val="24"/>
          <w:szCs w:val="24"/>
        </w:rPr>
        <w:t xml:space="preserve">运维服务要求</w:t>
      </w:r>
      <w:bookmarkEnd w:id="199"/>
      <w:r/>
      <w:r/>
    </w:p>
    <w:p>
      <w:pPr>
        <w:ind w:firstLine="480"/>
        <w:spacing w:line="500" w:lineRule="exact"/>
        <w:rPr>
          <w:rFonts w:hint="eastAsia" w:ascii="宋体" w:hAnsi="宋体" w:eastAsia="宋体" w:cstheme="minorEastAsia"/>
          <w:sz w:val="24"/>
          <w:szCs w:val="24"/>
        </w:rPr>
      </w:pPr>
      <w:r>
        <w:rPr>
          <w:rFonts w:hint="eastAsia" w:ascii="宋体" w:hAnsi="宋体" w:eastAsia="宋体" w:cstheme="minorEastAsia"/>
          <w:sz w:val="24"/>
          <w:szCs w:val="24"/>
        </w:rPr>
        <w:t xml:space="preserve">服务期内，项目运维服务包括但不限于以下要求：</w:t>
      </w:r>
      <w:r/>
    </w:p>
    <w:p>
      <w:pPr>
        <w:ind w:firstLine="480"/>
        <w:spacing w:line="500" w:lineRule="exact"/>
        <w:rPr>
          <w:rFonts w:hint="eastAsia" w:ascii="宋体" w:hAnsi="宋体" w:eastAsia="宋体" w:cstheme="minorEastAsia"/>
          <w:sz w:val="24"/>
          <w:szCs w:val="24"/>
        </w:rPr>
      </w:pPr>
      <w:r>
        <w:rPr>
          <w:rFonts w:hint="eastAsia" w:ascii="宋体" w:hAnsi="宋体" w:eastAsia="宋体" w:cstheme="minorEastAsia"/>
          <w:sz w:val="24"/>
          <w:szCs w:val="24"/>
        </w:rPr>
        <w:t xml:space="preserve">提供系统日常运维服务、数据运维服务、数据库运维服务、服务器日常巡检等运维服务；</w:t>
      </w:r>
      <w:r/>
    </w:p>
    <w:p>
      <w:pPr>
        <w:ind w:firstLine="480"/>
        <w:spacing w:line="500" w:lineRule="exact"/>
        <w:rPr>
          <w:rFonts w:hint="eastAsia" w:ascii="宋体" w:hAnsi="宋体" w:eastAsia="宋体" w:cstheme="minorEastAsia"/>
          <w:sz w:val="24"/>
          <w:szCs w:val="24"/>
        </w:rPr>
      </w:pPr>
      <w:r>
        <w:rPr>
          <w:rFonts w:hint="eastAsia" w:ascii="宋体" w:hAnsi="宋体" w:eastAsia="宋体" w:cstheme="minorEastAsia"/>
          <w:sz w:val="24"/>
          <w:szCs w:val="24"/>
        </w:rPr>
        <w:t xml:space="preserve">提供7*24小时响应服务，1小时内做出响应，8小时内到达现场，一般问题12小时内解决，重大问题或其他无法迅速解决的问题，24小时内解决或者提出具体解决方案。</w:t>
      </w:r>
      <w:r/>
    </w:p>
    <w:p>
      <w:pPr>
        <w:pStyle w:val="883"/>
        <w:numPr>
          <w:ilvl w:val="0"/>
          <w:numId w:val="5"/>
        </w:numPr>
        <w:ind w:left="0" w:firstLine="482"/>
        <w:spacing w:before="0" w:after="0" w:line="500" w:lineRule="exact"/>
        <w:rPr>
          <w:rFonts w:hint="eastAsia" w:ascii="宋体" w:hAnsi="宋体" w:eastAsia="宋体" w:cstheme="minorEastAsia"/>
          <w:sz w:val="24"/>
          <w:szCs w:val="24"/>
        </w:rPr>
      </w:pPr>
      <w:r>
        <w:rPr>
          <w:rFonts w:hint="eastAsia" w:ascii="宋体" w:hAnsi="宋体" w:eastAsia="宋体" w:cstheme="minorEastAsia"/>
          <w:sz w:val="24"/>
          <w:szCs w:val="24"/>
        </w:rPr>
        <w:t xml:space="preserve">知识产权及保密性要求</w:t>
      </w:r>
      <w:r/>
    </w:p>
    <w:p>
      <w:pPr>
        <w:ind w:firstLine="480"/>
        <w:spacing w:line="500" w:lineRule="exact"/>
        <w:rPr>
          <w:rFonts w:hint="eastAsia" w:ascii="宋体" w:hAnsi="宋体" w:eastAsia="宋体" w:cstheme="minorEastAsia"/>
          <w:sz w:val="24"/>
          <w:szCs w:val="24"/>
        </w:rPr>
      </w:pPr>
      <w:r>
        <w:rPr>
          <w:rFonts w:hint="eastAsia" w:ascii="宋体" w:hAnsi="宋体" w:eastAsia="宋体" w:cstheme="minorEastAsia"/>
          <w:sz w:val="24"/>
          <w:szCs w:val="24"/>
        </w:rPr>
        <w:t xml:space="preserve"> 本项目的软硬件技术成果（包括但不限于软件程序及相关技术文档、源代码）的知识产权（包括但不限于著作权、专利权、外观设计等）归属采购人。</w:t>
      </w:r>
      <w:r/>
    </w:p>
    <w:p>
      <w:pPr>
        <w:ind w:firstLine="480"/>
        <w:spacing w:line="500" w:lineRule="exact"/>
        <w:rPr>
          <w:rFonts w:hint="eastAsia" w:ascii="宋体" w:hAnsi="宋体" w:eastAsia="宋体" w:cstheme="minorEastAsia"/>
          <w:sz w:val="24"/>
          <w:szCs w:val="24"/>
        </w:rPr>
      </w:pPr>
      <w:r>
        <w:rPr>
          <w:rFonts w:hint="eastAsia" w:ascii="宋体" w:hAnsi="宋体" w:eastAsia="宋体" w:cstheme="minorEastAsia"/>
          <w:sz w:val="24"/>
          <w:szCs w:val="24"/>
        </w:rPr>
        <w:t xml:space="preserve">本项目产生和承载的数据资源归采购人所有，未经采购人书面同意，中标人不可将数据资源用于本项目之外，包括数据复制、加工、共享、应用提供给第三方。</w:t>
      </w:r>
      <w:r/>
    </w:p>
    <w:p>
      <w:pPr>
        <w:ind w:firstLine="480"/>
        <w:spacing w:line="500" w:lineRule="exact"/>
        <w:rPr>
          <w:rFonts w:hint="eastAsia" w:ascii="宋体" w:hAnsi="宋体" w:eastAsia="宋体" w:cstheme="minorEastAsia"/>
          <w:sz w:val="24"/>
          <w:szCs w:val="24"/>
        </w:rPr>
      </w:pPr>
      <w:r>
        <w:rPr>
          <w:rFonts w:hint="eastAsia" w:ascii="宋体" w:hAnsi="宋体" w:eastAsia="宋体" w:cstheme="minorEastAsia"/>
          <w:sz w:val="24"/>
          <w:szCs w:val="24"/>
        </w:rPr>
        <w:t xml:space="preserve">中标人采购的与本项目有关的第三方商业化软件授权使用人应注册为“无锡市新吴区区域社会治理现代化指挥中心”。</w:t>
      </w:r>
      <w:r/>
    </w:p>
    <w:p>
      <w:pPr>
        <w:ind w:firstLine="480"/>
        <w:spacing w:line="500" w:lineRule="exact"/>
        <w:rPr>
          <w:rFonts w:hint="eastAsia" w:ascii="宋体" w:hAnsi="宋体" w:eastAsia="宋体" w:cstheme="minorEastAsia"/>
          <w:sz w:val="24"/>
          <w:szCs w:val="24"/>
        </w:rPr>
      </w:pPr>
      <w:r>
        <w:rPr>
          <w:rFonts w:hint="eastAsia" w:ascii="宋体" w:hAnsi="宋体" w:eastAsia="宋体" w:cstheme="minorEastAsia"/>
          <w:sz w:val="24"/>
          <w:szCs w:val="24"/>
        </w:rPr>
        <w:t xml:space="preserve">所有参与本次项目建设的人员应签订正式保密协议，并在工作中坚持保密原则，中标人严格规范执行各项保密制度，对在项目招标、建设、质保各阶段取得采购人各类信息进行保密管理，杜绝任何泄密事件的发生。</w:t>
      </w:r>
      <w:r/>
    </w:p>
    <w:p>
      <w:pPr>
        <w:pStyle w:val="883"/>
        <w:numPr>
          <w:ilvl w:val="0"/>
          <w:numId w:val="5"/>
        </w:numPr>
        <w:ind w:left="0" w:firstLine="482"/>
        <w:spacing w:before="0" w:after="0" w:line="500" w:lineRule="exact"/>
        <w:rPr>
          <w:rFonts w:hint="eastAsia" w:ascii="宋体" w:hAnsi="宋体" w:eastAsia="宋体" w:cstheme="minorEastAsia"/>
          <w:sz w:val="24"/>
          <w:szCs w:val="24"/>
        </w:rPr>
      </w:pPr>
      <w:r>
        <w:rPr>
          <w:rFonts w:hint="eastAsia" w:ascii="宋体" w:hAnsi="宋体" w:eastAsia="宋体" w:cstheme="minorEastAsia"/>
          <w:sz w:val="24"/>
          <w:szCs w:val="24"/>
        </w:rPr>
        <w:t xml:space="preserve">合同终止</w:t>
      </w:r>
      <w:r/>
    </w:p>
    <w:p>
      <w:pPr>
        <w:ind w:firstLine="480"/>
        <w:spacing w:line="500" w:lineRule="exact"/>
        <w:rPr>
          <w:rFonts w:hint="eastAsia" w:ascii="宋体" w:hAnsi="宋体" w:eastAsia="宋体" w:cstheme="minorEastAsia"/>
          <w:sz w:val="24"/>
          <w:szCs w:val="24"/>
        </w:rPr>
      </w:pPr>
      <w:r>
        <w:rPr>
          <w:rFonts w:hint="eastAsia" w:ascii="宋体" w:hAnsi="宋体" w:eastAsia="宋体" w:cstheme="minorEastAsia"/>
          <w:sz w:val="24"/>
          <w:szCs w:val="24"/>
        </w:rPr>
        <w:t xml:space="preserve">采购人保留在以下任何一项或多项条件达成时，单方面终止本合同的权利，且无需承担违约责任：</w:t>
      </w:r>
      <w:r/>
    </w:p>
    <w:p>
      <w:pPr>
        <w:ind w:firstLine="480"/>
        <w:spacing w:line="500" w:lineRule="exact"/>
        <w:rPr>
          <w:rFonts w:hint="eastAsia" w:ascii="宋体" w:hAnsi="宋体" w:eastAsia="宋体" w:cstheme="minorEastAsia"/>
          <w:sz w:val="24"/>
          <w:szCs w:val="24"/>
        </w:rPr>
      </w:pPr>
      <w:r>
        <w:rPr>
          <w:rFonts w:hint="eastAsia" w:ascii="宋体" w:hAnsi="宋体" w:eastAsia="宋体" w:cstheme="minorEastAsia"/>
          <w:sz w:val="24"/>
          <w:szCs w:val="24"/>
        </w:rPr>
        <w:t xml:space="preserve">（1）项目质量不达标</w:t>
      </w:r>
      <w:r/>
    </w:p>
    <w:p>
      <w:pPr>
        <w:ind w:firstLine="480"/>
        <w:spacing w:line="500" w:lineRule="exact"/>
        <w:rPr>
          <w:rFonts w:hint="eastAsia" w:ascii="宋体" w:hAnsi="宋体" w:eastAsia="宋体" w:cstheme="minorEastAsia"/>
          <w:sz w:val="24"/>
          <w:szCs w:val="24"/>
        </w:rPr>
      </w:pPr>
      <w:r>
        <w:rPr>
          <w:rFonts w:hint="eastAsia" w:ascii="宋体" w:hAnsi="宋体" w:eastAsia="宋体" w:cstheme="minorEastAsia"/>
          <w:sz w:val="24"/>
          <w:szCs w:val="24"/>
        </w:rPr>
        <w:t xml:space="preserve">若中标人提供的服务或交付的成果物（包括不限于项目工作说明书等文件文档、项目软件、硬件设备等）经评估未达到本合同约定的技术规格、质量标准或验收标准，且在采购人书面通知中标人后15日内，中标人未能采取有效措施进行整改并达到合同要求，采购人有权终止本合同。</w:t>
      </w:r>
      <w:r/>
    </w:p>
    <w:p>
      <w:pPr>
        <w:ind w:firstLine="480"/>
        <w:spacing w:line="500" w:lineRule="exact"/>
        <w:rPr>
          <w:rFonts w:hint="eastAsia" w:ascii="宋体" w:hAnsi="宋体" w:eastAsia="宋体" w:cstheme="minorEastAsia"/>
          <w:sz w:val="24"/>
          <w:szCs w:val="24"/>
        </w:rPr>
      </w:pPr>
      <w:r>
        <w:rPr>
          <w:rFonts w:hint="eastAsia" w:ascii="宋体" w:hAnsi="宋体" w:eastAsia="宋体" w:cstheme="minorEastAsia"/>
          <w:sz w:val="24"/>
          <w:szCs w:val="24"/>
        </w:rPr>
        <w:t xml:space="preserve">（2）项目进度延误</w:t>
      </w:r>
      <w:r/>
    </w:p>
    <w:p>
      <w:pPr>
        <w:ind w:firstLine="480"/>
        <w:spacing w:line="500" w:lineRule="exact"/>
        <w:rPr>
          <w:rFonts w:hint="eastAsia" w:ascii="宋体" w:hAnsi="宋体" w:eastAsia="宋体" w:cstheme="minorEastAsia"/>
          <w:sz w:val="24"/>
          <w:szCs w:val="24"/>
        </w:rPr>
      </w:pPr>
      <w:r>
        <w:rPr>
          <w:rFonts w:hint="eastAsia" w:ascii="宋体" w:hAnsi="宋体" w:eastAsia="宋体" w:cstheme="minorEastAsia"/>
          <w:sz w:val="24"/>
          <w:szCs w:val="24"/>
        </w:rPr>
        <w:t xml:space="preserve">若中标人在执行过程中未能按照工作说明书的里程碑节点完成阶段性交付或最终交付，且重要里程碑节点延误时间超过15日或15%的总工期，且经采购人合理催告后仍未能在双方协商确定的新期限内完成，采购人有权终止本合同。</w:t>
      </w:r>
      <w:r/>
    </w:p>
    <w:p>
      <w:pPr>
        <w:ind w:firstLine="480"/>
        <w:spacing w:line="500" w:lineRule="exact"/>
        <w:rPr>
          <w:rFonts w:hint="eastAsia" w:ascii="宋体" w:hAnsi="宋体" w:eastAsia="宋体" w:cstheme="minorEastAsia"/>
          <w:sz w:val="24"/>
          <w:szCs w:val="24"/>
        </w:rPr>
      </w:pPr>
      <w:r>
        <w:rPr>
          <w:rFonts w:hint="eastAsia" w:ascii="宋体" w:hAnsi="宋体" w:eastAsia="宋体" w:cstheme="minorEastAsia"/>
          <w:sz w:val="24"/>
          <w:szCs w:val="24"/>
        </w:rPr>
        <w:t xml:space="preserve">（3）严重违约行为</w:t>
      </w:r>
      <w:r/>
    </w:p>
    <w:p>
      <w:pPr>
        <w:ind w:firstLine="480"/>
        <w:spacing w:line="500" w:lineRule="exact"/>
        <w:rPr>
          <w:rFonts w:hint="eastAsia" w:ascii="宋体" w:hAnsi="宋体" w:eastAsia="宋体" w:cstheme="minorEastAsia"/>
          <w:sz w:val="24"/>
          <w:szCs w:val="24"/>
        </w:rPr>
      </w:pPr>
      <w:r>
        <w:rPr>
          <w:rFonts w:hint="eastAsia" w:ascii="宋体" w:hAnsi="宋体" w:eastAsia="宋体" w:cstheme="minorEastAsia"/>
          <w:sz w:val="24"/>
          <w:szCs w:val="24"/>
        </w:rPr>
        <w:t xml:space="preserve">若中标人在项目执行过程中存在严重违反合同条款的行为，包括但不限于未经采购人同意擅自转包、泄露采购人商业秘密、使用非法软件或技术、违反适用的法律法规等，采购人有权立即终止本合同，并要求中标人承担相应法律责任。</w:t>
      </w:r>
      <w:r/>
    </w:p>
    <w:p>
      <w:pPr>
        <w:ind w:firstLine="480"/>
        <w:spacing w:line="500" w:lineRule="exact"/>
        <w:rPr>
          <w:rFonts w:hint="eastAsia" w:ascii="宋体" w:hAnsi="宋体" w:eastAsia="宋体" w:cstheme="minorEastAsia"/>
          <w:sz w:val="24"/>
          <w:szCs w:val="24"/>
        </w:rPr>
      </w:pPr>
      <w:r>
        <w:rPr>
          <w:rFonts w:hint="eastAsia" w:ascii="宋体" w:hAnsi="宋体" w:eastAsia="宋体" w:cstheme="minorEastAsia"/>
          <w:sz w:val="24"/>
          <w:szCs w:val="24"/>
        </w:rPr>
        <w:t xml:space="preserve">（4）不可抗力除外</w:t>
      </w:r>
      <w:r/>
    </w:p>
    <w:p>
      <w:pPr>
        <w:ind w:firstLine="480"/>
        <w:spacing w:line="500" w:lineRule="exact"/>
        <w:rPr>
          <w:rFonts w:hint="eastAsia" w:ascii="宋体" w:hAnsi="宋体" w:eastAsia="宋体" w:cstheme="minorEastAsia"/>
          <w:sz w:val="24"/>
          <w:szCs w:val="24"/>
        </w:rPr>
      </w:pPr>
      <w:r>
        <w:rPr>
          <w:rFonts w:hint="eastAsia" w:ascii="宋体" w:hAnsi="宋体" w:eastAsia="宋体" w:cstheme="minorEastAsia"/>
          <w:sz w:val="24"/>
          <w:szCs w:val="24"/>
        </w:rPr>
        <w:t xml:space="preserve">本条所述的合同终止权利不适用于因不可抗力因素导致的项目延期或无法完成的情况，双方应根据不可抗力的影响程度协商解决方案。</w:t>
      </w:r>
      <w:r/>
    </w:p>
    <w:p>
      <w:pPr>
        <w:ind w:firstLine="480"/>
        <w:spacing w:line="500" w:lineRule="exact"/>
        <w:rPr>
          <w:rFonts w:hint="eastAsia" w:ascii="宋体" w:hAnsi="宋体" w:eastAsia="宋体" w:cstheme="minorEastAsia"/>
          <w:sz w:val="24"/>
          <w:szCs w:val="24"/>
        </w:rPr>
      </w:pPr>
      <w:r>
        <w:rPr>
          <w:rFonts w:hint="eastAsia" w:ascii="宋体" w:hAnsi="宋体" w:eastAsia="宋体" w:cstheme="minorEastAsia"/>
          <w:sz w:val="24"/>
          <w:szCs w:val="24"/>
        </w:rPr>
        <w:t xml:space="preserve">（5）终止通知与后果</w:t>
      </w:r>
      <w:r/>
    </w:p>
    <w:p>
      <w:pPr>
        <w:ind w:firstLine="480"/>
        <w:spacing w:line="500" w:lineRule="exact"/>
        <w:rPr>
          <w:rFonts w:hint="eastAsia" w:ascii="宋体" w:hAnsi="宋体" w:eastAsia="宋体" w:cstheme="minorEastAsia"/>
          <w:sz w:val="24"/>
          <w:szCs w:val="24"/>
        </w:rPr>
      </w:pPr>
      <w:r>
        <w:rPr>
          <w:rFonts w:hint="eastAsia" w:ascii="宋体" w:hAnsi="宋体" w:eastAsia="宋体" w:cstheme="minorEastAsia"/>
          <w:sz w:val="24"/>
          <w:szCs w:val="24"/>
        </w:rPr>
        <w:t xml:space="preserve">采购人行使终止权时，应提前7个工作日书面通知中标人，说明终止原因及依据。合同终止后，双方应根据本合同约定或协商确定的方式处理已完成工作的结算、项目资料的交接、保密义务的继续履行等事宜。</w:t>
      </w:r>
      <w:r/>
    </w:p>
    <w:p>
      <w:pPr>
        <w:ind w:firstLine="480"/>
        <w:spacing w:line="500" w:lineRule="exact"/>
        <w:rPr>
          <w:rFonts w:hint="eastAsia" w:ascii="宋体" w:hAnsi="宋体" w:eastAsia="宋体" w:cstheme="minorEastAsia"/>
          <w:sz w:val="24"/>
          <w:szCs w:val="24"/>
        </w:rPr>
      </w:pPr>
      <w:r>
        <w:rPr>
          <w:rFonts w:hint="eastAsia" w:ascii="宋体" w:hAnsi="宋体" w:eastAsia="宋体" w:cstheme="minorEastAsia"/>
          <w:sz w:val="24"/>
          <w:szCs w:val="24"/>
        </w:rPr>
        <w:t xml:space="preserve">合同终止后，项目已实施的软硬件部分，由采购人委托相关单位评估可使用的部分价值后支付相应款项，超额支付的，中标人应退还采购人已支付但尚未对应完成工作的款项，此外中标人还应根据本合同约定或法律规定向采购人支付违约金或赔偿采购人因此遭受的损失。</w:t>
      </w:r>
      <w:r/>
    </w:p>
    <w:p>
      <w:pPr>
        <w:ind w:firstLine="480"/>
        <w:spacing w:line="360" w:lineRule="auto"/>
        <w:rPr>
          <w:rFonts w:hint="eastAsia" w:ascii="宋体" w:hAnsi="宋体" w:eastAsia="宋体" w:cs="Times New Roman"/>
          <w:bCs/>
          <w:sz w:val="24"/>
          <w:szCs w:val="24"/>
          <w:highlight w:val="yellow"/>
        </w:rPr>
      </w:pPr>
      <w:r>
        <w:rPr>
          <w:rFonts w:hint="eastAsia" w:ascii="宋体" w:hAnsi="宋体" w:eastAsia="宋体" w:cs="Times New Roman"/>
          <w:bCs/>
          <w:sz w:val="24"/>
          <w:szCs w:val="24"/>
          <w:highlight w:val="yellow"/>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ascii="宋体" w:hAnsi="宋体"/>
          <w:b/>
          <w:color w:val="auto"/>
          <w:sz w:val="30"/>
          <w:szCs w:val="30"/>
          <w:u w:val="none"/>
        </w:rPr>
      </w:pPr>
      <w:r>
        <w:rPr>
          <w:rFonts w:ascii="宋体" w:hAnsi="宋体"/>
          <w:bCs/>
          <w:sz w:val="24"/>
          <w:szCs w:val="24"/>
        </w:rPr>
        <w:br w:type="page" w:clear="all"/>
      </w:r>
      <w:r>
        <w:rPr>
          <w:rFonts w:hint="eastAsia" w:ascii="宋体" w:hAnsi="宋体"/>
          <w:b/>
          <w:color w:val="000000"/>
          <w:sz w:val="30"/>
          <w:szCs w:val="30"/>
          <w:u w:val="none"/>
        </w:rPr>
        <w:t xml:space="preserve">第</w:t>
      </w:r>
      <w:r>
        <w:rPr>
          <w:rFonts w:hint="eastAsia" w:ascii="宋体" w:hAnsi="宋体"/>
          <w:b/>
          <w:color w:val="auto"/>
          <w:sz w:val="30"/>
          <w:szCs w:val="30"/>
          <w:u w:val="none"/>
        </w:rPr>
        <w:t xml:space="preserve">二部分  有关说明</w:t>
      </w:r>
      <w:r/>
    </w:p>
    <w:p>
      <w:pPr>
        <w:numPr>
          <w:ilvl w:val="1"/>
          <w:numId w:val="18"/>
        </w:numPr>
        <w:ind w:left="0" w:firstLine="480"/>
        <w:spacing w:line="360" w:lineRule="auto"/>
        <w:tabs>
          <w:tab w:val="left" w:pos="525" w:leader="none"/>
          <w:tab w:val="clear" w:pos="780" w:leader="none"/>
          <w:tab w:val="left" w:pos="945" w:leader="none"/>
        </w:tabs>
        <w:rPr>
          <w:rFonts w:ascii="宋体"/>
          <w:bCs/>
          <w:color w:val="auto"/>
          <w:sz w:val="24"/>
          <w:szCs w:val="24"/>
        </w:rPr>
      </w:pPr>
      <w:r>
        <w:rPr>
          <w:rFonts w:hint="eastAsia" w:ascii="宋体" w:hAnsi="宋体"/>
          <w:bCs/>
          <w:color w:val="auto"/>
          <w:sz w:val="24"/>
          <w:szCs w:val="24"/>
        </w:rPr>
        <w:t xml:space="preserve">投标总报价包括满足本项目服务要求的从项目中标起到项目正式交付以及服务期内所发生的一切费用。</w:t>
      </w:r>
      <w:r/>
    </w:p>
    <w:p>
      <w:pPr>
        <w:numPr>
          <w:ilvl w:val="1"/>
          <w:numId w:val="18"/>
        </w:numPr>
        <w:ind w:left="0" w:firstLine="480"/>
        <w:spacing w:line="360" w:lineRule="auto"/>
        <w:tabs>
          <w:tab w:val="left" w:pos="525" w:leader="none"/>
          <w:tab w:val="clear" w:pos="780" w:leader="none"/>
          <w:tab w:val="left" w:pos="945" w:leader="none"/>
        </w:tabs>
        <w:rPr>
          <w:rFonts w:ascii="宋体"/>
          <w:bCs/>
          <w:color w:val="auto"/>
          <w:sz w:val="24"/>
          <w:szCs w:val="24"/>
        </w:rPr>
      </w:pPr>
      <w:r>
        <w:rPr>
          <w:rFonts w:hint="eastAsia" w:ascii="宋体" w:hAnsi="宋体"/>
          <w:bCs/>
          <w:color w:val="auto"/>
          <w:sz w:val="24"/>
          <w:szCs w:val="24"/>
        </w:rPr>
        <w:t xml:space="preserve">通过中国海关报关验放进入中国境内且产自中国境外的产品不在本项目的报价范围。</w:t>
      </w:r>
      <w:r/>
    </w:p>
    <w:p>
      <w:pPr>
        <w:numPr>
          <w:ilvl w:val="1"/>
          <w:numId w:val="1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w:t>
      </w:r>
      <w:r>
        <w:rPr>
          <w:rFonts w:hint="eastAsia" w:ascii="宋体" w:hAnsi="宋体" w:eastAsia="宋体" w:cs="Times New Roman"/>
          <w:bCs/>
          <w:color w:val="000000"/>
          <w:sz w:val="24"/>
          <w:szCs w:val="24"/>
        </w:rPr>
        <w:t xml:space="preserve">求后，方可销售或者提供。</w:t>
      </w:r>
      <w:r/>
    </w:p>
    <w:p>
      <w:pPr>
        <w:numPr>
          <w:ilvl w:val="1"/>
          <w:numId w:val="1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投标人必须在满足招标文件要求的基础上进行报价，如有技术偏离请于投标偏离表中说明。</w:t>
      </w:r>
      <w:r/>
    </w:p>
    <w:p>
      <w:pPr>
        <w:numPr>
          <w:ilvl w:val="1"/>
          <w:numId w:val="1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完工期：合同签订后</w:t>
      </w:r>
      <w:bookmarkStart w:id="200" w:name="_Hlk186808946"/>
      <w:r>
        <w:rPr>
          <w:rFonts w:hint="eastAsia" w:ascii="宋体" w:hAnsi="宋体" w:eastAsia="宋体" w:cs="Times New Roman"/>
          <w:bCs/>
          <w:color w:val="000000"/>
          <w:sz w:val="24"/>
          <w:szCs w:val="24"/>
        </w:rPr>
        <w:t xml:space="preserve">6个月内</w:t>
      </w:r>
      <w:bookmarkEnd w:id="200"/>
      <w:r>
        <w:rPr>
          <w:rFonts w:hint="eastAsia" w:ascii="宋体" w:hAnsi="宋体" w:eastAsia="宋体" w:cs="Times New Roman"/>
          <w:bCs/>
          <w:color w:val="000000"/>
          <w:sz w:val="24"/>
          <w:szCs w:val="24"/>
        </w:rPr>
        <w:t xml:space="preserve">完工，开始试运行。</w:t>
      </w:r>
      <w:r/>
    </w:p>
    <w:p>
      <w:pPr>
        <w:numPr>
          <w:ilvl w:val="1"/>
          <w:numId w:val="1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项目整体质保期：竣工验收通过之日起提供3年整体运维服务</w:t>
      </w:r>
      <w:r>
        <w:rPr>
          <w:rFonts w:hint="eastAsia" w:ascii="宋体" w:hAnsi="宋体" w:eastAsia="宋体" w:cs="Times New Roman"/>
          <w:bCs/>
          <w:color w:val="000000"/>
          <w:sz w:val="24"/>
          <w:szCs w:val="24"/>
          <w:lang w:eastAsia="zh-CN"/>
        </w:rPr>
        <w:t xml:space="preserve">和</w:t>
      </w:r>
      <w:r>
        <w:rPr>
          <w:rFonts w:hint="eastAsia" w:ascii="宋体" w:hAnsi="宋体" w:eastAsia="宋体" w:cs="Times New Roman"/>
          <w:bCs/>
          <w:color w:val="000000"/>
          <w:sz w:val="24"/>
          <w:szCs w:val="24"/>
        </w:rPr>
        <w:t xml:space="preserve">3年质保服务</w:t>
      </w:r>
      <w:r>
        <w:rPr>
          <w:rFonts w:hint="eastAsia" w:ascii="宋体" w:hAnsi="宋体" w:eastAsia="宋体" w:cs="Times New Roman"/>
          <w:bCs/>
          <w:color w:val="000000"/>
          <w:sz w:val="24"/>
          <w:szCs w:val="24"/>
          <w:lang w:eastAsia="zh-CN"/>
        </w:rPr>
        <w:t xml:space="preserve">。</w:t>
      </w:r>
      <w:r/>
    </w:p>
    <w:p>
      <w:pPr>
        <w:numPr>
          <w:ilvl w:val="1"/>
          <w:numId w:val="1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付款方式：合同签订20个工作日内，中标人应提供项目工作说明书（应包含但不限于需求调研报告、需求确认单和需求规格说明书等）经采购人确认通过后10个工作日内支付合同总额的20%；项目通过初验之日起10个工作日内支付合同总额的15%</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rPr>
        <w:t xml:space="preserve">项目通过竣工验收之日起10个工作日内支付合同总额的20%</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rPr>
        <w:t xml:space="preserve">项目通过竣工验收后，每满一年并通过采购人考评后10个工作日内根据考评结果最多支付合同总额的15%。</w:t>
      </w:r>
      <w:r/>
    </w:p>
    <w:p>
      <w:pPr>
        <w:numPr>
          <w:ilvl w:val="1"/>
          <w:numId w:val="1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中标（成交）供应商以履约保函（保险）形式按签约合同价的10%提供履约担保。中标（成交）供应商可采用电子履约保函（保险）形式,具体操作可登录江苏政府采购网的保险保函模块进行办理。</w:t>
      </w:r>
      <w:r/>
    </w:p>
    <w:p>
      <w:pPr>
        <w:numPr>
          <w:ilvl w:val="1"/>
          <w:numId w:val="1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本项目合同履行地点：无锡市新吴区，具体地点以合同书约定为准。中标方必须按采购人要求将本项目中货物送到指定地点(包括可能的分布范围)，并分地实施安装调试。</w:t>
      </w:r>
      <w:r/>
    </w:p>
    <w:p>
      <w:pPr>
        <w:numPr>
          <w:ilvl w:val="1"/>
          <w:numId w:val="18"/>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1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1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1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8"/>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19"/>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9"/>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19"/>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9"/>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19"/>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19"/>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1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1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1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201" w:name="OLE_LINK2"/>
      <w:r/>
      <w:bookmarkStart w:id="202" w:name="OLE_LINK1"/>
      <w:r>
        <w:rPr>
          <w:rFonts w:hint="eastAsia" w:ascii="宋体"/>
          <w:bCs/>
          <w:sz w:val="24"/>
          <w:szCs w:val="24"/>
        </w:rPr>
        <w:t xml:space="preserve">《保障中小企业款项支付条例》（中华人民共和国国务院令第802号）</w:t>
      </w:r>
      <w:bookmarkEnd w:id="201"/>
      <w:r/>
      <w:bookmarkEnd w:id="202"/>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机关、事业单位和大型企业采购货物、工程、服务支付中小企业款项，应当遵守</w:t>
      </w:r>
      <w:r>
        <w:rPr>
          <w:rFonts w:hint="eastAsia" w:ascii="宋体"/>
          <w:bCs/>
          <w:sz w:val="24"/>
          <w:szCs w:val="24"/>
          <w:highlight w:val="none"/>
          <w:lang w:val="en"/>
        </w:rPr>
        <w:t xml:space="preserve">《保障中小企业款项支付条例》（中华人民共和国国务院令第802号）。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203" w:name="_Toc120614281"/>
      <w:r>
        <w:rPr>
          <w:rFonts w:hint="eastAsia" w:ascii="黑体" w:hAnsi="黑体" w:eastAsia="黑体"/>
          <w:sz w:val="36"/>
          <w:szCs w:val="36"/>
        </w:rPr>
        <w:t xml:space="preserve">第五章  评标方法与评标标准</w:t>
      </w:r>
      <w:r/>
    </w:p>
    <w:p>
      <w:pPr>
        <w:pStyle w:val="970"/>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70"/>
        <w:spacing w:before="0" w:after="0" w:line="500" w:lineRule="exact"/>
        <w:rPr>
          <w:rFonts w:hint="eastAsia" w:cs="Arial"/>
        </w:rPr>
      </w:pPr>
      <w:r>
        <w:rPr>
          <w:rFonts w:hint="eastAsia" w:cs="Arial"/>
        </w:rPr>
        <w:t xml:space="preserve">投标人通过初审的，方可进入比较与评价程序。</w:t>
      </w:r>
      <w:r/>
    </w:p>
    <w:p>
      <w:pPr>
        <w:pStyle w:val="970"/>
        <w:spacing w:before="0" w:after="0" w:line="500" w:lineRule="exact"/>
        <w:rPr>
          <w:rFonts w:hint="eastAsia" w:cs="Arial"/>
        </w:rPr>
      </w:pPr>
      <w:r>
        <w:rPr>
          <w:rFonts w:hint="eastAsia" w:cs="Arial"/>
        </w:rPr>
        <w:t xml:space="preserve">比较与评价采用综合评分法。</w:t>
      </w:r>
      <w:r/>
    </w:p>
    <w:p>
      <w:pPr>
        <w:pStyle w:val="970"/>
        <w:spacing w:before="0" w:after="0" w:line="500" w:lineRule="exact"/>
        <w:rPr>
          <w:rStyle w:val="932"/>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70"/>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70"/>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70"/>
        <w:ind w:firstLine="562"/>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w:t>
      </w:r>
      <w:r>
        <w:rPr>
          <w:rFonts w:hint="eastAsia" w:ascii="宋体" w:hAnsi="宋体"/>
          <w:bCs/>
          <w:sz w:val="24"/>
          <w:szCs w:val="24"/>
        </w:rPr>
        <w:t xml:space="preserve">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1.2</w:t>
      </w:r>
      <w:r>
        <w:rPr>
          <w:rFonts w:hint="eastAsia" w:ascii="宋体" w:hAnsi="宋体"/>
          <w:bCs/>
          <w:sz w:val="24"/>
          <w:szCs w:val="24"/>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1.3</w:t>
      </w:r>
      <w:r>
        <w:rPr>
          <w:rFonts w:hint="eastAsia" w:ascii="宋体" w:hAnsi="宋体"/>
          <w:bCs/>
          <w:sz w:val="24"/>
          <w:szCs w:val="24"/>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1.4</w:t>
      </w:r>
      <w:r>
        <w:rPr>
          <w:rFonts w:hint="eastAsia" w:ascii="宋体" w:hAnsi="宋体"/>
          <w:bCs/>
          <w:color w:val="000000"/>
          <w:sz w:val="24"/>
          <w:szCs w:val="24"/>
        </w:rPr>
        <w:t xml:space="preserve">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1.5</w:t>
      </w:r>
      <w:r>
        <w:rPr>
          <w:rFonts w:hint="eastAsia" w:ascii="宋体" w:hAnsi="宋体"/>
          <w:bCs/>
          <w:sz w:val="24"/>
          <w:szCs w:val="24"/>
        </w:rPr>
        <w:t xml:space="preserve">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ind w:firstLine="420"/>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2.对本国产品的支持政策（仅适用于采购包1）：根据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w:t>
      </w:r>
      <w:r>
        <w:rPr>
          <w:rFonts w:hint="eastAsia" w:ascii="宋体" w:hAnsi="宋体"/>
          <w:b/>
          <w:bCs/>
          <w:color w:val="000000"/>
          <w:sz w:val="24"/>
          <w:szCs w:val="24"/>
          <w:highlight w:val="none"/>
          <w:lang w:val="en-US" w:eastAsia="zh-CN"/>
        </w:rPr>
        <w:t xml:space="preserve">予</w:t>
      </w:r>
      <w:r>
        <w:rPr>
          <w:rFonts w:hint="eastAsia" w:ascii="宋体" w:hAnsi="宋体"/>
          <w:b/>
          <w:bCs/>
          <w:color w:val="000000"/>
          <w:sz w:val="24"/>
          <w:szCs w:val="24"/>
          <w:highlight w:val="none"/>
        </w:rPr>
        <w:t xml:space="preserve">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pStyle w:val="893"/>
        <w:rPr>
          <w:highlight w:val="none"/>
        </w:rPr>
      </w:pPr>
      <w:r>
        <w:rPr>
          <w:rFonts w:hint="eastAsia" w:ascii="宋体" w:hAnsi="宋体"/>
          <w:bCs/>
          <w:color w:val="000000"/>
          <w:sz w:val="24"/>
          <w:szCs w:val="24"/>
          <w:highlight w:val="none"/>
        </w:rPr>
        <w:t xml:space="preserve">1000000×[1-（10%+20%）]=700000元</w:t>
      </w:r>
      <w:r/>
    </w:p>
    <w:p>
      <w:pPr>
        <w:pStyle w:val="970"/>
        <w:ind w:firstLine="422"/>
        <w:spacing w:before="0" w:after="0" w:line="500" w:lineRule="exact"/>
        <w:rPr>
          <w:rFonts w:hint="eastAsia" w:ascii="宋体" w:hAnsi="宋体"/>
          <w:b/>
          <w:sz w:val="28"/>
          <w:szCs w:val="28"/>
        </w:rPr>
      </w:pPr>
      <w:r>
        <w:rPr>
          <w:rFonts w:hint="eastAsia" w:ascii="宋体" w:hAnsi="宋体"/>
          <w:b/>
          <w:sz w:val="28"/>
          <w:szCs w:val="28"/>
        </w:rPr>
        <w:t xml:space="preserve">二、评分标准</w:t>
      </w:r>
      <w:r/>
    </w:p>
    <w:p>
      <w:pPr>
        <w:pStyle w:val="970"/>
        <w:ind w:firstLine="422"/>
        <w:spacing w:before="0" w:after="0" w:line="500" w:lineRule="exact"/>
        <w:rPr>
          <w:rFonts w:hint="eastAsia" w:ascii="宋体" w:hAnsi="宋体"/>
          <w:b/>
          <w:color w:val="auto"/>
          <w:sz w:val="28"/>
          <w:szCs w:val="28"/>
          <w:u w:val="single"/>
        </w:rPr>
      </w:pPr>
      <w:r>
        <w:rPr>
          <w:rFonts w:hint="eastAsia" w:ascii="宋体" w:hAnsi="宋体"/>
          <w:b/>
          <w:color w:val="auto"/>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970"/>
        <w:ind w:firstLine="422"/>
        <w:spacing w:before="0" w:after="0" w:line="500" w:lineRule="exact"/>
        <w:rPr>
          <w:rFonts w:hint="eastAsia" w:ascii="宋体" w:hAnsi="宋体"/>
          <w:b/>
          <w:color w:val="auto"/>
          <w:sz w:val="28"/>
          <w:szCs w:val="28"/>
        </w:rPr>
      </w:pPr>
      <w:r>
        <w:rPr>
          <w:rFonts w:hint="eastAsia" w:ascii="宋体" w:hAnsi="宋体"/>
          <w:b/>
          <w:color w:val="auto"/>
          <w:sz w:val="28"/>
          <w:szCs w:val="28"/>
        </w:rPr>
        <w:t xml:space="preserve">（一）商务部分（</w:t>
      </w:r>
      <w:r>
        <w:rPr>
          <w:rFonts w:hint="eastAsia" w:ascii="宋体" w:hAnsi="宋体"/>
          <w:b/>
          <w:color w:val="auto"/>
          <w:sz w:val="28"/>
          <w:szCs w:val="28"/>
          <w:lang w:val="en-US" w:eastAsia="zh-CN"/>
        </w:rPr>
        <w:t xml:space="preserve">60</w:t>
      </w:r>
      <w:r>
        <w:rPr>
          <w:rFonts w:hint="eastAsia" w:ascii="宋体" w:hAnsi="宋体"/>
          <w:b/>
          <w:color w:val="auto"/>
          <w:sz w:val="28"/>
          <w:szCs w:val="28"/>
        </w:rPr>
        <w:t xml:space="preserve">分）</w:t>
      </w:r>
      <w:r/>
    </w:p>
    <w:p>
      <w:pPr>
        <w:numPr>
          <w:ilvl w:val="4"/>
          <w:numId w:val="20"/>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30</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numPr>
          <w:ilvl w:val="4"/>
          <w:numId w:val="20"/>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eastAsia="宋体"/>
          <w:b/>
          <w:bCs/>
          <w:sz w:val="24"/>
          <w:szCs w:val="24"/>
        </w:rPr>
      </w:pPr>
      <w:r>
        <w:rPr>
          <w:rFonts w:hint="eastAsia" w:ascii="宋体" w:hAnsi="宋体" w:eastAsia="宋体"/>
          <w:b/>
          <w:bCs/>
          <w:sz w:val="24"/>
          <w:szCs w:val="24"/>
        </w:rPr>
        <w:t xml:space="preserve">投标人综合情况（</w:t>
      </w:r>
      <w:r>
        <w:rPr>
          <w:rFonts w:ascii="宋体" w:hAnsi="宋体" w:eastAsia="宋体"/>
          <w:b/>
          <w:bCs/>
          <w:sz w:val="24"/>
          <w:szCs w:val="24"/>
        </w:rPr>
        <w:t xml:space="preserve">1</w:t>
      </w:r>
      <w:r>
        <w:rPr>
          <w:rFonts w:hint="eastAsia" w:ascii="宋体" w:hAnsi="宋体" w:eastAsia="宋体"/>
          <w:b/>
          <w:bCs/>
          <w:sz w:val="24"/>
          <w:szCs w:val="24"/>
        </w:rPr>
        <w:t xml:space="preserve">4分）</w:t>
      </w:r>
      <w:r/>
    </w:p>
    <w:p>
      <w:pPr>
        <w:ind w:left="482"/>
        <w:spacing w:line="500" w:lineRule="exact"/>
        <w:rPr>
          <w:rFonts w:hint="eastAsia" w:ascii="宋体" w:hAnsi="宋体" w:eastAsia="宋体" w:cs="仿宋"/>
          <w:b/>
          <w:bCs/>
          <w:sz w:val="24"/>
          <w:szCs w:val="24"/>
        </w:rPr>
        <w:outlineLvl w:val="3"/>
      </w:pPr>
      <w:r>
        <w:rPr>
          <w:rFonts w:hint="eastAsia" w:ascii="宋体" w:hAnsi="宋体" w:eastAsia="宋体" w:cs="仿宋"/>
          <w:b/>
          <w:bCs/>
          <w:sz w:val="24"/>
          <w:szCs w:val="24"/>
        </w:rPr>
        <w:t xml:space="preserve">（1）业绩（4分）</w:t>
      </w:r>
      <w:r/>
    </w:p>
    <w:p>
      <w:pPr>
        <w:pStyle w:val="998"/>
        <w:ind w:firstLine="480"/>
        <w:spacing w:line="500" w:lineRule="exact"/>
        <w:rPr>
          <w:rFonts w:hint="eastAsia" w:ascii="宋体" w:hAnsi="宋体" w:cs="仿宋"/>
          <w:szCs w:val="24"/>
        </w:rPr>
      </w:pPr>
      <w:r>
        <w:rPr>
          <w:rFonts w:hint="eastAsia" w:ascii="宋体" w:hAnsi="宋体" w:cs="仿宋"/>
          <w:szCs w:val="24"/>
        </w:rPr>
        <w:t xml:space="preserve">投标人自2023年1月1日以来（以合同签订日期为准）具有与本项目类似的成功案例，每提供1份得1分，最高得4分。投标时需提供对应项目的有效合同扫描件并加盖投标人公章，否则不得分。</w:t>
      </w:r>
      <w:r/>
    </w:p>
    <w:p>
      <w:pPr>
        <w:ind w:left="482"/>
        <w:spacing w:line="500" w:lineRule="exact"/>
        <w:rPr>
          <w:rFonts w:hint="eastAsia" w:ascii="宋体" w:hAnsi="宋体" w:eastAsia="宋体" w:cs="仿宋"/>
          <w:b/>
          <w:bCs/>
          <w:sz w:val="24"/>
          <w:szCs w:val="24"/>
        </w:rPr>
        <w:outlineLvl w:val="3"/>
      </w:pPr>
      <w:r>
        <w:rPr>
          <w:rFonts w:hint="eastAsia" w:ascii="宋体" w:hAnsi="宋体" w:eastAsia="宋体" w:cs="仿宋"/>
          <w:b/>
          <w:bCs/>
          <w:sz w:val="24"/>
          <w:szCs w:val="24"/>
        </w:rPr>
        <w:t xml:space="preserve">（2）体系及能力认证（6分）</w:t>
      </w:r>
      <w:r/>
    </w:p>
    <w:p>
      <w:pPr>
        <w:pStyle w:val="998"/>
        <w:ind w:firstLine="480"/>
        <w:spacing w:line="500" w:lineRule="exact"/>
        <w:rPr>
          <w:rFonts w:hint="eastAsia" w:ascii="宋体" w:hAnsi="宋体" w:cs="仿宋"/>
          <w:szCs w:val="24"/>
        </w:rPr>
      </w:pPr>
      <w:r>
        <w:rPr>
          <w:rFonts w:hint="eastAsia" w:ascii="宋体" w:hAnsi="宋体" w:cs="仿宋"/>
          <w:szCs w:val="24"/>
        </w:rPr>
        <w:t xml:space="preserve">A.投标人具有质量管理体系认证证书、环境管理体系认证证书、职业健康安全管理体系认证证书及信息技术服务管理体系认证证书的，每提供1份证书得1分，最高得4分。投标时需提供有效证书扫描件并加盖投标人公章，否则不得分。</w:t>
      </w:r>
      <w:r/>
    </w:p>
    <w:p>
      <w:pPr>
        <w:pStyle w:val="998"/>
        <w:ind w:firstLine="480"/>
        <w:spacing w:line="500" w:lineRule="exact"/>
        <w:rPr>
          <w:rFonts w:hint="eastAsia" w:ascii="宋体" w:hAnsi="宋体" w:cs="仿宋"/>
          <w:szCs w:val="24"/>
        </w:rPr>
      </w:pPr>
      <w:r>
        <w:rPr>
          <w:rFonts w:hint="eastAsia" w:ascii="宋体" w:hAnsi="宋体" w:cs="仿宋"/>
          <w:szCs w:val="24"/>
        </w:rPr>
        <w:t xml:space="preserve">B.投标人具有信息技术服务标准符合性证书（ITSS证书）四级的得1分，三级及以上的得2分，最高得2分。投标时需提供有效证书扫描件并加盖投标人公章，否则不得分。</w:t>
      </w:r>
      <w:r/>
    </w:p>
    <w:p>
      <w:pPr>
        <w:ind w:left="482"/>
        <w:spacing w:line="500" w:lineRule="exact"/>
        <w:rPr>
          <w:rFonts w:hint="eastAsia" w:ascii="宋体" w:hAnsi="宋体" w:eastAsia="宋体" w:cs="仿宋"/>
          <w:b/>
          <w:bCs/>
          <w:sz w:val="24"/>
          <w:szCs w:val="24"/>
        </w:rPr>
        <w:outlineLvl w:val="3"/>
      </w:pPr>
      <w:r>
        <w:rPr>
          <w:rFonts w:hint="eastAsia" w:ascii="宋体" w:hAnsi="宋体" w:eastAsia="宋体" w:cs="仿宋"/>
          <w:b/>
          <w:bCs/>
          <w:sz w:val="24"/>
          <w:szCs w:val="24"/>
        </w:rPr>
        <w:t xml:space="preserve">（</w:t>
      </w:r>
      <w:r>
        <w:rPr>
          <w:rFonts w:ascii="宋体" w:hAnsi="宋体" w:eastAsia="宋体" w:cs="仿宋"/>
          <w:b/>
          <w:bCs/>
          <w:sz w:val="24"/>
          <w:szCs w:val="24"/>
        </w:rPr>
        <w:t xml:space="preserve">3）服务能力承诺（2分）</w:t>
      </w:r>
      <w:r/>
    </w:p>
    <w:p>
      <w:pPr>
        <w:pStyle w:val="998"/>
        <w:ind w:firstLine="480"/>
        <w:spacing w:line="500" w:lineRule="exact"/>
        <w:rPr>
          <w:rFonts w:hint="eastAsia" w:ascii="宋体" w:hAnsi="宋体" w:cs="仿宋"/>
          <w:szCs w:val="24"/>
        </w:rPr>
      </w:pPr>
      <w:r>
        <w:rPr>
          <w:rFonts w:hint="eastAsia" w:ascii="宋体" w:hAnsi="宋体" w:cs="仿宋"/>
          <w:szCs w:val="24"/>
        </w:rPr>
        <w:t xml:space="preserve">为保障本项目的顺利实施，投标人承诺接到采购人故障申报后1小时内做出反应，并提供解决方案；若不能排除故障，在2小时内赶赴现场解决，能够满足的，得2分。投标时需提供承诺函扫描件并加盖投标人公章，否则不得分。</w:t>
      </w:r>
      <w:r/>
    </w:p>
    <w:p>
      <w:pPr>
        <w:ind w:left="482"/>
        <w:spacing w:line="500" w:lineRule="exact"/>
        <w:rPr>
          <w:rFonts w:hint="eastAsia" w:ascii="宋体" w:hAnsi="宋体" w:cs="仿宋"/>
          <w:szCs w:val="24"/>
        </w:rPr>
        <w:outlineLvl w:val="3"/>
      </w:pPr>
      <w:r>
        <w:rPr>
          <w:rFonts w:hint="eastAsia" w:ascii="宋体" w:hAnsi="宋体" w:eastAsia="宋体" w:cs="仿宋"/>
          <w:b/>
          <w:bCs/>
          <w:sz w:val="24"/>
          <w:szCs w:val="24"/>
        </w:rPr>
        <w:t xml:space="preserve">（4</w:t>
      </w:r>
      <w:r>
        <w:rPr>
          <w:rFonts w:ascii="宋体" w:hAnsi="宋体" w:eastAsia="宋体" w:cs="仿宋"/>
          <w:b/>
          <w:bCs/>
          <w:sz w:val="24"/>
          <w:szCs w:val="24"/>
        </w:rPr>
        <w:t xml:space="preserve">）</w:t>
      </w:r>
      <w:r>
        <w:rPr>
          <w:rFonts w:hint="eastAsia" w:ascii="宋体" w:hAnsi="宋体" w:eastAsia="宋体" w:cs="仿宋"/>
          <w:b/>
          <w:bCs/>
          <w:sz w:val="24"/>
          <w:szCs w:val="24"/>
        </w:rPr>
        <w:t xml:space="preserve">本地化服务</w:t>
      </w:r>
      <w:r>
        <w:rPr>
          <w:rFonts w:ascii="宋体" w:hAnsi="宋体" w:eastAsia="宋体" w:cs="仿宋"/>
          <w:b/>
          <w:bCs/>
          <w:sz w:val="24"/>
          <w:szCs w:val="24"/>
        </w:rPr>
        <w:t xml:space="preserve">（2分）</w:t>
      </w:r>
      <w:r/>
    </w:p>
    <w:p>
      <w:pPr>
        <w:pStyle w:val="998"/>
        <w:ind w:firstLine="480"/>
        <w:spacing w:line="500" w:lineRule="exact"/>
        <w:rPr>
          <w:rFonts w:hint="eastAsia" w:ascii="宋体" w:hAnsi="宋体" w:cs="仿宋"/>
          <w:szCs w:val="24"/>
        </w:rPr>
      </w:pPr>
      <w:r>
        <w:rPr>
          <w:rFonts w:hint="eastAsia" w:ascii="宋体" w:hAnsi="宋体" w:cs="仿宋"/>
          <w:szCs w:val="24"/>
        </w:rPr>
        <w:t xml:space="preserve">本地投标人无需提供相关材料。投标人不在本地的，承诺中标后将派驻本地服务团队，确保在合同执行期间能够快速响应并提供高效、贴近用户服务的，得2分。投标时需提供本地化服务承诺函扫描件并加盖投标人公章，否则不得分。</w:t>
      </w:r>
      <w:r/>
    </w:p>
    <w:p>
      <w:pPr>
        <w:numPr>
          <w:ilvl w:val="4"/>
          <w:numId w:val="20"/>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eastAsia="宋体"/>
          <w:b/>
          <w:bCs/>
          <w:sz w:val="24"/>
          <w:szCs w:val="24"/>
        </w:rPr>
      </w:pPr>
      <w:r>
        <w:rPr>
          <w:rFonts w:hint="eastAsia" w:ascii="宋体" w:hAnsi="宋体" w:eastAsia="宋体"/>
          <w:b/>
          <w:bCs/>
          <w:sz w:val="24"/>
          <w:szCs w:val="24"/>
        </w:rPr>
        <w:t xml:space="preserve">项目人员配置（6分）</w:t>
      </w:r>
      <w:r/>
    </w:p>
    <w:p>
      <w:pPr>
        <w:pStyle w:val="998"/>
        <w:ind w:firstLine="480"/>
        <w:spacing w:line="500" w:lineRule="exact"/>
        <w:rPr>
          <w:rFonts w:hint="eastAsia" w:ascii="宋体" w:hAnsi="宋体" w:cs="仿宋"/>
          <w:szCs w:val="24"/>
        </w:rPr>
      </w:pPr>
      <w:r>
        <w:rPr>
          <w:rFonts w:hint="eastAsia" w:ascii="宋体" w:hAnsi="宋体" w:cs="仿宋"/>
          <w:szCs w:val="24"/>
        </w:rPr>
        <w:t xml:space="preserve">考察投标人为本项目配备的人员情况，人员以填列的《项目人员配置清单》为准，并按评分标准要求提供相应证明材料及表格要求提供所填人员社保证明，否则不得分。</w:t>
      </w:r>
      <w:r/>
    </w:p>
    <w:p>
      <w:pPr>
        <w:pStyle w:val="998"/>
        <w:ind w:firstLine="480"/>
        <w:spacing w:line="500" w:lineRule="exact"/>
        <w:rPr>
          <w:rFonts w:hint="eastAsia" w:ascii="宋体" w:hAnsi="宋体" w:cs="仿宋"/>
          <w:szCs w:val="24"/>
        </w:rPr>
      </w:pPr>
      <w:r>
        <w:rPr>
          <w:rFonts w:hint="eastAsia" w:ascii="宋体" w:hAnsi="宋体" w:cs="仿宋"/>
          <w:szCs w:val="24"/>
        </w:rPr>
        <w:t xml:space="preserve">投标人需提供近一年中任意一个月(不含投标当月)为持证人员缴纳社保的证明扫描件（由相关主管部门出具，新成立公司除外）并加盖投标人公章。上述材料不提供或提供不全不得分。</w:t>
      </w:r>
      <w:r/>
    </w:p>
    <w:p>
      <w:pPr>
        <w:ind w:left="482"/>
        <w:spacing w:line="500" w:lineRule="exact"/>
        <w:rPr>
          <w:rFonts w:hint="eastAsia" w:ascii="宋体" w:hAnsi="宋体" w:eastAsia="宋体" w:cs="仿宋"/>
          <w:b/>
          <w:bCs/>
          <w:sz w:val="24"/>
          <w:szCs w:val="24"/>
        </w:rPr>
        <w:outlineLvl w:val="3"/>
      </w:pPr>
      <w:r>
        <w:rPr>
          <w:rFonts w:hint="eastAsia" w:ascii="宋体" w:hAnsi="宋体" w:eastAsia="宋体" w:cs="仿宋"/>
          <w:b/>
          <w:bCs/>
          <w:sz w:val="24"/>
          <w:szCs w:val="24"/>
        </w:rPr>
        <w:t xml:space="preserve">（1）项目负责人（2分）</w:t>
      </w:r>
      <w:r/>
    </w:p>
    <w:p>
      <w:pPr>
        <w:pStyle w:val="998"/>
        <w:ind w:firstLine="480"/>
        <w:spacing w:line="500" w:lineRule="exact"/>
        <w:rPr>
          <w:rFonts w:hint="eastAsia" w:ascii="宋体" w:hAnsi="宋体" w:cs="仿宋"/>
          <w:sz w:val="24"/>
          <w:szCs w:val="24"/>
        </w:rPr>
      </w:pPr>
      <w:r>
        <w:rPr>
          <w:rFonts w:hint="eastAsia" w:ascii="宋体" w:hAnsi="宋体" w:cs="仿宋"/>
          <w:szCs w:val="24"/>
        </w:rPr>
        <w:t xml:space="preserve">投标人为本项目实施服务配备1名项目负责人，具有信息系统项目管理师（高级）证书</w:t>
      </w:r>
      <w:r>
        <w:rPr>
          <w:rFonts w:hint="eastAsia" w:ascii="宋体" w:hAnsi="宋体" w:cs="仿宋"/>
          <w:sz w:val="24"/>
          <w:szCs w:val="24"/>
        </w:rPr>
        <w:t xml:space="preserve">、系统规划与管理师(高级)证书、系统架构设计师（高级）证书的，每提供1种证书得1分，3个证书提供2个即可，最高得2分。投标时需提供有效证书扫描件并加盖投标人公章，否则不得分。</w:t>
      </w:r>
      <w:r/>
    </w:p>
    <w:p>
      <w:pPr>
        <w:ind w:left="482"/>
        <w:spacing w:line="500" w:lineRule="exact"/>
        <w:rPr>
          <w:rFonts w:hint="eastAsia" w:ascii="宋体" w:hAnsi="宋体" w:cs="仿宋"/>
          <w:sz w:val="24"/>
          <w:szCs w:val="24"/>
        </w:rPr>
        <w:outlineLvl w:val="3"/>
      </w:pPr>
      <w:r>
        <w:rPr>
          <w:rFonts w:hint="eastAsia" w:ascii="宋体" w:hAnsi="宋体" w:eastAsia="宋体" w:cs="仿宋"/>
          <w:b/>
          <w:bCs/>
          <w:sz w:val="24"/>
          <w:szCs w:val="24"/>
        </w:rPr>
        <w:t xml:space="preserve">（2）其他人员（4分）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仿宋"/>
          <w:sz w:val="24"/>
          <w:szCs w:val="24"/>
          <w:lang w:val="en-US" w:eastAsia="zh-CN" w:bidi="ar-SA"/>
        </w:rPr>
      </w:pPr>
      <w:r>
        <w:rPr>
          <w:rFonts w:hint="eastAsia" w:ascii="宋体" w:hAnsi="宋体" w:eastAsia="宋体" w:cs="仿宋"/>
          <w:sz w:val="24"/>
          <w:szCs w:val="24"/>
          <w:lang w:val="en-US" w:eastAsia="zh-CN" w:bidi="ar-SA"/>
        </w:rPr>
        <w:t xml:space="preserve">投标人拟参与本项目的其他人员（不包含项目负责人），具有信息系统项目管理师（高级）证书、系统规划与管理师（高级）证书、软件设计师（中级）证书、ITSS认证的IT服务项目经理证书、ITSS认证的IT服务工程师证书的，每提供1份证书得1分，5个证书提供4个即可，最高得4分。投标时需提供有效证书扫描件并加盖投标人公章，否则不得分。同一人员具有多种证书的只计算一次，不重复得分。</w:t>
      </w:r>
      <w:r/>
    </w:p>
    <w:p>
      <w:pPr>
        <w:numPr>
          <w:ilvl w:val="4"/>
          <w:numId w:val="20"/>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eastAsia="宋体"/>
          <w:b/>
          <w:bCs/>
          <w:sz w:val="24"/>
          <w:szCs w:val="24"/>
        </w:rPr>
      </w:pPr>
      <w:r>
        <w:rPr>
          <w:rFonts w:hint="eastAsia" w:ascii="宋体" w:hAnsi="宋体" w:eastAsia="宋体"/>
          <w:b/>
          <w:bCs/>
          <w:sz w:val="24"/>
          <w:szCs w:val="24"/>
        </w:rPr>
        <w:t xml:space="preserve">系统演示（10分）</w:t>
      </w:r>
      <w:r/>
    </w:p>
    <w:p>
      <w:pPr>
        <w:numPr>
          <w:ilvl w:val="0"/>
          <w:numId w:val="0"/>
        </w:numPr>
        <w:ind w:firstLine="480"/>
        <w:spacing w:line="500" w:lineRule="exact"/>
        <w:tabs>
          <w:tab w:val="left" w:pos="525" w:leader="none"/>
          <w:tab w:val="left" w:pos="945" w:leader="none"/>
          <w:tab w:val="left" w:pos="1155" w:leader="none"/>
        </w:tabs>
        <w:rPr>
          <w:rFonts w:ascii="宋体"/>
          <w:b/>
          <w:bCs/>
          <w:sz w:val="24"/>
          <w:szCs w:val="24"/>
        </w:rPr>
      </w:pPr>
      <w:r>
        <w:rPr>
          <w:rFonts w:hint="eastAsia" w:ascii="宋体" w:hAnsi="宋体" w:eastAsia="宋体" w:cs="仿宋"/>
          <w:sz w:val="24"/>
          <w:szCs w:val="24"/>
        </w:rPr>
        <w:t xml:space="preserve">演示内容制作演示视频文件，演示时长总计不超过15分钟，要求功能完整、设置合理且全面，功能不完善或演示不全不得分。每满足1项得1分，满足其中10项即可，最高得10分。</w:t>
      </w:r>
      <w:r/>
    </w:p>
    <w:p>
      <w:pPr>
        <w:ind w:left="420" w:firstLine="480"/>
        <w:spacing w:line="500" w:lineRule="exact"/>
        <w:tabs>
          <w:tab w:val="left" w:pos="525" w:leader="none"/>
          <w:tab w:val="left" w:pos="945" w:leader="none"/>
          <w:tab w:val="left" w:pos="1155" w:leader="none"/>
        </w:tabs>
        <w:rPr>
          <w:rFonts w:ascii="宋体"/>
          <w:b/>
          <w:bCs/>
          <w:sz w:val="24"/>
          <w:szCs w:val="24"/>
        </w:rPr>
      </w:pPr>
      <w:r>
        <w:rPr>
          <w:rFonts w:hint="eastAsia" w:ascii="宋体" w:hAnsi="宋体"/>
          <w:bCs/>
          <w:sz w:val="24"/>
          <w:szCs w:val="24"/>
        </w:rPr>
        <w:t xml:space="preserve">投标人须按照招标文件规定的演示内容制作演示视频文件，演示视频中的演示形式必须是目前正在运行的真实环境或模拟环境、</w:t>
      </w:r>
      <w:r>
        <w:rPr>
          <w:rFonts w:hint="eastAsia" w:ascii="宋体" w:hAnsi="宋体"/>
          <w:bCs/>
          <w:sz w:val="24"/>
          <w:szCs w:val="24"/>
          <w:lang w:eastAsia="zh-CN"/>
        </w:rPr>
        <w:t xml:space="preserve">原型系统</w:t>
      </w:r>
      <w:r>
        <w:rPr>
          <w:rFonts w:hint="eastAsia" w:ascii="宋体" w:hAnsi="宋体"/>
          <w:bCs/>
          <w:sz w:val="24"/>
          <w:szCs w:val="24"/>
        </w:rPr>
        <w:t xml:space="preserve">，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根据投标人视频演示情况和以下功能得分点进行打分，未按要求进行演示或未提供演示视频的不得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具体演示内容如下：</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（1）演示锡新通PC门户中供需对接功能；</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（2）演示功能模块操作权限管理功能；</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（3）演示流程引擎支持可视化设计功能；</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（4）演示科技创新基金兑现系统引进外国高端人才（A类人才）奖励申报功能；</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（5）演示科技领军人才申报系统创业领军人才团队申报功能；</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（6）演示生物医药申报系统三类医疗器械产品注册证补贴申报功能；</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（7）演示新招引申报系统中仲裁功能；</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（8）演示飞凤人才申报系统中企业人才数据库功能；</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（9）演示飞凤人才申报系统中一事一议企业入库申报功能；</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（10）演示工业企业绩效评价系统中全区数据分析展示功能；</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（11）演示工业企业绩效评价系统中规上数据分析展示功能；</w:t>
      </w:r>
      <w:r/>
    </w:p>
    <w:p>
      <w:pPr>
        <w:ind w:firstLine="480"/>
        <w:spacing w:line="500" w:lineRule="exact"/>
        <w:rPr>
          <w:rFonts w:ascii="宋体" w:hAnsi="宋体"/>
          <w:color w:val="auto"/>
          <w:sz w:val="24"/>
        </w:rPr>
      </w:pPr>
      <w:r>
        <w:rPr>
          <w:rFonts w:hint="eastAsia" w:ascii="宋体" w:hAnsi="宋体" w:eastAsia="宋体" w:cs="仿宋"/>
          <w:color w:val="auto"/>
          <w:sz w:val="24"/>
          <w:szCs w:val="24"/>
        </w:rPr>
        <w:t xml:space="preserve">（12）演示入境特殊物品联合监管系统中白名单企业定期评价功能。</w:t>
      </w:r>
      <w:r>
        <w:rPr>
          <w:rFonts w:hint="eastAsia" w:ascii="宋体" w:hAnsi="宋体"/>
          <w:color w:val="auto"/>
          <w:sz w:val="24"/>
        </w:rPr>
        <w:t xml:space="preserve">  </w:t>
      </w:r>
      <w:r/>
    </w:p>
    <w:p>
      <w:pPr>
        <w:pStyle w:val="970"/>
        <w:ind w:left="0" w:firstLine="281"/>
        <w:spacing w:before="0" w:after="0" w:line="500" w:lineRule="exact"/>
        <w:rPr>
          <w:rFonts w:hint="eastAsia" w:ascii="宋体" w:hAnsi="宋体"/>
          <w:b/>
          <w:color w:val="auto"/>
          <w:sz w:val="28"/>
          <w:szCs w:val="28"/>
        </w:rPr>
      </w:pPr>
      <w:r>
        <w:rPr>
          <w:rFonts w:hint="eastAsia" w:ascii="宋体" w:hAnsi="宋体"/>
          <w:b/>
          <w:color w:val="auto"/>
          <w:sz w:val="28"/>
          <w:szCs w:val="28"/>
        </w:rPr>
        <w:t xml:space="preserve">（二）技术部分（</w:t>
      </w:r>
      <w:r>
        <w:rPr>
          <w:rFonts w:hint="eastAsia" w:ascii="宋体" w:hAnsi="宋体"/>
          <w:b/>
          <w:color w:val="auto"/>
          <w:sz w:val="28"/>
          <w:szCs w:val="28"/>
          <w:lang w:val="en-US" w:eastAsia="zh-CN"/>
        </w:rPr>
        <w:t xml:space="preserve">40</w:t>
      </w:r>
      <w:r>
        <w:rPr>
          <w:rFonts w:hint="eastAsia" w:ascii="宋体" w:hAnsi="宋体"/>
          <w:b/>
          <w:color w:val="auto"/>
          <w:sz w:val="28"/>
          <w:szCs w:val="28"/>
        </w:rPr>
        <w:t xml:space="preserve">分）</w:t>
      </w:r>
      <w:r/>
    </w:p>
    <w:p>
      <w:pPr>
        <w:pStyle w:val="970"/>
        <w:ind w:firstLine="422"/>
        <w:spacing w:before="0" w:after="0" w:line="500" w:lineRule="exact"/>
        <w:rPr>
          <w:rFonts w:hint="eastAsia" w:ascii="宋体" w:hAnsi="宋体"/>
          <w:b/>
          <w:color w:val="auto"/>
          <w:sz w:val="28"/>
          <w:szCs w:val="28"/>
          <w:u w:val="single"/>
        </w:rPr>
      </w:pPr>
      <w:r>
        <w:rPr>
          <w:rFonts w:hint="eastAsia" w:ascii="宋体" w:hAnsi="宋体"/>
          <w:b/>
          <w:color w:val="auto"/>
          <w:sz w:val="28"/>
          <w:szCs w:val="28"/>
          <w:u w:val="single"/>
        </w:rPr>
        <w:t xml:space="preserve">注：技术部分属于暗标，投标人在制作技术部分相关内容时不得有体现投标人身份的内容，否则投标无效。</w:t>
      </w:r>
      <w:r/>
    </w:p>
    <w:p>
      <w:pPr>
        <w:numPr>
          <w:ilvl w:val="4"/>
          <w:numId w:val="20"/>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eastAsia="宋体"/>
          <w:b/>
          <w:bCs/>
          <w:sz w:val="24"/>
          <w:szCs w:val="24"/>
        </w:rPr>
      </w:pPr>
      <w:r>
        <w:rPr>
          <w:rFonts w:hint="eastAsia" w:ascii="宋体" w:hAnsi="宋体" w:eastAsia="宋体"/>
          <w:b/>
          <w:bCs/>
          <w:sz w:val="24"/>
          <w:szCs w:val="24"/>
        </w:rPr>
        <w:t xml:space="preserve">项目方案（40分）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在响应采购文件需求的基础上针对下列各部分进行评价，要求体现科学合理性、条理性、可行性、完善性、针对性，无方案不得分。投标人编制项目方案时请按以下顺序编制，以便评审。</w:t>
      </w:r>
      <w:r/>
    </w:p>
    <w:p>
      <w:pPr>
        <w:numPr>
          <w:ilvl w:val="0"/>
          <w:numId w:val="0"/>
        </w:numPr>
        <w:spacing w:line="500" w:lineRule="exact"/>
        <w:rPr>
          <w:rFonts w:hint="eastAsia" w:ascii="宋体" w:hAnsi="宋体" w:eastAsia="宋体"/>
          <w:b/>
          <w:bCs/>
          <w:sz w:val="24"/>
          <w:szCs w:val="24"/>
        </w:rPr>
        <w:outlineLvl w:val="2"/>
      </w:pPr>
      <w:r>
        <w:rPr>
          <w:rFonts w:hint="eastAsia" w:ascii="宋体" w:hAnsi="宋体" w:eastAsia="宋体"/>
          <w:b/>
          <w:bCs/>
          <w:sz w:val="24"/>
          <w:szCs w:val="24"/>
          <w:lang w:val="en-US" w:eastAsia="zh-CN"/>
        </w:rPr>
        <w:t xml:space="preserve">1）</w:t>
      </w:r>
      <w:r>
        <w:rPr>
          <w:rFonts w:hint="eastAsia" w:ascii="宋体" w:hAnsi="宋体" w:eastAsia="宋体"/>
          <w:b/>
          <w:bCs/>
          <w:sz w:val="24"/>
          <w:szCs w:val="24"/>
        </w:rPr>
        <w:t xml:space="preserve">项目整体需求分析方案（8分）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考察投标人对项目背景及整体建设需求的理解和分析情况，内容包含但不限于：（1）项目概述；（2）项目背景和依据的理解和分析；（3）项目需求分析；（4）项目建设目标的理解和分析。</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方案完整，科学合理，设计清晰详细，完全符合本项目需求，且能够提供上述4项全部方案的，得8分；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方案较完整，科学合理性较强，设计较清晰详细，能够符合本项目需求，能够提供上述</w:t>
      </w:r>
      <w:r>
        <w:rPr>
          <w:rFonts w:hint="eastAsia" w:ascii="宋体" w:hAnsi="宋体" w:eastAsia="宋体" w:cs="仿宋"/>
          <w:sz w:val="24"/>
          <w:szCs w:val="24"/>
          <w:lang w:val="en-US" w:eastAsia="zh-CN"/>
        </w:rPr>
        <w:t xml:space="preserve">3</w:t>
      </w:r>
      <w:r>
        <w:rPr>
          <w:rFonts w:hint="eastAsia" w:ascii="宋体" w:hAnsi="宋体" w:eastAsia="宋体" w:cs="仿宋"/>
          <w:sz w:val="24"/>
          <w:szCs w:val="24"/>
        </w:rPr>
        <w:t xml:space="preserve">-4项方案的，得6分；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方案完整性一般，科学合理性一般，设计清晰详细程度一般，能够符合本项目需求，能够提供上述</w:t>
      </w:r>
      <w:r>
        <w:rPr>
          <w:rFonts w:ascii="宋体" w:hAnsi="宋体" w:eastAsia="宋体" w:cs="仿宋"/>
          <w:sz w:val="24"/>
          <w:szCs w:val="24"/>
        </w:rPr>
        <w:t xml:space="preserve">2</w:t>
      </w:r>
      <w:r>
        <w:rPr>
          <w:rFonts w:hint="eastAsia" w:ascii="宋体" w:hAnsi="宋体" w:eastAsia="宋体" w:cs="仿宋"/>
          <w:sz w:val="24"/>
          <w:szCs w:val="24"/>
        </w:rPr>
        <w:t xml:space="preserve">-4项方案的，得4分；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方案完整性、科学合理性、设计的清晰详细程度等只能基本满足要求，能够提供上述</w:t>
      </w:r>
      <w:r>
        <w:rPr>
          <w:rFonts w:hint="eastAsia" w:ascii="宋体" w:hAnsi="宋体" w:eastAsia="宋体" w:cs="仿宋"/>
          <w:sz w:val="24"/>
          <w:szCs w:val="24"/>
          <w:lang w:val="en-US" w:eastAsia="zh-CN"/>
        </w:rPr>
        <w:t xml:space="preserve">1</w:t>
      </w:r>
      <w:r>
        <w:rPr>
          <w:rFonts w:hint="eastAsia" w:ascii="宋体" w:hAnsi="宋体" w:eastAsia="宋体" w:cs="仿宋"/>
          <w:sz w:val="24"/>
          <w:szCs w:val="24"/>
        </w:rPr>
        <w:t xml:space="preserve">-4项方案的，得2分；</w:t>
      </w:r>
      <w:r/>
    </w:p>
    <w:p>
      <w:pPr>
        <w:ind w:firstLine="480"/>
        <w:spacing w:line="500" w:lineRule="exact"/>
        <w:rPr>
          <w:rFonts w:hint="eastAsia" w:ascii="宋体" w:hAnsi="宋体" w:eastAsia="宋体"/>
          <w:b/>
          <w:bCs/>
          <w:sz w:val="24"/>
          <w:szCs w:val="24"/>
        </w:rPr>
      </w:pPr>
      <w:r>
        <w:rPr>
          <w:rFonts w:hint="eastAsia" w:ascii="宋体" w:hAnsi="宋体" w:eastAsia="宋体" w:cs="仿宋"/>
          <w:sz w:val="24"/>
          <w:szCs w:val="24"/>
        </w:rPr>
        <w:t xml:space="preserve">无方案的，不得分。</w:t>
      </w:r>
      <w:r/>
    </w:p>
    <w:p>
      <w:pPr>
        <w:numPr>
          <w:ilvl w:val="0"/>
          <w:numId w:val="0"/>
        </w:numPr>
        <w:spacing w:line="500" w:lineRule="exact"/>
        <w:rPr>
          <w:rFonts w:hint="eastAsia" w:ascii="宋体" w:hAnsi="宋体" w:eastAsia="宋体"/>
          <w:b/>
          <w:bCs/>
          <w:sz w:val="24"/>
          <w:szCs w:val="24"/>
          <w:highlight w:val="none"/>
        </w:rPr>
        <w:outlineLvl w:val="2"/>
      </w:pPr>
      <w:r>
        <w:rPr>
          <w:rFonts w:hint="eastAsia" w:ascii="宋体" w:hAnsi="宋体" w:eastAsia="宋体"/>
          <w:b/>
          <w:bCs/>
          <w:sz w:val="24"/>
          <w:szCs w:val="24"/>
          <w:highlight w:val="none"/>
          <w:lang w:val="en-US" w:eastAsia="zh-CN"/>
        </w:rPr>
        <w:t xml:space="preserve">2）</w:t>
      </w:r>
      <w:r>
        <w:rPr>
          <w:rFonts w:hint="eastAsia" w:ascii="宋体" w:hAnsi="宋体" w:eastAsia="宋体"/>
          <w:b/>
          <w:bCs/>
          <w:sz w:val="24"/>
          <w:szCs w:val="24"/>
          <w:highlight w:val="none"/>
        </w:rPr>
        <w:t xml:space="preserve">总体设计方案（8分）</w:t>
      </w:r>
      <w:r/>
    </w:p>
    <w:p>
      <w:pPr>
        <w:ind w:firstLine="480"/>
        <w:spacing w:line="500" w:lineRule="exact"/>
        <w:rPr>
          <w:rFonts w:hint="default" w:ascii="宋体" w:hAnsi="宋体" w:eastAsia="宋体" w:cs="仿宋"/>
          <w:sz w:val="24"/>
          <w:szCs w:val="24"/>
          <w:lang w:val="en-US" w:eastAsia="zh-CN"/>
        </w:rPr>
      </w:pPr>
      <w:r>
        <w:rPr>
          <w:rFonts w:hint="eastAsia" w:ascii="宋体" w:hAnsi="宋体" w:eastAsia="宋体" w:cs="仿宋"/>
          <w:sz w:val="24"/>
          <w:szCs w:val="24"/>
        </w:rPr>
        <w:t xml:space="preserve">考察投标人的设计方案与现状的结合情况、平台衔接等方面，根据目前行业的技术趋势和标准编制总体设计方案，内容包含但不限于：（1）项目整体架构设计；（2）项目实施技术路线设计；（3）项目数据汇聚设计</w:t>
      </w:r>
      <w:r>
        <w:rPr>
          <w:rFonts w:hint="eastAsia" w:ascii="宋体" w:hAnsi="宋体" w:eastAsia="宋体" w:cs="仿宋"/>
          <w:sz w:val="24"/>
          <w:szCs w:val="24"/>
          <w:lang w:eastAsia="zh-CN"/>
        </w:rPr>
        <w:t xml:space="preserve">；（</w:t>
      </w:r>
      <w:r>
        <w:rPr>
          <w:rFonts w:hint="eastAsia" w:ascii="宋体" w:hAnsi="宋体" w:eastAsia="宋体" w:cs="仿宋"/>
          <w:sz w:val="24"/>
          <w:szCs w:val="24"/>
          <w:lang w:val="en-US" w:eastAsia="zh-CN"/>
        </w:rPr>
        <w:t xml:space="preserve">4</w:t>
      </w:r>
      <w:r>
        <w:rPr>
          <w:rFonts w:hint="eastAsia" w:ascii="宋体" w:hAnsi="宋体" w:eastAsia="宋体" w:cs="仿宋"/>
          <w:sz w:val="24"/>
          <w:szCs w:val="24"/>
          <w:lang w:eastAsia="zh-CN"/>
        </w:rPr>
        <w:t xml:space="preserve">）</w:t>
      </w:r>
      <w:r>
        <w:rPr>
          <w:rFonts w:hint="eastAsia" w:ascii="宋体" w:hAnsi="宋体" w:eastAsia="宋体" w:cs="仿宋"/>
          <w:sz w:val="24"/>
          <w:szCs w:val="24"/>
          <w:lang w:val="en-US" w:eastAsia="zh-CN"/>
        </w:rPr>
        <w:t xml:space="preserve">数据迁移方案设计；（5）数据业务流程设计。</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方案完整，科学合理，设计清晰详细，完全符合本项目需求，且能够提供上述</w:t>
      </w:r>
      <w:r>
        <w:rPr>
          <w:rFonts w:hint="eastAsia" w:ascii="宋体" w:hAnsi="宋体" w:eastAsia="宋体" w:cs="仿宋"/>
          <w:sz w:val="24"/>
          <w:szCs w:val="24"/>
          <w:lang w:val="en-US" w:eastAsia="zh-CN"/>
        </w:rPr>
        <w:t xml:space="preserve">5</w:t>
      </w:r>
      <w:r>
        <w:rPr>
          <w:rFonts w:hint="eastAsia" w:ascii="宋体" w:hAnsi="宋体" w:eastAsia="宋体" w:cs="仿宋"/>
          <w:sz w:val="24"/>
          <w:szCs w:val="24"/>
        </w:rPr>
        <w:t xml:space="preserve">项全部方案的，得8分；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方案较完整，科学合理性较强，设计较清晰详细，能够符合本项目需求，能够提供上述</w:t>
      </w:r>
      <w:r>
        <w:rPr>
          <w:rFonts w:hint="eastAsia" w:ascii="宋体" w:hAnsi="宋体" w:eastAsia="宋体" w:cs="仿宋"/>
          <w:sz w:val="24"/>
          <w:szCs w:val="24"/>
          <w:lang w:val="en-US" w:eastAsia="zh-CN"/>
        </w:rPr>
        <w:t xml:space="preserve">4-5</w:t>
      </w:r>
      <w:r>
        <w:rPr>
          <w:rFonts w:hint="eastAsia" w:ascii="宋体" w:hAnsi="宋体" w:eastAsia="宋体" w:cs="仿宋"/>
          <w:sz w:val="24"/>
          <w:szCs w:val="24"/>
        </w:rPr>
        <w:t xml:space="preserve">项方案的，得6分；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方案完整性一般，科学合理性一般，设计清晰详细程度一般，能够符合本项目需求，能够提供上述</w:t>
      </w:r>
      <w:r>
        <w:rPr>
          <w:rFonts w:hint="eastAsia" w:ascii="宋体" w:hAnsi="宋体" w:eastAsia="宋体" w:cs="仿宋"/>
          <w:sz w:val="24"/>
          <w:szCs w:val="24"/>
          <w:lang w:val="en-US" w:eastAsia="zh-CN"/>
        </w:rPr>
        <w:t xml:space="preserve">3-5</w:t>
      </w:r>
      <w:r>
        <w:rPr>
          <w:rFonts w:hint="eastAsia" w:ascii="宋体" w:hAnsi="宋体" w:eastAsia="宋体" w:cs="仿宋"/>
          <w:sz w:val="24"/>
          <w:szCs w:val="24"/>
        </w:rPr>
        <w:t xml:space="preserve">项方案的，得4分；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方案完整性、科学合理性、设计的清晰详细程度等只能基本满足要求，能够提供上述</w:t>
      </w:r>
      <w:r>
        <w:rPr>
          <w:rFonts w:hint="eastAsia" w:ascii="宋体" w:hAnsi="宋体" w:eastAsia="宋体" w:cs="仿宋"/>
          <w:sz w:val="24"/>
          <w:szCs w:val="24"/>
          <w:lang w:val="en-US" w:eastAsia="zh-CN"/>
        </w:rPr>
        <w:t xml:space="preserve">2-5</w:t>
      </w:r>
      <w:r>
        <w:rPr>
          <w:rFonts w:hint="eastAsia" w:ascii="宋体" w:hAnsi="宋体" w:eastAsia="宋体" w:cs="仿宋"/>
          <w:sz w:val="24"/>
          <w:szCs w:val="24"/>
        </w:rPr>
        <w:t xml:space="preserve">项方案的，得</w:t>
      </w:r>
      <w:r>
        <w:rPr>
          <w:rFonts w:ascii="宋体" w:hAnsi="宋体" w:eastAsia="宋体" w:cs="仿宋"/>
          <w:sz w:val="24"/>
          <w:szCs w:val="24"/>
        </w:rPr>
        <w:t xml:space="preserve">2</w:t>
      </w:r>
      <w:r>
        <w:rPr>
          <w:rFonts w:hint="eastAsia" w:ascii="宋体" w:hAnsi="宋体" w:eastAsia="宋体" w:cs="仿宋"/>
          <w:sz w:val="24"/>
          <w:szCs w:val="24"/>
        </w:rPr>
        <w:t xml:space="preserve">分；</w:t>
      </w:r>
      <w:r/>
    </w:p>
    <w:p>
      <w:pPr>
        <w:ind w:firstLine="480"/>
        <w:spacing w:line="500" w:lineRule="exact"/>
        <w:rPr>
          <w:rFonts w:hint="eastAsia" w:ascii="宋体" w:hAnsi="宋体" w:eastAsia="宋体"/>
          <w:b/>
          <w:bCs/>
          <w:sz w:val="24"/>
          <w:szCs w:val="24"/>
        </w:rPr>
      </w:pPr>
      <w:r>
        <w:rPr>
          <w:rFonts w:hint="eastAsia" w:ascii="宋体" w:hAnsi="宋体" w:eastAsia="宋体" w:cs="仿宋"/>
          <w:sz w:val="24"/>
          <w:szCs w:val="24"/>
        </w:rPr>
        <w:t xml:space="preserve">提供方案不足2项或无方案的，不得分。</w:t>
      </w:r>
      <w:r/>
    </w:p>
    <w:p>
      <w:pPr>
        <w:numPr>
          <w:ilvl w:val="0"/>
          <w:numId w:val="0"/>
        </w:numPr>
        <w:spacing w:line="500" w:lineRule="exact"/>
        <w:rPr>
          <w:rFonts w:hint="eastAsia" w:ascii="宋体" w:hAnsi="宋体" w:eastAsia="宋体"/>
          <w:b/>
          <w:bCs/>
          <w:sz w:val="24"/>
          <w:szCs w:val="24"/>
        </w:rPr>
        <w:outlineLvl w:val="2"/>
      </w:pPr>
      <w:r>
        <w:rPr>
          <w:rFonts w:hint="eastAsia" w:ascii="宋体" w:hAnsi="宋体" w:eastAsia="宋体"/>
          <w:b/>
          <w:bCs/>
          <w:sz w:val="24"/>
          <w:szCs w:val="24"/>
          <w:lang w:val="en-US" w:eastAsia="zh-CN"/>
        </w:rPr>
        <w:t xml:space="preserve">3）</w:t>
      </w:r>
      <w:r>
        <w:rPr>
          <w:rFonts w:hint="eastAsia" w:ascii="宋体" w:hAnsi="宋体" w:eastAsia="宋体"/>
          <w:b/>
          <w:bCs/>
          <w:sz w:val="24"/>
          <w:szCs w:val="24"/>
        </w:rPr>
        <w:t xml:space="preserve">业务系统建设方案（8分）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考察投标人对于重要建设功能的业务系统设计和建设能力，内容包括但不限于：（1）锡新通门户；（2）锡新通基础应用支撑系统；（3）政策申报和兑现系统；（4）惠企政策服务系统；（5）增值服务系统。</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方案完整，科学合理，设计清晰详细，完全符合本项目需求，且能够提供上述5项全部方案的，得8分；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方案较完整，科学合理性较强，设计较清晰详细，能够符合本项目需求，能够提供上述</w:t>
      </w:r>
      <w:r>
        <w:rPr>
          <w:rFonts w:hint="eastAsia" w:ascii="宋体" w:hAnsi="宋体" w:eastAsia="宋体" w:cs="仿宋"/>
          <w:sz w:val="24"/>
          <w:szCs w:val="24"/>
          <w:lang w:val="en-US" w:eastAsia="zh-CN"/>
        </w:rPr>
        <w:t xml:space="preserve">4</w:t>
      </w:r>
      <w:r>
        <w:rPr>
          <w:rFonts w:hint="eastAsia" w:ascii="宋体" w:hAnsi="宋体" w:eastAsia="宋体" w:cs="仿宋"/>
          <w:sz w:val="24"/>
          <w:szCs w:val="24"/>
        </w:rPr>
        <w:t xml:space="preserve">-5项方案的，得6分；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方案完整性一般，科学合理性一般，设计清晰详细程度一般，能够符合本项目需求，能够提供上述</w:t>
      </w:r>
      <w:r>
        <w:rPr>
          <w:rFonts w:hint="eastAsia" w:ascii="宋体" w:hAnsi="宋体" w:eastAsia="宋体" w:cs="仿宋"/>
          <w:sz w:val="24"/>
          <w:szCs w:val="24"/>
          <w:lang w:val="en-US" w:eastAsia="zh-CN"/>
        </w:rPr>
        <w:t xml:space="preserve">3</w:t>
      </w:r>
      <w:r>
        <w:rPr>
          <w:rFonts w:hint="eastAsia" w:ascii="宋体" w:hAnsi="宋体" w:eastAsia="宋体" w:cs="仿宋"/>
          <w:sz w:val="24"/>
          <w:szCs w:val="24"/>
        </w:rPr>
        <w:t xml:space="preserve">-5项方案的，得4分；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方案完整性、科学合理性、设计的清晰详细程度等只能基本满足要求，能够提供上述2-5项方案的，得2分；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提供方案不足2项或无方案的，不得分。</w:t>
      </w:r>
      <w:r/>
    </w:p>
    <w:p>
      <w:pPr>
        <w:numPr>
          <w:ilvl w:val="0"/>
          <w:numId w:val="0"/>
        </w:numPr>
        <w:spacing w:line="500" w:lineRule="exact"/>
        <w:rPr>
          <w:rFonts w:hint="eastAsia" w:ascii="宋体" w:hAnsi="宋体" w:eastAsia="宋体"/>
          <w:b/>
          <w:bCs/>
          <w:sz w:val="24"/>
          <w:szCs w:val="24"/>
        </w:rPr>
        <w:outlineLvl w:val="2"/>
      </w:pPr>
      <w:r>
        <w:rPr>
          <w:rFonts w:hint="eastAsia" w:ascii="宋体" w:hAnsi="宋体" w:eastAsia="宋体"/>
          <w:b/>
          <w:bCs/>
          <w:sz w:val="24"/>
          <w:szCs w:val="24"/>
          <w:lang w:val="en-US" w:eastAsia="zh-CN"/>
        </w:rPr>
        <w:t xml:space="preserve">4）</w:t>
      </w:r>
      <w:r>
        <w:rPr>
          <w:rFonts w:hint="eastAsia" w:ascii="宋体" w:hAnsi="宋体" w:eastAsia="宋体"/>
          <w:b/>
          <w:bCs/>
          <w:sz w:val="24"/>
          <w:szCs w:val="24"/>
        </w:rPr>
        <w:t xml:space="preserve">数据工程服务方案（6分）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考察投标人在项目实施阶段的数据工程服务情况，内容包括但不限于：（1）政策申报和兑现系统的老系统数据整理迁移；（2）AI助手的模型训练；（3）政策计算器的政策数据汇聚、梳理、拆解以及政策图解制作；（4）企业创新积分的数据整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方案完整，科学合理，设计清晰详细，完全符合本项目需求，且能够提供上述</w:t>
      </w:r>
      <w:r>
        <w:rPr>
          <w:rFonts w:ascii="宋体" w:hAnsi="宋体" w:eastAsia="宋体" w:cs="仿宋"/>
          <w:sz w:val="24"/>
          <w:szCs w:val="24"/>
        </w:rPr>
        <w:t xml:space="preserve">4</w:t>
      </w:r>
      <w:r>
        <w:rPr>
          <w:rFonts w:hint="eastAsia" w:ascii="宋体" w:hAnsi="宋体" w:eastAsia="宋体" w:cs="仿宋"/>
          <w:sz w:val="24"/>
          <w:szCs w:val="24"/>
        </w:rPr>
        <w:t xml:space="preserve">项全部方案的，得6分；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方案较完整，科学合理性较强，设计较清晰详细，能够符合本项目需求，能够提供上述</w:t>
      </w:r>
      <w:r>
        <w:rPr>
          <w:rFonts w:hint="eastAsia" w:ascii="宋体" w:hAnsi="宋体" w:eastAsia="宋体" w:cs="仿宋"/>
          <w:sz w:val="24"/>
          <w:szCs w:val="24"/>
          <w:lang w:val="en-US" w:eastAsia="zh-CN"/>
        </w:rPr>
        <w:t xml:space="preserve">3</w:t>
      </w:r>
      <w:r>
        <w:rPr>
          <w:rFonts w:hint="eastAsia" w:ascii="宋体" w:hAnsi="宋体" w:eastAsia="宋体" w:cs="仿宋"/>
          <w:sz w:val="24"/>
          <w:szCs w:val="24"/>
        </w:rPr>
        <w:t xml:space="preserve">-</w:t>
      </w:r>
      <w:r>
        <w:rPr>
          <w:rFonts w:ascii="宋体" w:hAnsi="宋体" w:eastAsia="宋体" w:cs="仿宋"/>
          <w:sz w:val="24"/>
          <w:szCs w:val="24"/>
        </w:rPr>
        <w:t xml:space="preserve">4</w:t>
      </w:r>
      <w:r>
        <w:rPr>
          <w:rFonts w:hint="eastAsia" w:ascii="宋体" w:hAnsi="宋体" w:eastAsia="宋体" w:cs="仿宋"/>
          <w:sz w:val="24"/>
          <w:szCs w:val="24"/>
        </w:rPr>
        <w:t xml:space="preserve">项方案的，得4分；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方案完整性一般，科学合理性一般，设计清晰详细程度一般，能够符合本项目需求，能够提供上述</w:t>
      </w:r>
      <w:r>
        <w:rPr>
          <w:rFonts w:ascii="宋体" w:hAnsi="宋体" w:eastAsia="宋体" w:cs="仿宋"/>
          <w:sz w:val="24"/>
          <w:szCs w:val="24"/>
        </w:rPr>
        <w:t xml:space="preserve">2</w:t>
      </w:r>
      <w:r>
        <w:rPr>
          <w:rFonts w:hint="eastAsia" w:ascii="宋体" w:hAnsi="宋体" w:eastAsia="宋体" w:cs="仿宋"/>
          <w:sz w:val="24"/>
          <w:szCs w:val="24"/>
        </w:rPr>
        <w:t xml:space="preserve">-</w:t>
      </w:r>
      <w:r>
        <w:rPr>
          <w:rFonts w:ascii="宋体" w:hAnsi="宋体" w:eastAsia="宋体" w:cs="仿宋"/>
          <w:sz w:val="24"/>
          <w:szCs w:val="24"/>
        </w:rPr>
        <w:t xml:space="preserve">4</w:t>
      </w:r>
      <w:r>
        <w:rPr>
          <w:rFonts w:hint="eastAsia" w:ascii="宋体" w:hAnsi="宋体" w:eastAsia="宋体" w:cs="仿宋"/>
          <w:sz w:val="24"/>
          <w:szCs w:val="24"/>
        </w:rPr>
        <w:t xml:space="preserve">项方案的，得3分；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方案完整性、科学合理性、设计的清晰详细程度等只能基本满足要求，能够提供上述</w:t>
      </w:r>
      <w:r>
        <w:rPr>
          <w:rFonts w:hint="eastAsia" w:ascii="宋体" w:hAnsi="宋体" w:eastAsia="宋体" w:cs="仿宋"/>
          <w:sz w:val="24"/>
          <w:szCs w:val="24"/>
          <w:lang w:val="en-US" w:eastAsia="zh-CN"/>
        </w:rPr>
        <w:t xml:space="preserve">1</w:t>
      </w:r>
      <w:r>
        <w:rPr>
          <w:rFonts w:hint="eastAsia" w:ascii="宋体" w:hAnsi="宋体" w:eastAsia="宋体" w:cs="仿宋"/>
          <w:sz w:val="24"/>
          <w:szCs w:val="24"/>
        </w:rPr>
        <w:t xml:space="preserve">-</w:t>
      </w:r>
      <w:r>
        <w:rPr>
          <w:rFonts w:ascii="宋体" w:hAnsi="宋体" w:eastAsia="宋体" w:cs="仿宋"/>
          <w:sz w:val="24"/>
          <w:szCs w:val="24"/>
        </w:rPr>
        <w:t xml:space="preserve">4</w:t>
      </w:r>
      <w:r>
        <w:rPr>
          <w:rFonts w:hint="eastAsia" w:ascii="宋体" w:hAnsi="宋体" w:eastAsia="宋体" w:cs="仿宋"/>
          <w:sz w:val="24"/>
          <w:szCs w:val="24"/>
        </w:rPr>
        <w:t xml:space="preserve">项方案的，得2分；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无方案的，不得分。</w:t>
      </w:r>
      <w:r/>
    </w:p>
    <w:p>
      <w:pPr>
        <w:numPr>
          <w:ilvl w:val="0"/>
          <w:numId w:val="0"/>
        </w:numPr>
        <w:spacing w:line="500" w:lineRule="exact"/>
        <w:rPr>
          <w:rFonts w:hint="eastAsia" w:ascii="宋体" w:hAnsi="宋体" w:eastAsia="宋体"/>
          <w:b/>
          <w:bCs/>
          <w:sz w:val="24"/>
          <w:szCs w:val="24"/>
        </w:rPr>
        <w:outlineLvl w:val="2"/>
      </w:pPr>
      <w:r>
        <w:rPr>
          <w:rFonts w:hint="eastAsia" w:ascii="宋体" w:hAnsi="宋体" w:eastAsia="宋体"/>
          <w:b/>
          <w:bCs/>
          <w:sz w:val="24"/>
          <w:szCs w:val="24"/>
          <w:lang w:val="en-US" w:eastAsia="zh-CN"/>
        </w:rPr>
        <w:t xml:space="preserve">5）</w:t>
      </w:r>
      <w:r>
        <w:rPr>
          <w:rFonts w:hint="eastAsia" w:ascii="宋体" w:hAnsi="宋体" w:eastAsia="宋体"/>
          <w:b/>
          <w:bCs/>
          <w:sz w:val="24"/>
          <w:szCs w:val="24"/>
        </w:rPr>
        <w:t xml:space="preserve">施工计划和组织方案（5分）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考察投标人在项目实施阶段的整体计划和组织实施情况，方案应涵盖项目启动至项目完工的各阶段，内容包含但不限于：（1）项目实施进度管理；（2）项目资源配置管理；（3）项目风险管理；（4）项目质量跟踪管控。</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方案完整，科学合理，设计清晰详细，完全符合本项目需求，且能够提供上述</w:t>
      </w:r>
      <w:r>
        <w:rPr>
          <w:rFonts w:ascii="宋体" w:hAnsi="宋体" w:eastAsia="宋体" w:cs="仿宋"/>
          <w:sz w:val="24"/>
          <w:szCs w:val="24"/>
        </w:rPr>
        <w:t xml:space="preserve">4</w:t>
      </w:r>
      <w:r>
        <w:rPr>
          <w:rFonts w:hint="eastAsia" w:ascii="宋体" w:hAnsi="宋体" w:eastAsia="宋体" w:cs="仿宋"/>
          <w:sz w:val="24"/>
          <w:szCs w:val="24"/>
        </w:rPr>
        <w:t xml:space="preserve">项全部方案的，得5分；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方案较完整，科学合理性较强，设计较清晰详细，能够符合本项目需求，能够提供上述</w:t>
      </w:r>
      <w:r>
        <w:rPr>
          <w:rFonts w:hint="eastAsia" w:ascii="宋体" w:hAnsi="宋体" w:eastAsia="宋体" w:cs="仿宋"/>
          <w:sz w:val="24"/>
          <w:szCs w:val="24"/>
          <w:lang w:val="en-US" w:eastAsia="zh-CN"/>
        </w:rPr>
        <w:t xml:space="preserve">3</w:t>
      </w:r>
      <w:r>
        <w:rPr>
          <w:rFonts w:hint="eastAsia" w:ascii="宋体" w:hAnsi="宋体" w:eastAsia="宋体" w:cs="仿宋"/>
          <w:sz w:val="24"/>
          <w:szCs w:val="24"/>
        </w:rPr>
        <w:t xml:space="preserve">-</w:t>
      </w:r>
      <w:r>
        <w:rPr>
          <w:rFonts w:ascii="宋体" w:hAnsi="宋体" w:eastAsia="宋体" w:cs="仿宋"/>
          <w:sz w:val="24"/>
          <w:szCs w:val="24"/>
        </w:rPr>
        <w:t xml:space="preserve">4</w:t>
      </w:r>
      <w:r>
        <w:rPr>
          <w:rFonts w:hint="eastAsia" w:ascii="宋体" w:hAnsi="宋体" w:eastAsia="宋体" w:cs="仿宋"/>
          <w:sz w:val="24"/>
          <w:szCs w:val="24"/>
        </w:rPr>
        <w:t xml:space="preserve">项方案的，得4分；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方案完整性一般，科学合理性一般，设计清晰详细程度一般，能够符合本项目需求，能够提供上述</w:t>
      </w:r>
      <w:r>
        <w:rPr>
          <w:rFonts w:ascii="宋体" w:hAnsi="宋体" w:eastAsia="宋体" w:cs="仿宋"/>
          <w:sz w:val="24"/>
          <w:szCs w:val="24"/>
        </w:rPr>
        <w:t xml:space="preserve">2</w:t>
      </w:r>
      <w:r>
        <w:rPr>
          <w:rFonts w:hint="eastAsia" w:ascii="宋体" w:hAnsi="宋体" w:eastAsia="宋体" w:cs="仿宋"/>
          <w:sz w:val="24"/>
          <w:szCs w:val="24"/>
        </w:rPr>
        <w:t xml:space="preserve">-</w:t>
      </w:r>
      <w:r>
        <w:rPr>
          <w:rFonts w:ascii="宋体" w:hAnsi="宋体" w:eastAsia="宋体" w:cs="仿宋"/>
          <w:sz w:val="24"/>
          <w:szCs w:val="24"/>
        </w:rPr>
        <w:t xml:space="preserve">4</w:t>
      </w:r>
      <w:r>
        <w:rPr>
          <w:rFonts w:hint="eastAsia" w:ascii="宋体" w:hAnsi="宋体" w:eastAsia="宋体" w:cs="仿宋"/>
          <w:sz w:val="24"/>
          <w:szCs w:val="24"/>
        </w:rPr>
        <w:t xml:space="preserve">项方案的，得3分；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方案完整性、科学合理性、设计的清晰详细程度等只能基本满足要求，能够提供上述</w:t>
      </w:r>
      <w:r>
        <w:rPr>
          <w:rFonts w:hint="eastAsia" w:ascii="宋体" w:hAnsi="宋体" w:eastAsia="宋体" w:cs="仿宋"/>
          <w:sz w:val="24"/>
          <w:szCs w:val="24"/>
          <w:lang w:val="en-US" w:eastAsia="zh-CN"/>
        </w:rPr>
        <w:t xml:space="preserve">1</w:t>
      </w:r>
      <w:r>
        <w:rPr>
          <w:rFonts w:hint="eastAsia" w:ascii="宋体" w:hAnsi="宋体" w:eastAsia="宋体" w:cs="仿宋"/>
          <w:sz w:val="24"/>
          <w:szCs w:val="24"/>
        </w:rPr>
        <w:t xml:space="preserve">-</w:t>
      </w:r>
      <w:r>
        <w:rPr>
          <w:rFonts w:ascii="宋体" w:hAnsi="宋体" w:eastAsia="宋体" w:cs="仿宋"/>
          <w:sz w:val="24"/>
          <w:szCs w:val="24"/>
        </w:rPr>
        <w:t xml:space="preserve">4</w:t>
      </w:r>
      <w:r>
        <w:rPr>
          <w:rFonts w:hint="eastAsia" w:ascii="宋体" w:hAnsi="宋体" w:eastAsia="宋体" w:cs="仿宋"/>
          <w:sz w:val="24"/>
          <w:szCs w:val="24"/>
        </w:rPr>
        <w:t xml:space="preserve">项方案的，得2分；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无方案的，不得分。</w:t>
      </w:r>
      <w:r/>
    </w:p>
    <w:p>
      <w:pPr>
        <w:numPr>
          <w:ilvl w:val="0"/>
          <w:numId w:val="0"/>
        </w:numPr>
        <w:spacing w:line="500" w:lineRule="exact"/>
        <w:rPr>
          <w:rFonts w:hint="eastAsia" w:ascii="宋体" w:hAnsi="宋体" w:eastAsia="宋体"/>
          <w:b/>
          <w:bCs/>
          <w:sz w:val="24"/>
          <w:szCs w:val="24"/>
        </w:rPr>
        <w:outlineLvl w:val="2"/>
      </w:pPr>
      <w:r>
        <w:rPr>
          <w:rFonts w:hint="eastAsia" w:ascii="宋体" w:hAnsi="宋体" w:eastAsia="宋体"/>
          <w:b/>
          <w:bCs/>
          <w:sz w:val="24"/>
          <w:szCs w:val="24"/>
          <w:lang w:val="en-US" w:eastAsia="zh-CN"/>
        </w:rPr>
        <w:t xml:space="preserve">6）</w:t>
      </w:r>
      <w:r>
        <w:rPr>
          <w:rFonts w:hint="eastAsia" w:ascii="宋体" w:hAnsi="宋体" w:eastAsia="宋体"/>
          <w:b/>
          <w:bCs/>
          <w:sz w:val="24"/>
          <w:szCs w:val="24"/>
        </w:rPr>
        <w:t xml:space="preserve">运维服务方案（5分）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考察投标人项目交付后运维服务的质量、响应速度、持续性以及技术支持的专业性，保障系统稳定运行、提升用户体验、支持业务发展等，项目验收应包含但不限于：（1）项目运维服务内容，至少包含日常运维、应急运维、专项运维（如网络、安全、存储、数据库等的运维服务）等；（2）项目运维团队与资源；（3）项目运维流程与管理制度；（4）项目运维服务质量保障；（5）安全与风险管理；（6）服务支持与保障；（7）应急响应与灾难恢复；（8）服务承诺与保障措施。</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方案完整，科学合理，设计清晰详细，完全符合本项目需求，且能够提供上述8项全部方案的，得5分；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方案较完整，科学合理性较强，设计较清晰详细，能够符合本项目需求，能够提供上述6-8项方案的，得4分；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方案完整性一般，科学合理性一般，设计清晰详细程度一般，能够符合本项目需求，能够提供上述4-8项方案的，得3分；</w:t>
      </w:r>
      <w:r/>
    </w:p>
    <w:p>
      <w:pPr>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方案完整性、科学合理性、设计的清晰详细程度等只能基本满足要求，能够提供上述2-8项方案的，得2分；</w:t>
      </w:r>
      <w:r/>
    </w:p>
    <w:p>
      <w:pPr>
        <w:pStyle w:val="970"/>
        <w:spacing w:before="0" w:after="0" w:line="500" w:lineRule="exact"/>
        <w:rPr>
          <w:rFonts w:hint="eastAsia" w:ascii="宋体" w:hAnsi="宋体"/>
          <w:color w:val="000000"/>
        </w:rPr>
      </w:pPr>
      <w:r>
        <w:rPr>
          <w:rFonts w:hint="eastAsia" w:ascii="宋体" w:hAnsi="宋体" w:eastAsia="宋体" w:cs="仿宋"/>
          <w:sz w:val="24"/>
          <w:szCs w:val="24"/>
        </w:rPr>
        <w:t xml:space="preserve">提供方案不足2项或无方案的，不得分。</w:t>
      </w:r>
      <w:r/>
    </w:p>
    <w:p>
      <w:pPr>
        <w:jc w:val="center"/>
        <w:spacing w:line="500" w:lineRule="exact"/>
        <w:tabs>
          <w:tab w:val="left" w:pos="1440" w:leader="none"/>
        </w:tabs>
        <w:rPr>
          <w:rFonts w:hint="eastAsia" w:ascii="黑体" w:hAnsi="黑体" w:eastAsia="黑体"/>
          <w:sz w:val="36"/>
          <w:szCs w:val="36"/>
        </w:rPr>
        <w:outlineLvl w:val="0"/>
      </w:pPr>
      <w:r>
        <w:rPr>
          <w:rFonts w:ascii="宋体" w:hAnsi="宋体"/>
          <w:color w:val="000000"/>
        </w:rPr>
        <w:br w:type="page" w:clear="all"/>
      </w:r>
      <w:r>
        <w:rPr>
          <w:rFonts w:hint="eastAsia" w:ascii="黑体" w:hAnsi="黑体" w:eastAsia="黑体"/>
          <w:sz w:val="36"/>
          <w:szCs w:val="36"/>
        </w:rPr>
        <w:t xml:space="preserve">第六章  </w:t>
      </w:r>
      <w:bookmarkEnd w:id="191"/>
      <w:r/>
      <w:bookmarkEnd w:id="192"/>
      <w:r/>
      <w:bookmarkEnd w:id="203"/>
      <w:r>
        <w:rPr>
          <w:rFonts w:hint="eastAsia" w:ascii="黑体" w:hAnsi="黑体" w:eastAsia="黑体"/>
          <w:sz w:val="36"/>
          <w:szCs w:val="36"/>
        </w:rPr>
        <w:t xml:space="preserve">投标文件内容与格式</w:t>
      </w:r>
      <w:r/>
    </w:p>
    <w:p>
      <w:pPr>
        <w:pStyle w:val="970"/>
        <w:ind w:firstLine="602"/>
        <w:spacing w:before="0" w:after="0" w:line="500" w:lineRule="exact"/>
        <w:rPr>
          <w:rFonts w:hint="eastAsia" w:cs="Arial"/>
          <w:b/>
          <w:sz w:val="30"/>
          <w:szCs w:val="30"/>
        </w:rPr>
      </w:pPr>
      <w:r/>
      <w:bookmarkStart w:id="204" w:name="_Hlt26671244"/>
      <w:r/>
      <w:bookmarkEnd w:id="204"/>
      <w:r/>
      <w:bookmarkStart w:id="205" w:name="_Hlt26955039"/>
      <w:r/>
      <w:bookmarkEnd w:id="205"/>
      <w:r/>
      <w:bookmarkStart w:id="206" w:name="_Toc49090576"/>
      <w:r/>
      <w:bookmarkStart w:id="207" w:name="_Toc26554094"/>
      <w:r/>
      <w:bookmarkStart w:id="208" w:name="_Toc120614282"/>
      <w:r>
        <w:rPr>
          <w:rFonts w:hint="eastAsia" w:cs="Arial"/>
          <w:b/>
          <w:sz w:val="30"/>
          <w:szCs w:val="30"/>
        </w:rPr>
        <w:t xml:space="preserve">第一部分  投标文件内容</w:t>
      </w:r>
      <w:r/>
    </w:p>
    <w:p>
      <w:pPr>
        <w:pStyle w:val="970"/>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892"/>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70"/>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70"/>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70"/>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32"/>
                <w:rFonts w:hint="eastAsia" w:ascii="宋体" w:hAnsi="宋体" w:cs="宋体"/>
                <w:sz w:val="24"/>
                <w:szCs w:val="24"/>
              </w:rPr>
              <w:t xml:space="preserve">。</w:t>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70"/>
              <w:ind w:firstLine="0"/>
              <w:jc w:val="center"/>
              <w:spacing w:before="0" w:after="0" w:line="240" w:lineRule="auto"/>
              <w:rPr>
                <w:rFonts w:hint="eastAsia" w:ascii="宋体" w:hAnsi="宋体" w:cs="宋体"/>
                <w:bCs/>
              </w:rPr>
            </w:pPr>
            <w:r>
              <w:rPr>
                <w:rFonts w:hint="eastAsia" w:ascii="宋体" w:hAnsi="宋体" w:cs="宋体"/>
                <w:bCs/>
              </w:rPr>
              <w:t xml:space="preserve">7</w:t>
            </w:r>
            <w:r/>
          </w:p>
        </w:tc>
        <w:tc>
          <w:tcPr>
            <w:tcW w:w="6104" w:type="dxa"/>
            <w:vAlign w:val="center"/>
            <w:textDirection w:val="lrTb"/>
            <w:noWrap w:val="false"/>
          </w:tcPr>
          <w:p>
            <w:pPr>
              <w:pStyle w:val="970"/>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p>
        </w:tc>
        <w:tc>
          <w:tcPr>
            <w:tcW w:w="2449" w:type="dxa"/>
            <w:vAlign w:val="center"/>
            <w:textDirection w:val="lrTb"/>
            <w:noWrap w:val="false"/>
          </w:tcPr>
          <w:p>
            <w:pPr>
              <w:pStyle w:val="970"/>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70"/>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70"/>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449" w:type="dxa"/>
            <w:vAlign w:val="center"/>
            <w:textDirection w:val="lrTb"/>
            <w:noWrap w:val="false"/>
          </w:tcPr>
          <w:p>
            <w:pPr>
              <w:pStyle w:val="970"/>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70"/>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70"/>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21"/>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2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2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2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8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70"/>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70"/>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970"/>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70"/>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70"/>
              <w:ind w:firstLine="0"/>
              <w:jc w:val="both"/>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970"/>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970"/>
              <w:ind w:firstLine="0"/>
              <w:jc w:val="both"/>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70"/>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970"/>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70"/>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70"/>
              <w:ind w:firstLine="0"/>
              <w:jc w:val="both"/>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2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2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22"/>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p>
    <w:p>
      <w:pPr>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970"/>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项目编号：</w:t>
      </w:r>
      <w:r>
        <w:rPr>
          <w:rFonts w:hint="eastAsia" w:ascii="黑体" w:hAnsi="华文中宋" w:eastAsia="黑体"/>
          <w:bCs/>
          <w:color w:val="auto"/>
          <w:sz w:val="30"/>
          <w:szCs w:val="30"/>
          <w:lang w:eastAsia="zh-CN"/>
        </w:rPr>
        <w:t xml:space="preserve">JSZC-320214-JZCG-G2026-0040</w:t>
      </w:r>
      <w:r>
        <w:rPr>
          <w:rFonts w:hint="eastAsia" w:ascii="黑体" w:hAnsi="华文中宋" w:eastAsia="黑体"/>
          <w:bCs/>
          <w:color w:val="auto"/>
          <w:sz w:val="30"/>
          <w:szCs w:val="30"/>
          <w:lang w:eastAsia="zh-CN"/>
        </w:rPr>
        <w:tab/>
      </w:r>
      <w:r/>
    </w:p>
    <w:p>
      <w:pPr>
        <w:ind w:left="3289" w:hanging="15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无锡高新区锡企服务平台新吴旗舰店(锡新通) 升级改造项目</w:t>
      </w:r>
      <w:r/>
    </w:p>
    <w:p>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968"/>
        <w:ind w:firstLine="480"/>
        <w:rPr>
          <w:rFonts w:hint="eastAsia"/>
          <w:color w:val="auto"/>
          <w:sz w:val="24"/>
          <w:szCs w:val="24"/>
        </w:rPr>
      </w:pPr>
      <w:r>
        <w:rPr>
          <w:rFonts w:hint="eastAsia"/>
          <w:sz w:val="24"/>
          <w:szCs w:val="24"/>
        </w:rPr>
        <w:t xml:space="preserve">我公司（单位</w:t>
      </w:r>
      <w:r>
        <w:rPr>
          <w:rFonts w:hint="eastAsia"/>
          <w:color w:val="auto"/>
          <w:sz w:val="24"/>
          <w:szCs w:val="24"/>
        </w:rPr>
        <w:t xml:space="preserve">、联合体）针对</w:t>
      </w:r>
      <w:r>
        <w:rPr>
          <w:rFonts w:hint="eastAsia" w:ascii="宋体" w:hAnsi="宋体"/>
          <w:bCs/>
          <w:color w:val="auto"/>
          <w:sz w:val="24"/>
          <w:szCs w:val="24"/>
          <w:lang w:eastAsia="zh-CN"/>
        </w:rPr>
        <w:t xml:space="preserve">JSZC-320214-JZCG-G2026-0040</w:t>
      </w:r>
      <w:r>
        <w:rPr>
          <w:rFonts w:hint="eastAsia" w:ascii="宋体" w:hAnsi="宋体"/>
          <w:bCs/>
          <w:color w:val="auto"/>
          <w:sz w:val="24"/>
          <w:szCs w:val="24"/>
          <w:lang w:eastAsia="zh-CN"/>
        </w:rPr>
        <w:tab/>
      </w:r>
      <w:r>
        <w:rPr>
          <w:rFonts w:hint="eastAsia" w:ascii="宋体" w:hAnsi="宋体"/>
          <w:bCs/>
          <w:color w:val="auto"/>
          <w:sz w:val="24"/>
          <w:szCs w:val="24"/>
        </w:rPr>
        <w:t xml:space="preserve">项目，兹授权：</w:t>
      </w:r>
      <w:r/>
    </w:p>
    <w:p>
      <w:pPr>
        <w:pStyle w:val="968"/>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968"/>
        <w:ind w:firstLine="480"/>
        <w:rPr>
          <w:rFonts w:hint="eastAsia"/>
          <w:color w:val="auto"/>
          <w:sz w:val="24"/>
          <w:szCs w:val="24"/>
        </w:rPr>
      </w:pPr>
      <w:r>
        <w:rPr>
          <w:rFonts w:hint="eastAsia"/>
          <w:color w:val="auto"/>
          <w:sz w:val="24"/>
          <w:szCs w:val="24"/>
        </w:rPr>
        <w:t xml:space="preserve">被授权人的身份证号码：</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rPr>
          <w:rFonts w:hint="eastAsia"/>
          <w:color w:val="auto"/>
          <w:sz w:val="24"/>
          <w:szCs w:val="24"/>
        </w:rPr>
        <w:t xml:space="preserve">；</w:t>
      </w:r>
      <w:r/>
    </w:p>
    <w:p>
      <w:pPr>
        <w:pStyle w:val="968"/>
        <w:ind w:firstLine="480"/>
        <w:rPr>
          <w:rFonts w:hint="eastAsia"/>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w:t>
      </w:r>
      <w:r>
        <w:rPr>
          <w:rFonts w:hint="eastAsia" w:ascii="宋体" w:hAnsi="宋体"/>
          <w:bCs/>
          <w:color w:val="000000"/>
          <w:sz w:val="24"/>
          <w:szCs w:val="24"/>
        </w:rPr>
        <w:t xml:space="preserve">议及合同以及其他</w:t>
      </w:r>
      <w:r>
        <w:rPr>
          <w:rFonts w:hint="eastAsia"/>
          <w:sz w:val="24"/>
          <w:szCs w:val="24"/>
        </w:rPr>
        <w:t xml:space="preserve">一切与该项目采购有关的事务。</w:t>
      </w:r>
      <w:r/>
    </w:p>
    <w:p>
      <w:pPr>
        <w:pStyle w:val="968"/>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68"/>
        <w:ind w:firstLine="480"/>
        <w:rPr>
          <w:rFonts w:hint="eastAsia"/>
          <w:sz w:val="24"/>
          <w:szCs w:val="24"/>
        </w:rPr>
      </w:pPr>
      <w:r>
        <w:rPr>
          <w:rFonts w:hint="eastAsia"/>
          <w:sz w:val="24"/>
          <w:szCs w:val="24"/>
        </w:rPr>
        <w:t xml:space="preserve">特此授权委托。</w:t>
      </w:r>
      <w:r/>
    </w:p>
    <w:p>
      <w:pPr>
        <w:pStyle w:val="968"/>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968"/>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968"/>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68"/>
        <w:ind w:firstLine="0"/>
        <w:spacing w:line="360" w:lineRule="auto"/>
        <w:rPr>
          <w:rFonts w:hint="eastAsia"/>
          <w:sz w:val="21"/>
          <w:szCs w:val="21"/>
        </w:rPr>
      </w:pPr>
      <w:r>
        <w:rPr>
          <w:rFonts w:hint="eastAsia"/>
          <w:sz w:val="21"/>
          <w:szCs w:val="21"/>
        </w:rPr>
      </w:r>
      <w:r/>
    </w:p>
    <w:p>
      <w:pPr>
        <w:pStyle w:val="968"/>
        <w:ind w:firstLine="0"/>
        <w:spacing w:line="360" w:lineRule="auto"/>
        <w:rPr>
          <w:rFonts w:hint="eastAsia"/>
          <w:sz w:val="21"/>
          <w:szCs w:val="21"/>
        </w:rPr>
      </w:pPr>
      <w:r>
        <w:rPr>
          <w:rFonts w:hint="eastAsia"/>
          <w:sz w:val="21"/>
          <w:szCs w:val="21"/>
        </w:rPr>
        <w:t xml:space="preserve">说明：</w:t>
      </w:r>
      <w:r/>
    </w:p>
    <w:p>
      <w:pPr>
        <w:pStyle w:val="968"/>
        <w:numPr>
          <w:ilvl w:val="0"/>
          <w:numId w:val="23"/>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68"/>
        <w:numPr>
          <w:ilvl w:val="0"/>
          <w:numId w:val="23"/>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68"/>
        <w:numPr>
          <w:ilvl w:val="0"/>
          <w:numId w:val="23"/>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68"/>
        <w:numPr>
          <w:ilvl w:val="0"/>
          <w:numId w:val="23"/>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68"/>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9" w:name="报价方关于资格的声明函（格式）"/>
      <w:r/>
      <w:bookmarkEnd w:id="209"/>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auto"/>
          <w:sz w:val="24"/>
          <w:szCs w:val="24"/>
        </w:rPr>
      </w:pPr>
      <w:r>
        <w:rPr>
          <w:rFonts w:hint="eastAsia" w:ascii="宋体" w:hAnsi="宋体"/>
          <w:bCs/>
          <w:color w:val="auto"/>
          <w:sz w:val="24"/>
          <w:szCs w:val="24"/>
          <w:lang w:eastAsia="zh-CN"/>
        </w:rPr>
        <w:t xml:space="preserve">无锡市公共资源交易中心新吴分中心</w:t>
      </w:r>
      <w:r>
        <w:rPr>
          <w:rFonts w:hint="eastAsia" w:ascii="宋体" w:hAnsi="宋体"/>
          <w:bCs/>
          <w:color w:val="auto"/>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我公司（单位、联合体）针对本次项目</w:t>
      </w:r>
      <w:r>
        <w:rPr>
          <w:rFonts w:hint="eastAsia" w:ascii="宋体" w:hAnsi="宋体"/>
          <w:bCs/>
          <w:color w:val="auto"/>
          <w:sz w:val="24"/>
          <w:szCs w:val="24"/>
          <w:lang w:eastAsia="zh-CN"/>
        </w:rPr>
        <w:t xml:space="preserve">JSZC-320214-JZCG-G2026-0040</w:t>
      </w:r>
      <w:r>
        <w:rPr>
          <w:rFonts w:hint="eastAsia" w:ascii="宋体" w:hAnsi="宋体"/>
          <w:bCs/>
          <w:color w:val="auto"/>
          <w:sz w:val="24"/>
          <w:szCs w:val="24"/>
          <w:lang w:eastAsia="zh-CN"/>
        </w:rPr>
        <w:tab/>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rPr>
          <w:rFonts w:hint="eastAsia"/>
        </w:rPr>
      </w:pPr>
      <w:r>
        <w:rPr>
          <w:rFonts w:hint="eastAsia"/>
        </w:rPr>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color w:val="00b050"/>
        </w:rPr>
      </w:pPr>
      <w:r>
        <w:rPr>
          <w:rFonts w:hint="eastAsia"/>
          <w:color w:val="00b050"/>
        </w:rPr>
      </w:r>
      <w:r/>
    </w:p>
    <w:p>
      <w:pPr>
        <w:spacing w:line="360" w:lineRule="auto"/>
        <w:rPr>
          <w:rFonts w:hint="eastAsia"/>
          <w:color w:val="00b050"/>
        </w:rPr>
      </w:pPr>
      <w:r>
        <w:rPr>
          <w:rFonts w:hint="eastAsia"/>
          <w:color w:val="00b050"/>
        </w:rPr>
      </w:r>
      <w:r/>
    </w:p>
    <w:p>
      <w:pPr>
        <w:spacing w:line="360" w:lineRule="auto"/>
        <w:rPr>
          <w:rFonts w:hint="eastAsia"/>
          <w:color w:val="00b050"/>
        </w:rPr>
      </w:pPr>
      <w:r>
        <w:rPr>
          <w:rFonts w:hint="eastAsia"/>
          <w:color w:val="00b050"/>
        </w:rPr>
      </w:r>
      <w:r/>
    </w:p>
    <w:p>
      <w:pPr>
        <w:spacing w:line="360" w:lineRule="auto"/>
        <w:rPr>
          <w:rFonts w:hint="eastAsia"/>
          <w:color w:val="00b050"/>
        </w:rPr>
      </w:pPr>
      <w:r>
        <w:rPr>
          <w:rFonts w:hint="eastAsia"/>
          <w:color w:val="00b050"/>
        </w:rPr>
      </w:r>
      <w:r/>
    </w:p>
    <w:p>
      <w:pPr>
        <w:spacing w:line="360" w:lineRule="auto"/>
        <w:rPr>
          <w:rFonts w:hint="eastAsia"/>
          <w:color w:val="00b050"/>
        </w:rPr>
      </w:pPr>
      <w:r>
        <w:rPr>
          <w:rFonts w:hint="eastAsia"/>
          <w:color w:val="00b050"/>
        </w:rPr>
      </w:r>
      <w:r/>
    </w:p>
    <w:p>
      <w:pPr>
        <w:spacing w:line="360" w:lineRule="auto"/>
        <w:rPr>
          <w:rFonts w:hint="eastAsia"/>
          <w:color w:val="00b050"/>
        </w:rPr>
      </w:pPr>
      <w:r>
        <w:rPr>
          <w:rFonts w:hint="eastAsia"/>
          <w:color w:val="00b050"/>
        </w:rPr>
      </w:r>
      <w:r/>
    </w:p>
    <w:p>
      <w:pPr>
        <w:spacing w:line="360" w:lineRule="auto"/>
        <w:rPr>
          <w:rFonts w:hint="eastAsia"/>
          <w:color w:val="00b050"/>
        </w:rPr>
      </w:pPr>
      <w:r>
        <w:rPr>
          <w:rFonts w:hint="eastAsia"/>
          <w:color w:val="00b050"/>
        </w:rPr>
      </w:r>
      <w:r/>
    </w:p>
    <w:p>
      <w:pPr>
        <w:spacing w:line="360" w:lineRule="auto"/>
        <w:rPr>
          <w:rFonts w:hint="eastAsia"/>
          <w:color w:val="00b050"/>
        </w:rPr>
      </w:pPr>
      <w:r>
        <w:rPr>
          <w:rFonts w:hint="eastAsia"/>
          <w:color w:val="00b050"/>
        </w:rPr>
      </w:r>
      <w:r/>
    </w:p>
    <w:p>
      <w:pPr>
        <w:spacing w:line="360" w:lineRule="auto"/>
        <w:rPr>
          <w:rFonts w:hint="eastAsia"/>
          <w:color w:val="00b050"/>
        </w:rPr>
      </w:pPr>
      <w:r>
        <w:rPr>
          <w:rFonts w:hint="eastAsia"/>
          <w:color w:val="00b050"/>
        </w:rPr>
      </w:r>
      <w:r/>
    </w:p>
    <w:p>
      <w:pPr>
        <w:spacing w:line="360" w:lineRule="auto"/>
        <w:rPr>
          <w:rFonts w:hint="eastAsia"/>
          <w:color w:val="00b050"/>
        </w:rPr>
      </w:pPr>
      <w:r>
        <w:rPr>
          <w:rFonts w:hint="eastAsia"/>
          <w:color w:val="00b050"/>
        </w:rPr>
      </w:r>
      <w:r/>
    </w:p>
    <w:p>
      <w:pPr>
        <w:spacing w:line="360" w:lineRule="auto"/>
        <w:rPr>
          <w:rFonts w:hint="eastAsia"/>
          <w:color w:val="00b050"/>
        </w:rPr>
      </w:pPr>
      <w:r>
        <w:rPr>
          <w:rFonts w:hint="eastAsia"/>
          <w:color w:val="00b050"/>
        </w:rPr>
      </w:r>
      <w:r/>
    </w:p>
    <w:p>
      <w:pPr>
        <w:spacing w:line="360" w:lineRule="auto"/>
        <w:rPr>
          <w:rFonts w:hint="eastAsia"/>
          <w:color w:val="00b050"/>
        </w:rPr>
      </w:pPr>
      <w:r>
        <w:rPr>
          <w:rFonts w:hint="eastAsia"/>
          <w:color w:val="00b050"/>
        </w:rPr>
      </w:r>
      <w:r/>
    </w:p>
    <w:p>
      <w:pPr>
        <w:spacing w:line="360" w:lineRule="auto"/>
        <w:rPr>
          <w:rFonts w:hint="eastAsia"/>
          <w:color w:val="00b050"/>
        </w:rPr>
      </w:pPr>
      <w:r>
        <w:rPr>
          <w:rFonts w:hint="eastAsia"/>
          <w:color w:val="00b050"/>
        </w:rPr>
      </w:r>
      <w:r/>
    </w:p>
    <w:p>
      <w:pPr>
        <w:spacing w:line="360" w:lineRule="auto"/>
        <w:rPr>
          <w:rFonts w:hint="eastAsia"/>
          <w:color w:val="00b050"/>
        </w:rPr>
      </w:pPr>
      <w:r>
        <w:rPr>
          <w:rFonts w:hint="eastAsia"/>
          <w:color w:val="00b050"/>
        </w:rPr>
      </w:r>
      <w:r/>
    </w:p>
    <w:p>
      <w:pPr>
        <w:spacing w:line="360" w:lineRule="auto"/>
        <w:rPr>
          <w:rFonts w:hint="eastAsia"/>
          <w:color w:val="00b050"/>
        </w:rPr>
      </w:pPr>
      <w:r>
        <w:rPr>
          <w:rFonts w:hint="eastAsia"/>
          <w:color w:val="00b050"/>
        </w:rPr>
      </w:r>
      <w:r/>
    </w:p>
    <w:p>
      <w:pPr>
        <w:spacing w:line="360" w:lineRule="auto"/>
        <w:rPr>
          <w:rFonts w:hint="eastAsia"/>
          <w:color w:val="00b050"/>
        </w:rPr>
      </w:pPr>
      <w:r>
        <w:rPr>
          <w:rFonts w:hint="eastAsia"/>
          <w:color w:val="00b050"/>
        </w:rPr>
      </w:r>
      <w:r/>
    </w:p>
    <w:p>
      <w:pPr>
        <w:spacing w:line="360" w:lineRule="auto"/>
        <w:rPr>
          <w:rFonts w:hint="eastAsia"/>
          <w:color w:val="00b050"/>
        </w:rPr>
      </w:pPr>
      <w:r>
        <w:rPr>
          <w:rFonts w:hint="eastAsia"/>
          <w:color w:val="00b050"/>
        </w:rPr>
      </w:r>
      <w:r/>
    </w:p>
    <w:p>
      <w:pPr>
        <w:spacing w:line="360" w:lineRule="auto"/>
        <w:rPr>
          <w:rFonts w:hint="eastAsia"/>
          <w:color w:val="00b050"/>
        </w:rPr>
      </w:pPr>
      <w:r>
        <w:rPr>
          <w:rFonts w:hint="eastAsia"/>
          <w:color w:val="00b050"/>
        </w:rPr>
      </w:r>
      <w:r/>
    </w:p>
    <w:p>
      <w:pPr>
        <w:spacing w:line="360" w:lineRule="auto"/>
        <w:rPr>
          <w:rFonts w:hint="eastAsia"/>
          <w:color w:val="00b050"/>
        </w:rPr>
      </w:pPr>
      <w:r>
        <w:rPr>
          <w:rFonts w:hint="eastAsia"/>
          <w:color w:val="00b050"/>
        </w:rPr>
      </w:r>
      <w:r/>
    </w:p>
    <w:p>
      <w:pPr>
        <w:pStyle w:val="893"/>
        <w:rPr>
          <w:rFonts w:hint="eastAsia"/>
          <w:color w:val="00b050"/>
        </w:rPr>
      </w:pPr>
      <w:r>
        <w:rPr>
          <w:rFonts w:hint="eastAsia"/>
          <w:color w:val="00b050"/>
        </w:rPr>
      </w:r>
      <w:r/>
    </w:p>
    <w:p>
      <w:pPr>
        <w:pStyle w:val="893"/>
        <w:rPr>
          <w:rFonts w:hint="eastAsia"/>
          <w:color w:val="00b050"/>
        </w:rPr>
      </w:pPr>
      <w:r>
        <w:rPr>
          <w:rFonts w:hint="eastAsia"/>
          <w:color w:val="00b050"/>
        </w:rPr>
      </w:r>
      <w:r/>
    </w:p>
    <w:p>
      <w:pPr>
        <w:pStyle w:val="893"/>
        <w:rPr>
          <w:rFonts w:hint="eastAsia"/>
          <w:color w:val="00b050"/>
        </w:rPr>
      </w:pPr>
      <w:r>
        <w:rPr>
          <w:rFonts w:hint="eastAsia"/>
          <w:color w:val="00b050"/>
        </w:rPr>
      </w:r>
      <w:r/>
    </w:p>
    <w:p>
      <w:pPr>
        <w:pStyle w:val="893"/>
        <w:rPr>
          <w:rFonts w:hint="eastAsia"/>
          <w:color w:val="00b050"/>
        </w:rPr>
      </w:pPr>
      <w:r>
        <w:rPr>
          <w:rFonts w:hint="eastAsia"/>
          <w:color w:val="00b050"/>
        </w:rPr>
      </w:r>
      <w:r/>
    </w:p>
    <w:p>
      <w:pPr>
        <w:pStyle w:val="893"/>
        <w:rPr>
          <w:rFonts w:hint="eastAsia"/>
          <w:color w:val="00b050"/>
        </w:rPr>
      </w:pPr>
      <w:r>
        <w:rPr>
          <w:rFonts w:hint="eastAsia"/>
          <w:color w:val="00b050"/>
        </w:rPr>
      </w:r>
      <w:r/>
    </w:p>
    <w:p>
      <w:pPr>
        <w:pStyle w:val="893"/>
        <w:rPr>
          <w:rFonts w:hint="eastAsia"/>
          <w:color w:val="00b050"/>
        </w:rPr>
      </w:pPr>
      <w:r>
        <w:rPr>
          <w:rFonts w:hint="eastAsia"/>
          <w:color w:val="00b050"/>
        </w:rPr>
      </w:r>
      <w:r/>
    </w:p>
    <w:p>
      <w:pPr>
        <w:spacing w:line="360" w:lineRule="auto"/>
        <w:rPr>
          <w:rFonts w:hint="eastAsia"/>
          <w:color w:val="00b050"/>
        </w:rPr>
      </w:pPr>
      <w:r>
        <w:rPr>
          <w:rFonts w:hint="eastAsia"/>
          <w:color w:val="00b050"/>
        </w:rPr>
      </w:r>
      <w:r/>
    </w:p>
    <w:p>
      <w:pPr>
        <w:ind w:firstLine="560"/>
        <w:jc w:val="center"/>
        <w:spacing w:line="360" w:lineRule="auto"/>
        <w:rPr>
          <w:rFonts w:hint="default" w:ascii="黑体" w:eastAsia="宋体"/>
          <w:bCs/>
          <w:color w:val="000000"/>
          <w:sz w:val="28"/>
          <w:szCs w:val="28"/>
          <w:highlight w:val="none"/>
          <w:lang w:val="en-US" w:eastAsia="zh-CN"/>
        </w:rPr>
      </w:pPr>
      <w:r>
        <w:rPr>
          <w:rFonts w:hint="eastAsia" w:ascii="黑体" w:eastAsia="黑体"/>
          <w:bCs/>
          <w:color w:val="000000"/>
          <w:sz w:val="28"/>
          <w:szCs w:val="28"/>
          <w:highlight w:val="none"/>
        </w:rPr>
        <w:t xml:space="preserve">关于符合本国产品标准的声明函</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p>
    <w:p>
      <w:pPr>
        <w:ind w:left="0" w:firstLine="482"/>
        <w:spacing w:line="360" w:lineRule="auto"/>
        <w:rPr>
          <w:rFonts w:hint="eastAsia" w:ascii="宋体" w:hAnsi="宋体" w:cs="宋体"/>
          <w:b/>
          <w:sz w:val="28"/>
          <w:szCs w:val="28"/>
        </w:rPr>
      </w:pPr>
      <w:r>
        <w:rPr>
          <w:rFonts w:hint="eastAsia" w:ascii="宋体" w:hAnsi="宋体" w:cs="宋体"/>
          <w:b w:val="0"/>
          <w:bCs/>
          <w:color w:val="000000"/>
          <w:sz w:val="18"/>
          <w:szCs w:val="18"/>
          <w:highlight w:val="none"/>
        </w:rPr>
        <w:t xml:space="preserve">6.划删除线的地方无需填写。</w:t>
      </w:r>
      <w:r>
        <w:rPr>
          <w:rFonts w:hint="eastAsia"/>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auto"/>
          <w:sz w:val="24"/>
          <w:szCs w:val="24"/>
        </w:rPr>
      </w:pPr>
      <w:r>
        <w:rPr>
          <w:rFonts w:hint="eastAsia" w:ascii="宋体" w:hAnsi="宋体"/>
          <w:bCs/>
          <w:color w:val="000000"/>
          <w:sz w:val="24"/>
          <w:szCs w:val="24"/>
        </w:rPr>
        <w:t xml:space="preserve">我方收到贵方</w:t>
      </w:r>
      <w:r>
        <w:rPr>
          <w:rFonts w:hint="eastAsia" w:ascii="宋体" w:hAnsi="宋体"/>
          <w:bCs/>
          <w:color w:val="auto"/>
          <w:sz w:val="24"/>
          <w:szCs w:val="24"/>
          <w:lang w:eastAsia="zh-CN"/>
        </w:rPr>
        <w:t xml:space="preserve">JSZC-320214-JZCG-G2026-0040</w:t>
      </w:r>
      <w:r>
        <w:rPr>
          <w:rFonts w:hint="eastAsia" w:ascii="宋体" w:hAnsi="宋体"/>
          <w:bCs/>
          <w:color w:val="auto"/>
          <w:sz w:val="24"/>
          <w:szCs w:val="24"/>
          <w:lang w:eastAsia="zh-CN"/>
        </w:rPr>
        <w:tab/>
      </w:r>
      <w:r>
        <w:rPr>
          <w:rFonts w:hint="eastAsia" w:ascii="宋体" w:hAnsi="宋体"/>
          <w:bCs/>
          <w:color w:val="auto"/>
          <w:sz w:val="24"/>
          <w:szCs w:val="24"/>
        </w:rPr>
        <w:t xml:space="preserve">招标文件，经仔细阅读和研究，我方决定参加此项目的投标。</w:t>
      </w:r>
      <w:r/>
    </w:p>
    <w:p>
      <w:pPr>
        <w:numPr>
          <w:ilvl w:val="0"/>
          <w:numId w:val="24"/>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24"/>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30"/>
          <w:bCs/>
          <w:color w:val="000000"/>
        </w:rPr>
      </w:pPr>
      <w:r>
        <w:rPr>
          <w:rFonts w:hint="eastAsia" w:ascii="宋体" w:hAnsi="宋体"/>
          <w:bCs/>
          <w:color w:val="auto"/>
          <w:sz w:val="24"/>
          <w:szCs w:val="24"/>
        </w:rPr>
        <w:t xml:space="preserve">我方愿意提供</w:t>
      </w:r>
      <w:r>
        <w:rPr>
          <w:rFonts w:hint="eastAsia" w:ascii="宋体" w:hAnsi="宋体"/>
          <w:bCs/>
          <w:color w:val="auto"/>
          <w:sz w:val="24"/>
          <w:szCs w:val="24"/>
          <w:lang w:eastAsia="zh-CN"/>
        </w:rPr>
        <w:t xml:space="preserve">无锡市公共资源交易</w:t>
      </w:r>
      <w:r>
        <w:rPr>
          <w:rFonts w:hint="eastAsia" w:ascii="宋体" w:hAnsi="宋体"/>
          <w:bCs/>
          <w:color w:val="000000"/>
          <w:sz w:val="24"/>
          <w:szCs w:val="24"/>
          <w:lang w:eastAsia="zh-CN"/>
        </w:rPr>
        <w:t xml:space="preserve">中心新吴分中心</w:t>
      </w:r>
      <w:r>
        <w:rPr>
          <w:rFonts w:hint="eastAsia" w:ascii="宋体" w:hAnsi="宋体"/>
          <w:bCs/>
          <w:color w:val="000000"/>
          <w:sz w:val="24"/>
          <w:szCs w:val="24"/>
        </w:rPr>
        <w:t xml:space="preserve">在招标文件中要求的文件、资料。</w:t>
      </w:r>
      <w:r/>
    </w:p>
    <w:p>
      <w:pPr>
        <w:numPr>
          <w:ilvl w:val="0"/>
          <w:numId w:val="2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2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2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2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2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2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2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2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jc w:val="center"/>
        <w:rPr>
          <w:rFonts w:hint="eastAsia"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color w:val="auto"/>
          <w:sz w:val="24"/>
          <w:szCs w:val="24"/>
        </w:rPr>
      </w:pPr>
      <w:r>
        <w:rPr>
          <w:rFonts w:hint="eastAsia" w:ascii="宋体" w:hAnsi="宋体"/>
          <w:color w:val="auto"/>
          <w:sz w:val="24"/>
          <w:szCs w:val="24"/>
          <w:u w:val="single"/>
        </w:rPr>
        <w:t xml:space="preserve">                              </w:t>
      </w:r>
      <w:r>
        <w:rPr>
          <w:rFonts w:hint="eastAsia" w:ascii="宋体" w:hAnsi="宋体"/>
          <w:color w:val="auto"/>
          <w:sz w:val="24"/>
          <w:szCs w:val="24"/>
        </w:rPr>
        <w:t xml:space="preserve">（</w:t>
      </w:r>
      <w:r>
        <w:rPr>
          <w:rFonts w:hint="eastAsia" w:ascii="宋体" w:hAnsi="宋体"/>
          <w:color w:val="auto"/>
          <w:sz w:val="24"/>
        </w:rPr>
        <w:t xml:space="preserve">投标人</w:t>
      </w:r>
      <w:r>
        <w:rPr>
          <w:rFonts w:hint="eastAsia" w:ascii="宋体" w:hAnsi="宋体"/>
          <w:color w:val="auto"/>
          <w:sz w:val="24"/>
          <w:szCs w:val="24"/>
        </w:rPr>
        <w:t xml:space="preserve">名称）针对本项目</w:t>
      </w:r>
      <w:r>
        <w:rPr>
          <w:rFonts w:hint="eastAsia" w:ascii="宋体" w:hAnsi="宋体"/>
          <w:bCs/>
          <w:color w:val="auto"/>
          <w:sz w:val="24"/>
          <w:szCs w:val="24"/>
          <w:lang w:eastAsia="zh-CN"/>
        </w:rPr>
        <w:t xml:space="preserve">JSZC-320214-JZCG-G2026-0040</w:t>
      </w:r>
      <w:r>
        <w:rPr>
          <w:rFonts w:hint="eastAsia" w:ascii="宋体" w:hAnsi="宋体"/>
          <w:bCs/>
          <w:color w:val="auto"/>
          <w:sz w:val="24"/>
          <w:szCs w:val="24"/>
          <w:lang w:eastAsia="zh-CN"/>
        </w:rPr>
        <w:tab/>
      </w:r>
      <w:r>
        <w:rPr>
          <w:rFonts w:hint="eastAsia" w:ascii="宋体" w:hAnsi="宋体"/>
          <w:color w:val="auto"/>
          <w:sz w:val="24"/>
          <w:szCs w:val="24"/>
        </w:rPr>
        <w:t xml:space="preserve">在此承诺：</w:t>
      </w:r>
      <w:r/>
    </w:p>
    <w:p>
      <w:pPr>
        <w:ind w:firstLine="480"/>
        <w:spacing w:line="480" w:lineRule="auto"/>
        <w:rPr>
          <w:rFonts w:ascii="宋体" w:hAnsi="宋体"/>
          <w:bCs/>
          <w:color w:val="auto"/>
          <w:sz w:val="24"/>
          <w:szCs w:val="24"/>
        </w:rPr>
      </w:pPr>
      <w:r>
        <w:rPr>
          <w:rFonts w:hint="eastAsia" w:ascii="宋体" w:hAnsi="宋体"/>
          <w:color w:val="auto"/>
          <w:sz w:val="24"/>
          <w:szCs w:val="24"/>
        </w:rPr>
        <w:t xml:space="preserve">1.本公司（单位</w:t>
      </w:r>
      <w:r>
        <w:rPr>
          <w:rFonts w:hint="eastAsia" w:ascii="宋体" w:hAnsi="宋体"/>
          <w:bCs/>
          <w:color w:val="auto"/>
          <w:sz w:val="24"/>
          <w:szCs w:val="24"/>
        </w:rPr>
        <w:t xml:space="preserve">、联合体</w:t>
      </w:r>
      <w:r>
        <w:rPr>
          <w:rFonts w:hint="eastAsia" w:ascii="宋体" w:hAnsi="宋体"/>
          <w:color w:val="auto"/>
          <w:sz w:val="24"/>
          <w:szCs w:val="24"/>
        </w:rPr>
        <w:t xml:space="preserve">）</w:t>
      </w:r>
      <w:r>
        <w:rPr>
          <w:rFonts w:hint="eastAsia" w:ascii="宋体" w:hAnsi="宋体"/>
          <w:bCs/>
          <w:color w:val="auto"/>
          <w:sz w:val="24"/>
          <w:szCs w:val="24"/>
        </w:rPr>
        <w:t xml:space="preserve">对本项目所提供的货物均为原厂全新合格品，提供的服务符合招标文件要求。</w:t>
      </w:r>
      <w:r/>
    </w:p>
    <w:p>
      <w:pPr>
        <w:ind w:firstLine="480"/>
        <w:spacing w:line="480" w:lineRule="auto"/>
        <w:rPr>
          <w:rFonts w:hint="eastAsia" w:ascii="宋体"/>
          <w:bCs/>
          <w:sz w:val="24"/>
          <w:szCs w:val="24"/>
        </w:rPr>
      </w:pPr>
      <w:r>
        <w:rPr>
          <w:rFonts w:hint="eastAsia" w:ascii="宋体"/>
          <w:bCs/>
          <w:color w:val="auto"/>
          <w:sz w:val="24"/>
          <w:szCs w:val="24"/>
        </w:rPr>
        <w:t xml:space="preserve">2.本项目中如有涉及商品包装、快递</w:t>
      </w:r>
      <w:r>
        <w:rPr>
          <w:rFonts w:hint="eastAsia" w:ascii="宋体"/>
          <w:bCs/>
          <w:sz w:val="24"/>
          <w:szCs w:val="24"/>
        </w:rPr>
        <w:t xml:space="preserve">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auto"/>
          <w:sz w:val="28"/>
          <w:szCs w:val="28"/>
        </w:rPr>
        <w:outlineLvl w:val="0"/>
      </w:pPr>
      <w:r>
        <w:rPr>
          <w:rFonts w:hint="eastAsia" w:ascii="黑体" w:eastAsia="黑体"/>
          <w:bCs/>
          <w:color w:val="auto"/>
          <w:sz w:val="28"/>
          <w:szCs w:val="28"/>
        </w:rPr>
        <w:t xml:space="preserve">开标一览表</w:t>
      </w:r>
      <w:r/>
    </w:p>
    <w:p>
      <w:pPr>
        <w:jc w:val="center"/>
        <w:rPr>
          <w:rFonts w:ascii="黑体" w:eastAsia="黑体"/>
          <w:bCs/>
          <w:color w:val="auto"/>
          <w:sz w:val="28"/>
          <w:szCs w:val="28"/>
        </w:rPr>
        <w:outlineLvl w:val="0"/>
      </w:pPr>
      <w:r>
        <w:rPr>
          <w:rFonts w:ascii="黑体" w:eastAsia="黑体"/>
          <w:bCs/>
          <w:color w:val="auto"/>
          <w:sz w:val="28"/>
          <w:szCs w:val="28"/>
        </w:rPr>
      </w:r>
      <w:r/>
    </w:p>
    <w:p>
      <w:pPr>
        <w:spacing w:line="360" w:lineRule="auto"/>
        <w:rPr>
          <w:rFonts w:hint="eastAsia" w:ascii="黑体" w:eastAsia="黑体"/>
          <w:bCs/>
          <w:color w:val="auto"/>
          <w:sz w:val="24"/>
          <w:szCs w:val="24"/>
          <w:lang w:eastAsia="zh-CN"/>
        </w:rPr>
      </w:pPr>
      <w:r>
        <w:rPr>
          <w:rFonts w:hint="eastAsia" w:ascii="黑体" w:eastAsia="黑体"/>
          <w:bCs/>
          <w:color w:val="auto"/>
          <w:sz w:val="24"/>
          <w:szCs w:val="24"/>
        </w:rPr>
        <w:t xml:space="preserve"> 项目编号：</w:t>
      </w:r>
      <w:r>
        <w:rPr>
          <w:rFonts w:hint="eastAsia" w:ascii="黑体" w:eastAsia="黑体"/>
          <w:bCs/>
          <w:color w:val="auto"/>
          <w:sz w:val="24"/>
          <w:szCs w:val="24"/>
          <w:lang w:eastAsia="zh-CN"/>
        </w:rPr>
        <w:t xml:space="preserve">JSZC-320214-JZCG-G2026-0040</w:t>
      </w:r>
      <w:r>
        <w:rPr>
          <w:rFonts w:hint="eastAsia" w:ascii="黑体" w:eastAsia="黑体"/>
          <w:bCs/>
          <w:color w:val="auto"/>
          <w:sz w:val="24"/>
          <w:szCs w:val="24"/>
          <w:lang w:eastAsia="zh-CN"/>
        </w:rPr>
        <w:tab/>
      </w:r>
      <w:r/>
    </w:p>
    <w:tbl>
      <w:tblPr>
        <w:tblStyle w:val="892"/>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ascii="宋体"/>
                <w:b/>
                <w:bCs/>
                <w:color w:val="auto"/>
                <w:sz w:val="24"/>
                <w:szCs w:val="24"/>
              </w:rPr>
            </w:pPr>
            <w:r>
              <w:rPr>
                <w:rFonts w:hint="eastAsia" w:ascii="宋体" w:hAnsi="宋体" w:eastAsia="宋体" w:cs="Times New Roman"/>
                <w:b/>
                <w:bCs/>
                <w:color w:val="auto"/>
                <w:sz w:val="24"/>
                <w:szCs w:val="24"/>
              </w:rPr>
              <w:t xml:space="preserve">投标总报价(小写)</w:t>
            </w:r>
            <w:r/>
          </w:p>
        </w:tc>
      </w:tr>
      <w:tr>
        <w:trPr>
          <w:cantSplit/>
          <w:trHeight w:val="1630"/>
        </w:trPr>
        <w:tc>
          <w:tcPr>
            <w:tcW w:w="5697" w:type="dxa"/>
            <w:vAlign w:val="center"/>
            <w:textDirection w:val="lrTb"/>
            <w:noWrap w:val="false"/>
          </w:tcPr>
          <w:p>
            <w:pPr>
              <w:pStyle w:val="996"/>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无锡高新区锡企服务平台新吴旗舰店(锡新通) 升级改造项目</w:t>
            </w:r>
            <w:r/>
          </w:p>
        </w:tc>
        <w:tc>
          <w:tcPr>
            <w:tcW w:w="3188" w:type="dxa"/>
            <w:vAlign w:val="center"/>
            <w:textDirection w:val="lrTb"/>
            <w:noWrap w:val="false"/>
          </w:tcPr>
          <w:p>
            <w:pPr>
              <w:pStyle w:val="996"/>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u w:val="none"/>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黑体" w:eastAsia="黑体"/>
          <w:bCs/>
          <w:color w:val="auto"/>
          <w:sz w:val="28"/>
          <w:szCs w:val="28"/>
        </w:rPr>
        <w:outlineLvl w:val="0"/>
      </w:pPr>
      <w:r>
        <w:rPr>
          <w:rFonts w:hint="eastAsia" w:ascii="黑体" w:eastAsia="黑体"/>
          <w:bCs/>
          <w:color w:val="auto"/>
          <w:sz w:val="28"/>
          <w:szCs w:val="28"/>
        </w:rPr>
        <w:t xml:space="preserve">分项报价表</w:t>
      </w:r>
      <w:r/>
    </w:p>
    <w:p>
      <w:pPr>
        <w:spacing w:line="400" w:lineRule="exact"/>
        <w:rPr>
          <w:rFonts w:ascii="黑体" w:eastAsia="黑体"/>
          <w:bCs/>
          <w:color w:val="auto"/>
          <w:sz w:val="24"/>
          <w:szCs w:val="24"/>
        </w:rPr>
      </w:pPr>
      <w:r>
        <w:rPr>
          <w:rFonts w:hint="eastAsia" w:ascii="黑体" w:eastAsia="黑体"/>
          <w:bCs/>
          <w:color w:val="auto"/>
          <w:sz w:val="24"/>
          <w:szCs w:val="24"/>
        </w:rPr>
        <w:t xml:space="preserve">项目编号：【项目编号】</w:t>
      </w:r>
      <w:r/>
    </w:p>
    <w:tbl>
      <w:tblPr>
        <w:tblStyle w:val="892"/>
        <w:tblW w:w="9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65"/>
        </w:trPr>
        <w:tc>
          <w:tcPr>
            <w:gridSpan w:val="9"/>
            <w:tcMar>
              <w:left w:w="15" w:type="dxa"/>
              <w:top w:w="15" w:type="dxa"/>
              <w:right w:w="15" w:type="dxa"/>
              <w:bottom w:w="0" w:type="dxa"/>
            </w:tcMar>
            <w:tcW w:w="9975" w:type="dxa"/>
            <w:vAlign w:val="center"/>
            <w:textDirection w:val="lrTb"/>
            <w:noWrap/>
          </w:tcPr>
          <w:p>
            <w:pPr>
              <w:spacing w:before="5"/>
              <w:rPr>
                <w:sz w:val="18"/>
              </w:rPr>
            </w:pPr>
            <w:r>
              <w:rPr>
                <w:rFonts w:hint="eastAsia"/>
                <w:b/>
                <w:bCs/>
                <w:sz w:val="24"/>
                <w:szCs w:val="24"/>
              </w:rPr>
              <w:t xml:space="preserve">货物部分</w:t>
            </w:r>
            <w:r/>
          </w:p>
        </w:tc>
      </w:tr>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rPr>
            </w:pPr>
            <w:r>
              <w:rPr>
                <w:rFonts w:hint="eastAsia"/>
                <w:sz w:val="18"/>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u w:val="none"/>
              </w:rPr>
            </w:pPr>
            <w:r>
              <w:rPr>
                <w:rFonts w:hint="eastAsia"/>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u w:val="none"/>
              </w:rPr>
            </w:pPr>
            <w:r>
              <w:rPr>
                <w:rFonts w:hint="eastAsia"/>
                <w:sz w:val="18"/>
                <w:u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rPr>
            </w:pPr>
            <w:r>
              <w:rPr>
                <w:rFonts w:hint="eastAsia"/>
                <w:sz w:val="18"/>
                <w:u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rPr>
            </w:pPr>
            <w:r>
              <w:rPr>
                <w:rFonts w:hint="eastAsia"/>
                <w:sz w:val="18"/>
              </w:rPr>
              <w:t xml:space="preserve">数量</w:t>
            </w:r>
            <w:r/>
          </w:p>
        </w:tc>
        <w:tc>
          <w:tcPr>
            <w:tcW w:w="1276" w:type="dxa"/>
            <w:vAlign w:val="center"/>
            <w:textDirection w:val="lrTb"/>
            <w:noWrap w:val="false"/>
          </w:tcPr>
          <w:p>
            <w:pPr>
              <w:jc w:val="center"/>
              <w:spacing w:before="5"/>
              <w:rPr>
                <w:sz w:val="18"/>
              </w:rPr>
            </w:pPr>
            <w:r>
              <w:rPr>
                <w:rFonts w:hint="eastAsia"/>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rPr>
            </w:pPr>
            <w:r>
              <w:rPr>
                <w:rFonts w:hint="eastAsia"/>
                <w:sz w:val="18"/>
              </w:rPr>
              <w:t xml:space="preserve">质保期</w:t>
            </w:r>
            <w:r/>
          </w:p>
        </w:tc>
        <w:tc>
          <w:tcPr>
            <w:tcW w:w="709" w:type="dxa"/>
            <w:vAlign w:val="center"/>
            <w:textDirection w:val="lrTb"/>
            <w:noWrap w:val="false"/>
          </w:tcPr>
          <w:p>
            <w:pPr>
              <w:jc w:val="center"/>
              <w:spacing w:before="5"/>
              <w:rPr>
                <w:sz w:val="18"/>
              </w:rPr>
            </w:pPr>
            <w:r>
              <w:rPr>
                <w:rFonts w:hint="eastAsia"/>
                <w:sz w:val="18"/>
              </w:rPr>
              <w:t xml:space="preserve">单报价</w:t>
            </w:r>
            <w:r/>
          </w:p>
        </w:tc>
        <w:tc>
          <w:tcPr>
            <w:tcW w:w="939"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11"/>
              <w:spacing w:before="5"/>
              <w:tabs>
                <w:tab w:val="clear" w:pos="4153" w:leader="none"/>
                <w:tab w:val="clear" w:pos="8306" w:leader="none"/>
              </w:tabs>
              <w:rPr>
                <w:rFonts w:ascii="宋体"/>
                <w:color w:val="000000"/>
                <w:lang w:val="en-US" w:eastAsia="zh-CN"/>
              </w:rPr>
              <w:pBdr>
                <w:bottom w:val="none" w:color="auto" w:sz="0" w:space="0"/>
              </w:pBdr>
            </w:pPr>
            <w:r>
              <w:rPr>
                <w:rFonts w:hint="eastAsia" w:ascii="宋体"/>
                <w:color w:val="000000"/>
                <w:lang w:val="en-US" w:eastAsia="zh-CN"/>
              </w:rPr>
              <w:t xml:space="preserve">1</w:t>
            </w:r>
            <w:r/>
          </w:p>
        </w:tc>
        <w:tc>
          <w:tcPr>
            <w:tcMar>
              <w:left w:w="15" w:type="dxa"/>
              <w:top w:w="15" w:type="dxa"/>
              <w:right w:w="15" w:type="dxa"/>
              <w:bottom w:w="0" w:type="dxa"/>
            </w:tcMar>
            <w:tcW w:w="1050" w:type="dxa"/>
            <w:vAlign w:val="center"/>
            <w:textDirection w:val="lrTb"/>
            <w:noWrap/>
          </w:tcPr>
          <w:p>
            <w:pPr>
              <w:pStyle w:val="911"/>
              <w:tabs>
                <w:tab w:val="clear" w:pos="4153" w:leader="none"/>
                <w:tab w:val="clear" w:pos="8306" w:leader="none"/>
              </w:tabs>
              <w:rPr>
                <w:rFonts w:ascii="宋体"/>
                <w:bCs/>
                <w:color w:val="000000"/>
                <w:lang w:val="en-US" w:eastAsia="zh-CN"/>
              </w:rPr>
              <w:pBdr>
                <w:bottom w:val="none" w:color="auto"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911"/>
              <w:tabs>
                <w:tab w:val="clear" w:pos="4153" w:leader="none"/>
                <w:tab w:val="clear" w:pos="8306" w:leader="none"/>
              </w:tabs>
              <w:rPr>
                <w:rFonts w:ascii="宋体"/>
                <w:bCs/>
                <w:color w:val="000000"/>
                <w:lang w:val="en-US" w:eastAsia="zh-CN"/>
              </w:rPr>
              <w:pBdr>
                <w:bottom w:val="none" w:color="auto"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hint="eastAsia" w:ascii="宋体"/>
                <w:color w:val="000000"/>
                <w:sz w:val="18"/>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11"/>
              <w:tabs>
                <w:tab w:val="clear" w:pos="4153" w:leader="none"/>
                <w:tab w:val="clear" w:pos="8306" w:leader="none"/>
              </w:tabs>
              <w:rPr>
                <w:rFonts w:ascii="宋体"/>
                <w:bCs/>
                <w:color w:val="000000"/>
                <w:lang w:val="en-US" w:eastAsia="zh-CN"/>
              </w:rPr>
              <w:pBdr>
                <w:bottom w:val="none" w:color="auto"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34"/>
        </w:trPr>
        <w:tc>
          <w:tcPr>
            <w:tcMar>
              <w:left w:w="15" w:type="dxa"/>
              <w:top w:w="15" w:type="dxa"/>
              <w:right w:w="15" w:type="dxa"/>
              <w:bottom w:w="0" w:type="dxa"/>
            </w:tcMar>
            <w:tcW w:w="420" w:type="dxa"/>
            <w:vAlign w:val="center"/>
            <w:textDirection w:val="lrTb"/>
            <w:noWrap/>
          </w:tcPr>
          <w:p>
            <w:pPr>
              <w:jc w:val="center"/>
              <w:rPr>
                <w:rFonts w:hint="eastAsia" w:ascii="宋体"/>
                <w:color w:val="000000"/>
                <w:sz w:val="18"/>
              </w:rPr>
            </w:pPr>
            <w:r>
              <w:rPr>
                <w:rFonts w:hint="eastAsia" w:ascii="宋体"/>
                <w:color w:val="000000"/>
                <w:sz w:val="18"/>
              </w:rPr>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hint="eastAsia" w:ascii="宋体"/>
                <w:color w:val="000000"/>
              </w:rPr>
              <w:t xml:space="preserve">......</w:t>
            </w:r>
            <w:r/>
          </w:p>
        </w:tc>
        <w:tc>
          <w:tcPr>
            <w:tcMar>
              <w:left w:w="15" w:type="dxa"/>
              <w:top w:w="15" w:type="dxa"/>
              <w:right w:w="15" w:type="dxa"/>
              <w:bottom w:w="0" w:type="dxa"/>
            </w:tcMar>
            <w:tcW w:w="945" w:type="dxa"/>
            <w:vAlign w:val="center"/>
            <w:textDirection w:val="lrTb"/>
            <w:noWrap w:val="false"/>
          </w:tcPr>
          <w:p>
            <w:pPr>
              <w:pStyle w:val="911"/>
              <w:tabs>
                <w:tab w:val="clear" w:pos="4153" w:leader="none"/>
                <w:tab w:val="clear" w:pos="8306" w:leader="none"/>
              </w:tabs>
              <w:rPr>
                <w:rFonts w:ascii="宋体"/>
                <w:bCs/>
                <w:color w:val="000000"/>
                <w:lang w:val="en-US" w:eastAsia="zh-CN"/>
              </w:rPr>
              <w:pBdr>
                <w:bottom w:val="none" w:color="auto"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200"/>
        </w:trPr>
        <w:tc>
          <w:tcPr>
            <w:gridSpan w:val="9"/>
            <w:shd w:val="clear" w:color="auto" w:fill="bebebe"/>
            <w:tcMar>
              <w:left w:w="15" w:type="dxa"/>
              <w:top w:w="15" w:type="dxa"/>
              <w:right w:w="15" w:type="dxa"/>
              <w:bottom w:w="0" w:type="dxa"/>
            </w:tcMar>
            <w:tcW w:w="9975" w:type="dxa"/>
            <w:vAlign w:val="center"/>
            <w:textDirection w:val="lrTb"/>
            <w:noWrap/>
          </w:tcPr>
          <w:p>
            <w:pPr>
              <w:spacing w:before="5"/>
              <w:rPr>
                <w:rFonts w:hint="eastAsia"/>
                <w:b/>
                <w:bCs/>
                <w:sz w:val="24"/>
                <w:szCs w:val="24"/>
              </w:rPr>
            </w:pPr>
            <w:r>
              <w:rPr>
                <w:rFonts w:hint="eastAsia"/>
                <w:b/>
                <w:bCs/>
                <w:sz w:val="24"/>
                <w:szCs w:val="24"/>
              </w:rPr>
            </w:r>
            <w:r/>
          </w:p>
        </w:tc>
      </w:tr>
      <w:tr>
        <w:trPr>
          <w:cantSplit/>
          <w:jc w:val="center"/>
          <w:trHeight w:val="495"/>
        </w:trPr>
        <w:tc>
          <w:tcPr>
            <w:gridSpan w:val="9"/>
            <w:tcMar>
              <w:left w:w="15" w:type="dxa"/>
              <w:top w:w="15" w:type="dxa"/>
              <w:right w:w="15" w:type="dxa"/>
              <w:bottom w:w="0" w:type="dxa"/>
            </w:tcMar>
            <w:tcW w:w="9975" w:type="dxa"/>
            <w:vAlign w:val="center"/>
            <w:textDirection w:val="lrTb"/>
            <w:noWrap/>
          </w:tcPr>
          <w:p>
            <w:pPr>
              <w:spacing w:before="5"/>
              <w:rPr>
                <w:rFonts w:hint="eastAsia"/>
                <w:sz w:val="18"/>
              </w:rPr>
            </w:pPr>
            <w:r>
              <w:rPr>
                <w:rFonts w:hint="eastAsia"/>
                <w:b/>
                <w:bCs/>
                <w:sz w:val="24"/>
                <w:szCs w:val="24"/>
              </w:rPr>
              <w:t xml:space="preserve">服务部分</w:t>
            </w:r>
            <w:r/>
          </w:p>
        </w:tc>
      </w:tr>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rPr>
            </w:pPr>
            <w:r>
              <w:rPr>
                <w:rFonts w:hint="eastAsia"/>
                <w:sz w:val="18"/>
              </w:rPr>
              <w:t xml:space="preserve">序号</w:t>
            </w:r>
            <w:r/>
          </w:p>
        </w:tc>
        <w:tc>
          <w:tcPr>
            <w:gridSpan w:val="4"/>
            <w:tcMar>
              <w:left w:w="15" w:type="dxa"/>
              <w:top w:w="15" w:type="dxa"/>
              <w:right w:w="15" w:type="dxa"/>
              <w:bottom w:w="0" w:type="dxa"/>
            </w:tcMar>
            <w:tcW w:w="5639" w:type="dxa"/>
            <w:vAlign w:val="center"/>
            <w:textDirection w:val="lrTb"/>
            <w:noWrap/>
          </w:tcPr>
          <w:p>
            <w:pPr>
              <w:jc w:val="center"/>
              <w:spacing w:before="5"/>
              <w:rPr>
                <w:rFonts w:hint="eastAsia"/>
                <w:sz w:val="18"/>
              </w:rPr>
            </w:pPr>
            <w:r>
              <w:rPr>
                <w:rFonts w:hint="eastAsia"/>
                <w:sz w:val="18"/>
              </w:rPr>
              <w:t xml:space="preserve">服务内容</w:t>
            </w:r>
            <w:r/>
          </w:p>
        </w:tc>
        <w:tc>
          <w:tcPr>
            <w:tcW w:w="1276" w:type="dxa"/>
            <w:vAlign w:val="center"/>
            <w:textDirection w:val="lrTb"/>
            <w:noWrap w:val="false"/>
          </w:tcPr>
          <w:p>
            <w:pPr>
              <w:jc w:val="center"/>
              <w:spacing w:before="5"/>
              <w:rPr>
                <w:rFonts w:hint="eastAsia"/>
                <w:sz w:val="18"/>
              </w:rPr>
            </w:pPr>
            <w:r>
              <w:rPr>
                <w:rFonts w:hint="eastAsia"/>
                <w:sz w:val="18"/>
              </w:rPr>
              <w:t xml:space="preserve">数量</w:t>
            </w:r>
            <w:r/>
          </w:p>
        </w:tc>
        <w:tc>
          <w:tcPr>
            <w:tcMar>
              <w:left w:w="15" w:type="dxa"/>
              <w:top w:w="15" w:type="dxa"/>
              <w:right w:w="15" w:type="dxa"/>
              <w:bottom w:w="0" w:type="dxa"/>
            </w:tcMar>
            <w:tcW w:w="992" w:type="dxa"/>
            <w:vAlign w:val="center"/>
            <w:textDirection w:val="lrTb"/>
            <w:noWrap/>
          </w:tcPr>
          <w:p>
            <w:pPr>
              <w:jc w:val="center"/>
              <w:spacing w:before="5"/>
              <w:rPr>
                <w:rFonts w:hint="eastAsia"/>
                <w:sz w:val="18"/>
              </w:rPr>
            </w:pPr>
            <w:r>
              <w:rPr>
                <w:rFonts w:hint="eastAsia"/>
                <w:sz w:val="18"/>
              </w:rPr>
              <w:t xml:space="preserve">单位</w:t>
            </w:r>
            <w:r/>
          </w:p>
        </w:tc>
        <w:tc>
          <w:tcPr>
            <w:tcW w:w="709" w:type="dxa"/>
            <w:vAlign w:val="center"/>
            <w:textDirection w:val="lrTb"/>
            <w:noWrap w:val="false"/>
          </w:tcPr>
          <w:p>
            <w:pPr>
              <w:jc w:val="center"/>
              <w:spacing w:before="5"/>
              <w:rPr>
                <w:sz w:val="18"/>
              </w:rPr>
            </w:pPr>
            <w:r>
              <w:rPr>
                <w:rFonts w:hint="eastAsia"/>
                <w:sz w:val="18"/>
              </w:rPr>
              <w:t xml:space="preserve">单报价</w:t>
            </w:r>
            <w:r/>
          </w:p>
        </w:tc>
        <w:tc>
          <w:tcPr>
            <w:tcW w:w="939"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11"/>
              <w:spacing w:before="5"/>
              <w:tabs>
                <w:tab w:val="clear" w:pos="4153" w:leader="none"/>
                <w:tab w:val="clear" w:pos="8306" w:leader="none"/>
              </w:tabs>
              <w:rPr>
                <w:rFonts w:ascii="宋体"/>
                <w:color w:val="000000"/>
                <w:lang w:val="en-US" w:eastAsia="zh-CN"/>
              </w:rPr>
              <w:pBdr>
                <w:bottom w:val="none" w:color="auto" w:sz="0" w:space="0"/>
              </w:pBdr>
            </w:pPr>
            <w:r>
              <w:rPr>
                <w:rFonts w:hint="eastAsia" w:ascii="宋体"/>
                <w:color w:val="000000"/>
                <w:lang w:val="en-US" w:eastAsia="zh-CN"/>
              </w:rPr>
              <w:t xml:space="preserve">1</w:t>
            </w:r>
            <w:r/>
          </w:p>
        </w:tc>
        <w:tc>
          <w:tcPr>
            <w:gridSpan w:val="4"/>
            <w:tcMar>
              <w:left w:w="15" w:type="dxa"/>
              <w:top w:w="15" w:type="dxa"/>
              <w:right w:w="15" w:type="dxa"/>
              <w:bottom w:w="0" w:type="dxa"/>
            </w:tcMar>
            <w:tcW w:w="5639"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hint="eastAsia" w:ascii="宋体"/>
                <w:color w:val="000000"/>
                <w:sz w:val="18"/>
              </w:rPr>
              <w:t xml:space="preserve">2</w:t>
            </w:r>
            <w:r/>
          </w:p>
        </w:tc>
        <w:tc>
          <w:tcPr>
            <w:gridSpan w:val="4"/>
            <w:tcMar>
              <w:left w:w="15" w:type="dxa"/>
              <w:top w:w="15" w:type="dxa"/>
              <w:right w:w="15" w:type="dxa"/>
              <w:bottom w:w="0" w:type="dxa"/>
            </w:tcMar>
            <w:tcW w:w="5639"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775"/>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jc w:val="center"/>
              <w:rPr>
                <w:rFonts w:hint="eastAsia" w:ascii="黑体" w:eastAsia="黑体"/>
                <w:b/>
                <w:bCs/>
                <w:color w:val="000000"/>
              </w:rPr>
            </w:pPr>
            <w:r>
              <w:rPr>
                <w:rFonts w:ascii="宋体"/>
                <w:color w:val="000000"/>
              </w:rPr>
              <w:t xml:space="preserve">……</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775"/>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000000"/>
                <w:sz w:val="28"/>
                <w:szCs w:val="28"/>
                <w:highlight w:val="none"/>
              </w:rPr>
            </w:pPr>
            <w:r>
              <w:rPr>
                <w:rFonts w:hint="eastAsia" w:ascii="楷体" w:hAnsi="楷体" w:eastAsia="楷体"/>
                <w:bCs/>
                <w:color w:val="000000"/>
                <w:sz w:val="28"/>
                <w:szCs w:val="28"/>
                <w:highlight w:val="none"/>
              </w:rPr>
              <w:t xml:space="preserve">投标人承诺：</w:t>
            </w:r>
            <w:r/>
          </w:p>
          <w:p>
            <w:pPr>
              <w:jc w:val="left"/>
              <w:rPr>
                <w:rFonts w:ascii="黑体" w:hAnsi="宋体" w:eastAsia="黑体"/>
                <w:b/>
                <w:bCs/>
                <w:color w:val="000000"/>
                <w:sz w:val="24"/>
                <w:szCs w:val="24"/>
              </w:rPr>
            </w:pPr>
            <w:r>
              <w:rPr>
                <w:rFonts w:hint="eastAsia" w:ascii="楷体" w:hAnsi="楷体" w:eastAsia="楷体"/>
                <w:bCs/>
                <w:color w:val="000000"/>
                <w:sz w:val="28"/>
                <w:szCs w:val="28"/>
                <w:highlight w:val="none"/>
              </w:rPr>
              <w:t xml:space="preserve">本采购项目或采购包中提供的符合本国产品标准的产品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占提供的全部产品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的比例：</w:t>
            </w:r>
            <w:r>
              <w:rPr>
                <w:rFonts w:hint="eastAsia" w:ascii="楷体" w:hAnsi="楷体" w:eastAsia="楷体"/>
                <w:bCs/>
                <w:color w:val="000000"/>
                <w:sz w:val="28"/>
                <w:szCs w:val="28"/>
                <w:highlight w:val="none"/>
                <w:u w:val="single"/>
              </w:rPr>
              <w:t xml:space="preserve">      </w:t>
            </w:r>
            <w:r>
              <w:rPr>
                <w:rFonts w:hint="eastAsia" w:ascii="楷体" w:hAnsi="楷体" w:eastAsia="楷体"/>
                <w:bCs/>
                <w:color w:val="000000"/>
                <w:sz w:val="28"/>
                <w:szCs w:val="28"/>
                <w:highlight w:val="none"/>
              </w:rPr>
              <w:t xml:space="preserve">%</w:t>
            </w:r>
            <w:r/>
          </w:p>
        </w:tc>
      </w:tr>
    </w:tbl>
    <w:p>
      <w:pPr>
        <w:spacing w:before="5" w:line="560" w:lineRule="atLeast"/>
        <w:rPr>
          <w:b/>
          <w:bCs/>
          <w:color w:val="000000"/>
          <w:sz w:val="24"/>
          <w:szCs w:val="24"/>
        </w:rPr>
      </w:pPr>
      <w:r>
        <w:rPr>
          <w:rFonts w:hint="eastAsia"/>
          <w:b/>
          <w:bCs/>
          <w:color w:val="000000"/>
          <w:sz w:val="24"/>
          <w:szCs w:val="24"/>
        </w:rPr>
        <w:t xml:space="preserve">投标人名称（盖章）：</w:t>
      </w:r>
      <w:r/>
    </w:p>
    <w:p>
      <w:pPr>
        <w:spacing w:line="400" w:lineRule="exact"/>
        <w:rPr>
          <w:rFonts w:hint="eastAsia" w:ascii="宋体" w:hAnsi="宋体"/>
          <w:b/>
          <w:color w:val="000000"/>
        </w:rPr>
        <w:outlineLvl w:val="0"/>
      </w:pPr>
      <w:r>
        <w:rPr>
          <w:rFonts w:hint="eastAsia" w:ascii="宋体" w:hAnsi="宋体"/>
          <w:b/>
          <w:color w:val="000000"/>
        </w:rPr>
      </w:r>
      <w:r/>
    </w:p>
    <w:p>
      <w:pPr>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auto"/>
        </w:rPr>
        <w:t xml:space="preserve">（</w:t>
      </w:r>
      <w:r>
        <w:rPr>
          <w:rFonts w:ascii="宋体" w:hAnsi="宋体"/>
          <w:bCs/>
          <w:color w:val="auto"/>
        </w:rPr>
        <w:t xml:space="preserve">1</w:t>
      </w:r>
      <w:r>
        <w:rPr>
          <w:rFonts w:hint="eastAsia" w:ascii="宋体" w:hAnsi="宋体"/>
          <w:bCs/>
          <w:color w:val="auto"/>
        </w:rPr>
        <w:t xml:space="preserve">）</w:t>
      </w:r>
      <w:r>
        <w:rPr>
          <w:rFonts w:hint="eastAsia" w:ascii="宋体"/>
          <w:bCs/>
          <w:color w:val="auto"/>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w:t>
      </w:r>
      <w:r>
        <w:rPr>
          <w:rFonts w:hint="eastAsia" w:ascii="宋体"/>
          <w:bCs/>
        </w:rPr>
        <w:t xml:space="preserve">明文件复印件；或提供投标人《残疾人福利性单位声明函》。如未按要求填写和提供有效证明或相关内容表述不清的，不得享受价格扣除。投标人对所报相关数据的真实性负责，</w:t>
      </w:r>
      <w:r>
        <w:rPr>
          <w:rFonts w:hint="eastAsia" w:ascii="宋体"/>
          <w:bCs/>
          <w:lang w:eastAsia="zh-CN"/>
        </w:rPr>
        <w:t xml:space="preserve">无锡市公共资源交易中心新吴分中心</w:t>
      </w:r>
      <w:r>
        <w:rPr>
          <w:rFonts w:hint="eastAsia" w:ascii="宋体"/>
          <w:bCs/>
        </w:rPr>
        <w:t xml:space="preserve">有权将相关内容进行公示；</w:t>
      </w:r>
      <w:r/>
    </w:p>
    <w:p>
      <w:pPr>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w:t>
      </w:r>
      <w:r>
        <w:rPr>
          <w:rFonts w:hint="eastAsia" w:ascii="宋体" w:hAnsi="宋体"/>
          <w:bCs/>
        </w:rPr>
        <w:t xml:space="preserve">采购需求</w:t>
      </w:r>
      <w:r>
        <w:rPr>
          <w:rFonts w:hint="eastAsia" w:ascii="宋体" w:hAnsi="宋体"/>
          <w:bCs/>
          <w:color w:val="000000"/>
        </w:rPr>
        <w:t xml:space="preserve">”的内容在上表中详细填写；</w:t>
      </w:r>
      <w:r/>
    </w:p>
    <w:p>
      <w:pPr>
        <w:ind w:firstLine="315"/>
        <w:spacing w:line="400" w:lineRule="exact"/>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p>
    <w:p>
      <w:pPr>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（4）</w:t>
      </w:r>
      <w:r>
        <w:rPr>
          <w:rFonts w:hint="eastAsia" w:ascii="宋体" w:hAnsi="宋体"/>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ascii="宋体" w:hAnsi="宋体"/>
          <w:bCs/>
          <w:highlight w:val="none"/>
        </w:rPr>
        <w:outlineLvl w:val="0"/>
      </w:pPr>
      <w:r>
        <w:rPr>
          <w:rFonts w:hint="eastAsia" w:ascii="宋体" w:hAnsi="宋体"/>
          <w:bCs/>
          <w:color w:val="000000"/>
          <w:highlight w:val="none"/>
          <w:u w:val="single"/>
        </w:rPr>
        <w:t xml:space="preserve">特别注意！！“符合本国产品标准的产品成本之和”是指本项目或采购包中符合本国产品标准的</w:t>
      </w:r>
      <w:r>
        <w:rPr>
          <w:rFonts w:hint="eastAsia" w:ascii="宋体" w:hAnsi="宋体"/>
          <w:b/>
          <w:bCs/>
          <w:color w:val="000000"/>
          <w:highlight w:val="none"/>
          <w:u w:val="single"/>
        </w:rPr>
        <w:t xml:space="preserve">货物成本之和</w:t>
      </w:r>
      <w:r>
        <w:rPr>
          <w:rFonts w:hint="eastAsia" w:ascii="宋体" w:hAnsi="宋体"/>
          <w:bCs/>
          <w:color w:val="000000"/>
          <w:highlight w:val="none"/>
          <w:u w:val="single"/>
        </w:rPr>
        <w:t xml:space="preserve">；“全部产品成本之和”是指货物或服务项目（或者采购包）中包含的</w:t>
      </w:r>
      <w:r>
        <w:rPr>
          <w:rFonts w:hint="eastAsia" w:ascii="宋体" w:hAnsi="宋体"/>
          <w:b/>
          <w:bCs/>
          <w:color w:val="000000"/>
          <w:highlight w:val="none"/>
          <w:u w:val="single"/>
        </w:rPr>
        <w:t xml:space="preserve">全部货物、服务产品的成本之和</w:t>
      </w:r>
      <w:r>
        <w:rPr>
          <w:rFonts w:hint="eastAsia" w:ascii="宋体" w:hAnsi="宋体"/>
          <w:bCs/>
          <w:color w:val="000000"/>
          <w:highlight w:val="none"/>
          <w:u w:val="single"/>
        </w:rPr>
        <w:t xml:space="preserve">。</w:t>
      </w:r>
      <w:r/>
    </w:p>
    <w:p>
      <w:pPr>
        <w:spacing w:line="360" w:lineRule="auto"/>
        <w:rPr>
          <w:rFonts w:hint="eastAsia"/>
          <w:b/>
          <w:sz w:val="28"/>
          <w:szCs w:val="28"/>
        </w:rPr>
      </w:pPr>
      <w:r>
        <w:rPr>
          <w:rFonts w:ascii="宋体" w:hAnsi="宋体"/>
          <w:bCs/>
          <w:color w:val="000000"/>
        </w:rPr>
        <w:br w:type="page" w:clear="all"/>
      </w:r>
      <w:bookmarkEnd w:id="206"/>
      <w:r/>
      <w:bookmarkEnd w:id="207"/>
      <w:r/>
      <w:bookmarkEnd w:id="208"/>
      <w:r/>
      <w:bookmarkStart w:id="210" w:name="_Toc120614284"/>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JSZC-320214-JZCG-G2026-0040</w:t>
      </w:r>
      <w:r>
        <w:rPr>
          <w:rFonts w:hint="eastAsia" w:ascii="黑体" w:eastAsia="黑体"/>
          <w:bCs/>
          <w:color w:val="auto"/>
          <w:sz w:val="24"/>
          <w:szCs w:val="24"/>
          <w:lang w:eastAsia="zh-CN"/>
        </w:rPr>
        <w:tab/>
      </w:r>
      <w:r/>
    </w:p>
    <w:tbl>
      <w:tblPr>
        <w:tblStyle w:val="892"/>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rPr>
          <w:rFonts w:hint="eastAsia" w:ascii="宋体" w:eastAsia="黑体"/>
          <w:b/>
          <w:color w:val="000000"/>
          <w:sz w:val="24"/>
          <w:szCs w:val="24"/>
        </w:rPr>
      </w:pPr>
      <w:r>
        <w:rPr>
          <w:rFonts w:hint="eastAsia" w:ascii="黑体" w:eastAsia="黑体"/>
          <w:bCs/>
          <w:color w:val="000000"/>
          <w:sz w:val="24"/>
          <w:szCs w:val="24"/>
        </w:rPr>
        <w:t xml:space="preserve">投标人名称（盖章）：</w:t>
      </w:r>
      <w:r/>
    </w:p>
    <w:p>
      <w:pPr>
        <w:rPr>
          <w:rFonts w:ascii="宋体"/>
          <w:bCs/>
          <w:color w:val="000000"/>
          <w:sz w:val="30"/>
        </w:rPr>
      </w:pPr>
      <w:r>
        <w:rPr>
          <w:rFonts w:ascii="宋体"/>
          <w:bCs/>
          <w:color w:val="000000"/>
          <w:sz w:val="30"/>
        </w:rPr>
      </w:r>
      <w:r/>
    </w:p>
    <w:p>
      <w:pPr>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p>
    <w:p>
      <w:pPr>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10"/>
      <w:r/>
      <w:bookmarkStart w:id="211" w:name="_Hlt26955066"/>
      <w:r/>
      <w:bookmarkEnd w:id="211"/>
      <w:r/>
      <w:bookmarkStart w:id="212" w:name="_Hlt26671374"/>
      <w:r/>
      <w:bookmarkEnd w:id="212"/>
      <w:r/>
      <w:bookmarkStart w:id="213" w:name="_格式2__法定代表人授权书"/>
      <w:r/>
      <w:bookmarkEnd w:id="213"/>
      <w:r/>
      <w:bookmarkStart w:id="214" w:name="_Hlt26609389"/>
      <w:r/>
      <w:bookmarkEnd w:id="214"/>
      <w:r/>
      <w:r/>
    </w:p>
    <w:p>
      <w:pPr>
        <w:ind w:firstLine="420"/>
        <w:rPr>
          <w:rFonts w:hint="eastAsia" w:ascii="宋体" w:hAnsi="宋体"/>
          <w:bCs/>
          <w:color w:val="000000"/>
          <w:sz w:val="24"/>
          <w:szCs w:val="24"/>
        </w:rPr>
        <w:outlineLvl w:val="0"/>
      </w:pPr>
      <w:r>
        <w:rPr>
          <w:rFonts w:hint="eastAsia" w:ascii="宋体" w:hAnsi="宋体"/>
          <w:bCs/>
          <w:color w:val="000000"/>
          <w:sz w:val="24"/>
          <w:szCs w:val="24"/>
        </w:rPr>
      </w:r>
      <w:r/>
    </w:p>
    <w:p>
      <w:pPr>
        <w:ind w:firstLine="420"/>
        <w:rPr>
          <w:rFonts w:ascii="宋体" w:hAnsi="宋体"/>
          <w:bCs/>
          <w:color w:val="000000"/>
          <w:sz w:val="24"/>
          <w:szCs w:val="24"/>
        </w:rPr>
        <w:outlineLvl w:val="0"/>
      </w:pPr>
      <w:r>
        <w:rPr>
          <w:rFonts w:ascii="宋体" w:hAnsi="宋体"/>
          <w:bCs/>
          <w:color w:val="000000"/>
          <w:sz w:val="24"/>
          <w:szCs w:val="24"/>
        </w:rPr>
      </w:r>
      <w:r/>
    </w:p>
    <w:p>
      <w:pPr>
        <w:spacing w:line="360" w:lineRule="auto"/>
        <w:rPr>
          <w:b/>
          <w:color w:val="auto"/>
          <w:sz w:val="28"/>
          <w:szCs w:val="28"/>
        </w:rPr>
      </w:pPr>
      <w:r>
        <w:rPr>
          <w:rFonts w:ascii="宋体" w:hAnsi="宋体"/>
          <w:bCs/>
          <w:color w:val="000000"/>
          <w:sz w:val="24"/>
          <w:szCs w:val="24"/>
        </w:rPr>
        <w:br w:type="page" w:clear="all"/>
      </w:r>
      <w:r>
        <w:rPr>
          <w:rFonts w:hint="eastAsia"/>
          <w:b/>
          <w:color w:val="auto"/>
          <w:sz w:val="28"/>
          <w:szCs w:val="28"/>
        </w:rPr>
        <w:t xml:space="preserve">十一、项目人员配置清单（格式）</w:t>
      </w:r>
      <w:r/>
    </w:p>
    <w:p>
      <w:pPr>
        <w:spacing w:line="400" w:lineRule="exact"/>
        <w:rPr>
          <w:rFonts w:ascii="黑体" w:eastAsia="黑体"/>
          <w:bCs/>
          <w:color w:val="auto"/>
          <w:sz w:val="28"/>
          <w:szCs w:val="28"/>
        </w:rPr>
      </w:pPr>
      <w:r>
        <w:rPr>
          <w:rFonts w:ascii="黑体" w:eastAsia="黑体"/>
          <w:bCs/>
          <w:color w:val="auto"/>
          <w:sz w:val="28"/>
          <w:szCs w:val="28"/>
        </w:rPr>
      </w:r>
      <w:r/>
    </w:p>
    <w:p>
      <w:pPr>
        <w:jc w:val="center"/>
        <w:spacing w:line="400" w:lineRule="exact"/>
        <w:rPr>
          <w:rFonts w:hint="eastAsia" w:ascii="黑体" w:eastAsia="黑体"/>
          <w:bCs/>
          <w:color w:val="auto"/>
          <w:sz w:val="28"/>
          <w:szCs w:val="28"/>
        </w:rPr>
      </w:pPr>
      <w:r>
        <w:rPr>
          <w:rFonts w:hint="eastAsia" w:ascii="黑体" w:eastAsia="黑体"/>
          <w:bCs/>
          <w:color w:val="auto"/>
          <w:sz w:val="28"/>
          <w:szCs w:val="28"/>
        </w:rPr>
        <w:t xml:space="preserve">项目人员配置清单</w:t>
      </w:r>
      <w:r/>
    </w:p>
    <w:p>
      <w:pPr>
        <w:jc w:val="center"/>
        <w:spacing w:line="400" w:lineRule="exact"/>
        <w:rPr>
          <w:rFonts w:ascii="黑体" w:eastAsia="黑体"/>
          <w:bCs/>
          <w:color w:val="auto"/>
          <w:sz w:val="28"/>
          <w:szCs w:val="28"/>
        </w:rPr>
      </w:pPr>
      <w:r>
        <w:rPr>
          <w:rFonts w:ascii="黑体" w:eastAsia="黑体"/>
          <w:bCs/>
          <w:color w:val="auto"/>
          <w:sz w:val="28"/>
          <w:szCs w:val="28"/>
        </w:rPr>
      </w:r>
      <w:r/>
    </w:p>
    <w:p>
      <w:pPr>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JSZC-320214-JZCG-G2026-0040</w:t>
      </w:r>
      <w:r>
        <w:rPr>
          <w:rFonts w:hint="eastAsia" w:ascii="黑体" w:eastAsia="黑体"/>
          <w:bCs/>
          <w:color w:val="auto"/>
          <w:sz w:val="24"/>
          <w:szCs w:val="24"/>
          <w:lang w:eastAsia="zh-CN"/>
        </w:rPr>
        <w:tab/>
      </w:r>
      <w:r/>
    </w:p>
    <w:tbl>
      <w:tblPr>
        <w:tblStyle w:val="8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rPr>
            </w:pPr>
            <w:r>
              <w:rPr>
                <w:rFonts w:hint="eastAsia"/>
                <w:b/>
                <w:color w:val="auto"/>
                <w:sz w:val="24"/>
              </w:rPr>
              <w:t xml:space="preserve">序号</w:t>
            </w:r>
            <w:r/>
          </w:p>
        </w:tc>
        <w:tc>
          <w:tcPr>
            <w:tcW w:w="1476" w:type="dxa"/>
            <w:vAlign w:val="center"/>
            <w:textDirection w:val="lrTb"/>
            <w:noWrap w:val="false"/>
          </w:tcPr>
          <w:p>
            <w:pPr>
              <w:jc w:val="center"/>
              <w:rPr>
                <w:b/>
                <w:color w:val="auto"/>
                <w:sz w:val="24"/>
              </w:rPr>
            </w:pPr>
            <w:r>
              <w:rPr>
                <w:rFonts w:hint="eastAsia"/>
                <w:b/>
                <w:color w:val="auto"/>
                <w:sz w:val="24"/>
              </w:rPr>
              <w:t xml:space="preserve">姓名</w:t>
            </w:r>
            <w:r/>
          </w:p>
        </w:tc>
        <w:tc>
          <w:tcPr>
            <w:tcW w:w="720" w:type="dxa"/>
            <w:vAlign w:val="center"/>
            <w:textDirection w:val="lrTb"/>
            <w:noWrap w:val="false"/>
          </w:tcPr>
          <w:p>
            <w:pPr>
              <w:jc w:val="center"/>
              <w:rPr>
                <w:b/>
                <w:color w:val="auto"/>
                <w:sz w:val="24"/>
              </w:rPr>
            </w:pPr>
            <w:r>
              <w:rPr>
                <w:rFonts w:hint="eastAsia"/>
                <w:b/>
                <w:color w:val="auto"/>
                <w:sz w:val="24"/>
              </w:rPr>
              <w:t xml:space="preserve">年龄</w:t>
            </w:r>
            <w:r/>
          </w:p>
        </w:tc>
        <w:tc>
          <w:tcPr>
            <w:tcW w:w="2520" w:type="dxa"/>
            <w:vAlign w:val="center"/>
            <w:textDirection w:val="lrTb"/>
            <w:noWrap w:val="false"/>
          </w:tcPr>
          <w:p>
            <w:pPr>
              <w:jc w:val="center"/>
              <w:rPr>
                <w:b/>
                <w:color w:val="auto"/>
                <w:sz w:val="24"/>
              </w:rPr>
            </w:pPr>
            <w:r>
              <w:rPr>
                <w:rFonts w:hint="eastAsia"/>
                <w:b/>
                <w:color w:val="auto"/>
                <w:sz w:val="24"/>
              </w:rPr>
              <w:t xml:space="preserve">本项目职责</w:t>
            </w:r>
            <w:r/>
          </w:p>
        </w:tc>
        <w:tc>
          <w:tcPr>
            <w:tcW w:w="3274" w:type="dxa"/>
            <w:vAlign w:val="center"/>
            <w:textDirection w:val="lrTb"/>
            <w:noWrap w:val="false"/>
          </w:tcPr>
          <w:p>
            <w:pPr>
              <w:jc w:val="center"/>
              <w:rPr>
                <w:b/>
                <w:color w:val="auto"/>
                <w:sz w:val="24"/>
              </w:rPr>
            </w:pPr>
            <w:r>
              <w:rPr>
                <w:rFonts w:hint="eastAsia"/>
                <w:b/>
                <w:color w:val="auto"/>
                <w:sz w:val="24"/>
              </w:rPr>
              <w:t xml:space="preserve">人员证书名称</w:t>
            </w:r>
            <w:r/>
          </w:p>
        </w:tc>
      </w:tr>
      <w:tr>
        <w:trPr>
          <w:jc w:val="center"/>
          <w:trHeight w:val="680"/>
        </w:trPr>
        <w:tc>
          <w:tcPr>
            <w:tcW w:w="704"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1476"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720"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2520"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3274"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bl>
    <w:p>
      <w:pPr>
        <w:rPr>
          <w:b/>
          <w:bCs/>
          <w:sz w:val="24"/>
          <w:szCs w:val="24"/>
        </w:rPr>
      </w:pPr>
      <w:r>
        <w:rPr>
          <w:rFonts w:hint="eastAsia" w:ascii="黑体" w:eastAsia="黑体"/>
          <w:bCs/>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ascii="宋体" w:hAnsi="宋体"/>
          <w:bCs/>
          <w:color w:val="000000"/>
        </w:rPr>
      </w:pPr>
      <w:r>
        <w:rPr>
          <w:rFonts w:hint="eastAsia" w:ascii="宋体" w:hAnsi="宋体"/>
          <w:bCs/>
          <w:color w:val="000000"/>
        </w:rPr>
        <w:t xml:space="preserve">注：1. 表格不够可自行延长。</w:t>
      </w:r>
      <w:r/>
    </w:p>
    <w:p>
      <w:pPr>
        <w:ind w:firstLine="420"/>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hint="eastAsia" w:ascii="宋体" w:hAnsi="宋体"/>
          <w:bCs/>
        </w:rPr>
      </w:pPr>
      <w:r>
        <w:rPr>
          <w:rFonts w:hint="eastAsia" w:ascii="宋体" w:hAnsi="宋体"/>
          <w:bCs/>
        </w:rPr>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28"/>
        <w:rFonts w:ascii="宋体" w:hAnsi="宋体"/>
      </w:rPr>
      <w:framePr w:wrap="around" w:vAnchor="text" w:hAnchor="margin" w:xAlign="center" w:y="1"/>
    </w:pPr>
    <w:r>
      <w:rPr>
        <w:rFonts w:ascii="宋体" w:hAnsi="宋体"/>
      </w:rPr>
      <w:fldChar w:fldCharType="begin"/>
    </w:r>
    <w:r>
      <w:rPr>
        <w:rStyle w:val="928"/>
        <w:rFonts w:ascii="宋体" w:hAnsi="宋体"/>
      </w:rPr>
      <w:instrText xml:space="preserve">PAGE  </w:instrText>
    </w:r>
    <w:r>
      <w:rPr>
        <w:rFonts w:ascii="宋体" w:hAnsi="宋体"/>
      </w:rPr>
      <w:fldChar w:fldCharType="separate"/>
    </w:r>
    <w:r>
      <w:rPr>
        <w:rStyle w:val="928"/>
        <w:rFonts w:ascii="宋体" w:hAnsi="宋体"/>
      </w:rPr>
      <w:t xml:space="preserve">１５</w:t>
    </w:r>
    <w:r>
      <w:rPr>
        <w:rFonts w:ascii="宋体" w:hAnsi="宋体"/>
      </w:rPr>
      <w:fldChar w:fldCharType="end"/>
    </w:r>
    <w:r/>
  </w:p>
  <w:p>
    <w:pPr>
      <w:pStyle w:val="910"/>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28"/>
      </w:rPr>
      <w:framePr w:wrap="around" w:vAnchor="text" w:hAnchor="margin" w:xAlign="center" w:y="1"/>
    </w:pPr>
    <w:r>
      <w:fldChar w:fldCharType="begin"/>
    </w:r>
    <w:r>
      <w:rPr>
        <w:rStyle w:val="928"/>
      </w:rPr>
      <w:instrText xml:space="preserve">PAGE  </w:instrText>
    </w:r>
    <w:r>
      <w:fldChar w:fldCharType="separate"/>
    </w:r>
    <w:r>
      <w:rPr>
        <w:rStyle w:val="928"/>
      </w:rPr>
      <w:t xml:space="preserve">1</w:t>
    </w:r>
    <w:r>
      <w:fldChar w:fldCharType="end"/>
    </w:r>
    <w:r/>
  </w:p>
  <w:p>
    <w:pPr>
      <w:pStyle w:val="9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3.3.%1"/>
      <w:lvlJc w:val="left"/>
      <w:pPr>
        <w:ind w:left="900" w:hanging="420"/>
      </w:pPr>
      <w:rPr>
        <w:rFonts w:hint="default" w:ascii="宋体" w:hAnsi="宋体" w:eastAsia="宋体"/>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decimal"/>
      <w:isLgl w:val="false"/>
      <w:suff w:val="tab"/>
      <w:lvlText w:val="3.%1"/>
      <w:lvlJc w:val="left"/>
      <w:pPr>
        <w:ind w:left="900" w:hanging="420"/>
      </w:pPr>
      <w:rPr>
        <w:rFonts w:hint="default" w:ascii="宋体" w:hAnsi="宋体" w:eastAsia="宋体"/>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
      <w:isLgl w:val="false"/>
      <w:suff w:val="tab"/>
      <w:lvlText w:val="3.2.%1"/>
      <w:lvlJc w:val="left"/>
      <w:pPr>
        <w:ind w:left="900" w:hanging="420"/>
      </w:pPr>
      <w:rPr>
        <w:rFonts w:hint="default" w:ascii="宋体" w:hAnsi="宋体" w:eastAsia="宋体"/>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chineseCountingThousand"/>
      <w:isLgl w:val="false"/>
      <w:suff w:val="tab"/>
      <w:lvlText w:val="（%1）"/>
      <w:lvlJc w:val="left"/>
      <w:pPr>
        <w:ind w:left="902" w:hanging="420"/>
      </w:pPr>
      <w:rPr>
        <w:rFonts w:hint="eastAsia"/>
      </w:rPr>
    </w:lvl>
    <w:lvl w:ilvl="1">
      <w:start w:val="1"/>
      <w:numFmt w:val="decimal"/>
      <w:isLgl w:val="false"/>
      <w:suff w:val="space"/>
      <w:lvlText w:val="%2."/>
      <w:lvlJc w:val="left"/>
      <w:pPr>
        <w:ind w:left="1262" w:hanging="360"/>
      </w:pPr>
      <w:rPr>
        <w:rFonts w:hint="default"/>
      </w:r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isLgl w:val="false"/>
      <w:suff w:val="tab"/>
      <w:lvlText w:val="3.1.%1"/>
      <w:lvlJc w:val="left"/>
      <w:pPr>
        <w:ind w:left="900" w:hanging="420"/>
      </w:pPr>
      <w:rPr>
        <w:rFonts w:hint="default" w:ascii="宋体" w:hAnsi="宋体" w:eastAsia="宋体"/>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space"/>
      <w:lvlText w:val="5.%2"/>
      <w:lvlJc w:val="left"/>
      <w:pPr>
        <w:ind w:left="567" w:hanging="567"/>
      </w:pPr>
      <w:rPr>
        <w:rFonts w:hint="eastAsia" w:ascii="宋体" w:hAnsi="宋体" w:eastAsia="宋体"/>
        <w:b/>
        <w:bCs w:val="0"/>
        <w:sz w:val="24"/>
        <w:szCs w:val="24"/>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97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isLgl w:val="false"/>
      <w:suff w:val="tab"/>
      <w:lvlText w:val="4.2.%1"/>
      <w:lvlJc w:val="left"/>
      <w:pPr>
        <w:ind w:left="900" w:hanging="420"/>
      </w:pPr>
      <w:rPr>
        <w:rFonts w:hint="eastAsia" w:ascii="宋体" w:hAnsi="宋体" w:eastAsia="宋体"/>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2">
    <w:multiLevelType w:val="hybridMultilevel"/>
    <w:lvl w:ilvl="0">
      <w:start w:val="1"/>
      <w:numFmt w:val="decimal"/>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3.5.%1"/>
      <w:lvlJc w:val="left"/>
      <w:pPr>
        <w:ind w:left="900" w:hanging="420"/>
      </w:pPr>
      <w:rPr>
        <w:rFonts w:hint="default" w:ascii="宋体" w:hAnsi="宋体" w:eastAsia="宋体"/>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4">
    <w:multiLevelType w:val="hybridMultilevel"/>
    <w:lvl w:ilvl="0">
      <w:start w:val="1"/>
      <w:numFmt w:val="bullet"/>
      <w:isLgl w:val="false"/>
      <w:suff w:val="space"/>
      <w:lvlText w:val=""/>
      <w:lvlJc w:val="left"/>
      <w:pPr>
        <w:ind w:left="920" w:hanging="440"/>
      </w:pPr>
      <w:rPr>
        <w:rFonts w:hint="default" w:ascii="Wingdings" w:hAnsi="Wingdings"/>
      </w:rPr>
    </w:lvl>
    <w:lvl w:ilvl="1">
      <w:start w:val="1"/>
      <w:numFmt w:val="bullet"/>
      <w:isLgl w:val="false"/>
      <w:suff w:val="tab"/>
      <w:lvlText w:val=""/>
      <w:lvlJc w:val="left"/>
      <w:pPr>
        <w:ind w:left="1360" w:hanging="440"/>
      </w:pPr>
      <w:rPr>
        <w:rFonts w:hint="default" w:ascii="Wingdings" w:hAnsi="Wingdings"/>
      </w:rPr>
    </w:lvl>
    <w:lvl w:ilvl="2">
      <w:start w:val="1"/>
      <w:numFmt w:val="bullet"/>
      <w:isLgl w:val="false"/>
      <w:suff w:val="tab"/>
      <w:lvlText w:val=""/>
      <w:lvlJc w:val="left"/>
      <w:pPr>
        <w:ind w:left="1800" w:hanging="440"/>
      </w:pPr>
      <w:rPr>
        <w:rFonts w:hint="default" w:ascii="Wingdings" w:hAnsi="Wingdings"/>
      </w:rPr>
    </w:lvl>
    <w:lvl w:ilvl="3">
      <w:start w:val="1"/>
      <w:numFmt w:val="bullet"/>
      <w:isLgl w:val="false"/>
      <w:suff w:val="tab"/>
      <w:lvlText w:val=""/>
      <w:lvlJc w:val="left"/>
      <w:pPr>
        <w:ind w:left="2240" w:hanging="440"/>
      </w:pPr>
      <w:rPr>
        <w:rFonts w:hint="default" w:ascii="Wingdings" w:hAnsi="Wingdings"/>
      </w:rPr>
    </w:lvl>
    <w:lvl w:ilvl="4">
      <w:start w:val="1"/>
      <w:numFmt w:val="bullet"/>
      <w:isLgl w:val="false"/>
      <w:suff w:val="tab"/>
      <w:lvlText w:val=""/>
      <w:lvlJc w:val="left"/>
      <w:pPr>
        <w:ind w:left="2680" w:hanging="440"/>
      </w:pPr>
      <w:rPr>
        <w:rFonts w:hint="default" w:ascii="Wingdings" w:hAnsi="Wingdings"/>
      </w:rPr>
    </w:lvl>
    <w:lvl w:ilvl="5">
      <w:start w:val="1"/>
      <w:numFmt w:val="bullet"/>
      <w:isLgl w:val="false"/>
      <w:suff w:val="tab"/>
      <w:lvlText w:val=""/>
      <w:lvlJc w:val="left"/>
      <w:pPr>
        <w:ind w:left="3120" w:hanging="440"/>
      </w:pPr>
      <w:rPr>
        <w:rFonts w:hint="default" w:ascii="Wingdings" w:hAnsi="Wingdings"/>
      </w:rPr>
    </w:lvl>
    <w:lvl w:ilvl="6">
      <w:start w:val="1"/>
      <w:numFmt w:val="bullet"/>
      <w:isLgl w:val="false"/>
      <w:suff w:val="tab"/>
      <w:lvlText w:val=""/>
      <w:lvlJc w:val="left"/>
      <w:pPr>
        <w:ind w:left="3560" w:hanging="440"/>
      </w:pPr>
      <w:rPr>
        <w:rFonts w:hint="default" w:ascii="Wingdings" w:hAnsi="Wingdings"/>
      </w:rPr>
    </w:lvl>
    <w:lvl w:ilvl="7">
      <w:start w:val="1"/>
      <w:numFmt w:val="bullet"/>
      <w:isLgl w:val="false"/>
      <w:suff w:val="tab"/>
      <w:lvlText w:val=""/>
      <w:lvlJc w:val="left"/>
      <w:pPr>
        <w:ind w:left="4000" w:hanging="440"/>
      </w:pPr>
      <w:rPr>
        <w:rFonts w:hint="default" w:ascii="Wingdings" w:hAnsi="Wingdings"/>
      </w:rPr>
    </w:lvl>
    <w:lvl w:ilvl="8">
      <w:start w:val="1"/>
      <w:numFmt w:val="bullet"/>
      <w:isLgl w:val="false"/>
      <w:suff w:val="tab"/>
      <w:lvlText w:val=""/>
      <w:lvlJc w:val="left"/>
      <w:pPr>
        <w:ind w:left="4440" w:hanging="440"/>
      </w:pPr>
      <w:rPr>
        <w:rFonts w:hint="default" w:ascii="Wingdings" w:hAnsi="Wingdings"/>
      </w:rPr>
    </w:lvl>
  </w:abstractNum>
  <w:abstractNum w:abstractNumId="15">
    <w:multiLevelType w:val="hybridMultilevel"/>
    <w:lvl w:ilvl="0">
      <w:start w:val="1"/>
      <w:numFmt w:val="decimal"/>
      <w:isLgl w:val="false"/>
      <w:suff w:val="tab"/>
      <w:lvlText w:val="3.4.%1"/>
      <w:lvlJc w:val="left"/>
      <w:pPr>
        <w:ind w:left="900" w:hanging="420"/>
      </w:pPr>
      <w:rPr>
        <w:rFonts w:hint="default" w:ascii="宋体" w:hAnsi="宋体" w:eastAsia="宋体"/>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6">
    <w:multiLevelType w:val="hybridMultilevel"/>
    <w:lvl w:ilvl="0">
      <w:start w:val="1"/>
      <w:numFmt w:val="decimal"/>
      <w:pStyle w:val="97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87"/>
      <w:isLgl w:val="false"/>
      <w:suff w:val="nothing"/>
      <w:lvlText w:val=""/>
      <w:lvlJc w:val="left"/>
      <w:pPr>
        <w:ind w:left="0" w:firstLine="0"/>
      </w:pPr>
      <w:rPr>
        <w:rFonts w:hint="eastAsia"/>
      </w:rPr>
    </w:lvl>
    <w:lvl w:ilvl="6">
      <w:start w:val="1"/>
      <w:numFmt w:val="none"/>
      <w:pStyle w:val="888"/>
      <w:isLgl w:val="false"/>
      <w:suff w:val="nothing"/>
      <w:lvlText w:val=""/>
      <w:lvlJc w:val="left"/>
      <w:pPr>
        <w:ind w:left="0" w:firstLine="0"/>
      </w:pPr>
      <w:rPr>
        <w:rFonts w:hint="eastAsia"/>
      </w:rPr>
    </w:lvl>
    <w:lvl w:ilvl="7">
      <w:start w:val="1"/>
      <w:numFmt w:val="none"/>
      <w:pStyle w:val="889"/>
      <w:isLgl w:val="false"/>
      <w:suff w:val="nothing"/>
      <w:lvlText w:val=""/>
      <w:lvlJc w:val="left"/>
      <w:pPr>
        <w:ind w:left="0" w:firstLine="0"/>
      </w:pPr>
      <w:rPr>
        <w:rFonts w:hint="eastAsia"/>
      </w:rPr>
    </w:lvl>
    <w:lvl w:ilvl="8">
      <w:start w:val="1"/>
      <w:numFmt w:val="none"/>
      <w:pStyle w:val="890"/>
      <w:isLgl w:val="false"/>
      <w:suff w:val="nothing"/>
      <w:lvlText w:val=""/>
      <w:lvlJc w:val="left"/>
      <w:pPr>
        <w:ind w:left="0" w:firstLine="0"/>
      </w:pPr>
      <w:rPr>
        <w:rFonts w:hint="eastAsia"/>
      </w:rPr>
    </w:lvl>
  </w:abstractNum>
  <w:abstractNum w:abstractNumId="18">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0">
    <w:multiLevelType w:val="hybridMultilevel"/>
    <w:lvl w:ilvl="0">
      <w:start w:val="1"/>
      <w:numFmt w:val="decimal"/>
      <w:isLgl w:val="false"/>
      <w:suff w:val="nothing"/>
      <w:lvlText w:val="%1"/>
      <w:lvlJc w:val="left"/>
      <w:pPr>
        <w:ind w:left="420" w:hanging="420"/>
      </w:pPr>
      <w:rPr>
        <w:rFonts w:hint="eastAsia" w:cs="Times New Roman"/>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420" w:hanging="420"/>
      </w:pPr>
      <w:rPr>
        <w:rFonts w:hint="eastAsia" w:cs="Times New Roman"/>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7"/>
  </w:num>
  <w:num w:numId="2">
    <w:abstractNumId w:val="9"/>
  </w:num>
  <w:num w:numId="3">
    <w:abstractNumId w:val="16"/>
  </w:num>
  <w:num w:numId="4">
    <w:abstractNumId w:val="22"/>
  </w:num>
  <w:num w:numId="5">
    <w:abstractNumId w:val="5"/>
  </w:num>
  <w:num w:numId="6">
    <w:abstractNumId w:val="2"/>
  </w:num>
  <w:num w:numId="7">
    <w:abstractNumId w:val="6"/>
  </w:num>
  <w:num w:numId="8">
    <w:abstractNumId w:val="3"/>
  </w:num>
  <w:num w:numId="9">
    <w:abstractNumId w:val="1"/>
  </w:num>
  <w:num w:numId="10">
    <w:abstractNumId w:val="15"/>
  </w:num>
  <w:num w:numId="11">
    <w:abstractNumId w:val="13"/>
  </w:num>
  <w:num w:numId="12">
    <w:abstractNumId w:val="11"/>
  </w:num>
  <w:num w:numId="13">
    <w:abstractNumId w:val="20"/>
  </w:num>
  <w:num w:numId="14">
    <w:abstractNumId w:val="23"/>
  </w:num>
  <w:num w:numId="15">
    <w:abstractNumId w:val="12"/>
  </w:num>
  <w:num w:numId="16">
    <w:abstractNumId w:val="7"/>
  </w:num>
  <w:num w:numId="17">
    <w:abstractNumId w:val="14"/>
  </w:num>
  <w:num w:numId="18">
    <w:abstractNumId w:val="10"/>
  </w:num>
  <w:num w:numId="19">
    <w:abstractNumId w:val="4"/>
  </w:num>
  <w:num w:numId="20">
    <w:abstractNumId w:val="18"/>
  </w:num>
  <w:num w:numId="21">
    <w:abstractNumId w:val="8"/>
  </w:num>
  <w:num w:numId="22">
    <w:abstractNumId w:val="21"/>
  </w:num>
  <w:num w:numId="23">
    <w:abstractNumId w:val="0"/>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8">
    <w:name w:val="Heading 1 Char"/>
    <w:basedOn w:val="891"/>
    <w:link w:val="882"/>
    <w:uiPriority w:val="9"/>
    <w:rPr>
      <w:rFonts w:ascii="Arial" w:hAnsi="Arial" w:eastAsia="Arial" w:cs="Arial"/>
      <w:sz w:val="40"/>
      <w:szCs w:val="40"/>
    </w:rPr>
  </w:style>
  <w:style w:type="character" w:styleId="729">
    <w:name w:val="Heading 2 Char"/>
    <w:basedOn w:val="891"/>
    <w:link w:val="883"/>
    <w:uiPriority w:val="9"/>
    <w:rPr>
      <w:rFonts w:ascii="Arial" w:hAnsi="Arial" w:eastAsia="Arial" w:cs="Arial"/>
      <w:sz w:val="34"/>
    </w:rPr>
  </w:style>
  <w:style w:type="character" w:styleId="730">
    <w:name w:val="Heading 3 Char"/>
    <w:basedOn w:val="891"/>
    <w:link w:val="884"/>
    <w:uiPriority w:val="9"/>
    <w:rPr>
      <w:rFonts w:ascii="Arial" w:hAnsi="Arial" w:eastAsia="Arial" w:cs="Arial"/>
      <w:sz w:val="30"/>
      <w:szCs w:val="30"/>
    </w:rPr>
  </w:style>
  <w:style w:type="character" w:styleId="731">
    <w:name w:val="Heading 4 Char"/>
    <w:basedOn w:val="891"/>
    <w:link w:val="885"/>
    <w:uiPriority w:val="9"/>
    <w:rPr>
      <w:rFonts w:ascii="Arial" w:hAnsi="Arial" w:eastAsia="Arial" w:cs="Arial"/>
      <w:b/>
      <w:bCs/>
      <w:sz w:val="26"/>
      <w:szCs w:val="26"/>
    </w:rPr>
  </w:style>
  <w:style w:type="character" w:styleId="732">
    <w:name w:val="Heading 5 Char"/>
    <w:basedOn w:val="891"/>
    <w:link w:val="886"/>
    <w:uiPriority w:val="9"/>
    <w:rPr>
      <w:rFonts w:ascii="Arial" w:hAnsi="Arial" w:eastAsia="Arial" w:cs="Arial"/>
      <w:b/>
      <w:bCs/>
      <w:sz w:val="24"/>
      <w:szCs w:val="24"/>
    </w:rPr>
  </w:style>
  <w:style w:type="character" w:styleId="733">
    <w:name w:val="Heading 6 Char"/>
    <w:basedOn w:val="891"/>
    <w:link w:val="887"/>
    <w:uiPriority w:val="9"/>
    <w:rPr>
      <w:rFonts w:ascii="Arial" w:hAnsi="Arial" w:eastAsia="Arial" w:cs="Arial"/>
      <w:b/>
      <w:bCs/>
      <w:sz w:val="22"/>
      <w:szCs w:val="22"/>
    </w:rPr>
  </w:style>
  <w:style w:type="character" w:styleId="734">
    <w:name w:val="Heading 7 Char"/>
    <w:basedOn w:val="891"/>
    <w:link w:val="888"/>
    <w:uiPriority w:val="9"/>
    <w:rPr>
      <w:rFonts w:ascii="Arial" w:hAnsi="Arial" w:eastAsia="Arial" w:cs="Arial"/>
      <w:b/>
      <w:bCs/>
      <w:i/>
      <w:iCs/>
      <w:sz w:val="22"/>
      <w:szCs w:val="22"/>
    </w:rPr>
  </w:style>
  <w:style w:type="character" w:styleId="735">
    <w:name w:val="Heading 8 Char"/>
    <w:basedOn w:val="891"/>
    <w:link w:val="889"/>
    <w:uiPriority w:val="9"/>
    <w:rPr>
      <w:rFonts w:ascii="Arial" w:hAnsi="Arial" w:eastAsia="Arial" w:cs="Arial"/>
      <w:i/>
      <w:iCs/>
      <w:sz w:val="22"/>
      <w:szCs w:val="22"/>
    </w:rPr>
  </w:style>
  <w:style w:type="character" w:styleId="736">
    <w:name w:val="Heading 9 Char"/>
    <w:basedOn w:val="891"/>
    <w:link w:val="890"/>
    <w:uiPriority w:val="9"/>
    <w:rPr>
      <w:rFonts w:ascii="Arial" w:hAnsi="Arial" w:eastAsia="Arial" w:cs="Arial"/>
      <w:i/>
      <w:iCs/>
      <w:sz w:val="21"/>
      <w:szCs w:val="21"/>
    </w:rPr>
  </w:style>
  <w:style w:type="paragraph" w:styleId="737">
    <w:name w:val="Title"/>
    <w:basedOn w:val="881"/>
    <w:next w:val="881"/>
    <w:link w:val="738"/>
    <w:uiPriority w:val="10"/>
    <w:qFormat/>
    <w:pPr>
      <w:contextualSpacing/>
      <w:spacing w:before="300" w:after="200"/>
    </w:pPr>
    <w:rPr>
      <w:sz w:val="48"/>
      <w:szCs w:val="48"/>
    </w:rPr>
  </w:style>
  <w:style w:type="character" w:styleId="738">
    <w:name w:val="Title Char"/>
    <w:basedOn w:val="891"/>
    <w:link w:val="737"/>
    <w:uiPriority w:val="10"/>
    <w:rPr>
      <w:sz w:val="48"/>
      <w:szCs w:val="48"/>
    </w:rPr>
  </w:style>
  <w:style w:type="paragraph" w:styleId="739">
    <w:name w:val="Subtitle"/>
    <w:basedOn w:val="881"/>
    <w:next w:val="881"/>
    <w:link w:val="740"/>
    <w:uiPriority w:val="11"/>
    <w:qFormat/>
    <w:pPr>
      <w:spacing w:before="200" w:after="200"/>
    </w:pPr>
    <w:rPr>
      <w:sz w:val="24"/>
      <w:szCs w:val="24"/>
    </w:rPr>
  </w:style>
  <w:style w:type="character" w:styleId="740">
    <w:name w:val="Subtitle Char"/>
    <w:basedOn w:val="891"/>
    <w:link w:val="739"/>
    <w:uiPriority w:val="11"/>
    <w:rPr>
      <w:sz w:val="24"/>
      <w:szCs w:val="24"/>
    </w:rPr>
  </w:style>
  <w:style w:type="paragraph" w:styleId="741">
    <w:name w:val="Quote"/>
    <w:basedOn w:val="881"/>
    <w:next w:val="881"/>
    <w:link w:val="742"/>
    <w:uiPriority w:val="29"/>
    <w:qFormat/>
    <w:pPr>
      <w:ind w:left="720" w:right="720"/>
    </w:pPr>
    <w:rPr>
      <w:i/>
    </w:rPr>
  </w:style>
  <w:style w:type="character" w:styleId="742">
    <w:name w:val="Quote Char"/>
    <w:link w:val="741"/>
    <w:uiPriority w:val="29"/>
    <w:rPr>
      <w:i/>
    </w:rPr>
  </w:style>
  <w:style w:type="paragraph" w:styleId="743">
    <w:name w:val="Intense Quote"/>
    <w:basedOn w:val="881"/>
    <w:next w:val="881"/>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character" w:styleId="745">
    <w:name w:val="Header Char"/>
    <w:basedOn w:val="891"/>
    <w:link w:val="911"/>
    <w:uiPriority w:val="99"/>
  </w:style>
  <w:style w:type="character" w:styleId="746">
    <w:name w:val="Footer Char"/>
    <w:basedOn w:val="891"/>
    <w:link w:val="910"/>
    <w:uiPriority w:val="99"/>
  </w:style>
  <w:style w:type="paragraph" w:styleId="747">
    <w:name w:val="Caption"/>
    <w:basedOn w:val="881"/>
    <w:next w:val="881"/>
    <w:uiPriority w:val="35"/>
    <w:semiHidden/>
    <w:unhideWhenUsed/>
    <w:qFormat/>
    <w:pPr>
      <w:spacing w:line="276" w:lineRule="auto"/>
    </w:pPr>
    <w:rPr>
      <w:b/>
      <w:bCs/>
      <w:color w:val="4f81bd" w:themeColor="accent1"/>
      <w:sz w:val="18"/>
      <w:szCs w:val="18"/>
    </w:rPr>
  </w:style>
  <w:style w:type="character" w:styleId="748">
    <w:name w:val="Caption Char"/>
    <w:basedOn w:val="747"/>
    <w:link w:val="910"/>
    <w:uiPriority w:val="99"/>
  </w:style>
  <w:style w:type="table" w:styleId="749">
    <w:name w:val="Table Grid Light"/>
    <w:basedOn w:val="8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basedOn w:val="8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8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8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basedOn w:val="8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basedOn w:val="8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basedOn w:val="8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basedOn w:val="8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basedOn w:val="8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basedOn w:val="8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basedOn w:val="8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basedOn w:val="8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basedOn w:val="8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basedOn w:val="8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basedOn w:val="8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basedOn w:val="8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basedOn w:val="8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basedOn w:val="8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basedOn w:val="8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basedOn w:val="8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basedOn w:val="8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basedOn w:val="8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basedOn w:val="8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basedOn w:val="89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basedOn w:val="89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basedOn w:val="89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basedOn w:val="89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basedOn w:val="89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basedOn w:val="89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Accent 4"/>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8">
    <w:name w:val="Grid Table 5 Dark - Accent 5"/>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9">
    <w:name w:val="Grid Table 5 Dark - Accent 6"/>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0">
    <w:name w:val="Grid Table 6 Colorful"/>
    <w:basedOn w:val="8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basedOn w:val="89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basedOn w:val="8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basedOn w:val="89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basedOn w:val="8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basedOn w:val="89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6 Colorful - Accent 6"/>
    <w:basedOn w:val="89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7 Colorful"/>
    <w:basedOn w:val="8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basedOn w:val="89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basedOn w:val="89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basedOn w:val="89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basedOn w:val="89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basedOn w:val="89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basedOn w:val="89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basedOn w:val="8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basedOn w:val="89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basedOn w:val="89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basedOn w:val="89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basedOn w:val="89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basedOn w:val="89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basedOn w:val="89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basedOn w:val="8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basedOn w:val="89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basedOn w:val="89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basedOn w:val="89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basedOn w:val="89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basedOn w:val="89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basedOn w:val="89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basedOn w:val="89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3 - Accent 2"/>
    <w:basedOn w:val="8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1">
    <w:name w:val="List Table 3 - Accent 3"/>
    <w:basedOn w:val="89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2">
    <w:name w:val="List Table 3 - Accent 4"/>
    <w:basedOn w:val="8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3">
    <w:name w:val="List Table 3 - Accent 5"/>
    <w:basedOn w:val="89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4">
    <w:name w:val="List Table 3 - Accent 6"/>
    <w:basedOn w:val="89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5">
    <w:name w:val="List Table 4"/>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basedOn w:val="89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4 - Accent 2"/>
    <w:basedOn w:val="89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8">
    <w:name w:val="List Table 4 - Accent 3"/>
    <w:basedOn w:val="89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9">
    <w:name w:val="List Table 4 - Accent 4"/>
    <w:basedOn w:val="89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0">
    <w:name w:val="List Table 4 - Accent 5"/>
    <w:basedOn w:val="89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1">
    <w:name w:val="List Table 4 - Accent 6"/>
    <w:basedOn w:val="89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2">
    <w:name w:val="List Table 5 Dark"/>
    <w:basedOn w:val="8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basedOn w:val="89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basedOn w:val="89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basedOn w:val="89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basedOn w:val="89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basedOn w:val="89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basedOn w:val="89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basedOn w:val="8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basedOn w:val="89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1">
    <w:name w:val="List Table 6 Colorful - Accent 2"/>
    <w:basedOn w:val="89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2">
    <w:name w:val="List Table 6 Colorful - Accent 3"/>
    <w:basedOn w:val="89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3">
    <w:name w:val="List Table 6 Colorful - Accent 4"/>
    <w:basedOn w:val="89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4">
    <w:name w:val="List Table 6 Colorful - Accent 5"/>
    <w:basedOn w:val="89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5">
    <w:name w:val="List Table 6 Colorful - Accent 6"/>
    <w:basedOn w:val="89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6">
    <w:name w:val="List Table 7 Colorful"/>
    <w:basedOn w:val="8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basedOn w:val="89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8">
    <w:name w:val="List Table 7 Colorful - Accent 2"/>
    <w:basedOn w:val="89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9">
    <w:name w:val="List Table 7 Colorful - Accent 3"/>
    <w:basedOn w:val="89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0">
    <w:name w:val="List Table 7 Colorful - Accent 4"/>
    <w:basedOn w:val="89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1">
    <w:name w:val="List Table 7 Colorful - Accent 5"/>
    <w:basedOn w:val="89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2">
    <w:name w:val="List Table 7 Colorful - Accent 6"/>
    <w:basedOn w:val="89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3">
    <w:name w:val="Lined - Accent"/>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Lined - Accent 2"/>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Lined - Accent 3"/>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Lined - Accent 4"/>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Lined - Accent 5"/>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Lined - Accent 6"/>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amp; Lined - Accent"/>
    <w:basedOn w:val="89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basedOn w:val="89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Bordered &amp; Lined - Accent 2"/>
    <w:basedOn w:val="89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Bordered &amp; Lined - Accent 3"/>
    <w:basedOn w:val="89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Bordered &amp; Lined - Accent 4"/>
    <w:basedOn w:val="89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Bordered &amp; Lined - Accent 5"/>
    <w:basedOn w:val="89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Bordered &amp; Lined - Accent 6"/>
    <w:basedOn w:val="89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w:basedOn w:val="89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basedOn w:val="8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basedOn w:val="8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basedOn w:val="8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basedOn w:val="8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basedOn w:val="8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basedOn w:val="8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4">
    <w:name w:val="footnote text"/>
    <w:basedOn w:val="88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basedOn w:val="891"/>
    <w:uiPriority w:val="99"/>
    <w:unhideWhenUsed/>
    <w:rPr>
      <w:vertAlign w:val="superscript"/>
    </w:rPr>
  </w:style>
  <w:style w:type="paragraph" w:styleId="877">
    <w:name w:val="endnote text"/>
    <w:basedOn w:val="88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basedOn w:val="891"/>
    <w:uiPriority w:val="99"/>
    <w:semiHidden/>
    <w:unhideWhenUsed/>
    <w:rPr>
      <w:vertAlign w:val="superscript"/>
    </w:rPr>
  </w:style>
  <w:style w:type="paragraph" w:styleId="880">
    <w:name w:val="TOC Heading"/>
    <w:uiPriority w:val="39"/>
    <w:unhideWhenUsed/>
  </w:style>
  <w:style w:type="paragraph" w:styleId="881" w:default="1">
    <w:name w:val="Normal"/>
    <w:next w:val="893"/>
    <w:uiPriority w:val="0"/>
    <w:qFormat/>
    <w:pPr>
      <w:jc w:val="both"/>
      <w:widowControl w:val="off"/>
    </w:pPr>
    <w:rPr>
      <w:rFonts w:ascii="Times New Roman" w:hAnsi="Times New Roman" w:eastAsia="宋体" w:cs="Times New Roman"/>
      <w:sz w:val="21"/>
      <w:szCs w:val="21"/>
      <w:lang w:val="en-US" w:eastAsia="zh-CN" w:bidi="ar-SA"/>
    </w:rPr>
  </w:style>
  <w:style w:type="paragraph" w:styleId="882">
    <w:name w:val="Heading 1"/>
    <w:basedOn w:val="881"/>
    <w:next w:val="881"/>
    <w:link w:val="934"/>
    <w:uiPriority w:val="0"/>
    <w:qFormat/>
    <w:pPr>
      <w:jc w:val="center"/>
      <w:keepNext/>
      <w:outlineLvl w:val="0"/>
    </w:pPr>
    <w:rPr>
      <w:rFonts w:ascii="楷体_GB2312" w:eastAsia="楷体_GB2312"/>
      <w:sz w:val="28"/>
      <w:szCs w:val="28"/>
    </w:rPr>
  </w:style>
  <w:style w:type="paragraph" w:styleId="883">
    <w:name w:val="Heading 2"/>
    <w:basedOn w:val="881"/>
    <w:next w:val="881"/>
    <w:link w:val="935"/>
    <w:uiPriority w:val="0"/>
    <w:qFormat/>
    <w:pPr>
      <w:jc w:val="center"/>
      <w:keepLines/>
      <w:keepNext/>
      <w:spacing w:before="260" w:after="260" w:line="416" w:lineRule="auto"/>
      <w:outlineLvl w:val="1"/>
    </w:pPr>
    <w:rPr>
      <w:rFonts w:ascii="Arial" w:hAnsi="Arial" w:eastAsia="幼圆"/>
      <w:b/>
      <w:bCs/>
      <w:sz w:val="44"/>
      <w:szCs w:val="44"/>
    </w:rPr>
  </w:style>
  <w:style w:type="paragraph" w:styleId="884">
    <w:name w:val="Heading 3"/>
    <w:basedOn w:val="881"/>
    <w:next w:val="881"/>
    <w:link w:val="936"/>
    <w:uiPriority w:val="0"/>
    <w:qFormat/>
    <w:pPr>
      <w:keepLines/>
      <w:keepNext/>
      <w:spacing w:before="260" w:after="260" w:line="416" w:lineRule="auto"/>
      <w:outlineLvl w:val="2"/>
    </w:pPr>
    <w:rPr>
      <w:b/>
      <w:bCs/>
      <w:sz w:val="32"/>
      <w:szCs w:val="32"/>
    </w:rPr>
  </w:style>
  <w:style w:type="paragraph" w:styleId="885">
    <w:name w:val="Heading 4"/>
    <w:basedOn w:val="881"/>
    <w:next w:val="881"/>
    <w:link w:val="937"/>
    <w:uiPriority w:val="0"/>
    <w:qFormat/>
    <w:pPr>
      <w:keepLines/>
      <w:keepNext/>
      <w:spacing w:before="280" w:after="290" w:line="376" w:lineRule="auto"/>
      <w:outlineLvl w:val="3"/>
    </w:pPr>
    <w:rPr>
      <w:rFonts w:ascii="Arial" w:hAnsi="Arial" w:eastAsia="黑体"/>
      <w:b/>
      <w:bCs/>
      <w:sz w:val="28"/>
      <w:szCs w:val="28"/>
    </w:rPr>
  </w:style>
  <w:style w:type="paragraph" w:styleId="886">
    <w:name w:val="Heading 5"/>
    <w:basedOn w:val="881"/>
    <w:next w:val="894"/>
    <w:link w:val="938"/>
    <w:uiPriority w:val="0"/>
    <w:qFormat/>
    <w:pPr>
      <w:keepNext/>
      <w:outlineLvl w:val="4"/>
    </w:pPr>
    <w:rPr>
      <w:rFonts w:ascii="宋体"/>
      <w:color w:val="000000"/>
      <w:sz w:val="28"/>
      <w:szCs w:val="28"/>
    </w:rPr>
  </w:style>
  <w:style w:type="paragraph" w:styleId="887">
    <w:name w:val="Heading 6"/>
    <w:basedOn w:val="881"/>
    <w:next w:val="881"/>
    <w:link w:val="94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8">
    <w:name w:val="Heading 7"/>
    <w:basedOn w:val="881"/>
    <w:next w:val="881"/>
    <w:link w:val="941"/>
    <w:uiPriority w:val="0"/>
    <w:qFormat/>
    <w:pPr>
      <w:numPr>
        <w:ilvl w:val="6"/>
        <w:numId w:val="1"/>
      </w:numPr>
      <w:keepLines/>
      <w:keepNext/>
      <w:spacing w:before="240" w:after="64" w:line="320" w:lineRule="auto"/>
      <w:outlineLvl w:val="6"/>
    </w:pPr>
    <w:rPr>
      <w:b/>
      <w:bCs/>
      <w:sz w:val="24"/>
      <w:szCs w:val="24"/>
    </w:rPr>
  </w:style>
  <w:style w:type="paragraph" w:styleId="889">
    <w:name w:val="Heading 8"/>
    <w:basedOn w:val="881"/>
    <w:next w:val="881"/>
    <w:link w:val="94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0">
    <w:name w:val="Heading 9"/>
    <w:basedOn w:val="881"/>
    <w:next w:val="881"/>
    <w:link w:val="943"/>
    <w:uiPriority w:val="0"/>
    <w:qFormat/>
    <w:pPr>
      <w:numPr>
        <w:ilvl w:val="8"/>
        <w:numId w:val="1"/>
      </w:numPr>
      <w:keepLines/>
      <w:keepNext/>
      <w:spacing w:before="240" w:after="64" w:line="320" w:lineRule="auto"/>
      <w:outlineLvl w:val="8"/>
    </w:pPr>
    <w:rPr>
      <w:rFonts w:ascii="Arial" w:hAnsi="Arial" w:eastAsia="黑体"/>
      <w:sz w:val="20"/>
    </w:rPr>
  </w:style>
  <w:style w:type="character" w:styleId="891" w:default="1">
    <w:name w:val="Default Paragraph Font"/>
    <w:uiPriority w:val="1"/>
    <w:unhideWhenUsed/>
    <w:qFormat/>
  </w:style>
  <w:style w:type="table" w:styleId="892" w:default="1">
    <w:name w:val="Normal Table"/>
    <w:uiPriority w:val="99"/>
    <w:unhideWhenUsed/>
    <w:qFormat/>
    <w:tblPr>
      <w:tblCellMar>
        <w:left w:w="108" w:type="dxa"/>
        <w:top w:w="0" w:type="dxa"/>
        <w:right w:w="108" w:type="dxa"/>
        <w:bottom w:w="0" w:type="dxa"/>
      </w:tblCellMar>
    </w:tblPr>
  </w:style>
  <w:style w:type="paragraph" w:styleId="893" w:customStyle="1">
    <w:name w:val="正文文本1"/>
    <w:basedOn w:val="881"/>
    <w:uiPriority w:val="0"/>
    <w:qFormat/>
    <w:rPr>
      <w:rFonts w:ascii="楷体_GB2312" w:hAnsi="Arial" w:eastAsia="楷体_GB2312"/>
      <w:sz w:val="28"/>
      <w:szCs w:val="28"/>
    </w:rPr>
  </w:style>
  <w:style w:type="paragraph" w:styleId="894">
    <w:name w:val="Normal Indent"/>
    <w:basedOn w:val="881"/>
    <w:link w:val="939"/>
    <w:uiPriority w:val="0"/>
    <w:qFormat/>
    <w:pPr>
      <w:ind w:firstLine="420"/>
    </w:pPr>
    <w:rPr>
      <w:sz w:val="20"/>
    </w:rPr>
  </w:style>
  <w:style w:type="paragraph" w:styleId="895">
    <w:name w:val="List 3"/>
    <w:basedOn w:val="881"/>
    <w:uiPriority w:val="0"/>
    <w:qFormat/>
    <w:pPr>
      <w:ind w:left="100" w:hanging="200"/>
    </w:pPr>
  </w:style>
  <w:style w:type="paragraph" w:styleId="896">
    <w:name w:val="toc 7"/>
    <w:basedOn w:val="881"/>
    <w:next w:val="881"/>
    <w:uiPriority w:val="0"/>
    <w:semiHidden/>
    <w:qFormat/>
    <w:pPr>
      <w:ind w:left="1260"/>
      <w:jc w:val="left"/>
    </w:pPr>
  </w:style>
  <w:style w:type="paragraph" w:styleId="897">
    <w:name w:val="Document Map"/>
    <w:basedOn w:val="881"/>
    <w:link w:val="944"/>
    <w:uiPriority w:val="0"/>
    <w:semiHidden/>
    <w:qFormat/>
    <w:pPr>
      <w:shd w:val="clear" w:color="auto" w:fill="000080"/>
    </w:pPr>
    <w:rPr>
      <w:sz w:val="20"/>
    </w:rPr>
  </w:style>
  <w:style w:type="paragraph" w:styleId="898">
    <w:name w:val="annotation text"/>
    <w:basedOn w:val="881"/>
    <w:link w:val="945"/>
    <w:uiPriority w:val="0"/>
    <w:semiHidden/>
    <w:qFormat/>
    <w:pPr>
      <w:jc w:val="left"/>
    </w:pPr>
    <w:rPr>
      <w:sz w:val="20"/>
    </w:rPr>
  </w:style>
  <w:style w:type="paragraph" w:styleId="899">
    <w:name w:val="Body Text 3"/>
    <w:basedOn w:val="881"/>
    <w:link w:val="946"/>
    <w:uiPriority w:val="0"/>
    <w:qFormat/>
    <w:rPr>
      <w:rFonts w:ascii="仿宋_GB2312" w:hAnsi="Arial" w:eastAsia="仿宋_GB2312"/>
      <w:sz w:val="32"/>
      <w:szCs w:val="32"/>
    </w:rPr>
  </w:style>
  <w:style w:type="paragraph" w:styleId="900">
    <w:name w:val="Body Text"/>
    <w:basedOn w:val="881"/>
    <w:link w:val="947"/>
    <w:uiPriority w:val="0"/>
    <w:qFormat/>
    <w:rPr>
      <w:rFonts w:ascii="楷体_GB2312" w:hAnsi="Arial" w:eastAsia="楷体_GB2312"/>
      <w:sz w:val="28"/>
      <w:szCs w:val="28"/>
    </w:rPr>
  </w:style>
  <w:style w:type="paragraph" w:styleId="901">
    <w:name w:val="Body Text Indent"/>
    <w:basedOn w:val="881"/>
    <w:link w:val="948"/>
    <w:uiPriority w:val="0"/>
    <w:qFormat/>
    <w:pPr>
      <w:ind w:firstLine="645"/>
    </w:pPr>
    <w:rPr>
      <w:rFonts w:ascii="楷体_GB2312" w:eastAsia="楷体_GB2312"/>
      <w:sz w:val="32"/>
      <w:szCs w:val="32"/>
    </w:rPr>
  </w:style>
  <w:style w:type="paragraph" w:styleId="902">
    <w:name w:val="List 2"/>
    <w:basedOn w:val="881"/>
    <w:uiPriority w:val="0"/>
    <w:qFormat/>
    <w:pPr>
      <w:ind w:left="100" w:hanging="200"/>
    </w:pPr>
  </w:style>
  <w:style w:type="paragraph" w:styleId="903">
    <w:name w:val="toc 5"/>
    <w:basedOn w:val="881"/>
    <w:next w:val="881"/>
    <w:uiPriority w:val="0"/>
    <w:semiHidden/>
    <w:qFormat/>
    <w:pPr>
      <w:ind w:left="840"/>
      <w:jc w:val="left"/>
    </w:pPr>
  </w:style>
  <w:style w:type="paragraph" w:styleId="904">
    <w:name w:val="toc 3"/>
    <w:basedOn w:val="881"/>
    <w:next w:val="881"/>
    <w:uiPriority w:val="0"/>
    <w:semiHidden/>
    <w:qFormat/>
    <w:pPr>
      <w:ind w:left="420"/>
      <w:jc w:val="left"/>
    </w:pPr>
    <w:rPr>
      <w:i/>
      <w:iCs/>
      <w:szCs w:val="24"/>
    </w:rPr>
  </w:style>
  <w:style w:type="paragraph" w:styleId="905">
    <w:name w:val="Plain Text"/>
    <w:basedOn w:val="881"/>
    <w:link w:val="949"/>
    <w:uiPriority w:val="0"/>
    <w:qFormat/>
    <w:rPr>
      <w:rFonts w:ascii="宋体" w:hAnsi="Courier New"/>
      <w:sz w:val="20"/>
    </w:rPr>
  </w:style>
  <w:style w:type="paragraph" w:styleId="906">
    <w:name w:val="toc 8"/>
    <w:basedOn w:val="881"/>
    <w:next w:val="881"/>
    <w:uiPriority w:val="0"/>
    <w:semiHidden/>
    <w:qFormat/>
    <w:pPr>
      <w:ind w:left="1470"/>
      <w:jc w:val="left"/>
    </w:pPr>
  </w:style>
  <w:style w:type="paragraph" w:styleId="907">
    <w:name w:val="Date"/>
    <w:basedOn w:val="881"/>
    <w:next w:val="881"/>
    <w:link w:val="950"/>
    <w:uiPriority w:val="0"/>
    <w:qFormat/>
    <w:rPr>
      <w:sz w:val="24"/>
      <w:szCs w:val="24"/>
    </w:rPr>
  </w:style>
  <w:style w:type="paragraph" w:styleId="908">
    <w:name w:val="Body Text Indent 2"/>
    <w:basedOn w:val="881"/>
    <w:link w:val="951"/>
    <w:uiPriority w:val="0"/>
    <w:qFormat/>
    <w:pPr>
      <w:ind w:left="630" w:firstLine="645"/>
    </w:pPr>
    <w:rPr>
      <w:rFonts w:ascii="Arial" w:hAnsi="Arial" w:eastAsia="仿宋_GB2312"/>
      <w:sz w:val="32"/>
      <w:szCs w:val="32"/>
    </w:rPr>
  </w:style>
  <w:style w:type="paragraph" w:styleId="909">
    <w:name w:val="Balloon Text"/>
    <w:basedOn w:val="881"/>
    <w:link w:val="952"/>
    <w:uiPriority w:val="0"/>
    <w:semiHidden/>
    <w:qFormat/>
    <w:rPr>
      <w:sz w:val="18"/>
      <w:szCs w:val="18"/>
    </w:rPr>
  </w:style>
  <w:style w:type="paragraph" w:styleId="910">
    <w:name w:val="Footer"/>
    <w:basedOn w:val="881"/>
    <w:link w:val="953"/>
    <w:uiPriority w:val="0"/>
    <w:qFormat/>
    <w:pPr>
      <w:jc w:val="left"/>
      <w:tabs>
        <w:tab w:val="center" w:pos="4153" w:leader="none"/>
        <w:tab w:val="right" w:pos="8306" w:leader="none"/>
      </w:tabs>
    </w:pPr>
    <w:rPr>
      <w:sz w:val="18"/>
      <w:szCs w:val="18"/>
    </w:rPr>
  </w:style>
  <w:style w:type="paragraph" w:styleId="911">
    <w:name w:val="Header"/>
    <w:basedOn w:val="881"/>
    <w:link w:val="954"/>
    <w:uiPriority w:val="99"/>
    <w:qFormat/>
    <w:pPr>
      <w:jc w:val="center"/>
      <w:tabs>
        <w:tab w:val="center" w:pos="4153" w:leader="none"/>
        <w:tab w:val="right" w:pos="8306" w:leader="none"/>
      </w:tabs>
      <w:pBdr>
        <w:bottom w:val="single" w:color="auto" w:sz="6" w:space="1"/>
      </w:pBdr>
    </w:pPr>
    <w:rPr>
      <w:sz w:val="18"/>
      <w:szCs w:val="18"/>
    </w:rPr>
  </w:style>
  <w:style w:type="paragraph" w:styleId="912">
    <w:name w:val="toc 1"/>
    <w:basedOn w:val="881"/>
    <w:next w:val="881"/>
    <w:uiPriority w:val="0"/>
    <w:semiHidden/>
    <w:qFormat/>
    <w:pPr>
      <w:jc w:val="left"/>
      <w:spacing w:before="120" w:after="120" w:line="400" w:lineRule="exact"/>
      <w:tabs>
        <w:tab w:val="right" w:pos="8720" w:leader="dot"/>
      </w:tabs>
    </w:pPr>
    <w:rPr>
      <w:rFonts w:ascii="宋体" w:hAnsi="宋体"/>
      <w:caps/>
      <w:sz w:val="24"/>
      <w:szCs w:val="24"/>
    </w:rPr>
  </w:style>
  <w:style w:type="paragraph" w:styleId="913">
    <w:name w:val="toc 4"/>
    <w:basedOn w:val="881"/>
    <w:next w:val="881"/>
    <w:uiPriority w:val="0"/>
    <w:semiHidden/>
    <w:qFormat/>
    <w:pPr>
      <w:ind w:left="630"/>
      <w:jc w:val="left"/>
    </w:pPr>
  </w:style>
  <w:style w:type="paragraph" w:styleId="914">
    <w:name w:val="List"/>
    <w:basedOn w:val="881"/>
    <w:uiPriority w:val="0"/>
    <w:qFormat/>
    <w:pPr>
      <w:ind w:left="200" w:hanging="200"/>
    </w:pPr>
  </w:style>
  <w:style w:type="paragraph" w:styleId="915">
    <w:name w:val="toc 6"/>
    <w:basedOn w:val="881"/>
    <w:next w:val="881"/>
    <w:uiPriority w:val="0"/>
    <w:semiHidden/>
    <w:qFormat/>
    <w:pPr>
      <w:ind w:left="1050"/>
      <w:jc w:val="left"/>
    </w:pPr>
  </w:style>
  <w:style w:type="paragraph" w:styleId="916">
    <w:name w:val="Body Text Indent 3"/>
    <w:basedOn w:val="881"/>
    <w:link w:val="955"/>
    <w:uiPriority w:val="0"/>
    <w:qFormat/>
    <w:pPr>
      <w:ind w:left="645" w:firstLine="645"/>
    </w:pPr>
    <w:rPr>
      <w:rFonts w:ascii="Arial" w:hAnsi="Arial" w:eastAsia="仿宋_GB2312"/>
      <w:color w:val="ffff00"/>
      <w:sz w:val="32"/>
      <w:szCs w:val="32"/>
    </w:rPr>
  </w:style>
  <w:style w:type="paragraph" w:styleId="917">
    <w:name w:val="table of figures"/>
    <w:basedOn w:val="881"/>
    <w:next w:val="881"/>
    <w:uiPriority w:val="0"/>
    <w:semiHidden/>
    <w:qFormat/>
    <w:pPr>
      <w:ind w:left="840" w:hanging="420"/>
    </w:pPr>
  </w:style>
  <w:style w:type="paragraph" w:styleId="918">
    <w:name w:val="toc 2"/>
    <w:basedOn w:val="881"/>
    <w:next w:val="881"/>
    <w:uiPriority w:val="0"/>
    <w:semiHidden/>
    <w:qFormat/>
    <w:pPr>
      <w:ind w:left="210"/>
      <w:jc w:val="left"/>
    </w:pPr>
    <w:rPr>
      <w:smallCaps/>
      <w:szCs w:val="24"/>
    </w:rPr>
  </w:style>
  <w:style w:type="paragraph" w:styleId="919">
    <w:name w:val="toc 9"/>
    <w:basedOn w:val="881"/>
    <w:next w:val="881"/>
    <w:uiPriority w:val="0"/>
    <w:semiHidden/>
    <w:qFormat/>
    <w:pPr>
      <w:ind w:left="1680"/>
      <w:jc w:val="left"/>
    </w:pPr>
  </w:style>
  <w:style w:type="paragraph" w:styleId="920">
    <w:name w:val="Body Text 2"/>
    <w:basedOn w:val="881"/>
    <w:link w:val="956"/>
    <w:uiPriority w:val="0"/>
    <w:qFormat/>
    <w:pPr>
      <w:jc w:val="center"/>
      <w:widowControl/>
    </w:pPr>
    <w:rPr>
      <w:rFonts w:ascii="楷体_GB2312" w:eastAsia="楷体_GB2312"/>
      <w:sz w:val="28"/>
      <w:szCs w:val="28"/>
    </w:rPr>
  </w:style>
  <w:style w:type="paragraph" w:styleId="921">
    <w:name w:val="Normal (Web)"/>
    <w:basedOn w:val="881"/>
    <w:uiPriority w:val="99"/>
    <w:qFormat/>
    <w:pPr>
      <w:jc w:val="left"/>
      <w:spacing w:before="100" w:beforeAutospacing="1" w:after="100" w:afterAutospacing="1"/>
      <w:widowControl/>
    </w:pPr>
    <w:rPr>
      <w:rFonts w:ascii="宋体" w:hAnsi="宋体" w:cs="宋体"/>
      <w:sz w:val="24"/>
      <w:szCs w:val="24"/>
    </w:rPr>
  </w:style>
  <w:style w:type="paragraph" w:styleId="922">
    <w:name w:val="index 1"/>
    <w:basedOn w:val="881"/>
    <w:next w:val="881"/>
    <w:uiPriority w:val="0"/>
    <w:semiHidden/>
    <w:qFormat/>
    <w:pPr>
      <w:spacing w:line="240" w:lineRule="atLeast"/>
    </w:pPr>
    <w:rPr>
      <w:b/>
      <w:bCs/>
    </w:rPr>
  </w:style>
  <w:style w:type="paragraph" w:styleId="923">
    <w:name w:val="annotation subject"/>
    <w:basedOn w:val="898"/>
    <w:next w:val="898"/>
    <w:link w:val="957"/>
    <w:uiPriority w:val="0"/>
    <w:semiHidden/>
    <w:qFormat/>
    <w:rPr>
      <w:b/>
      <w:bCs/>
    </w:rPr>
  </w:style>
  <w:style w:type="paragraph" w:styleId="924">
    <w:name w:val="Body Text First Indent"/>
    <w:basedOn w:val="881"/>
    <w:link w:val="958"/>
    <w:uiPriority w:val="0"/>
    <w:qFormat/>
    <w:pPr>
      <w:ind w:firstLine="200"/>
      <w:spacing w:line="360" w:lineRule="auto"/>
    </w:pPr>
    <w:rPr>
      <w:rFonts w:ascii="仿宋_GB2312" w:eastAsia="仿宋_GB2312"/>
      <w:sz w:val="30"/>
      <w:szCs w:val="30"/>
    </w:rPr>
  </w:style>
  <w:style w:type="paragraph" w:styleId="925">
    <w:name w:val="Body Text First Indent 2"/>
    <w:basedOn w:val="901"/>
    <w:link w:val="959"/>
    <w:uiPriority w:val="0"/>
    <w:qFormat/>
    <w:pPr>
      <w:ind w:firstLine="420"/>
      <w:spacing w:line="360" w:lineRule="auto"/>
    </w:pPr>
    <w:rPr>
      <w:rFonts w:ascii="宋体" w:hAnsi="宋体" w:eastAsia="宋体"/>
      <w:szCs w:val="20"/>
    </w:rPr>
  </w:style>
  <w:style w:type="table" w:styleId="926">
    <w:name w:val="Table Grid"/>
    <w:basedOn w:val="892"/>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7">
    <w:name w:val="Strong"/>
    <w:uiPriority w:val="0"/>
    <w:qFormat/>
    <w:rPr>
      <w:b/>
      <w:bCs/>
    </w:rPr>
  </w:style>
  <w:style w:type="character" w:styleId="928">
    <w:name w:val="page number"/>
    <w:uiPriority w:val="0"/>
    <w:qFormat/>
  </w:style>
  <w:style w:type="character" w:styleId="929">
    <w:name w:val="FollowedHyperlink"/>
    <w:uiPriority w:val="0"/>
    <w:qFormat/>
    <w:rPr>
      <w:color w:val="800080"/>
      <w:u w:val="single"/>
    </w:rPr>
  </w:style>
  <w:style w:type="character" w:styleId="930">
    <w:name w:val="HTML Typewriter"/>
    <w:uiPriority w:val="99"/>
    <w:qFormat/>
    <w:rPr>
      <w:rFonts w:ascii="宋体" w:hAnsi="宋体" w:eastAsia="宋体" w:cs="宋体"/>
      <w:sz w:val="24"/>
      <w:szCs w:val="24"/>
    </w:rPr>
  </w:style>
  <w:style w:type="character" w:styleId="931">
    <w:name w:val="Hyperlink"/>
    <w:basedOn w:val="891"/>
    <w:uiPriority w:val="0"/>
    <w:qFormat/>
    <w:rPr>
      <w:color w:val="0000ff"/>
      <w:u w:val="single"/>
    </w:rPr>
  </w:style>
  <w:style w:type="character" w:styleId="932">
    <w:name w:val="annotation reference"/>
    <w:basedOn w:val="891"/>
    <w:uiPriority w:val="0"/>
    <w:semiHidden/>
    <w:qFormat/>
    <w:rPr>
      <w:sz w:val="21"/>
      <w:szCs w:val="21"/>
    </w:rPr>
  </w:style>
  <w:style w:type="paragraph" w:styleId="933" w:customStyle="1">
    <w:name w:val="正文文本11"/>
    <w:uiPriority w:val="0"/>
    <w:qFormat/>
    <w:pPr>
      <w:jc w:val="both"/>
      <w:widowControl w:val="off"/>
    </w:pPr>
    <w:rPr>
      <w:rFonts w:ascii="Times New Roman" w:hAnsi="Times New Roman" w:eastAsia="宋体" w:cs="Times New Roman"/>
      <w:sz w:val="18"/>
      <w:lang w:val="en-US" w:eastAsia="zh-CN" w:bidi="ar-SA"/>
    </w:rPr>
  </w:style>
  <w:style w:type="character" w:styleId="934" w:customStyle="1">
    <w:name w:val="标题 1 Char"/>
    <w:link w:val="882"/>
    <w:uiPriority w:val="0"/>
    <w:qFormat/>
    <w:rPr>
      <w:rFonts w:ascii="楷体_GB2312" w:hAnsi="Times New Roman" w:eastAsia="楷体_GB2312" w:cs="Times New Roman"/>
      <w:sz w:val="28"/>
      <w:szCs w:val="28"/>
    </w:rPr>
  </w:style>
  <w:style w:type="character" w:styleId="935" w:customStyle="1">
    <w:name w:val="标题 2 Char"/>
    <w:link w:val="883"/>
    <w:uiPriority w:val="0"/>
    <w:qFormat/>
    <w:rPr>
      <w:rFonts w:ascii="Arial" w:hAnsi="Arial" w:eastAsia="幼圆" w:cs="Arial"/>
      <w:b/>
      <w:bCs/>
      <w:sz w:val="44"/>
      <w:szCs w:val="44"/>
    </w:rPr>
  </w:style>
  <w:style w:type="character" w:styleId="936" w:customStyle="1">
    <w:name w:val="标题 3 Char"/>
    <w:link w:val="884"/>
    <w:uiPriority w:val="0"/>
    <w:qFormat/>
    <w:rPr>
      <w:rFonts w:ascii="Times New Roman" w:hAnsi="Times New Roman" w:eastAsia="宋体" w:cs="Times New Roman"/>
      <w:b/>
      <w:bCs/>
      <w:sz w:val="32"/>
      <w:szCs w:val="32"/>
    </w:rPr>
  </w:style>
  <w:style w:type="character" w:styleId="937" w:customStyle="1">
    <w:name w:val="标题 4 Char"/>
    <w:link w:val="885"/>
    <w:uiPriority w:val="0"/>
    <w:qFormat/>
    <w:rPr>
      <w:rFonts w:ascii="Arial" w:hAnsi="Arial" w:eastAsia="黑体" w:cs="Arial"/>
      <w:b/>
      <w:bCs/>
      <w:sz w:val="28"/>
      <w:szCs w:val="28"/>
    </w:rPr>
  </w:style>
  <w:style w:type="character" w:styleId="938" w:customStyle="1">
    <w:name w:val="标题 5 Char"/>
    <w:link w:val="886"/>
    <w:uiPriority w:val="0"/>
    <w:qFormat/>
    <w:rPr>
      <w:rFonts w:ascii="宋体" w:hAnsi="Times New Roman" w:eastAsia="宋体" w:cs="Times New Roman"/>
      <w:color w:val="000000"/>
      <w:sz w:val="28"/>
      <w:szCs w:val="28"/>
    </w:rPr>
  </w:style>
  <w:style w:type="character" w:styleId="939" w:customStyle="1">
    <w:name w:val="正文缩进 Char"/>
    <w:link w:val="894"/>
    <w:uiPriority w:val="0"/>
    <w:qFormat/>
    <w:rPr>
      <w:rFonts w:ascii="Times New Roman" w:hAnsi="Times New Roman" w:eastAsia="宋体" w:cs="Times New Roman"/>
      <w:szCs w:val="21"/>
    </w:rPr>
  </w:style>
  <w:style w:type="character" w:styleId="940" w:customStyle="1">
    <w:name w:val="标题 6 Char"/>
    <w:link w:val="887"/>
    <w:uiPriority w:val="0"/>
    <w:qFormat/>
    <w:rPr>
      <w:rFonts w:ascii="Arial" w:hAnsi="Arial" w:eastAsia="黑体" w:cs="Times New Roman"/>
      <w:b/>
      <w:bCs/>
      <w:sz w:val="24"/>
      <w:szCs w:val="24"/>
    </w:rPr>
  </w:style>
  <w:style w:type="character" w:styleId="941" w:customStyle="1">
    <w:name w:val="标题 7 Char"/>
    <w:link w:val="888"/>
    <w:uiPriority w:val="0"/>
    <w:qFormat/>
    <w:rPr>
      <w:rFonts w:ascii="Times New Roman" w:hAnsi="Times New Roman" w:eastAsia="宋体" w:cs="Times New Roman"/>
      <w:b/>
      <w:bCs/>
      <w:sz w:val="24"/>
      <w:szCs w:val="24"/>
    </w:rPr>
  </w:style>
  <w:style w:type="character" w:styleId="942" w:customStyle="1">
    <w:name w:val="标题 8 Char"/>
    <w:link w:val="889"/>
    <w:uiPriority w:val="0"/>
    <w:qFormat/>
    <w:rPr>
      <w:rFonts w:ascii="Arial" w:hAnsi="Arial" w:eastAsia="黑体" w:cs="Times New Roman"/>
      <w:sz w:val="24"/>
      <w:szCs w:val="24"/>
    </w:rPr>
  </w:style>
  <w:style w:type="character" w:styleId="943" w:customStyle="1">
    <w:name w:val="标题 9 Char"/>
    <w:link w:val="890"/>
    <w:uiPriority w:val="0"/>
    <w:qFormat/>
    <w:rPr>
      <w:rFonts w:ascii="Arial" w:hAnsi="Arial" w:eastAsia="黑体" w:cs="Times New Roman"/>
      <w:szCs w:val="21"/>
    </w:rPr>
  </w:style>
  <w:style w:type="character" w:styleId="944" w:customStyle="1">
    <w:name w:val="文档结构图 Char"/>
    <w:link w:val="897"/>
    <w:uiPriority w:val="0"/>
    <w:semiHidden/>
    <w:qFormat/>
    <w:rPr>
      <w:rFonts w:ascii="Times New Roman" w:hAnsi="Times New Roman" w:eastAsia="宋体" w:cs="Times New Roman"/>
      <w:szCs w:val="21"/>
      <w:shd w:val="clear" w:color="auto" w:fill="000080"/>
    </w:rPr>
  </w:style>
  <w:style w:type="character" w:styleId="945" w:customStyle="1">
    <w:name w:val="批注文字 Char"/>
    <w:link w:val="898"/>
    <w:uiPriority w:val="0"/>
    <w:semiHidden/>
    <w:qFormat/>
    <w:rPr>
      <w:rFonts w:ascii="Times New Roman" w:hAnsi="Times New Roman" w:eastAsia="宋体" w:cs="Times New Roman"/>
      <w:szCs w:val="21"/>
    </w:rPr>
  </w:style>
  <w:style w:type="character" w:styleId="946" w:customStyle="1">
    <w:name w:val="正文文本 3 Char"/>
    <w:link w:val="899"/>
    <w:uiPriority w:val="0"/>
    <w:qFormat/>
    <w:rPr>
      <w:rFonts w:ascii="仿宋_GB2312" w:hAnsi="Arial" w:eastAsia="仿宋_GB2312" w:cs="Times New Roman"/>
      <w:sz w:val="32"/>
      <w:szCs w:val="32"/>
    </w:rPr>
  </w:style>
  <w:style w:type="character" w:styleId="947" w:customStyle="1">
    <w:name w:val="正文文本 Char"/>
    <w:link w:val="900"/>
    <w:uiPriority w:val="0"/>
    <w:qFormat/>
    <w:rPr>
      <w:rFonts w:ascii="楷体_GB2312" w:hAnsi="Arial" w:eastAsia="楷体_GB2312" w:cs="Times New Roman"/>
      <w:sz w:val="28"/>
      <w:szCs w:val="28"/>
    </w:rPr>
  </w:style>
  <w:style w:type="character" w:styleId="948" w:customStyle="1">
    <w:name w:val="正文文本缩进 Char"/>
    <w:link w:val="901"/>
    <w:uiPriority w:val="0"/>
    <w:qFormat/>
    <w:rPr>
      <w:rFonts w:ascii="楷体_GB2312" w:hAnsi="Times New Roman" w:eastAsia="楷体_GB2312" w:cs="Times New Roman"/>
      <w:sz w:val="32"/>
      <w:szCs w:val="32"/>
    </w:rPr>
  </w:style>
  <w:style w:type="character" w:styleId="949" w:customStyle="1">
    <w:name w:val="纯文本 Char"/>
    <w:link w:val="905"/>
    <w:uiPriority w:val="0"/>
    <w:qFormat/>
    <w:rPr>
      <w:rFonts w:ascii="宋体" w:hAnsi="Courier New" w:eastAsia="宋体" w:cs="Courier New"/>
      <w:szCs w:val="21"/>
    </w:rPr>
  </w:style>
  <w:style w:type="character" w:styleId="950" w:customStyle="1">
    <w:name w:val="日期 Char"/>
    <w:link w:val="907"/>
    <w:uiPriority w:val="0"/>
    <w:qFormat/>
    <w:rPr>
      <w:rFonts w:ascii="Times New Roman" w:hAnsi="Times New Roman" w:eastAsia="宋体" w:cs="Times New Roman"/>
      <w:sz w:val="24"/>
      <w:szCs w:val="24"/>
    </w:rPr>
  </w:style>
  <w:style w:type="character" w:styleId="951" w:customStyle="1">
    <w:name w:val="正文文本缩进 2 Char"/>
    <w:link w:val="908"/>
    <w:uiPriority w:val="0"/>
    <w:qFormat/>
    <w:rPr>
      <w:rFonts w:ascii="Arial" w:hAnsi="Arial" w:eastAsia="仿宋_GB2312" w:cs="Arial"/>
      <w:sz w:val="32"/>
      <w:szCs w:val="32"/>
    </w:rPr>
  </w:style>
  <w:style w:type="character" w:styleId="952" w:customStyle="1">
    <w:name w:val="批注框文本 Char"/>
    <w:link w:val="909"/>
    <w:uiPriority w:val="0"/>
    <w:semiHidden/>
    <w:qFormat/>
    <w:rPr>
      <w:rFonts w:ascii="Times New Roman" w:hAnsi="Times New Roman" w:eastAsia="宋体" w:cs="Times New Roman"/>
      <w:sz w:val="18"/>
      <w:szCs w:val="18"/>
    </w:rPr>
  </w:style>
  <w:style w:type="character" w:styleId="953" w:customStyle="1">
    <w:name w:val="页脚 Char"/>
    <w:link w:val="910"/>
    <w:uiPriority w:val="0"/>
    <w:qFormat/>
    <w:rPr>
      <w:rFonts w:ascii="Times New Roman" w:hAnsi="Times New Roman" w:eastAsia="宋体" w:cs="Times New Roman"/>
      <w:sz w:val="18"/>
      <w:szCs w:val="18"/>
    </w:rPr>
  </w:style>
  <w:style w:type="character" w:styleId="954" w:customStyle="1">
    <w:name w:val="页眉 Char"/>
    <w:link w:val="911"/>
    <w:uiPriority w:val="99"/>
    <w:qFormat/>
    <w:rPr>
      <w:rFonts w:ascii="Times New Roman" w:hAnsi="Times New Roman" w:eastAsia="宋体" w:cs="Times New Roman"/>
      <w:sz w:val="18"/>
      <w:szCs w:val="18"/>
    </w:rPr>
  </w:style>
  <w:style w:type="character" w:styleId="955" w:customStyle="1">
    <w:name w:val="正文文本缩进 3 Char"/>
    <w:link w:val="916"/>
    <w:uiPriority w:val="0"/>
    <w:qFormat/>
    <w:rPr>
      <w:rFonts w:ascii="Arial" w:hAnsi="Arial" w:eastAsia="仿宋_GB2312" w:cs="Arial"/>
      <w:color w:val="ffff00"/>
      <w:sz w:val="32"/>
      <w:szCs w:val="32"/>
    </w:rPr>
  </w:style>
  <w:style w:type="character" w:styleId="956" w:customStyle="1">
    <w:name w:val="正文文本 2 Char"/>
    <w:link w:val="920"/>
    <w:uiPriority w:val="0"/>
    <w:qFormat/>
    <w:rPr>
      <w:rFonts w:ascii="楷体_GB2312" w:hAnsi="Times New Roman" w:eastAsia="楷体_GB2312" w:cs="Times New Roman"/>
      <w:sz w:val="28"/>
      <w:szCs w:val="28"/>
    </w:rPr>
  </w:style>
  <w:style w:type="character" w:styleId="957" w:customStyle="1">
    <w:name w:val="批注主题 Char"/>
    <w:link w:val="923"/>
    <w:uiPriority w:val="0"/>
    <w:semiHidden/>
    <w:qFormat/>
    <w:rPr>
      <w:rFonts w:ascii="Times New Roman" w:hAnsi="Times New Roman" w:eastAsia="宋体" w:cs="Times New Roman"/>
      <w:b/>
      <w:bCs/>
      <w:szCs w:val="21"/>
    </w:rPr>
  </w:style>
  <w:style w:type="character" w:styleId="958" w:customStyle="1">
    <w:name w:val="正文首行缩进 Char"/>
    <w:link w:val="924"/>
    <w:uiPriority w:val="0"/>
    <w:qFormat/>
    <w:rPr>
      <w:rFonts w:ascii="仿宋_GB2312" w:hAnsi="Times New Roman" w:eastAsia="仿宋_GB2312" w:cs="Times New Roman"/>
      <w:sz w:val="30"/>
      <w:szCs w:val="30"/>
    </w:rPr>
  </w:style>
  <w:style w:type="character" w:styleId="959" w:customStyle="1">
    <w:name w:val="正文首行缩进 2 Char"/>
    <w:link w:val="925"/>
    <w:uiPriority w:val="0"/>
    <w:qFormat/>
    <w:rPr>
      <w:rFonts w:ascii="宋体" w:hAnsi="宋体" w:eastAsia="宋体" w:cs="Times New Roman"/>
      <w:sz w:val="32"/>
      <w:szCs w:val="20"/>
    </w:rPr>
  </w:style>
  <w:style w:type="character" w:styleId="960" w:customStyle="1">
    <w:name w:val="font5 Char"/>
    <w:uiPriority w:val="0"/>
    <w:qFormat/>
    <w:rPr>
      <w:rFonts w:ascii="宋体" w:hAnsi="宋体" w:eastAsia="宋体"/>
      <w:sz w:val="28"/>
      <w:szCs w:val="28"/>
      <w:lang w:val="en-US" w:eastAsia="zh-CN" w:bidi="ar-SA"/>
    </w:rPr>
  </w:style>
  <w:style w:type="character" w:styleId="961" w:customStyle="1">
    <w:name w:val="二级目录 Char"/>
    <w:link w:val="962"/>
    <w:uiPriority w:val="0"/>
    <w:qFormat/>
    <w:rPr>
      <w:b/>
      <w:sz w:val="30"/>
      <w:szCs w:val="28"/>
      <w:lang w:val="en-US" w:eastAsia="zh-CN" w:bidi="ar-SA"/>
    </w:rPr>
  </w:style>
  <w:style w:type="paragraph" w:styleId="962" w:customStyle="1">
    <w:name w:val="二级目录"/>
    <w:next w:val="881"/>
    <w:link w:val="961"/>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63" w:customStyle="1">
    <w:name w:val="列出段落 Char"/>
    <w:link w:val="964"/>
    <w:uiPriority w:val="0"/>
    <w:qFormat/>
    <w:rPr>
      <w:rFonts w:ascii="Calibri" w:hAnsi="Calibri"/>
      <w:sz w:val="24"/>
      <w:szCs w:val="24"/>
      <w:lang w:eastAsia="en-US" w:bidi="en-US"/>
    </w:rPr>
  </w:style>
  <w:style w:type="paragraph" w:styleId="964" w:customStyle="1">
    <w:name w:val="列出段落1"/>
    <w:basedOn w:val="881"/>
    <w:link w:val="963"/>
    <w:uiPriority w:val="0"/>
    <w:qFormat/>
    <w:pPr>
      <w:contextualSpacing/>
      <w:ind w:left="720"/>
      <w:jc w:val="left"/>
      <w:widowControl/>
    </w:pPr>
    <w:rPr>
      <w:rFonts w:ascii="Calibri" w:hAnsi="Calibri"/>
      <w:sz w:val="24"/>
      <w:szCs w:val="24"/>
      <w:lang w:eastAsia="en-US" w:bidi="en-US"/>
    </w:rPr>
  </w:style>
  <w:style w:type="paragraph" w:styleId="965" w:customStyle="1">
    <w:name w:val="Body Text(ch)"/>
    <w:basedOn w:val="881"/>
    <w:next w:val="900"/>
    <w:uiPriority w:val="0"/>
    <w:qFormat/>
    <w:pPr>
      <w:spacing w:after="120"/>
    </w:pPr>
    <w:rPr>
      <w:rFonts w:ascii="宋体" w:hAnsi="Arial"/>
      <w:bCs/>
      <w:iCs/>
      <w:szCs w:val="24"/>
    </w:rPr>
  </w:style>
  <w:style w:type="paragraph" w:styleId="966" w:customStyle="1">
    <w:name w:val="xl27"/>
    <w:basedOn w:val="8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7" w:customStyle="1">
    <w:name w:val="xl26"/>
    <w:basedOn w:val="8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68" w:customStyle="1">
    <w:name w:val="Char"/>
    <w:basedOn w:val="881"/>
    <w:uiPriority w:val="0"/>
    <w:qFormat/>
    <w:pPr>
      <w:ind w:firstLine="200"/>
      <w:tabs>
        <w:tab w:val="left" w:pos="360" w:leader="none"/>
      </w:tabs>
    </w:pPr>
    <w:rPr>
      <w:sz w:val="28"/>
      <w:szCs w:val="30"/>
    </w:rPr>
  </w:style>
  <w:style w:type="paragraph" w:styleId="969" w:customStyle="1">
    <w:name w:val=" Char"/>
    <w:basedOn w:val="897"/>
    <w:uiPriority w:val="0"/>
    <w:qFormat/>
    <w:rPr>
      <w:rFonts w:ascii="Tahoma" w:hAnsi="Tahoma"/>
      <w:sz w:val="24"/>
      <w:szCs w:val="24"/>
    </w:rPr>
  </w:style>
  <w:style w:type="paragraph" w:styleId="970" w:customStyle="1">
    <w:name w:val="普通正文"/>
    <w:basedOn w:val="881"/>
    <w:uiPriority w:val="0"/>
    <w:qFormat/>
    <w:pPr>
      <w:ind w:firstLine="480"/>
      <w:jc w:val="left"/>
      <w:spacing w:before="120" w:after="120" w:line="360" w:lineRule="auto"/>
    </w:pPr>
    <w:rPr>
      <w:rFonts w:ascii="Arial" w:hAnsi="Arial"/>
      <w:sz w:val="24"/>
      <w:szCs w:val="24"/>
    </w:rPr>
  </w:style>
  <w:style w:type="paragraph" w:styleId="971" w:customStyle="1">
    <w:name w:val="table_lines"/>
    <w:basedOn w:val="881"/>
    <w:uiPriority w:val="0"/>
    <w:qFormat/>
    <w:pPr>
      <w:jc w:val="left"/>
      <w:widowControl/>
    </w:pPr>
    <w:rPr>
      <w:sz w:val="20"/>
      <w:szCs w:val="20"/>
      <w:lang w:val="de-DE" w:eastAsia="de-DE"/>
    </w:rPr>
  </w:style>
  <w:style w:type="paragraph" w:styleId="97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73" w:customStyle="1">
    <w:name w:val="font7"/>
    <w:basedOn w:val="881"/>
    <w:uiPriority w:val="0"/>
    <w:qFormat/>
    <w:pPr>
      <w:jc w:val="left"/>
      <w:spacing w:before="100" w:beforeAutospacing="1" w:after="100" w:afterAutospacing="1"/>
      <w:widowControl/>
    </w:pPr>
    <w:rPr>
      <w:rFonts w:hint="eastAsia" w:ascii="宋体" w:hAnsi="宋体"/>
      <w:sz w:val="18"/>
      <w:szCs w:val="18"/>
    </w:rPr>
  </w:style>
  <w:style w:type="paragraph" w:styleId="974" w:customStyle="1">
    <w:name w:val=" Char Char Char Char"/>
    <w:basedOn w:val="897"/>
    <w:uiPriority w:val="0"/>
    <w:qFormat/>
    <w:pPr>
      <w:spacing w:line="360" w:lineRule="auto"/>
    </w:pPr>
    <w:rPr>
      <w:rFonts w:ascii="Tahoma" w:hAnsi="Tahoma"/>
      <w:sz w:val="24"/>
      <w:szCs w:val="24"/>
    </w:rPr>
  </w:style>
  <w:style w:type="paragraph" w:styleId="975">
    <w:name w:val="List Paragraph"/>
    <w:basedOn w:val="881"/>
    <w:uiPriority w:val="99"/>
    <w:qFormat/>
    <w:pPr>
      <w:contextualSpacing/>
      <w:ind w:left="720"/>
      <w:jc w:val="left"/>
      <w:widowControl/>
    </w:pPr>
    <w:rPr>
      <w:rFonts w:ascii="Calibri" w:hAnsi="Calibri"/>
      <w:sz w:val="24"/>
      <w:szCs w:val="24"/>
      <w:lang w:eastAsia="en-US" w:bidi="en-US"/>
    </w:rPr>
  </w:style>
  <w:style w:type="paragraph" w:styleId="976" w:customStyle="1">
    <w:name w:val="4"/>
    <w:basedOn w:val="881"/>
    <w:next w:val="916"/>
    <w:uiPriority w:val="0"/>
    <w:qFormat/>
    <w:pPr>
      <w:ind w:firstLine="420"/>
      <w:spacing w:line="360" w:lineRule="auto"/>
    </w:pPr>
    <w:rPr>
      <w:color w:val="ff0000"/>
      <w:sz w:val="24"/>
      <w:szCs w:val="24"/>
    </w:rPr>
  </w:style>
  <w:style w:type="paragraph" w:styleId="977" w:customStyle="1">
    <w:name w:val="普通 (Web)"/>
    <w:basedOn w:val="881"/>
    <w:uiPriority w:val="0"/>
    <w:qFormat/>
    <w:pPr>
      <w:jc w:val="left"/>
      <w:spacing w:before="100" w:beforeAutospacing="1" w:after="100" w:afterAutospacing="1"/>
      <w:widowControl/>
    </w:pPr>
    <w:rPr>
      <w:rFonts w:ascii="宋体" w:hAnsi="宋体"/>
      <w:sz w:val="24"/>
      <w:szCs w:val="24"/>
    </w:rPr>
  </w:style>
  <w:style w:type="paragraph" w:styleId="978" w:customStyle="1">
    <w:name w:val=" Char Char Char Char Char Char Char Char Char Char"/>
    <w:basedOn w:val="881"/>
    <w:uiPriority w:val="0"/>
    <w:qFormat/>
    <w:pPr>
      <w:spacing w:line="360" w:lineRule="auto"/>
    </w:pPr>
    <w:rPr>
      <w:sz w:val="24"/>
      <w:szCs w:val="20"/>
    </w:rPr>
  </w:style>
  <w:style w:type="paragraph" w:styleId="979" w:customStyle="1">
    <w:name w:val="样式1"/>
    <w:basedOn w:val="881"/>
    <w:uiPriority w:val="0"/>
    <w:qFormat/>
    <w:pPr>
      <w:numPr>
        <w:ilvl w:val="0"/>
        <w:numId w:val="3"/>
      </w:numPr>
    </w:pPr>
    <w:rPr>
      <w:rFonts w:ascii="宋体" w:hAnsi="宋体"/>
    </w:rPr>
  </w:style>
  <w:style w:type="paragraph" w:styleId="980" w:customStyle="1">
    <w:name w:val="font6"/>
    <w:basedOn w:val="881"/>
    <w:uiPriority w:val="0"/>
    <w:qFormat/>
    <w:pPr>
      <w:jc w:val="left"/>
      <w:spacing w:before="100" w:beforeAutospacing="1" w:after="100" w:afterAutospacing="1"/>
      <w:widowControl/>
    </w:pPr>
    <w:rPr>
      <w:rFonts w:hint="eastAsia" w:ascii="宋体" w:hAnsi="宋体"/>
      <w:sz w:val="28"/>
      <w:szCs w:val="28"/>
      <w:u w:val="single"/>
    </w:rPr>
  </w:style>
  <w:style w:type="paragraph" w:styleId="981" w:customStyle="1">
    <w:name w:val="xl25"/>
    <w:basedOn w:val="88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customStyle="1">
    <w:name w:val="图标"/>
    <w:basedOn w:val="881"/>
    <w:next w:val="88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3" w:customStyle="1">
    <w:name w:val="标题3"/>
    <w:basedOn w:val="881"/>
    <w:next w:val="881"/>
    <w:uiPriority w:val="0"/>
    <w:qFormat/>
    <w:pPr>
      <w:ind w:firstLine="624"/>
      <w:spacing w:line="590" w:lineRule="atLeast"/>
    </w:pPr>
    <w:rPr>
      <w:rFonts w:ascii="方正黑体_GBK" w:eastAsia="方正黑体_GBK"/>
      <w:sz w:val="32"/>
      <w:szCs w:val="32"/>
    </w:rPr>
  </w:style>
  <w:style w:type="paragraph" w:styleId="984" w:customStyle="1">
    <w:name w:val="xl24"/>
    <w:basedOn w:val="8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5" w:customStyle="1">
    <w:name w:val="xl29"/>
    <w:basedOn w:val="88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86" w:customStyle="1">
    <w:name w:val="Char Char Char Char Char Char Char Char"/>
    <w:basedOn w:val="881"/>
    <w:uiPriority w:val="0"/>
    <w:qFormat/>
    <w:pPr>
      <w:jc w:val="left"/>
      <w:spacing w:after="160" w:line="240" w:lineRule="exact"/>
      <w:widowControl/>
    </w:pPr>
    <w:rPr>
      <w:rFonts w:ascii="Verdana" w:hAnsi="Verdana"/>
      <w:sz w:val="20"/>
      <w:szCs w:val="20"/>
      <w:lang w:eastAsia="en-US"/>
    </w:rPr>
  </w:style>
  <w:style w:type="paragraph" w:styleId="987" w:customStyle="1">
    <w:name w:val="xl28"/>
    <w:basedOn w:val="88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88" w:customStyle="1">
    <w:name w:val=" Char Char Char Char Char Char Char Char"/>
    <w:basedOn w:val="881"/>
    <w:uiPriority w:val="0"/>
    <w:qFormat/>
    <w:pPr>
      <w:jc w:val="left"/>
      <w:spacing w:after="160" w:line="240" w:lineRule="exact"/>
      <w:widowControl/>
    </w:pPr>
    <w:rPr>
      <w:rFonts w:ascii="Verdana" w:hAnsi="Verdana"/>
      <w:sz w:val="20"/>
      <w:szCs w:val="20"/>
      <w:lang w:eastAsia="en-US"/>
    </w:rPr>
  </w:style>
  <w:style w:type="paragraph" w:styleId="989" w:customStyle="1">
    <w:name w:val="xl30"/>
    <w:basedOn w:val="881"/>
    <w:uiPriority w:val="0"/>
    <w:qFormat/>
    <w:pPr>
      <w:jc w:val="center"/>
      <w:spacing w:before="100" w:beforeAutospacing="1" w:after="100" w:afterAutospacing="1"/>
      <w:widowControl/>
    </w:pPr>
    <w:rPr>
      <w:rFonts w:ascii="宋体" w:hAnsi="宋体"/>
      <w:b/>
      <w:bCs/>
      <w:sz w:val="36"/>
      <w:szCs w:val="36"/>
    </w:rPr>
  </w:style>
  <w:style w:type="paragraph" w:styleId="990" w:customStyle="1">
    <w:name w:val="Char Char Char Char"/>
    <w:basedOn w:val="897"/>
    <w:uiPriority w:val="0"/>
    <w:qFormat/>
    <w:pPr>
      <w:spacing w:line="360" w:lineRule="auto"/>
    </w:pPr>
    <w:rPr>
      <w:rFonts w:ascii="Tahoma" w:hAnsi="Tahoma"/>
      <w:sz w:val="24"/>
      <w:szCs w:val="24"/>
    </w:rPr>
  </w:style>
  <w:style w:type="paragraph" w:styleId="991" w:customStyle="1">
    <w:name w:val="table_1stline"/>
    <w:basedOn w:val="881"/>
    <w:uiPriority w:val="0"/>
    <w:qFormat/>
    <w:pPr>
      <w:jc w:val="left"/>
      <w:spacing w:before="120"/>
      <w:widowControl/>
    </w:pPr>
    <w:rPr>
      <w:bCs/>
      <w:sz w:val="20"/>
      <w:szCs w:val="20"/>
      <w:lang w:val="de-DE" w:eastAsia="de-DE"/>
    </w:rPr>
  </w:style>
  <w:style w:type="paragraph" w:styleId="992" w:customStyle="1">
    <w:name w:val="font5"/>
    <w:basedOn w:val="881"/>
    <w:uiPriority w:val="0"/>
    <w:qFormat/>
    <w:pPr>
      <w:jc w:val="left"/>
      <w:spacing w:before="100" w:beforeAutospacing="1" w:after="100" w:afterAutospacing="1"/>
      <w:widowControl/>
    </w:pPr>
    <w:rPr>
      <w:rFonts w:hint="eastAsia" w:ascii="宋体" w:hAnsi="宋体"/>
      <w:sz w:val="28"/>
      <w:szCs w:val="28"/>
    </w:rPr>
  </w:style>
  <w:style w:type="paragraph" w:styleId="993" w:customStyle="1">
    <w:name w:val="标题1"/>
    <w:basedOn w:val="881"/>
    <w:next w:val="88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4" w:customStyle="1">
    <w:name w:val="_Style 112"/>
    <w:uiPriority w:val="99"/>
    <w:semiHidden/>
    <w:qFormat/>
    <w:rPr>
      <w:rFonts w:ascii="Times New Roman" w:hAnsi="Times New Roman" w:eastAsia="宋体" w:cs="Times New Roman"/>
      <w:sz w:val="21"/>
      <w:szCs w:val="21"/>
      <w:lang w:val="en-US" w:eastAsia="zh-CN" w:bidi="ar-SA"/>
    </w:rPr>
  </w:style>
  <w:style w:type="paragraph" w:styleId="99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96" w:customStyle="1">
    <w:name w:val="普通文字"/>
    <w:basedOn w:val="881"/>
    <w:next w:val="881"/>
    <w:uiPriority w:val="99"/>
    <w:qFormat/>
    <w:rPr>
      <w:rFonts w:ascii="宋体" w:hAnsi="Times New Roman" w:eastAsia="宋体" w:cs="Times New Roman"/>
      <w:sz w:val="24"/>
      <w:szCs w:val="20"/>
      <w:u w:val="none"/>
    </w:rPr>
  </w:style>
  <w:style w:type="paragraph" w:styleId="997" w:customStyle="1">
    <w:name w:val="目录 111"/>
    <w:basedOn w:val="881"/>
    <w:next w:val="881"/>
    <w:uiPriority w:val="39"/>
    <w:unhideWhenUsed/>
    <w:qFormat/>
    <w:pPr>
      <w:jc w:val="left"/>
      <w:spacing w:after="100" w:line="259" w:lineRule="auto"/>
      <w:widowControl/>
    </w:pPr>
    <w:rPr>
      <w:rFonts w:ascii="Calibri" w:hAnsi="Calibri" w:eastAsia="宋体"/>
      <w:sz w:val="22"/>
      <w:szCs w:val="22"/>
    </w:rPr>
  </w:style>
  <w:style w:type="paragraph" w:styleId="998" w:customStyle="1">
    <w:name w:val="*正文"/>
    <w:basedOn w:val="881"/>
    <w:uiPriority w:val="0"/>
    <w:qFormat/>
    <w:pPr>
      <w:ind w:firstLine="200"/>
    </w:pPr>
    <w:rPr>
      <w:rFonts w:ascii="Times New Roman" w:hAnsi="Times New Roman" w:eastAsia="宋体" w:cs="Times New Roman"/>
      <w:sz w:val="24"/>
      <w:szCs w:val="28"/>
    </w:rPr>
  </w:style>
  <w:style w:type="numbering" w:styleId="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华晓芸</cp:lastModifiedBy>
  <cp:revision>521</cp:revision>
  <dcterms:created xsi:type="dcterms:W3CDTF">2023-03-16T02:16:00Z</dcterms:created>
  <dcterms:modified xsi:type="dcterms:W3CDTF">2026-06-11T07:19:35Z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71546F0BAED54B7BB40253F81BB2FFB6_13</vt:lpwstr>
  </property>
  <property fmtid="{D5CDD505-2E9C-101B-9397-08002B2CF9AE}" pid="4" name="KSOTemplateDocerSaveRecord">
    <vt:lpwstr>eyJoZGlkIjoiM2I1OTQ2NDJjNjRhMmE2ZTU5NDcxMWJiZTc3MGMzNzciLCJ1c2VySWQiOiIxMzY2MzQxNDQ3In0=</vt:lpwstr>
  </property>
</Properties>
</file>