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25CF6">
      <w:pPr>
        <w:pageBreakBefore/>
        <w:spacing w:before="156" w:beforeLines="50"/>
        <w:jc w:val="center"/>
        <w:rPr>
          <w:rFonts w:ascii="仿宋" w:hAnsi="仿宋" w:eastAsia="仿宋"/>
          <w:b/>
          <w:bCs/>
          <w:sz w:val="30"/>
          <w:szCs w:val="30"/>
        </w:rPr>
      </w:pPr>
      <w:r>
        <w:rPr>
          <w:rFonts w:hint="eastAsia"/>
          <w:b/>
          <w:sz w:val="30"/>
          <w:szCs w:val="30"/>
          <w:highlight w:val="white"/>
        </w:rPr>
        <w:t>招标技术标准和要求</w:t>
      </w:r>
    </w:p>
    <w:p w14:paraId="1D28500A">
      <w:pPr>
        <w:spacing w:line="360" w:lineRule="auto"/>
        <w:ind w:firstLine="422" w:firstLineChars="200"/>
        <w:outlineLvl w:val="1"/>
        <w:rPr>
          <w:rFonts w:ascii="宋体" w:hAnsi="宋体" w:eastAsia="宋体"/>
          <w:b/>
          <w:szCs w:val="21"/>
        </w:rPr>
      </w:pPr>
      <w:r>
        <w:rPr>
          <w:rFonts w:hint="eastAsia" w:ascii="宋体" w:hAnsi="宋体" w:eastAsia="宋体"/>
          <w:b/>
          <w:szCs w:val="21"/>
        </w:rPr>
        <w:t>一、项目背景</w:t>
      </w:r>
    </w:p>
    <w:p w14:paraId="22D4D7E8">
      <w:pPr>
        <w:spacing w:line="360" w:lineRule="auto"/>
        <w:ind w:firstLine="420" w:firstLineChars="200"/>
        <w:outlineLvl w:val="1"/>
        <w:rPr>
          <w:rFonts w:ascii="宋体" w:hAnsi="宋体" w:eastAsia="宋体"/>
          <w:bCs/>
          <w:szCs w:val="21"/>
        </w:rPr>
      </w:pPr>
      <w:r>
        <w:rPr>
          <w:rFonts w:hint="eastAsia" w:ascii="宋体" w:hAnsi="宋体" w:eastAsia="宋体"/>
          <w:bCs/>
          <w:szCs w:val="21"/>
        </w:rPr>
        <w:t>根据省、市城市生命线安全工程建设要求，为最低限度防止城市道路塌陷事故，按照《江苏省城市道路塌陷风险评估技术指南（试行）》、《苏州市城市道路塌陷隐患综合探测与风险评估技术导则（试行）》相关规定，按计划开展年度城市道路风险评估和塌陷探测工作。</w:t>
      </w:r>
    </w:p>
    <w:p w14:paraId="2C141227">
      <w:pPr>
        <w:spacing w:line="360" w:lineRule="auto"/>
        <w:ind w:firstLine="420" w:firstLineChars="200"/>
        <w:rPr>
          <w:rFonts w:hint="eastAsia" w:ascii="宋体" w:hAnsi="宋体" w:eastAsia="宋体"/>
          <w:bCs/>
          <w:szCs w:val="21"/>
          <w:lang w:eastAsia="zh-CN"/>
        </w:rPr>
      </w:pPr>
      <w:r>
        <w:rPr>
          <w:rFonts w:hint="eastAsia" w:ascii="宋体" w:hAnsi="宋体" w:eastAsia="宋体"/>
          <w:bCs/>
          <w:szCs w:val="21"/>
        </w:rPr>
        <w:t>按照《城镇道路养护技术规范》（CJJ36-2016）等规范的要求，对城市道路开展定期检测。根据检测结果，进行道路技术状况评价，形成评估报告，并提出道路养护措施建议。检测参数</w:t>
      </w:r>
      <w:r>
        <w:rPr>
          <w:rFonts w:hint="eastAsia" w:ascii="宋体" w:hAnsi="宋体" w:eastAsia="宋体"/>
          <w:bCs/>
          <w:szCs w:val="21"/>
          <w:lang w:val="en-US" w:eastAsia="zh-CN"/>
        </w:rPr>
        <w:t>根据道桥系统</w:t>
      </w:r>
      <w:r>
        <w:rPr>
          <w:rFonts w:hint="eastAsia" w:ascii="宋体" w:hAnsi="宋体" w:eastAsia="宋体"/>
          <w:bCs/>
          <w:szCs w:val="21"/>
        </w:rPr>
        <w:t>包括</w:t>
      </w:r>
      <w:r>
        <w:rPr>
          <w:rFonts w:hint="eastAsia" w:ascii="宋体" w:hAnsi="宋体" w:eastAsia="宋体"/>
          <w:bCs/>
          <w:szCs w:val="21"/>
          <w:lang w:val="en-US" w:eastAsia="zh-CN"/>
        </w:rPr>
        <w:t>但不限于</w:t>
      </w:r>
      <w:r>
        <w:rPr>
          <w:rFonts w:hint="eastAsia" w:ascii="宋体" w:hAnsi="宋体" w:eastAsia="宋体"/>
          <w:bCs/>
          <w:szCs w:val="21"/>
        </w:rPr>
        <w:t>：</w:t>
      </w:r>
      <w:r>
        <w:rPr>
          <w:rFonts w:hint="eastAsia" w:ascii="宋体" w:hAnsi="宋体" w:eastAsia="宋体"/>
          <w:bCs/>
          <w:szCs w:val="21"/>
          <w:lang w:val="en-US" w:eastAsia="zh-CN"/>
        </w:rPr>
        <w:t>平整度（IRI）、</w:t>
      </w:r>
      <w:r>
        <w:rPr>
          <w:rFonts w:hint="eastAsia" w:ascii="宋体" w:hAnsi="宋体" w:eastAsia="宋体"/>
          <w:bCs/>
          <w:szCs w:val="21"/>
        </w:rPr>
        <w:t>路面行驶质量指数（RQI）</w:t>
      </w:r>
      <w:r>
        <w:rPr>
          <w:rFonts w:hint="eastAsia" w:ascii="宋体" w:hAnsi="宋体" w:eastAsia="宋体"/>
          <w:bCs/>
          <w:szCs w:val="21"/>
          <w:lang w:eastAsia="zh-CN"/>
        </w:rPr>
        <w:t>、</w:t>
      </w:r>
      <w:r>
        <w:rPr>
          <w:rFonts w:hint="eastAsia" w:ascii="宋体" w:hAnsi="宋体" w:eastAsia="宋体"/>
          <w:bCs/>
          <w:szCs w:val="21"/>
        </w:rPr>
        <w:t>损坏状况指数（PCI、FCI）、道路抗滑指数（SFC、TD或BPN）</w:t>
      </w:r>
      <w:r>
        <w:rPr>
          <w:rFonts w:hint="eastAsia" w:ascii="宋体" w:hAnsi="宋体" w:eastAsia="宋体"/>
          <w:bCs/>
          <w:szCs w:val="21"/>
          <w:lang w:eastAsia="zh-CN"/>
        </w:rPr>
        <w:t>、</w:t>
      </w:r>
      <w:r>
        <w:rPr>
          <w:rFonts w:hint="eastAsia" w:ascii="宋体" w:hAnsi="宋体" w:eastAsia="宋体"/>
          <w:bCs/>
          <w:szCs w:val="21"/>
          <w:lang w:val="en-US" w:eastAsia="zh-CN"/>
        </w:rPr>
        <w:t>车行道及人行道完好率</w:t>
      </w:r>
      <w:r>
        <w:rPr>
          <w:rFonts w:hint="eastAsia" w:ascii="宋体" w:hAnsi="宋体" w:eastAsia="宋体"/>
          <w:bCs/>
          <w:szCs w:val="21"/>
        </w:rPr>
        <w:t>和道路结构强度检测（弯沉值）</w:t>
      </w:r>
      <w:r>
        <w:rPr>
          <w:rFonts w:hint="eastAsia" w:ascii="宋体" w:hAnsi="宋体" w:eastAsia="宋体"/>
          <w:bCs/>
          <w:szCs w:val="21"/>
          <w:lang w:eastAsia="zh-CN"/>
        </w:rPr>
        <w:t>。</w:t>
      </w:r>
    </w:p>
    <w:p w14:paraId="4EF509C8">
      <w:pPr>
        <w:spacing w:line="360" w:lineRule="auto"/>
        <w:ind w:firstLine="420" w:firstLineChars="200"/>
        <w:rPr>
          <w:rFonts w:hint="eastAsia" w:ascii="宋体" w:hAnsi="宋体" w:cs="宋体"/>
          <w:szCs w:val="21"/>
        </w:rPr>
      </w:pPr>
      <w:r>
        <w:rPr>
          <w:rFonts w:hint="eastAsia" w:ascii="宋体" w:hAnsi="宋体" w:cs="宋体"/>
          <w:szCs w:val="21"/>
        </w:rPr>
        <w:t>本项目综合性较强，投标单位需要掌握和理解园区城市道路现状情况、岩土工程地质和地下管线情况，需具有道路、给排水、地质等专业综合实践能力，能够根据调查资料对道路进行专业评估，并依据探测数据做专业分析、给出专业性的建议。</w:t>
      </w:r>
    </w:p>
    <w:p w14:paraId="09F1C7B1">
      <w:pPr>
        <w:spacing w:line="360" w:lineRule="auto"/>
        <w:ind w:firstLine="422" w:firstLineChars="200"/>
        <w:outlineLvl w:val="1"/>
        <w:rPr>
          <w:rFonts w:ascii="宋体" w:hAnsi="宋体" w:eastAsia="宋体"/>
          <w:b/>
          <w:szCs w:val="21"/>
        </w:rPr>
      </w:pPr>
      <w:r>
        <w:rPr>
          <w:rFonts w:hint="eastAsia" w:ascii="宋体" w:hAnsi="宋体" w:eastAsia="宋体"/>
          <w:b/>
          <w:szCs w:val="21"/>
        </w:rPr>
        <w:t>二、实施依据</w:t>
      </w:r>
    </w:p>
    <w:p w14:paraId="49F38A9A">
      <w:pPr>
        <w:spacing w:line="360" w:lineRule="auto"/>
        <w:ind w:firstLine="420" w:firstLineChars="200"/>
        <w:outlineLvl w:val="1"/>
        <w:rPr>
          <w:rFonts w:hint="eastAsia" w:ascii="宋体" w:hAnsi="宋体" w:cs="宋体"/>
          <w:szCs w:val="21"/>
          <w:lang w:val="en-US" w:eastAsia="zh-CN"/>
        </w:rPr>
      </w:pPr>
      <w:r>
        <w:rPr>
          <w:rFonts w:hint="eastAsia" w:ascii="宋体" w:hAnsi="宋体" w:cs="宋体"/>
          <w:szCs w:val="21"/>
        </w:rPr>
        <w:t>本项目执行的相关标准</w:t>
      </w:r>
      <w:r>
        <w:rPr>
          <w:rFonts w:hint="eastAsia" w:ascii="宋体" w:hAnsi="宋体" w:cs="宋体"/>
          <w:szCs w:val="21"/>
          <w:lang w:val="en-US" w:eastAsia="zh-CN"/>
        </w:rPr>
        <w:t>包含但不限于</w:t>
      </w:r>
      <w:r>
        <w:rPr>
          <w:rFonts w:hint="eastAsia" w:ascii="宋体" w:hAnsi="宋体" w:cs="宋体"/>
          <w:szCs w:val="21"/>
        </w:rPr>
        <w:t>如下所示</w:t>
      </w:r>
      <w:r>
        <w:rPr>
          <w:rFonts w:hint="eastAsia" w:ascii="宋体" w:hAnsi="宋体" w:cs="宋体"/>
          <w:szCs w:val="21"/>
          <w:lang w:eastAsia="zh-CN"/>
        </w:rPr>
        <w:t>：</w:t>
      </w:r>
    </w:p>
    <w:p w14:paraId="1F94A6C2">
      <w:pPr>
        <w:spacing w:line="360" w:lineRule="auto"/>
        <w:ind w:firstLine="420" w:firstLineChars="200"/>
        <w:outlineLvl w:val="1"/>
        <w:rPr>
          <w:rFonts w:ascii="宋体" w:hAnsi="宋体" w:eastAsia="宋体"/>
          <w:bCs/>
          <w:szCs w:val="21"/>
        </w:rPr>
      </w:pPr>
      <w:r>
        <w:rPr>
          <w:rFonts w:hint="eastAsia" w:ascii="宋体" w:hAnsi="宋体" w:eastAsia="宋体"/>
          <w:bCs/>
          <w:szCs w:val="21"/>
          <w:lang w:val="en-US" w:eastAsia="zh-CN"/>
        </w:rPr>
        <w:t>1、</w:t>
      </w:r>
      <w:r>
        <w:rPr>
          <w:rFonts w:hint="eastAsia" w:ascii="宋体" w:hAnsi="宋体" w:eastAsia="宋体"/>
          <w:bCs/>
          <w:szCs w:val="21"/>
        </w:rPr>
        <w:t>《城镇道路养护技术规范》 CJJ36-2016</w:t>
      </w:r>
    </w:p>
    <w:p w14:paraId="7EC91DC9">
      <w:pPr>
        <w:spacing w:line="360" w:lineRule="auto"/>
        <w:ind w:firstLine="420" w:firstLineChars="200"/>
        <w:outlineLvl w:val="1"/>
        <w:rPr>
          <w:rFonts w:ascii="宋体" w:hAnsi="宋体" w:eastAsia="宋体"/>
          <w:bCs/>
          <w:szCs w:val="21"/>
        </w:rPr>
      </w:pPr>
      <w:r>
        <w:rPr>
          <w:rFonts w:hint="eastAsia" w:ascii="宋体" w:hAnsi="宋体" w:eastAsia="宋体"/>
          <w:bCs/>
          <w:szCs w:val="21"/>
          <w:lang w:val="en-US" w:eastAsia="zh-CN"/>
        </w:rPr>
        <w:t>2、</w:t>
      </w:r>
      <w:r>
        <w:rPr>
          <w:rFonts w:hint="eastAsia" w:ascii="宋体" w:hAnsi="宋体" w:eastAsia="宋体"/>
          <w:bCs/>
          <w:szCs w:val="21"/>
        </w:rPr>
        <w:t>《江苏省道路塌陷风险评估技术指南(试行)》</w:t>
      </w:r>
    </w:p>
    <w:p w14:paraId="36971273">
      <w:pPr>
        <w:spacing w:line="360" w:lineRule="auto"/>
        <w:ind w:firstLine="420" w:firstLineChars="200"/>
        <w:outlineLvl w:val="1"/>
        <w:rPr>
          <w:rFonts w:ascii="宋体" w:hAnsi="宋体" w:eastAsia="宋体"/>
          <w:bCs/>
          <w:szCs w:val="21"/>
        </w:rPr>
      </w:pPr>
      <w:r>
        <w:rPr>
          <w:rFonts w:hint="eastAsia" w:ascii="宋体" w:hAnsi="宋体" w:eastAsia="宋体"/>
          <w:bCs/>
          <w:szCs w:val="21"/>
          <w:lang w:val="en-US" w:eastAsia="zh-CN"/>
        </w:rPr>
        <w:t>3、</w:t>
      </w:r>
      <w:r>
        <w:rPr>
          <w:rFonts w:hint="eastAsia" w:ascii="宋体" w:hAnsi="宋体" w:eastAsia="宋体"/>
          <w:bCs/>
          <w:szCs w:val="21"/>
        </w:rPr>
        <w:t>《江苏省城市道路塌陷监测预警指南(试行)》</w:t>
      </w:r>
    </w:p>
    <w:p w14:paraId="73886536">
      <w:pPr>
        <w:spacing w:line="360" w:lineRule="auto"/>
        <w:ind w:firstLine="420" w:firstLineChars="200"/>
        <w:outlineLvl w:val="1"/>
        <w:rPr>
          <w:rFonts w:ascii="宋体" w:hAnsi="宋体" w:eastAsia="宋体"/>
          <w:bCs/>
          <w:szCs w:val="21"/>
        </w:rPr>
      </w:pPr>
      <w:r>
        <w:rPr>
          <w:rFonts w:hint="eastAsia" w:ascii="宋体" w:hAnsi="宋体" w:eastAsia="宋体"/>
          <w:bCs/>
          <w:szCs w:val="21"/>
          <w:lang w:val="en-US" w:eastAsia="zh-CN"/>
        </w:rPr>
        <w:t>4</w:t>
      </w:r>
      <w:r>
        <w:rPr>
          <w:rFonts w:hint="eastAsia" w:ascii="宋体" w:hAnsi="宋体" w:eastAsia="宋体"/>
          <w:bCs/>
          <w:szCs w:val="21"/>
          <w:lang w:eastAsia="zh-CN"/>
        </w:rPr>
        <w:t>、</w:t>
      </w:r>
      <w:r>
        <w:rPr>
          <w:rFonts w:hint="eastAsia" w:ascii="宋体" w:hAnsi="宋体" w:eastAsia="宋体"/>
          <w:bCs/>
          <w:szCs w:val="21"/>
        </w:rPr>
        <w:t>《苏州市城市道路塌陷隐患综合探测与风险评估技术导则（试行）》</w:t>
      </w:r>
    </w:p>
    <w:p w14:paraId="7B9705D7">
      <w:pPr>
        <w:spacing w:line="360" w:lineRule="auto"/>
        <w:ind w:firstLine="420" w:firstLineChars="200"/>
        <w:outlineLvl w:val="1"/>
        <w:rPr>
          <w:rFonts w:ascii="宋体" w:hAnsi="宋体" w:eastAsia="宋体"/>
          <w:bCs/>
          <w:szCs w:val="21"/>
        </w:rPr>
      </w:pPr>
      <w:r>
        <w:rPr>
          <w:rFonts w:hint="eastAsia" w:ascii="宋体" w:hAnsi="宋体" w:eastAsia="宋体"/>
          <w:bCs/>
          <w:szCs w:val="21"/>
          <w:lang w:val="en-US" w:eastAsia="zh-CN"/>
        </w:rPr>
        <w:t>5</w:t>
      </w:r>
      <w:r>
        <w:rPr>
          <w:rFonts w:hint="eastAsia" w:ascii="宋体" w:hAnsi="宋体" w:eastAsia="宋体"/>
          <w:bCs/>
          <w:szCs w:val="21"/>
          <w:lang w:eastAsia="zh-CN"/>
        </w:rPr>
        <w:t>、</w:t>
      </w:r>
      <w:r>
        <w:rPr>
          <w:rFonts w:hint="eastAsia" w:ascii="宋体" w:hAnsi="宋体" w:eastAsia="宋体"/>
          <w:bCs/>
          <w:szCs w:val="21"/>
        </w:rPr>
        <w:t xml:space="preserve">《城市地下病害体综合探测与风险评估技术标准》JGJ 437 </w:t>
      </w:r>
    </w:p>
    <w:p w14:paraId="4F986DE0">
      <w:pPr>
        <w:spacing w:line="360" w:lineRule="auto"/>
        <w:ind w:firstLine="420" w:firstLineChars="200"/>
        <w:outlineLvl w:val="1"/>
        <w:rPr>
          <w:rFonts w:ascii="宋体" w:hAnsi="宋体" w:eastAsia="宋体"/>
          <w:bCs/>
          <w:szCs w:val="21"/>
        </w:rPr>
      </w:pPr>
      <w:r>
        <w:rPr>
          <w:rFonts w:hint="eastAsia" w:ascii="宋体" w:hAnsi="宋体" w:eastAsia="宋体"/>
          <w:bCs/>
          <w:szCs w:val="21"/>
          <w:lang w:val="en-US" w:eastAsia="zh-CN"/>
        </w:rPr>
        <w:t>6</w:t>
      </w:r>
      <w:r>
        <w:rPr>
          <w:rFonts w:hint="eastAsia" w:ascii="宋体" w:hAnsi="宋体" w:eastAsia="宋体"/>
          <w:bCs/>
          <w:szCs w:val="21"/>
          <w:lang w:eastAsia="zh-CN"/>
        </w:rPr>
        <w:t>、</w:t>
      </w:r>
      <w:r>
        <w:rPr>
          <w:rFonts w:hint="eastAsia" w:ascii="宋体" w:hAnsi="宋体" w:eastAsia="宋体"/>
          <w:bCs/>
          <w:szCs w:val="21"/>
        </w:rPr>
        <w:t xml:space="preserve">《岩土工程勘察规范》DGJ32/TJ 208 </w:t>
      </w:r>
    </w:p>
    <w:p w14:paraId="05D78509">
      <w:pPr>
        <w:spacing w:line="360" w:lineRule="auto"/>
        <w:ind w:firstLine="420" w:firstLineChars="200"/>
        <w:outlineLvl w:val="1"/>
        <w:rPr>
          <w:rFonts w:ascii="宋体" w:hAnsi="宋体" w:eastAsia="宋体"/>
          <w:bCs/>
          <w:szCs w:val="21"/>
        </w:rPr>
      </w:pPr>
      <w:r>
        <w:rPr>
          <w:rFonts w:hint="eastAsia" w:ascii="宋体" w:hAnsi="宋体" w:eastAsia="宋体"/>
          <w:bCs/>
          <w:szCs w:val="21"/>
          <w:lang w:val="en-US" w:eastAsia="zh-CN"/>
        </w:rPr>
        <w:t>7</w:t>
      </w:r>
      <w:r>
        <w:rPr>
          <w:rFonts w:hint="eastAsia" w:ascii="宋体" w:hAnsi="宋体" w:eastAsia="宋体"/>
          <w:bCs/>
          <w:szCs w:val="21"/>
          <w:lang w:eastAsia="zh-CN"/>
        </w:rPr>
        <w:t>、</w:t>
      </w:r>
      <w:r>
        <w:rPr>
          <w:rFonts w:hint="eastAsia" w:ascii="宋体" w:hAnsi="宋体" w:eastAsia="宋体"/>
          <w:bCs/>
          <w:szCs w:val="21"/>
        </w:rPr>
        <w:t xml:space="preserve">《城市测量规范》CJJ/T 8 </w:t>
      </w:r>
    </w:p>
    <w:p w14:paraId="542B0F96">
      <w:pPr>
        <w:spacing w:line="360" w:lineRule="auto"/>
        <w:ind w:firstLine="420" w:firstLineChars="200"/>
        <w:outlineLvl w:val="1"/>
        <w:rPr>
          <w:rFonts w:ascii="宋体" w:hAnsi="宋体" w:eastAsia="宋体"/>
          <w:bCs/>
          <w:szCs w:val="21"/>
        </w:rPr>
      </w:pPr>
      <w:r>
        <w:rPr>
          <w:rFonts w:hint="eastAsia" w:ascii="宋体" w:hAnsi="宋体" w:eastAsia="宋体"/>
          <w:bCs/>
          <w:szCs w:val="21"/>
          <w:lang w:val="en-US" w:eastAsia="zh-CN"/>
        </w:rPr>
        <w:t>8</w:t>
      </w:r>
      <w:r>
        <w:rPr>
          <w:rFonts w:hint="eastAsia" w:ascii="宋体" w:hAnsi="宋体" w:eastAsia="宋体"/>
          <w:bCs/>
          <w:szCs w:val="21"/>
          <w:lang w:eastAsia="zh-CN"/>
        </w:rPr>
        <w:t>、</w:t>
      </w:r>
      <w:r>
        <w:rPr>
          <w:rFonts w:hint="eastAsia" w:ascii="宋体" w:hAnsi="宋体" w:eastAsia="宋体"/>
          <w:bCs/>
          <w:szCs w:val="21"/>
        </w:rPr>
        <w:t xml:space="preserve">《城市工程地球物理探测标准》CJJ/T 7 </w:t>
      </w:r>
    </w:p>
    <w:p w14:paraId="6D01A43B">
      <w:pPr>
        <w:spacing w:line="360" w:lineRule="auto"/>
        <w:ind w:firstLine="420" w:firstLineChars="200"/>
        <w:outlineLvl w:val="1"/>
        <w:rPr>
          <w:rFonts w:ascii="宋体" w:hAnsi="宋体" w:eastAsia="宋体"/>
          <w:bCs/>
          <w:szCs w:val="21"/>
        </w:rPr>
      </w:pPr>
      <w:r>
        <w:rPr>
          <w:rFonts w:hint="eastAsia" w:ascii="宋体" w:hAnsi="宋体" w:eastAsia="宋体"/>
          <w:bCs/>
          <w:szCs w:val="21"/>
          <w:lang w:val="en-US" w:eastAsia="zh-CN"/>
        </w:rPr>
        <w:t>9</w:t>
      </w:r>
      <w:r>
        <w:rPr>
          <w:rFonts w:hint="eastAsia" w:ascii="宋体" w:hAnsi="宋体" w:eastAsia="宋体"/>
          <w:bCs/>
          <w:szCs w:val="21"/>
          <w:lang w:eastAsia="zh-CN"/>
        </w:rPr>
        <w:t>、</w:t>
      </w:r>
      <w:r>
        <w:rPr>
          <w:rFonts w:hint="eastAsia" w:ascii="宋体" w:hAnsi="宋体" w:eastAsia="宋体"/>
          <w:bCs/>
          <w:szCs w:val="21"/>
        </w:rPr>
        <w:t xml:space="preserve">《道路塌陷隐患雷达检测技术规范》T/CMEA 2 </w:t>
      </w:r>
    </w:p>
    <w:p w14:paraId="700C2DEA">
      <w:pPr>
        <w:spacing w:line="360" w:lineRule="auto"/>
        <w:ind w:firstLine="420" w:firstLineChars="200"/>
        <w:outlineLvl w:val="1"/>
        <w:rPr>
          <w:rFonts w:ascii="宋体" w:hAnsi="宋体" w:eastAsia="宋体"/>
          <w:bCs/>
          <w:szCs w:val="21"/>
        </w:rPr>
      </w:pPr>
      <w:r>
        <w:rPr>
          <w:rFonts w:hint="eastAsia" w:ascii="宋体" w:hAnsi="宋体" w:eastAsia="宋体"/>
          <w:bCs/>
          <w:szCs w:val="21"/>
          <w:lang w:val="en-US" w:eastAsia="zh-CN"/>
        </w:rPr>
        <w:t>10</w:t>
      </w:r>
      <w:r>
        <w:rPr>
          <w:rFonts w:hint="eastAsia" w:ascii="宋体" w:hAnsi="宋体" w:eastAsia="宋体"/>
          <w:bCs/>
          <w:szCs w:val="21"/>
          <w:lang w:eastAsia="zh-CN"/>
        </w:rPr>
        <w:t>、</w:t>
      </w:r>
      <w:r>
        <w:rPr>
          <w:rFonts w:hint="eastAsia" w:ascii="宋体" w:hAnsi="宋体" w:eastAsia="宋体"/>
          <w:bCs/>
          <w:szCs w:val="21"/>
        </w:rPr>
        <w:t>《城市道路工程设计规范》CJJ 37</w:t>
      </w:r>
    </w:p>
    <w:p w14:paraId="0D3E04C4">
      <w:pPr>
        <w:spacing w:line="360" w:lineRule="auto"/>
        <w:ind w:firstLine="420" w:firstLineChars="200"/>
        <w:outlineLvl w:val="1"/>
        <w:rPr>
          <w:rFonts w:hint="eastAsia" w:ascii="宋体" w:hAnsi="宋体" w:eastAsia="宋体"/>
          <w:bCs/>
          <w:szCs w:val="21"/>
        </w:rPr>
      </w:pPr>
      <w:r>
        <w:rPr>
          <w:rFonts w:hint="eastAsia" w:ascii="宋体" w:hAnsi="宋体" w:eastAsia="宋体"/>
          <w:bCs/>
          <w:szCs w:val="21"/>
          <w:lang w:val="en-US" w:eastAsia="zh-CN"/>
        </w:rPr>
        <w:t>11</w:t>
      </w:r>
      <w:r>
        <w:rPr>
          <w:rFonts w:hint="eastAsia" w:ascii="宋体" w:hAnsi="宋体" w:eastAsia="宋体"/>
          <w:bCs/>
          <w:szCs w:val="21"/>
          <w:lang w:eastAsia="zh-CN"/>
        </w:rPr>
        <w:t>、</w:t>
      </w:r>
      <w:r>
        <w:rPr>
          <w:rFonts w:hint="eastAsia" w:ascii="宋体" w:hAnsi="宋体" w:eastAsia="宋体"/>
          <w:bCs/>
          <w:szCs w:val="21"/>
        </w:rPr>
        <w:t>《公路技术状况评定标准》（JTG 5210-2018）</w:t>
      </w:r>
    </w:p>
    <w:p w14:paraId="091CF3EB">
      <w:pPr>
        <w:spacing w:line="360" w:lineRule="auto"/>
        <w:ind w:firstLine="420" w:firstLineChars="200"/>
        <w:outlineLvl w:val="1"/>
        <w:rPr>
          <w:rFonts w:hint="eastAsia" w:ascii="宋体" w:hAnsi="宋体" w:eastAsia="宋体"/>
          <w:bCs/>
          <w:szCs w:val="21"/>
        </w:rPr>
      </w:pPr>
      <w:r>
        <w:rPr>
          <w:rFonts w:hint="eastAsia" w:ascii="宋体" w:hAnsi="宋体" w:eastAsia="宋体"/>
          <w:bCs/>
          <w:szCs w:val="21"/>
          <w:lang w:val="en-US" w:eastAsia="zh-CN"/>
        </w:rPr>
        <w:t>12</w:t>
      </w:r>
      <w:r>
        <w:rPr>
          <w:rFonts w:hint="eastAsia" w:ascii="宋体" w:hAnsi="宋体" w:eastAsia="宋体"/>
          <w:bCs/>
          <w:szCs w:val="21"/>
          <w:lang w:eastAsia="zh-CN"/>
        </w:rPr>
        <w:t>、</w:t>
      </w:r>
      <w:r>
        <w:rPr>
          <w:rFonts w:hint="eastAsia" w:ascii="宋体" w:hAnsi="宋体" w:eastAsia="宋体"/>
          <w:bCs/>
          <w:szCs w:val="21"/>
        </w:rPr>
        <w:t>《公路沥青路面养护技术规范》（JTG 5142-2019）</w:t>
      </w:r>
    </w:p>
    <w:p w14:paraId="043B343F">
      <w:pPr>
        <w:spacing w:line="360" w:lineRule="auto"/>
        <w:ind w:firstLine="420" w:firstLineChars="200"/>
        <w:outlineLvl w:val="1"/>
        <w:rPr>
          <w:rFonts w:hint="eastAsia" w:ascii="宋体" w:hAnsi="宋体" w:eastAsia="宋体"/>
          <w:bCs/>
          <w:szCs w:val="21"/>
        </w:rPr>
      </w:pPr>
      <w:r>
        <w:rPr>
          <w:rFonts w:hint="eastAsia" w:ascii="宋体" w:hAnsi="宋体" w:eastAsia="宋体"/>
          <w:bCs/>
          <w:szCs w:val="21"/>
          <w:lang w:val="en-US" w:eastAsia="zh-CN"/>
        </w:rPr>
        <w:t>13</w:t>
      </w:r>
      <w:r>
        <w:rPr>
          <w:rFonts w:hint="eastAsia" w:ascii="宋体" w:hAnsi="宋体" w:eastAsia="宋体"/>
          <w:bCs/>
          <w:szCs w:val="21"/>
          <w:lang w:eastAsia="zh-CN"/>
        </w:rPr>
        <w:t>、</w:t>
      </w:r>
      <w:r>
        <w:rPr>
          <w:rFonts w:hint="eastAsia" w:ascii="宋体" w:hAnsi="宋体" w:eastAsia="宋体"/>
          <w:bCs/>
          <w:szCs w:val="21"/>
        </w:rPr>
        <w:t>《多功能路况快速检测设备》（GB/T 26764-2011）</w:t>
      </w:r>
    </w:p>
    <w:p w14:paraId="1E4802FC">
      <w:pPr>
        <w:spacing w:line="360" w:lineRule="auto"/>
        <w:ind w:firstLine="420" w:firstLineChars="200"/>
        <w:outlineLvl w:val="1"/>
        <w:rPr>
          <w:rFonts w:hint="eastAsia" w:ascii="宋体" w:hAnsi="宋体" w:eastAsia="宋体"/>
          <w:bCs/>
          <w:szCs w:val="21"/>
        </w:rPr>
      </w:pPr>
      <w:r>
        <w:rPr>
          <w:rFonts w:hint="eastAsia" w:ascii="宋体" w:hAnsi="宋体" w:eastAsia="宋体"/>
          <w:bCs/>
          <w:szCs w:val="21"/>
          <w:lang w:val="en-US" w:eastAsia="zh-CN"/>
        </w:rPr>
        <w:t>14</w:t>
      </w:r>
      <w:r>
        <w:rPr>
          <w:rFonts w:hint="eastAsia" w:ascii="宋体" w:hAnsi="宋体" w:eastAsia="宋体"/>
          <w:bCs/>
          <w:szCs w:val="21"/>
          <w:lang w:eastAsia="zh-CN"/>
        </w:rPr>
        <w:t>、</w:t>
      </w:r>
      <w:r>
        <w:rPr>
          <w:rFonts w:hint="eastAsia" w:ascii="宋体" w:hAnsi="宋体" w:eastAsia="宋体"/>
          <w:bCs/>
          <w:szCs w:val="21"/>
        </w:rPr>
        <w:t>《公路路面技术状况自动化检测规程》（JTG/T E61-2014）</w:t>
      </w:r>
    </w:p>
    <w:p w14:paraId="40992C75">
      <w:pPr>
        <w:spacing w:line="360" w:lineRule="auto"/>
        <w:ind w:firstLine="422" w:firstLineChars="200"/>
        <w:outlineLvl w:val="1"/>
        <w:rPr>
          <w:rFonts w:hint="eastAsia" w:ascii="宋体" w:hAnsi="宋体" w:eastAsia="宋体"/>
          <w:b/>
          <w:bCs w:val="0"/>
          <w:szCs w:val="21"/>
          <w:lang w:val="en-US" w:eastAsia="zh-CN"/>
        </w:rPr>
      </w:pPr>
      <w:r>
        <w:rPr>
          <w:rFonts w:hint="eastAsia" w:ascii="宋体" w:hAnsi="宋体" w:eastAsia="宋体"/>
          <w:b/>
          <w:bCs w:val="0"/>
          <w:szCs w:val="21"/>
          <w:lang w:val="en-US" w:eastAsia="zh-CN"/>
        </w:rPr>
        <w:t>三、服务周期</w:t>
      </w:r>
    </w:p>
    <w:p w14:paraId="77F01B2B">
      <w:pPr>
        <w:spacing w:line="360" w:lineRule="auto"/>
        <w:ind w:firstLine="420" w:firstLineChars="200"/>
        <w:outlineLvl w:val="1"/>
        <w:rPr>
          <w:rFonts w:ascii="宋体" w:hAnsi="宋体" w:cs="宋体"/>
          <w:szCs w:val="21"/>
        </w:rPr>
      </w:pPr>
      <w:r>
        <w:rPr>
          <w:rFonts w:hint="eastAsia" w:ascii="宋体" w:hAnsi="宋体" w:cs="宋体"/>
          <w:szCs w:val="21"/>
        </w:rPr>
        <w:t>城市道路塌陷探测服务期限暂定202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9</w:t>
      </w:r>
      <w:r>
        <w:rPr>
          <w:rFonts w:hint="eastAsia" w:ascii="宋体" w:hAnsi="宋体" w:cs="宋体"/>
          <w:szCs w:val="21"/>
        </w:rPr>
        <w:t>月1</w:t>
      </w:r>
      <w:r>
        <w:rPr>
          <w:rFonts w:hint="eastAsia" w:ascii="宋体" w:hAnsi="宋体" w:cs="宋体"/>
          <w:szCs w:val="21"/>
          <w:lang w:val="en-US" w:eastAsia="zh-CN"/>
        </w:rPr>
        <w:t>5</w:t>
      </w:r>
      <w:r>
        <w:rPr>
          <w:rFonts w:hint="eastAsia" w:ascii="宋体" w:hAnsi="宋体" w:cs="宋体"/>
          <w:szCs w:val="21"/>
        </w:rPr>
        <w:t>日-202</w:t>
      </w:r>
      <w:r>
        <w:rPr>
          <w:rFonts w:hint="eastAsia" w:ascii="宋体" w:hAnsi="宋体" w:cs="宋体"/>
          <w:szCs w:val="21"/>
          <w:lang w:val="en-US" w:eastAsia="zh-CN"/>
        </w:rPr>
        <w:t>7</w:t>
      </w:r>
      <w:r>
        <w:rPr>
          <w:rFonts w:hint="eastAsia" w:ascii="宋体" w:hAnsi="宋体" w:cs="宋体"/>
          <w:szCs w:val="21"/>
        </w:rPr>
        <w:t>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14</w:t>
      </w:r>
      <w:r>
        <w:rPr>
          <w:rFonts w:hint="eastAsia" w:ascii="宋体" w:hAnsi="宋体" w:cs="宋体"/>
          <w:szCs w:val="21"/>
        </w:rPr>
        <w:t>日，共12个月。</w:t>
      </w:r>
    </w:p>
    <w:p w14:paraId="60D5AF3F">
      <w:pPr>
        <w:spacing w:line="360" w:lineRule="auto"/>
        <w:ind w:firstLine="420" w:firstLineChars="200"/>
        <w:outlineLvl w:val="1"/>
        <w:rPr>
          <w:rFonts w:hint="eastAsia" w:ascii="宋体" w:hAnsi="宋体" w:cs="宋体"/>
          <w:szCs w:val="21"/>
        </w:rPr>
      </w:pPr>
      <w:r>
        <w:rPr>
          <w:rFonts w:hint="eastAsia" w:ascii="宋体" w:hAnsi="宋体" w:cs="宋体"/>
          <w:szCs w:val="21"/>
        </w:rPr>
        <w:t>城市道路风险评估服务期限暂定202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15</w:t>
      </w:r>
      <w:r>
        <w:rPr>
          <w:rFonts w:hint="eastAsia" w:ascii="宋体" w:hAnsi="宋体" w:cs="宋体"/>
          <w:szCs w:val="21"/>
        </w:rPr>
        <w:t>日-202</w:t>
      </w:r>
      <w:r>
        <w:rPr>
          <w:rFonts w:hint="eastAsia" w:ascii="宋体" w:hAnsi="宋体" w:cs="宋体"/>
          <w:szCs w:val="21"/>
          <w:lang w:val="en-US" w:eastAsia="zh-CN"/>
        </w:rPr>
        <w:t>6</w:t>
      </w:r>
      <w:r>
        <w:rPr>
          <w:rFonts w:hint="eastAsia" w:ascii="宋体" w:hAnsi="宋体" w:cs="宋体"/>
          <w:szCs w:val="21"/>
        </w:rPr>
        <w:t>年12月31日，共</w:t>
      </w:r>
      <w:r>
        <w:rPr>
          <w:rFonts w:hint="eastAsia" w:ascii="宋体" w:hAnsi="宋体" w:cs="宋体"/>
          <w:szCs w:val="21"/>
          <w:lang w:val="en-US" w:eastAsia="zh-CN"/>
        </w:rPr>
        <w:t>3.5</w:t>
      </w:r>
      <w:r>
        <w:rPr>
          <w:rFonts w:hint="eastAsia" w:ascii="宋体" w:hAnsi="宋体" w:cs="宋体"/>
          <w:szCs w:val="21"/>
        </w:rPr>
        <w:t>个月。</w:t>
      </w:r>
    </w:p>
    <w:p w14:paraId="2D90C16D">
      <w:pPr>
        <w:spacing w:line="360" w:lineRule="auto"/>
        <w:ind w:firstLine="420" w:firstLineChars="200"/>
        <w:outlineLvl w:val="1"/>
        <w:rPr>
          <w:rFonts w:hint="default" w:ascii="宋体" w:hAnsi="宋体" w:cs="宋体"/>
          <w:szCs w:val="21"/>
          <w:lang w:val="en-US" w:eastAsia="zh-CN"/>
        </w:rPr>
      </w:pPr>
      <w:r>
        <w:rPr>
          <w:rFonts w:hint="eastAsia" w:ascii="宋体" w:hAnsi="宋体" w:cs="宋体"/>
          <w:szCs w:val="21"/>
        </w:rPr>
        <w:t>城市道路</w:t>
      </w:r>
      <w:r>
        <w:rPr>
          <w:rFonts w:hint="eastAsia" w:ascii="宋体" w:hAnsi="宋体" w:cs="宋体"/>
          <w:szCs w:val="21"/>
          <w:lang w:val="en-US" w:eastAsia="zh-CN"/>
        </w:rPr>
        <w:t>定期检测</w:t>
      </w:r>
      <w:r>
        <w:rPr>
          <w:rFonts w:hint="eastAsia" w:ascii="宋体" w:hAnsi="宋体" w:cs="宋体"/>
          <w:szCs w:val="21"/>
        </w:rPr>
        <w:t>服务期限暂定202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9</w:t>
      </w:r>
      <w:r>
        <w:rPr>
          <w:rFonts w:hint="eastAsia" w:ascii="宋体" w:hAnsi="宋体" w:cs="宋体"/>
          <w:szCs w:val="21"/>
        </w:rPr>
        <w:t>月1</w:t>
      </w:r>
      <w:r>
        <w:rPr>
          <w:rFonts w:hint="eastAsia" w:ascii="宋体" w:hAnsi="宋体" w:cs="宋体"/>
          <w:szCs w:val="21"/>
          <w:lang w:val="en-US" w:eastAsia="zh-CN"/>
        </w:rPr>
        <w:t>5</w:t>
      </w:r>
      <w:r>
        <w:rPr>
          <w:rFonts w:hint="eastAsia" w:ascii="宋体" w:hAnsi="宋体" w:cs="宋体"/>
          <w:szCs w:val="21"/>
        </w:rPr>
        <w:t>日-202</w:t>
      </w:r>
      <w:r>
        <w:rPr>
          <w:rFonts w:hint="eastAsia" w:ascii="宋体" w:hAnsi="宋体" w:cs="宋体"/>
          <w:szCs w:val="21"/>
          <w:lang w:val="en-US" w:eastAsia="zh-CN"/>
        </w:rPr>
        <w:t>6</w:t>
      </w:r>
      <w:r>
        <w:rPr>
          <w:rFonts w:hint="eastAsia" w:ascii="宋体" w:hAnsi="宋体" w:cs="宋体"/>
          <w:szCs w:val="21"/>
        </w:rPr>
        <w:t>年12月31日，共</w:t>
      </w:r>
      <w:r>
        <w:rPr>
          <w:rFonts w:hint="eastAsia" w:ascii="宋体" w:hAnsi="宋体" w:cs="宋体"/>
          <w:szCs w:val="21"/>
          <w:lang w:val="en-US" w:eastAsia="zh-CN"/>
        </w:rPr>
        <w:t>3.5</w:t>
      </w:r>
      <w:r>
        <w:rPr>
          <w:rFonts w:hint="eastAsia" w:ascii="宋体" w:hAnsi="宋体" w:cs="宋体"/>
          <w:szCs w:val="21"/>
        </w:rPr>
        <w:t>个月。</w:t>
      </w:r>
    </w:p>
    <w:p w14:paraId="374F16DB">
      <w:pPr>
        <w:spacing w:line="360" w:lineRule="auto"/>
        <w:ind w:firstLine="422" w:firstLineChars="200"/>
        <w:outlineLvl w:val="1"/>
        <w:rPr>
          <w:rFonts w:hint="default" w:ascii="宋体" w:hAnsi="宋体" w:eastAsia="宋体"/>
          <w:b/>
          <w:bCs w:val="0"/>
          <w:szCs w:val="21"/>
          <w:lang w:val="en-US" w:eastAsia="zh-CN"/>
        </w:rPr>
      </w:pPr>
      <w:r>
        <w:rPr>
          <w:rFonts w:hint="eastAsia" w:ascii="宋体" w:hAnsi="宋体" w:eastAsia="宋体"/>
          <w:b/>
          <w:bCs w:val="0"/>
          <w:szCs w:val="21"/>
          <w:lang w:val="en-US" w:eastAsia="zh-CN"/>
        </w:rPr>
        <w:t>四、风险评估与探测</w:t>
      </w:r>
    </w:p>
    <w:p w14:paraId="103CC062">
      <w:pPr>
        <w:spacing w:line="360" w:lineRule="auto"/>
        <w:ind w:firstLine="422" w:firstLineChars="200"/>
        <w:outlineLvl w:val="1"/>
        <w:rPr>
          <w:rFonts w:ascii="宋体" w:hAnsi="宋体" w:eastAsia="宋体"/>
          <w:b/>
          <w:szCs w:val="21"/>
        </w:rPr>
      </w:pPr>
      <w:r>
        <w:rPr>
          <w:rFonts w:hint="eastAsia" w:ascii="宋体" w:hAnsi="宋体" w:eastAsia="宋体"/>
          <w:b/>
          <w:szCs w:val="21"/>
          <w:lang w:val="en-US" w:eastAsia="zh-CN"/>
        </w:rPr>
        <w:t>1</w:t>
      </w:r>
      <w:r>
        <w:rPr>
          <w:rFonts w:hint="eastAsia" w:ascii="宋体" w:hAnsi="宋体" w:eastAsia="宋体"/>
          <w:b/>
          <w:szCs w:val="21"/>
        </w:rPr>
        <w:t>、实施范围</w:t>
      </w:r>
    </w:p>
    <w:p w14:paraId="539AADAC">
      <w:pPr>
        <w:spacing w:line="360" w:lineRule="auto"/>
        <w:ind w:firstLine="420" w:firstLineChars="200"/>
        <w:outlineLvl w:val="1"/>
        <w:rPr>
          <w:rFonts w:ascii="宋体" w:hAnsi="宋体" w:eastAsia="宋体"/>
          <w:bCs/>
          <w:szCs w:val="21"/>
        </w:rPr>
      </w:pPr>
      <w:r>
        <w:rPr>
          <w:rFonts w:hint="eastAsia" w:ascii="宋体" w:hAnsi="宋体" w:eastAsia="宋体"/>
          <w:bCs/>
          <w:szCs w:val="21"/>
        </w:rPr>
        <w:t>实施范围为“苏州市城市</w:t>
      </w:r>
      <w:r>
        <w:rPr>
          <w:rFonts w:hint="eastAsia" w:ascii="宋体" w:hAnsi="宋体" w:eastAsia="宋体"/>
          <w:bCs/>
          <w:szCs w:val="21"/>
          <w:lang w:val="en-US" w:eastAsia="zh-CN"/>
        </w:rPr>
        <w:t>生命线安全工程监督平台</w:t>
      </w:r>
      <w:r>
        <w:rPr>
          <w:rFonts w:hint="eastAsia" w:ascii="宋体" w:hAnsi="宋体" w:eastAsia="宋体"/>
          <w:bCs/>
          <w:szCs w:val="21"/>
        </w:rPr>
        <w:t>”（以下简称“</w:t>
      </w:r>
      <w:r>
        <w:rPr>
          <w:rFonts w:hint="eastAsia" w:ascii="宋体" w:hAnsi="宋体" w:eastAsia="宋体"/>
          <w:bCs/>
          <w:szCs w:val="21"/>
          <w:lang w:val="en-US" w:eastAsia="zh-CN"/>
        </w:rPr>
        <w:t>生命线</w:t>
      </w:r>
      <w:r>
        <w:rPr>
          <w:rFonts w:hint="eastAsia" w:ascii="宋体" w:hAnsi="宋体" w:eastAsia="宋体"/>
          <w:bCs/>
          <w:szCs w:val="21"/>
        </w:rPr>
        <w:t>系统”）中的城市道路。道路塌陷隐患探测的范围为风险评估专项探测道路、应急突发探测道路，探测道路总里程约</w:t>
      </w:r>
      <w:r>
        <w:rPr>
          <w:rFonts w:hint="eastAsia" w:ascii="宋体" w:hAnsi="宋体" w:eastAsia="宋体"/>
          <w:bCs/>
          <w:szCs w:val="21"/>
          <w:lang w:val="en-US" w:eastAsia="zh-CN"/>
        </w:rPr>
        <w:t>270</w:t>
      </w:r>
      <w:r>
        <w:rPr>
          <w:rFonts w:hint="eastAsia" w:ascii="宋体" w:hAnsi="宋体" w:eastAsia="宋体"/>
          <w:bCs/>
          <w:szCs w:val="21"/>
        </w:rPr>
        <w:t>km，道路塌陷探测清单见附件一。道路风险评估的范围为园区范围内城市道路，评估道路总里程约</w:t>
      </w:r>
      <w:r>
        <w:rPr>
          <w:rFonts w:hint="eastAsia" w:ascii="宋体" w:hAnsi="宋体" w:eastAsia="宋体"/>
          <w:bCs/>
          <w:szCs w:val="21"/>
          <w:lang w:val="en-US" w:eastAsia="zh-CN"/>
        </w:rPr>
        <w:t>945</w:t>
      </w:r>
      <w:r>
        <w:rPr>
          <w:rFonts w:hint="eastAsia" w:ascii="宋体" w:hAnsi="宋体" w:eastAsia="宋体"/>
          <w:bCs/>
          <w:szCs w:val="21"/>
        </w:rPr>
        <w:t>km，评估清单详见附件二。</w:t>
      </w:r>
    </w:p>
    <w:p w14:paraId="2A5772C1">
      <w:pPr>
        <w:numPr>
          <w:ilvl w:val="0"/>
          <w:numId w:val="0"/>
        </w:numPr>
        <w:spacing w:line="360" w:lineRule="auto"/>
        <w:ind w:firstLine="422" w:firstLineChars="200"/>
        <w:outlineLvl w:val="1"/>
        <w:rPr>
          <w:rFonts w:ascii="宋体" w:hAnsi="宋体" w:eastAsia="宋体"/>
          <w:b/>
          <w:szCs w:val="21"/>
        </w:rPr>
      </w:pPr>
      <w:r>
        <w:rPr>
          <w:rFonts w:hint="eastAsia" w:ascii="宋体" w:hAnsi="宋体" w:eastAsia="宋体" w:cstheme="minorBidi"/>
          <w:b/>
          <w:kern w:val="2"/>
          <w:sz w:val="21"/>
          <w:szCs w:val="21"/>
          <w:lang w:val="en-US" w:eastAsia="zh-CN" w:bidi="ar-SA"/>
        </w:rPr>
        <w:t>2、</w:t>
      </w:r>
      <w:r>
        <w:rPr>
          <w:rFonts w:hint="eastAsia" w:ascii="宋体" w:hAnsi="宋体" w:eastAsia="宋体"/>
          <w:b/>
          <w:szCs w:val="21"/>
        </w:rPr>
        <w:t>实施内容与成果提交</w:t>
      </w:r>
    </w:p>
    <w:p w14:paraId="12BF9229">
      <w:pPr>
        <w:spacing w:line="360" w:lineRule="auto"/>
        <w:ind w:firstLine="422" w:firstLineChars="200"/>
        <w:outlineLvl w:val="1"/>
        <w:rPr>
          <w:rFonts w:ascii="宋体" w:hAnsi="宋体" w:eastAsia="宋体" w:cs="宋体"/>
          <w:b/>
          <w:szCs w:val="21"/>
        </w:rPr>
      </w:pPr>
      <w:r>
        <w:rPr>
          <w:rFonts w:hint="eastAsia" w:ascii="宋体" w:hAnsi="宋体" w:eastAsia="宋体" w:cs="宋体"/>
          <w:b/>
          <w:szCs w:val="21"/>
          <w:lang w:val="en-US" w:eastAsia="zh-CN"/>
        </w:rPr>
        <w:t>2.</w:t>
      </w:r>
      <w:r>
        <w:rPr>
          <w:rFonts w:hint="eastAsia" w:ascii="宋体" w:hAnsi="宋体" w:eastAsia="宋体" w:cs="宋体"/>
          <w:b/>
          <w:szCs w:val="21"/>
        </w:rPr>
        <w:t>1道路塌陷隐患探测</w:t>
      </w:r>
    </w:p>
    <w:p w14:paraId="07031BE6">
      <w:pPr>
        <w:spacing w:line="360" w:lineRule="auto"/>
        <w:ind w:firstLine="422" w:firstLineChars="200"/>
        <w:outlineLvl w:val="1"/>
        <w:rPr>
          <w:rFonts w:ascii="宋体" w:hAnsi="宋体" w:eastAsia="宋体" w:cs="宋体"/>
          <w:b/>
          <w:szCs w:val="21"/>
        </w:rPr>
      </w:pPr>
      <w:r>
        <w:rPr>
          <w:rFonts w:hint="eastAsia" w:ascii="宋体" w:hAnsi="宋体" w:eastAsia="宋体" w:cs="宋体"/>
          <w:b/>
          <w:szCs w:val="21"/>
        </w:rPr>
        <w:t>（1）探测要求</w:t>
      </w:r>
    </w:p>
    <w:p w14:paraId="54D47B4C">
      <w:pPr>
        <w:spacing w:line="360" w:lineRule="auto"/>
        <w:ind w:firstLine="422" w:firstLineChars="200"/>
        <w:outlineLvl w:val="1"/>
        <w:rPr>
          <w:rFonts w:hint="eastAsia" w:ascii="宋体" w:hAnsi="宋体" w:eastAsia="宋体" w:cs="宋体"/>
          <w:bCs/>
          <w:szCs w:val="21"/>
        </w:rPr>
      </w:pPr>
      <w:r>
        <w:rPr>
          <w:rFonts w:hint="eastAsia" w:ascii="宋体" w:hAnsi="宋体" w:eastAsia="宋体" w:cs="宋体"/>
          <w:b/>
          <w:szCs w:val="21"/>
        </w:rPr>
        <w:t>①风险评估专项探测。</w:t>
      </w:r>
      <w:r>
        <w:rPr>
          <w:rFonts w:hint="eastAsia" w:ascii="宋体" w:hAnsi="宋体" w:eastAsia="宋体" w:cs="宋体"/>
          <w:bCs/>
          <w:szCs w:val="21"/>
        </w:rPr>
        <w:t>根据</w:t>
      </w:r>
      <w:r>
        <w:rPr>
          <w:rFonts w:hint="eastAsia" w:ascii="宋体" w:hAnsi="宋体" w:eastAsia="宋体" w:cs="宋体"/>
          <w:bCs/>
          <w:szCs w:val="21"/>
          <w:lang w:val="en-US" w:eastAsia="zh-CN"/>
        </w:rPr>
        <w:t>往年</w:t>
      </w:r>
      <w:r>
        <w:rPr>
          <w:rFonts w:hint="eastAsia" w:ascii="宋体" w:hAnsi="宋体" w:eastAsia="宋体" w:cs="宋体"/>
          <w:bCs/>
          <w:szCs w:val="21"/>
        </w:rPr>
        <w:t>园区城市道路风险评估报告，探测的道路里程</w:t>
      </w:r>
      <w:r>
        <w:rPr>
          <w:rFonts w:hint="eastAsia" w:ascii="宋体" w:hAnsi="宋体" w:eastAsia="宋体" w:cs="宋体"/>
          <w:bCs/>
          <w:szCs w:val="21"/>
          <w:lang w:val="en-US" w:eastAsia="zh-CN"/>
        </w:rPr>
        <w:t>约</w:t>
      </w:r>
      <w:r>
        <w:rPr>
          <w:rFonts w:hint="eastAsia" w:ascii="宋体" w:hAnsi="宋体" w:eastAsia="宋体" w:cs="宋体"/>
          <w:bCs/>
          <w:szCs w:val="21"/>
        </w:rPr>
        <w:t>为</w:t>
      </w:r>
      <w:r>
        <w:rPr>
          <w:rFonts w:hint="eastAsia" w:ascii="宋体" w:hAnsi="宋体" w:eastAsia="宋体" w:cs="宋体"/>
          <w:bCs/>
          <w:szCs w:val="21"/>
          <w:lang w:val="en-US" w:eastAsia="zh-CN"/>
        </w:rPr>
        <w:t>260</w:t>
      </w:r>
      <w:r>
        <w:rPr>
          <w:rFonts w:hint="eastAsia" w:ascii="宋体" w:hAnsi="宋体" w:eastAsia="宋体" w:cs="宋体"/>
          <w:bCs/>
          <w:szCs w:val="21"/>
        </w:rPr>
        <w:t>km（含人行道、非机动车道、机动车道）。</w:t>
      </w:r>
    </w:p>
    <w:p w14:paraId="41137E0A">
      <w:pPr>
        <w:spacing w:line="360" w:lineRule="auto"/>
        <w:ind w:firstLine="422" w:firstLineChars="200"/>
        <w:outlineLvl w:val="1"/>
        <w:rPr>
          <w:rFonts w:hint="eastAsia" w:ascii="宋体" w:hAnsi="宋体" w:eastAsia="宋体" w:cs="宋体"/>
          <w:bCs/>
          <w:szCs w:val="21"/>
        </w:rPr>
      </w:pPr>
      <w:r>
        <w:rPr>
          <w:rFonts w:hint="eastAsia" w:ascii="宋体" w:hAnsi="宋体" w:eastAsia="宋体" w:cs="宋体"/>
          <w:b/>
          <w:szCs w:val="21"/>
        </w:rPr>
        <w:t>②应急突发探测。</w:t>
      </w:r>
      <w:r>
        <w:rPr>
          <w:rFonts w:hint="eastAsia" w:ascii="宋体" w:hAnsi="宋体" w:eastAsia="宋体" w:cs="宋体"/>
          <w:bCs/>
          <w:szCs w:val="21"/>
        </w:rPr>
        <w:t>根据甲方要求随时对突发事故或潜在安全隐患进行日常保障性探测，应急突发探测的道路里程约为</w:t>
      </w:r>
      <w:r>
        <w:rPr>
          <w:rFonts w:hint="eastAsia" w:ascii="宋体" w:hAnsi="宋体" w:eastAsia="宋体" w:cs="宋体"/>
          <w:bCs/>
          <w:szCs w:val="21"/>
          <w:lang w:val="en-US" w:eastAsia="zh-CN"/>
        </w:rPr>
        <w:t>1</w:t>
      </w:r>
      <w:r>
        <w:rPr>
          <w:rFonts w:hint="eastAsia" w:ascii="宋体" w:hAnsi="宋体" w:eastAsia="宋体" w:cs="宋体"/>
          <w:bCs/>
          <w:szCs w:val="21"/>
        </w:rPr>
        <w:t>0km（含人行道、非机动车道、机动车道）。</w:t>
      </w:r>
    </w:p>
    <w:p w14:paraId="090991A7">
      <w:pPr>
        <w:spacing w:line="360" w:lineRule="auto"/>
        <w:ind w:firstLine="420" w:firstLineChars="200"/>
        <w:outlineLvl w:val="1"/>
        <w:rPr>
          <w:rFonts w:hint="default" w:ascii="宋体" w:hAnsi="宋体" w:eastAsia="宋体" w:cs="宋体"/>
          <w:bCs/>
          <w:szCs w:val="21"/>
          <w:lang w:val="en-US" w:eastAsia="zh-CN"/>
        </w:rPr>
      </w:pPr>
      <w:r>
        <w:rPr>
          <w:rFonts w:hint="eastAsia" w:ascii="宋体" w:hAnsi="宋体" w:eastAsia="宋体" w:cs="宋体"/>
          <w:bCs/>
          <w:szCs w:val="21"/>
          <w:lang w:val="en-US" w:eastAsia="zh-CN"/>
        </w:rPr>
        <w:t>若在服务期限内未发生应急探测，则此项工作工程量相应核减。</w:t>
      </w:r>
    </w:p>
    <w:p w14:paraId="0CBC9178">
      <w:pPr>
        <w:spacing w:line="360" w:lineRule="auto"/>
        <w:ind w:firstLine="422" w:firstLineChars="200"/>
        <w:outlineLvl w:val="1"/>
        <w:rPr>
          <w:rFonts w:ascii="宋体" w:hAnsi="宋体" w:eastAsia="宋体" w:cs="宋体"/>
          <w:b/>
          <w:szCs w:val="21"/>
        </w:rPr>
      </w:pPr>
      <w:r>
        <w:rPr>
          <w:rFonts w:hint="eastAsia" w:ascii="宋体" w:hAnsi="宋体" w:eastAsia="宋体" w:cs="宋体"/>
          <w:b/>
          <w:szCs w:val="21"/>
        </w:rPr>
        <w:t>（2）探测方式</w:t>
      </w:r>
    </w:p>
    <w:p w14:paraId="1CF8CE80">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本项目采用地质雷达法对道路塌陷隐患进行探测，主要包括便携式二维地质雷达、三维地质雷达车等探测设备，对城市道路地下浅层和深层的塌陷隐患进行综合探测，主要探测道路下方空洞、脱空、疏松体等。</w:t>
      </w:r>
    </w:p>
    <w:p w14:paraId="532DCDAC">
      <w:pPr>
        <w:spacing w:line="360" w:lineRule="auto"/>
        <w:ind w:firstLine="420" w:firstLineChars="200"/>
        <w:outlineLvl w:val="1"/>
        <w:rPr>
          <w:rFonts w:hint="default" w:ascii="宋体" w:hAnsi="宋体" w:eastAsia="宋体" w:cs="宋体"/>
          <w:bCs/>
          <w:szCs w:val="21"/>
          <w:highlight w:val="none"/>
          <w:lang w:val="en-US" w:eastAsia="zh-CN"/>
        </w:rPr>
      </w:pPr>
      <w:r>
        <w:rPr>
          <w:rFonts w:hint="eastAsia" w:ascii="宋体" w:hAnsi="宋体" w:eastAsia="宋体" w:cs="宋体"/>
          <w:bCs/>
          <w:szCs w:val="21"/>
          <w:highlight w:val="none"/>
        </w:rPr>
        <w:t>其中，采用三维地质雷达车进行初探，对于初探发现的疑似地下隐患分布区域，采用便携式二维地质雷达进行详探。同时，</w:t>
      </w:r>
      <w:r>
        <w:rPr>
          <w:rFonts w:hint="eastAsia" w:ascii="宋体" w:hAnsi="宋体" w:eastAsia="宋体" w:cs="宋体"/>
          <w:bCs/>
          <w:szCs w:val="21"/>
          <w:highlight w:val="none"/>
          <w:lang w:val="en-US" w:eastAsia="zh-CN"/>
        </w:rPr>
        <w:t>根据相关规范要求，</w:t>
      </w:r>
      <w:r>
        <w:rPr>
          <w:rFonts w:hint="eastAsia" w:ascii="宋体" w:hAnsi="宋体" w:eastAsia="宋体" w:cs="宋体"/>
          <w:bCs/>
          <w:szCs w:val="21"/>
          <w:highlight w:val="none"/>
        </w:rPr>
        <w:t>采用高精定位、摄影测量、钻孔验证等手段</w:t>
      </w:r>
      <w:r>
        <w:rPr>
          <w:rFonts w:hint="eastAsia" w:ascii="宋体" w:hAnsi="宋体" w:eastAsia="宋体" w:cs="宋体"/>
          <w:bCs/>
          <w:szCs w:val="21"/>
          <w:highlight w:val="none"/>
          <w:lang w:val="en-US" w:eastAsia="zh-CN"/>
        </w:rPr>
        <w:t>对探测成果进行验证</w:t>
      </w:r>
      <w:r>
        <w:rPr>
          <w:rFonts w:hint="eastAsia" w:ascii="宋体" w:hAnsi="宋体" w:eastAsia="宋体" w:cs="宋体"/>
          <w:bCs/>
          <w:szCs w:val="21"/>
          <w:highlight w:val="none"/>
        </w:rPr>
        <w:t>，确定地下病害体类型和属性特征，编制园区道路塌陷隐患清单，并给出处置对策建议。</w:t>
      </w:r>
      <w:r>
        <w:rPr>
          <w:rFonts w:hint="eastAsia" w:ascii="宋体" w:hAnsi="宋体" w:eastAsia="宋体" w:cs="宋体"/>
          <w:bCs/>
          <w:szCs w:val="21"/>
          <w:highlight w:val="none"/>
          <w:lang w:val="en-US" w:eastAsia="zh-CN"/>
        </w:rPr>
        <w:t>钻孔验证前应调查清楚附近管线情况，在确保安全的前提下进行钻孔，相关费用包含投标报价中。</w:t>
      </w:r>
    </w:p>
    <w:p w14:paraId="5E65145E">
      <w:pPr>
        <w:spacing w:line="360" w:lineRule="auto"/>
        <w:ind w:firstLine="422" w:firstLineChars="200"/>
        <w:outlineLvl w:val="1"/>
        <w:rPr>
          <w:rFonts w:ascii="宋体" w:hAnsi="宋体" w:eastAsia="宋体" w:cs="宋体"/>
          <w:b/>
          <w:szCs w:val="21"/>
        </w:rPr>
      </w:pPr>
      <w:r>
        <w:rPr>
          <w:rFonts w:hint="eastAsia" w:ascii="宋体" w:hAnsi="宋体" w:eastAsia="宋体" w:cs="宋体"/>
          <w:b/>
          <w:szCs w:val="21"/>
          <w:lang w:val="en-US" w:eastAsia="zh-CN"/>
        </w:rPr>
        <w:t>2.2</w:t>
      </w:r>
      <w:r>
        <w:rPr>
          <w:rFonts w:hint="eastAsia" w:ascii="宋体" w:hAnsi="宋体" w:eastAsia="宋体" w:cs="宋体"/>
          <w:b/>
          <w:szCs w:val="21"/>
        </w:rPr>
        <w:t>道路风险评估</w:t>
      </w:r>
    </w:p>
    <w:p w14:paraId="1C656536">
      <w:pPr>
        <w:spacing w:line="360" w:lineRule="auto"/>
        <w:ind w:firstLine="420" w:firstLineChars="200"/>
        <w:outlineLvl w:val="1"/>
        <w:rPr>
          <w:rFonts w:hint="default" w:ascii="宋体" w:hAnsi="宋体" w:eastAsia="宋体" w:cs="宋体"/>
          <w:bCs/>
          <w:szCs w:val="21"/>
          <w:lang w:val="en-US" w:eastAsia="zh-CN"/>
        </w:rPr>
      </w:pPr>
      <w:r>
        <w:rPr>
          <w:rFonts w:hint="eastAsia" w:ascii="宋体" w:hAnsi="宋体" w:eastAsia="宋体" w:cs="宋体"/>
          <w:bCs/>
          <w:szCs w:val="21"/>
        </w:rPr>
        <w:t>根据省城市生命线安全工程工作要求和《苏州市道路塌陷风险评估导则》，进行风险评估，具体包括内容如下：道路概况、编制依据、评估方法和过程、风险源调查、评估内容和结论、对策及建议</w:t>
      </w:r>
      <w:r>
        <w:rPr>
          <w:rFonts w:hint="eastAsia" w:ascii="宋体" w:hAnsi="宋体" w:eastAsia="宋体" w:cs="宋体"/>
          <w:bCs/>
          <w:szCs w:val="21"/>
          <w:lang w:val="en-US" w:eastAsia="zh-CN"/>
        </w:rPr>
        <w:t>。</w:t>
      </w:r>
    </w:p>
    <w:p w14:paraId="30B0194D">
      <w:pPr>
        <w:spacing w:line="360" w:lineRule="auto"/>
        <w:ind w:firstLine="422" w:firstLineChars="200"/>
        <w:outlineLvl w:val="1"/>
        <w:rPr>
          <w:rFonts w:ascii="宋体" w:hAnsi="宋体" w:eastAsia="宋体" w:cs="宋体"/>
          <w:b/>
          <w:szCs w:val="21"/>
        </w:rPr>
      </w:pPr>
      <w:r>
        <w:rPr>
          <w:rFonts w:hint="eastAsia" w:ascii="宋体" w:hAnsi="宋体" w:eastAsia="宋体" w:cs="宋体"/>
          <w:b/>
          <w:szCs w:val="21"/>
          <w:lang w:val="en-US" w:eastAsia="zh-CN"/>
        </w:rPr>
        <w:t>2</w:t>
      </w:r>
      <w:r>
        <w:rPr>
          <w:rFonts w:hint="eastAsia" w:ascii="宋体" w:hAnsi="宋体" w:eastAsia="宋体" w:cs="宋体"/>
          <w:b/>
          <w:szCs w:val="21"/>
        </w:rPr>
        <w:t>.</w:t>
      </w:r>
      <w:r>
        <w:rPr>
          <w:rFonts w:hint="eastAsia" w:ascii="宋体" w:hAnsi="宋体" w:eastAsia="宋体" w:cs="宋体"/>
          <w:b/>
          <w:szCs w:val="21"/>
          <w:lang w:val="en-US" w:eastAsia="zh-CN"/>
        </w:rPr>
        <w:t>3</w:t>
      </w:r>
      <w:r>
        <w:rPr>
          <w:rFonts w:hint="eastAsia" w:ascii="宋体" w:hAnsi="宋体" w:eastAsia="宋体" w:cs="宋体"/>
          <w:b/>
          <w:szCs w:val="21"/>
        </w:rPr>
        <w:t>成果提交</w:t>
      </w:r>
    </w:p>
    <w:p w14:paraId="64D352BA">
      <w:pPr>
        <w:spacing w:line="360" w:lineRule="auto"/>
        <w:ind w:firstLine="420" w:firstLineChars="200"/>
        <w:outlineLvl w:val="1"/>
        <w:rPr>
          <w:rFonts w:hint="default" w:ascii="宋体" w:hAnsi="宋体" w:eastAsia="宋体" w:cs="宋体"/>
          <w:bCs/>
          <w:color w:val="auto"/>
          <w:szCs w:val="21"/>
          <w:lang w:val="en-US" w:eastAsia="zh-CN"/>
        </w:rPr>
      </w:pPr>
      <w:r>
        <w:rPr>
          <w:rFonts w:hint="eastAsia" w:ascii="宋体" w:hAnsi="宋体" w:eastAsia="宋体" w:cs="宋体"/>
          <w:bCs/>
          <w:szCs w:val="21"/>
        </w:rPr>
        <w:t>道路塌陷探测报告（含钻孔验证资料）与道路风险评估报告在现场作业完成后提交，提交物电子文件</w:t>
      </w:r>
      <w:r>
        <w:rPr>
          <w:rFonts w:hint="eastAsia" w:ascii="宋体" w:hAnsi="宋体" w:eastAsia="宋体" w:cs="宋体"/>
          <w:bCs/>
          <w:szCs w:val="21"/>
          <w:lang w:val="en-US" w:eastAsia="zh-CN"/>
        </w:rPr>
        <w:t>1</w:t>
      </w:r>
      <w:r>
        <w:rPr>
          <w:rFonts w:hint="eastAsia" w:ascii="宋体" w:hAnsi="宋体" w:eastAsia="宋体" w:cs="宋体"/>
          <w:bCs/>
          <w:szCs w:val="21"/>
        </w:rPr>
        <w:t>套（优盘或</w:t>
      </w:r>
      <w:r>
        <w:rPr>
          <w:rFonts w:hint="eastAsia" w:ascii="宋体" w:hAnsi="宋体" w:eastAsia="宋体" w:cs="宋体"/>
          <w:bCs/>
          <w:szCs w:val="21"/>
          <w:lang w:val="en-US" w:eastAsia="zh-CN"/>
        </w:rPr>
        <w:t>硬</w:t>
      </w:r>
      <w:r>
        <w:rPr>
          <w:rFonts w:hint="eastAsia" w:ascii="宋体" w:hAnsi="宋体" w:eastAsia="宋体" w:cs="宋体"/>
          <w:bCs/>
          <w:szCs w:val="21"/>
        </w:rPr>
        <w:t>盘），并在</w:t>
      </w:r>
      <w:r>
        <w:rPr>
          <w:rFonts w:hint="eastAsia" w:ascii="宋体" w:hAnsi="宋体" w:eastAsia="宋体" w:cs="宋体"/>
          <w:bCs/>
          <w:szCs w:val="21"/>
          <w:lang w:val="en-US" w:eastAsia="zh-CN"/>
        </w:rPr>
        <w:t>规定时间内在生命线</w:t>
      </w:r>
      <w:r>
        <w:rPr>
          <w:rFonts w:hint="eastAsia" w:ascii="宋体" w:hAnsi="宋体" w:eastAsia="宋体" w:cs="宋体"/>
          <w:bCs/>
          <w:szCs w:val="21"/>
        </w:rPr>
        <w:t>系统中录入相关探测及评估数据</w:t>
      </w:r>
      <w:r>
        <w:rPr>
          <w:rFonts w:hint="eastAsia" w:ascii="宋体" w:hAnsi="宋体" w:eastAsia="宋体" w:cs="宋体"/>
          <w:bCs/>
          <w:szCs w:val="21"/>
          <w:lang w:eastAsia="zh-CN"/>
        </w:rPr>
        <w:t>，</w:t>
      </w:r>
      <w:r>
        <w:rPr>
          <w:rFonts w:hint="eastAsia" w:ascii="宋体" w:hAnsi="宋体" w:eastAsia="宋体" w:cs="宋体"/>
          <w:bCs/>
          <w:color w:val="auto"/>
          <w:szCs w:val="21"/>
          <w:lang w:val="en-US" w:eastAsia="zh-CN"/>
        </w:rPr>
        <w:t>并根据甲方要求在合同期内不定时对生命线系统中道路基础信息进行更新录入工作。</w:t>
      </w:r>
    </w:p>
    <w:p w14:paraId="5A89DB46">
      <w:pPr>
        <w:numPr>
          <w:ilvl w:val="0"/>
          <w:numId w:val="0"/>
        </w:numPr>
        <w:spacing w:line="360" w:lineRule="auto"/>
        <w:ind w:firstLine="422" w:firstLineChars="200"/>
        <w:outlineLvl w:val="1"/>
        <w:rPr>
          <w:rFonts w:hint="eastAsia" w:ascii="宋体" w:hAnsi="宋体" w:eastAsia="宋体" w:cs="宋体"/>
          <w:b/>
          <w:bCs/>
          <w:szCs w:val="21"/>
          <w:lang w:val="en-US" w:eastAsia="zh-CN"/>
        </w:rPr>
      </w:pPr>
      <w:r>
        <w:rPr>
          <w:rFonts w:hint="eastAsia" w:ascii="宋体" w:hAnsi="宋体" w:eastAsia="宋体" w:cs="宋体"/>
          <w:b/>
          <w:bCs/>
          <w:kern w:val="2"/>
          <w:sz w:val="21"/>
          <w:szCs w:val="21"/>
          <w:lang w:val="en-US" w:eastAsia="zh-CN" w:bidi="ar-SA"/>
        </w:rPr>
        <w:t>五、</w:t>
      </w:r>
      <w:r>
        <w:rPr>
          <w:rFonts w:hint="eastAsia" w:ascii="宋体" w:hAnsi="宋体" w:eastAsia="宋体" w:cs="宋体"/>
          <w:b/>
          <w:bCs/>
          <w:szCs w:val="21"/>
          <w:lang w:val="en-US" w:eastAsia="zh-CN"/>
        </w:rPr>
        <w:t>道路定期检测</w:t>
      </w:r>
    </w:p>
    <w:p w14:paraId="6E71687F">
      <w:pPr>
        <w:spacing w:line="360" w:lineRule="auto"/>
        <w:ind w:firstLine="422" w:firstLineChars="200"/>
        <w:outlineLvl w:val="1"/>
        <w:rPr>
          <w:rFonts w:hint="default" w:ascii="宋体" w:hAnsi="宋体" w:eastAsia="宋体"/>
          <w:b/>
          <w:szCs w:val="21"/>
          <w:lang w:val="en-US" w:eastAsia="zh-CN"/>
        </w:rPr>
      </w:pPr>
      <w:r>
        <w:rPr>
          <w:rFonts w:hint="eastAsia" w:ascii="宋体" w:hAnsi="宋体" w:eastAsia="宋体"/>
          <w:b/>
          <w:szCs w:val="21"/>
          <w:lang w:val="en-US" w:eastAsia="zh-CN"/>
        </w:rPr>
        <w:t>1</w:t>
      </w:r>
      <w:r>
        <w:rPr>
          <w:rFonts w:hint="eastAsia" w:ascii="宋体" w:hAnsi="宋体" w:eastAsia="宋体"/>
          <w:b/>
          <w:szCs w:val="21"/>
        </w:rPr>
        <w:t>、</w:t>
      </w:r>
      <w:r>
        <w:rPr>
          <w:rFonts w:hint="eastAsia" w:ascii="宋体" w:hAnsi="宋体" w:eastAsia="宋体"/>
          <w:b/>
          <w:szCs w:val="21"/>
          <w:lang w:val="en-US" w:eastAsia="zh-CN"/>
        </w:rPr>
        <w:t>工作内容及范围</w:t>
      </w:r>
    </w:p>
    <w:p w14:paraId="649CB5A0">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按照《城镇道路养护技术规范》（CJJ36-2016）等规范的要求，对路面技术状况进行调查与评定，检测指标包括但不限于：路面破损、平整度、抗滑性能和结构强度。具体要求如下：</w:t>
      </w:r>
    </w:p>
    <w:p w14:paraId="4AA11F5F">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（1）路面破损状况指数（PCI、FCI）</w:t>
      </w:r>
    </w:p>
    <w:p w14:paraId="7F154304">
      <w:pPr>
        <w:spacing w:line="360" w:lineRule="auto"/>
        <w:ind w:firstLine="420" w:firstLineChars="200"/>
        <w:rPr>
          <w:rFonts w:hint="default" w:ascii="宋体" w:hAnsi="宋体" w:eastAsia="宋体"/>
          <w:bCs/>
          <w:szCs w:val="21"/>
          <w:lang w:val="en-US" w:eastAsia="zh-CN"/>
        </w:rPr>
      </w:pPr>
      <w:r>
        <w:rPr>
          <w:rFonts w:hint="eastAsia" w:ascii="宋体" w:hAnsi="宋体" w:eastAsia="宋体"/>
          <w:bCs/>
          <w:szCs w:val="21"/>
          <w:lang w:val="en-US" w:eastAsia="zh-CN"/>
        </w:rPr>
        <w:t>检测范围为机动车道、非机动车道和人行道。采用自动化设备为主、人工巡查为辅的的方式，对路面裂缝（包括纵裂、横裂、网状裂等类型）、坑槽、沉陷、拥包、车辙、松散、泛油等病害进行详细调查，记录病害的位置、类型、尺寸及严重程度，并计算出路面损坏状况指数PCI值以及人行道状况指数（FCI），给出损坏状况评价等级，可分为A~D四个等级。</w:t>
      </w:r>
    </w:p>
    <w:p w14:paraId="5139C5F4">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（2）路面行驶质量指数（RQI）</w:t>
      </w:r>
    </w:p>
    <w:p w14:paraId="26B3A9DA">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检测范围为机动车道和非机动车道。使用自动化设备，按照相关标准规范对道路平整度进行检测，计算国际平整度指数（IRI）或标准差，评估道路行驶舒适性。如非机动车道无法采用车辆检测，则采用人工检测。</w:t>
      </w:r>
    </w:p>
    <w:p w14:paraId="5450BA39">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根据RQI、IRI 或平整度标准差，评价路面行驶质量，可分为 A~D四个等级；根据平整度标准差或间隙度平均值，评价人行道平整度，可分为 A~D四个等级。</w:t>
      </w:r>
    </w:p>
    <w:p w14:paraId="2517F524">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（3）道路抗滑性能检测（SFC、TD或BPN）</w:t>
      </w:r>
    </w:p>
    <w:p w14:paraId="5A80E626">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检测范围为机动车道。采用横向力系数自动检测车等设备，对道路路面抗滑性能进行检测，测定横向力系数（SFC），或采用激光构造深度仪或铺砂法，对道路路面抗滑性能进行检测，测定路面构造深度（TD），或采用摆式仪等设备，测定摆值（BPN）。给出抗滑能力评价等级，可分为A~D四个等级。</w:t>
      </w:r>
    </w:p>
    <w:p w14:paraId="08B6A0E2">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（4）路面综合评价指数（PQI）</w:t>
      </w:r>
    </w:p>
    <w:p w14:paraId="65D31971">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根据PCI和RQI，计算路面综合评价指数（PQI），给出路面综合评价等级，可分为 A~D四个等级。</w:t>
      </w:r>
    </w:p>
    <w:p w14:paraId="5E317FD5">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（5）道路结构强度检测</w:t>
      </w:r>
    </w:p>
    <w:p w14:paraId="324C86B1">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检测范围为机动车道和非机动车道，根据《城镇道路养护技术规范》CJJ36-2016要求，对道路路面结构强度进行检测，测定道路在动态或静态荷载作用下的弯沉值，评估路面结构承载能力。</w:t>
      </w:r>
    </w:p>
    <w:p w14:paraId="56BB7925">
      <w:pPr>
        <w:spacing w:line="360" w:lineRule="auto"/>
        <w:ind w:firstLine="420" w:firstLineChars="200"/>
        <w:rPr>
          <w:rFonts w:hint="default" w:ascii="宋体" w:hAnsi="宋体" w:eastAsia="宋体"/>
          <w:bCs/>
          <w:szCs w:val="21"/>
          <w:lang w:val="en-US" w:eastAsia="zh-CN"/>
        </w:rPr>
      </w:pPr>
      <w:r>
        <w:rPr>
          <w:rFonts w:hint="eastAsia" w:ascii="宋体" w:hAnsi="宋体" w:eastAsia="宋体"/>
          <w:bCs/>
          <w:szCs w:val="21"/>
          <w:lang w:val="en-US" w:eastAsia="zh-CN"/>
        </w:rPr>
        <w:t>本次实施范围为生命线系统中的全部657条城市道路，约945km，具体清单以生命线系统为准。根据路面状况，筛选约50km路段开展路面结构检测。详见附件三《道路结构检测清单》。</w:t>
      </w:r>
    </w:p>
    <w:p w14:paraId="4768649F">
      <w:pPr>
        <w:spacing w:line="360" w:lineRule="auto"/>
        <w:ind w:firstLine="422" w:firstLineChars="200"/>
        <w:rPr>
          <w:rFonts w:hint="eastAsia" w:ascii="宋体" w:hAnsi="宋体" w:eastAsia="宋体"/>
          <w:bCs/>
          <w:szCs w:val="21"/>
          <w:lang w:val="en-US" w:eastAsia="zh-CN"/>
        </w:rPr>
      </w:pPr>
      <w:r>
        <w:rPr>
          <w:rFonts w:hint="eastAsia" w:ascii="宋体" w:hAnsi="宋体" w:eastAsia="宋体"/>
          <w:b/>
          <w:bCs w:val="0"/>
          <w:szCs w:val="21"/>
          <w:lang w:val="en-US" w:eastAsia="zh-CN"/>
        </w:rPr>
        <w:t>2、工作要求</w:t>
      </w:r>
    </w:p>
    <w:p w14:paraId="5A9E5A8D">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1）检测工作以自动化设备为主，投标人应配备自动化检测设备，以确保高效、高质量完成本项目检测工作。对使用频率高，可能出现故障的检测设备，应做好相应预案，以便及时准确得出各项检测结果，确保工作质量。</w:t>
      </w:r>
    </w:p>
    <w:p w14:paraId="0B87FDC0">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（2）根据采集的道路损坏类型，计算出各路段的车行道完好率、人行道完好率和道路综合完好率。根据道路检测和技术状况评定结果提出养护建议等。</w:t>
      </w:r>
    </w:p>
    <w:p w14:paraId="230D4D98">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（3）如遇特殊情况采购人需对检测道路范围进行调整，检测单位应无条件服从采购人安排，按采购人要求开展相应检测工作。</w:t>
      </w:r>
    </w:p>
    <w:p w14:paraId="3F77FCAB">
      <w:pPr>
        <w:spacing w:line="360" w:lineRule="auto"/>
        <w:ind w:firstLine="420" w:firstLineChars="200"/>
        <w:rPr>
          <w:rFonts w:hint="eastAsia" w:ascii="宋体" w:hAnsi="宋体" w:eastAsia="宋体"/>
          <w:bCs/>
          <w:szCs w:val="21"/>
          <w:lang w:val="en-US" w:eastAsia="zh-CN"/>
        </w:rPr>
      </w:pPr>
      <w:r>
        <w:rPr>
          <w:rFonts w:hint="eastAsia" w:ascii="宋体" w:hAnsi="宋体" w:eastAsia="宋体"/>
          <w:bCs/>
          <w:szCs w:val="21"/>
          <w:lang w:val="en-US" w:eastAsia="zh-CN"/>
        </w:rPr>
        <w:t>（4）在完成路面技术状况检测的基础上，对各项检测数据进行系统整理、分析和统计，运用专业软件对检测结果进行处理，形成直观的图表和数据报表，并编制详细检测评定报告。报告内容应包括：项目概述、检测方法、检测结果、病害分析、养护建议等，为采购人提供科学的决策依据。</w:t>
      </w:r>
    </w:p>
    <w:p w14:paraId="057A3D70">
      <w:pPr>
        <w:numPr>
          <w:ilvl w:val="0"/>
          <w:numId w:val="0"/>
        </w:numPr>
        <w:spacing w:line="360" w:lineRule="auto"/>
        <w:ind w:firstLine="420" w:firstLineChars="200"/>
        <w:rPr>
          <w:rFonts w:hint="eastAsia" w:ascii="宋体" w:hAnsi="宋体" w:eastAsia="宋体"/>
          <w:bCs/>
          <w:color w:val="auto"/>
          <w:szCs w:val="21"/>
          <w:lang w:val="en-US" w:eastAsia="zh-CN"/>
        </w:rPr>
      </w:pPr>
      <w:r>
        <w:rPr>
          <w:rFonts w:hint="eastAsia" w:ascii="宋体" w:hAnsi="宋体" w:eastAsia="宋体" w:cstheme="minorBidi"/>
          <w:bCs/>
          <w:kern w:val="2"/>
          <w:sz w:val="21"/>
          <w:szCs w:val="21"/>
          <w:lang w:val="en-US" w:eastAsia="zh-CN" w:bidi="ar-SA"/>
        </w:rPr>
        <w:t>（5）</w:t>
      </w:r>
      <w:r>
        <w:rPr>
          <w:rFonts w:hint="eastAsia" w:ascii="宋体" w:hAnsi="宋体" w:eastAsia="宋体"/>
          <w:bCs/>
          <w:szCs w:val="21"/>
          <w:lang w:val="en-US" w:eastAsia="zh-CN"/>
        </w:rPr>
        <w:t>检测报告应完整、规范、真实、有效，保证报告数据真实反映现场实际情况。提供电子文件1套（PDF格式），以及检测的图像、视频及相关的原始数据资料，并在市道桥系统中录入相关检测数据、报告</w:t>
      </w:r>
      <w:r>
        <w:rPr>
          <w:rFonts w:hint="eastAsia" w:ascii="宋体" w:hAnsi="宋体" w:eastAsia="宋体"/>
          <w:bCs/>
          <w:color w:val="auto"/>
          <w:szCs w:val="21"/>
          <w:lang w:val="en-US" w:eastAsia="zh-CN"/>
        </w:rPr>
        <w:t>，并对现有生命线系统中道路基础台账资料进行核对更新。</w:t>
      </w:r>
    </w:p>
    <w:p w14:paraId="2F4988A0">
      <w:pPr>
        <w:numPr>
          <w:ilvl w:val="0"/>
          <w:numId w:val="0"/>
        </w:numPr>
        <w:spacing w:line="360" w:lineRule="auto"/>
        <w:ind w:firstLine="420" w:firstLineChars="200"/>
        <w:rPr>
          <w:rFonts w:hint="eastAsia" w:ascii="宋体" w:hAnsi="宋体" w:eastAsia="宋体"/>
          <w:bCs/>
          <w:color w:val="auto"/>
          <w:szCs w:val="21"/>
          <w:lang w:val="en-US" w:eastAsia="zh-CN"/>
        </w:rPr>
      </w:pPr>
      <w:r>
        <w:rPr>
          <w:rFonts w:hint="default" w:ascii="宋体" w:hAnsi="宋体" w:eastAsia="宋体" w:cstheme="minorBidi"/>
          <w:bCs/>
          <w:color w:val="auto"/>
          <w:kern w:val="2"/>
          <w:sz w:val="21"/>
          <w:szCs w:val="21"/>
          <w:lang w:val="en-US" w:eastAsia="zh-CN" w:bidi="ar-SA"/>
        </w:rPr>
        <w:t>（</w:t>
      </w:r>
      <w:r>
        <w:rPr>
          <w:rFonts w:hint="eastAsia" w:ascii="宋体" w:hAnsi="宋体" w:eastAsia="宋体" w:cstheme="minorBidi"/>
          <w:bCs/>
          <w:color w:val="auto"/>
          <w:kern w:val="2"/>
          <w:sz w:val="21"/>
          <w:szCs w:val="21"/>
          <w:lang w:val="en-US" w:eastAsia="zh-CN" w:bidi="ar-SA"/>
        </w:rPr>
        <w:t>6</w:t>
      </w:r>
      <w:r>
        <w:rPr>
          <w:rFonts w:hint="default" w:ascii="宋体" w:hAnsi="宋体" w:eastAsia="宋体" w:cstheme="minorBidi"/>
          <w:bCs/>
          <w:color w:val="auto"/>
          <w:kern w:val="2"/>
          <w:sz w:val="21"/>
          <w:szCs w:val="21"/>
          <w:lang w:val="en-US" w:eastAsia="zh-CN" w:bidi="ar-SA"/>
        </w:rPr>
        <w:t>）</w:t>
      </w:r>
      <w:r>
        <w:rPr>
          <w:rFonts w:hint="eastAsia" w:ascii="宋体" w:hAnsi="宋体" w:eastAsia="宋体" w:cstheme="minorBidi"/>
          <w:bCs/>
          <w:color w:val="auto"/>
          <w:kern w:val="2"/>
          <w:sz w:val="21"/>
          <w:szCs w:val="21"/>
          <w:lang w:val="en-US" w:eastAsia="zh-CN" w:bidi="ar-SA"/>
        </w:rPr>
        <w:t>除需最终提供检测报告外，</w:t>
      </w:r>
      <w:r>
        <w:rPr>
          <w:rFonts w:hint="eastAsia" w:ascii="宋体" w:hAnsi="宋体" w:eastAsia="宋体"/>
          <w:bCs/>
          <w:color w:val="auto"/>
          <w:szCs w:val="21"/>
          <w:lang w:val="en-US" w:eastAsia="zh-CN"/>
        </w:rPr>
        <w:t>中标人在服务期间需对园区所有市政道路（车行道）开展道路AI智能化巡检工作，按照甲方要求提供道路病害数据（频次每月1次，巡检后次月提供病害数据），病害数据需经人工初筛去重后提交甲方审核，此项工作费用包含在投标报价中，投标时需充分考虑，若未及时提供，按考核表进行处罚。</w:t>
      </w:r>
    </w:p>
    <w:p w14:paraId="7A742691">
      <w:pPr>
        <w:numPr>
          <w:ilvl w:val="0"/>
          <w:numId w:val="0"/>
        </w:numPr>
        <w:spacing w:line="360" w:lineRule="auto"/>
        <w:ind w:firstLine="420" w:firstLineChars="200"/>
        <w:rPr>
          <w:rFonts w:hint="default" w:ascii="宋体" w:hAnsi="宋体" w:eastAsia="宋体" w:cstheme="minorBidi"/>
          <w:bCs/>
          <w:kern w:val="2"/>
          <w:sz w:val="21"/>
          <w:szCs w:val="21"/>
          <w:lang w:val="en-US" w:eastAsia="zh-CN" w:bidi="ar-SA"/>
        </w:rPr>
      </w:pPr>
      <w:r>
        <w:rPr>
          <w:rFonts w:hint="eastAsia" w:ascii="宋体" w:hAnsi="宋体" w:eastAsia="宋体" w:cstheme="minorBidi"/>
          <w:bCs/>
          <w:kern w:val="2"/>
          <w:sz w:val="21"/>
          <w:szCs w:val="21"/>
          <w:lang w:val="en-US" w:eastAsia="zh-CN" w:bidi="ar-SA"/>
        </w:rPr>
        <w:t>（7）每日需在工作群上报次日工作计划，及检测现场相关影像资料，确保检测全过程留痕可追溯。</w:t>
      </w:r>
    </w:p>
    <w:p w14:paraId="5A0F7820">
      <w:pPr>
        <w:spacing w:line="360" w:lineRule="auto"/>
        <w:ind w:firstLine="422" w:firstLineChars="200"/>
        <w:outlineLvl w:val="1"/>
        <w:rPr>
          <w:rFonts w:ascii="宋体" w:hAnsi="宋体" w:eastAsia="宋体"/>
          <w:b/>
          <w:szCs w:val="21"/>
        </w:rPr>
      </w:pPr>
      <w:r>
        <w:rPr>
          <w:rFonts w:hint="eastAsia" w:ascii="宋体" w:hAnsi="宋体" w:eastAsia="宋体" w:cs="宋体"/>
          <w:b/>
          <w:bCs/>
          <w:szCs w:val="21"/>
          <w:lang w:val="en-US" w:eastAsia="zh-CN"/>
        </w:rPr>
        <w:t>六</w:t>
      </w:r>
      <w:r>
        <w:rPr>
          <w:rFonts w:hint="eastAsia" w:ascii="宋体" w:hAnsi="宋体" w:eastAsia="宋体" w:cs="宋体"/>
          <w:bCs/>
          <w:szCs w:val="21"/>
        </w:rPr>
        <w:t>、</w:t>
      </w:r>
      <w:r>
        <w:rPr>
          <w:rFonts w:hint="eastAsia" w:ascii="宋体" w:hAnsi="宋体" w:eastAsia="宋体"/>
          <w:b/>
          <w:szCs w:val="21"/>
        </w:rPr>
        <w:t>人员、设备配备要求：</w:t>
      </w:r>
    </w:p>
    <w:p w14:paraId="0E1839AE">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highlight w:val="none"/>
        </w:rPr>
        <w:t>项目</w:t>
      </w:r>
      <w:r>
        <w:rPr>
          <w:rFonts w:hint="eastAsia" w:ascii="宋体" w:hAnsi="宋体" w:eastAsia="宋体" w:cs="宋体"/>
          <w:bCs/>
          <w:szCs w:val="21"/>
          <w:highlight w:val="none"/>
          <w:lang w:val="en-US" w:eastAsia="zh-CN"/>
        </w:rPr>
        <w:t>组</w:t>
      </w:r>
      <w:r>
        <w:rPr>
          <w:rFonts w:hint="eastAsia" w:ascii="宋体" w:hAnsi="宋体" w:eastAsia="宋体" w:cs="宋体"/>
          <w:bCs/>
          <w:szCs w:val="21"/>
          <w:highlight w:val="none"/>
        </w:rPr>
        <w:t>人员配置要求：项目</w:t>
      </w:r>
      <w:r>
        <w:rPr>
          <w:rFonts w:hint="eastAsia" w:ascii="宋体" w:hAnsi="宋体" w:eastAsia="宋体" w:cs="宋体"/>
          <w:bCs/>
          <w:szCs w:val="21"/>
          <w:highlight w:val="none"/>
          <w:lang w:val="en-US" w:eastAsia="zh-CN"/>
        </w:rPr>
        <w:t>负责人</w:t>
      </w:r>
      <w:r>
        <w:rPr>
          <w:rFonts w:hint="eastAsia" w:ascii="宋体" w:hAnsi="宋体" w:eastAsia="宋体" w:cs="宋体"/>
          <w:bCs/>
          <w:szCs w:val="21"/>
          <w:highlight w:val="none"/>
        </w:rPr>
        <w:t>1名，</w:t>
      </w:r>
      <w:r>
        <w:rPr>
          <w:rFonts w:hint="eastAsia" w:ascii="宋体" w:hAnsi="宋体" w:eastAsia="宋体" w:cs="宋体"/>
          <w:bCs/>
          <w:szCs w:val="21"/>
          <w:highlight w:val="none"/>
          <w:lang w:val="en-US" w:eastAsia="zh-CN"/>
        </w:rPr>
        <w:t>技术负责人</w:t>
      </w:r>
      <w:r>
        <w:rPr>
          <w:rFonts w:hint="eastAsia" w:ascii="宋体" w:hAnsi="宋体" w:eastAsia="宋体" w:cs="宋体"/>
          <w:bCs/>
          <w:szCs w:val="21"/>
          <w:highlight w:val="none"/>
        </w:rPr>
        <w:t>1名</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lang w:val="en-US" w:eastAsia="zh-CN"/>
        </w:rPr>
        <w:t>安全员1名（</w:t>
      </w:r>
      <w:r>
        <w:rPr>
          <w:rFonts w:hint="eastAsia" w:ascii="宋体" w:hAnsi="宋体" w:eastAsia="宋体" w:cs="宋体"/>
          <w:color w:val="000000"/>
          <w:highlight w:val="none"/>
        </w:rPr>
        <w:t>具有安全生产相关考核合格证书</w:t>
      </w:r>
      <w:r>
        <w:rPr>
          <w:rFonts w:hint="eastAsia" w:ascii="宋体" w:hAnsi="宋体" w:eastAsia="宋体" w:cs="宋体"/>
          <w:bCs/>
          <w:szCs w:val="21"/>
          <w:highlight w:val="none"/>
          <w:lang w:val="en-US" w:eastAsia="zh-CN"/>
        </w:rPr>
        <w:t>），以上人员需</w:t>
      </w:r>
      <w:r>
        <w:rPr>
          <w:rFonts w:hint="eastAsia" w:ascii="宋体" w:hAnsi="宋体" w:eastAsia="宋体" w:cs="宋体"/>
          <w:bCs/>
          <w:szCs w:val="21"/>
          <w:highlight w:val="none"/>
        </w:rPr>
        <w:t>纳入钉钉考勤，由甲方对考勤情况进行考核。</w:t>
      </w:r>
      <w:r>
        <w:rPr>
          <w:rFonts w:hint="eastAsia" w:ascii="宋体" w:hAnsi="宋体" w:eastAsia="宋体" w:cs="宋体"/>
          <w:highlight w:val="none"/>
        </w:rPr>
        <w:t>中标单位需</w:t>
      </w:r>
      <w:r>
        <w:rPr>
          <w:rFonts w:hint="eastAsia" w:ascii="宋体" w:hAnsi="宋体" w:eastAsia="宋体" w:cs="宋体"/>
        </w:rPr>
        <w:t>准备本项目实施必须的探测设备（车辆）包括但不限于：</w:t>
      </w:r>
      <w:r>
        <w:rPr>
          <w:rFonts w:hint="eastAsia" w:ascii="宋体" w:hAnsi="宋体" w:eastAsia="宋体" w:cs="宋体"/>
          <w:bCs/>
          <w:szCs w:val="21"/>
        </w:rPr>
        <w:t>三维地质雷达车1辆、便携式二维地质雷达2台、</w:t>
      </w:r>
      <w:r>
        <w:rPr>
          <w:rFonts w:hint="eastAsia" w:ascii="宋体" w:hAnsi="宋体" w:eastAsia="宋体" w:cs="宋体"/>
          <w:lang w:val="en-US" w:eastAsia="zh-CN"/>
        </w:rPr>
        <w:t>多功能路况综合检测车1辆、</w:t>
      </w:r>
      <w:r>
        <w:rPr>
          <w:rFonts w:hint="eastAsia" w:ascii="宋体" w:hAnsi="宋体" w:eastAsia="宋体" w:cs="宋体"/>
        </w:rPr>
        <w:t>落锤式弯沉仪</w:t>
      </w:r>
      <w:r>
        <w:rPr>
          <w:rFonts w:hint="eastAsia" w:ascii="宋体" w:hAnsi="宋体" w:eastAsia="宋体" w:cs="宋体"/>
          <w:lang w:val="en-US" w:eastAsia="zh-CN"/>
        </w:rPr>
        <w:t>1台、</w:t>
      </w:r>
      <w:r>
        <w:rPr>
          <w:rFonts w:hint="eastAsia" w:ascii="宋体" w:hAnsi="宋体" w:eastAsia="宋体" w:cs="宋体"/>
          <w:bCs/>
          <w:szCs w:val="21"/>
        </w:rPr>
        <w:t>防撞缓冲车</w:t>
      </w:r>
      <w:r>
        <w:rPr>
          <w:rFonts w:hint="eastAsia" w:ascii="宋体" w:hAnsi="宋体" w:eastAsia="宋体" w:cs="宋体"/>
          <w:bCs/>
          <w:szCs w:val="21"/>
          <w:lang w:val="en-US" w:eastAsia="zh-CN"/>
        </w:rPr>
        <w:t>2</w:t>
      </w:r>
      <w:bookmarkStart w:id="0" w:name="_GoBack"/>
      <w:bookmarkEnd w:id="0"/>
      <w:r>
        <w:rPr>
          <w:rFonts w:hint="eastAsia" w:ascii="宋体" w:hAnsi="宋体" w:eastAsia="宋体" w:cs="宋体"/>
          <w:bCs/>
          <w:szCs w:val="21"/>
        </w:rPr>
        <w:t>辆。</w:t>
      </w:r>
      <w:r>
        <w:rPr>
          <w:rFonts w:hint="eastAsia" w:ascii="宋体" w:hAnsi="宋体" w:eastAsia="宋体" w:cs="宋体"/>
        </w:rPr>
        <w:t>需自有或提供相关租赁证明，并书面报甲方批准。</w:t>
      </w:r>
      <w:r>
        <w:rPr>
          <w:rFonts w:hint="eastAsia" w:ascii="宋体" w:hAnsi="宋体" w:eastAsia="宋体" w:cs="宋体"/>
          <w:bCs/>
          <w:szCs w:val="21"/>
        </w:rPr>
        <w:t>人员、设备配置要求具体详见附件</w:t>
      </w:r>
      <w:r>
        <w:rPr>
          <w:rFonts w:hint="eastAsia" w:ascii="宋体" w:hAnsi="宋体" w:eastAsia="宋体" w:cs="宋体"/>
          <w:bCs/>
          <w:szCs w:val="21"/>
          <w:lang w:val="en-US" w:eastAsia="zh-CN"/>
        </w:rPr>
        <w:t>四</w:t>
      </w:r>
      <w:r>
        <w:rPr>
          <w:rFonts w:hint="eastAsia" w:ascii="宋体" w:hAnsi="宋体" w:eastAsia="宋体" w:cs="宋体"/>
          <w:bCs/>
          <w:szCs w:val="21"/>
        </w:rPr>
        <w:t>。</w:t>
      </w:r>
    </w:p>
    <w:p w14:paraId="3DA2CD3C">
      <w:pPr>
        <w:spacing w:line="360" w:lineRule="auto"/>
        <w:ind w:firstLine="422" w:firstLineChars="200"/>
        <w:outlineLvl w:val="1"/>
        <w:rPr>
          <w:rFonts w:hint="eastAsia" w:ascii="宋体" w:hAnsi="宋体" w:eastAsia="宋体" w:cs="宋体"/>
          <w:b/>
          <w:bCs/>
          <w:szCs w:val="21"/>
        </w:rPr>
      </w:pPr>
      <w:r>
        <w:rPr>
          <w:rFonts w:hint="eastAsia" w:ascii="宋体" w:hAnsi="宋体" w:eastAsia="宋体" w:cs="宋体"/>
          <w:b/>
          <w:bCs/>
          <w:szCs w:val="21"/>
          <w:lang w:val="en-US" w:eastAsia="zh-CN"/>
        </w:rPr>
        <w:t>七</w:t>
      </w:r>
      <w:r>
        <w:rPr>
          <w:rFonts w:hint="eastAsia" w:ascii="宋体" w:hAnsi="宋体" w:eastAsia="宋体" w:cs="宋体"/>
          <w:b/>
          <w:bCs/>
          <w:szCs w:val="21"/>
        </w:rPr>
        <w:t>、核验要求</w:t>
      </w:r>
    </w:p>
    <w:p w14:paraId="1D1AC160">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中标人应在收到中标通知书30日内将项目成员及甲方批准的使用的</w:t>
      </w:r>
      <w:r>
        <w:rPr>
          <w:rFonts w:hint="eastAsia" w:ascii="宋体" w:hAnsi="宋体" w:eastAsia="宋体" w:cs="宋体"/>
          <w:bCs/>
          <w:szCs w:val="21"/>
          <w:lang w:val="en-US" w:eastAsia="zh-CN"/>
        </w:rPr>
        <w:t>检测</w:t>
      </w:r>
      <w:r>
        <w:rPr>
          <w:rFonts w:hint="eastAsia" w:ascii="宋体" w:hAnsi="宋体" w:eastAsia="宋体" w:cs="宋体"/>
          <w:bCs/>
          <w:szCs w:val="21"/>
        </w:rPr>
        <w:t>设备配置到位，甲方将根据合同要求对人员设备进行进场核验。若中标人在30日内设备不能配置到位的，发包人有权取消其中标资格，重新招标。</w:t>
      </w:r>
    </w:p>
    <w:p w14:paraId="4CB3C2EF">
      <w:pPr>
        <w:spacing w:line="360" w:lineRule="auto"/>
        <w:ind w:firstLine="422" w:firstLineChars="200"/>
        <w:outlineLvl w:val="1"/>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八、安全管理</w:t>
      </w:r>
    </w:p>
    <w:p w14:paraId="6F918AA5">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1、在</w:t>
      </w:r>
      <w:r>
        <w:rPr>
          <w:rFonts w:hint="eastAsia" w:ascii="宋体" w:hAnsi="宋体" w:eastAsia="宋体" w:cs="宋体"/>
          <w:bCs/>
          <w:szCs w:val="21"/>
          <w:lang w:val="en-US" w:eastAsia="zh-CN"/>
        </w:rPr>
        <w:t>作业</w:t>
      </w:r>
      <w:r>
        <w:rPr>
          <w:rFonts w:hint="eastAsia" w:ascii="宋体" w:hAnsi="宋体" w:eastAsia="宋体" w:cs="宋体"/>
          <w:bCs/>
          <w:szCs w:val="21"/>
        </w:rPr>
        <w:t>的过程中，承包人应当始终遵守国家和地方有关安全生产的法律、法规、规范、标准和规程等履行其安全施工职责。</w:t>
      </w:r>
    </w:p>
    <w:p w14:paraId="13FA3AEC">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2、承包人应负责现场所有人员的安全。承包人不应允许任何工人在不符合安全规程的条件下进行探测作业，并应承担有关国家规定的因不符合要求而产生的所有罚金。</w:t>
      </w:r>
    </w:p>
    <w:p w14:paraId="0CE2B68C">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3、进行特殊作业（本项目主要为涉路）时，按流程进行作业票（证）内部审批，做好现场安全风险辨识应急作业人员安全技术交底，并按要求在钉钉系统向建设单位申报备案。</w:t>
      </w:r>
    </w:p>
    <w:p w14:paraId="1D967599">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4、</w:t>
      </w:r>
      <w:r>
        <w:rPr>
          <w:rFonts w:ascii="宋体" w:hAnsi="宋体" w:eastAsia="宋体" w:cs="宋体"/>
          <w:bCs/>
          <w:szCs w:val="21"/>
        </w:rPr>
        <w:t>在</w:t>
      </w:r>
      <w:r>
        <w:rPr>
          <w:rFonts w:hint="eastAsia" w:ascii="宋体" w:hAnsi="宋体" w:eastAsia="宋体" w:cs="宋体"/>
          <w:bCs/>
          <w:szCs w:val="21"/>
          <w:lang w:val="en-US" w:eastAsia="zh-CN"/>
        </w:rPr>
        <w:t>作业</w:t>
      </w:r>
      <w:r>
        <w:rPr>
          <w:rFonts w:ascii="宋体" w:hAnsi="宋体" w:eastAsia="宋体" w:cs="宋体"/>
          <w:bCs/>
          <w:szCs w:val="21"/>
        </w:rPr>
        <w:t>区域周围设置明显的安全警示标志，提醒过往车辆和行人注意安全。确保警示标志清晰可见，不易被忽视或损坏。</w:t>
      </w:r>
    </w:p>
    <w:p w14:paraId="19F0CC41">
      <w:pPr>
        <w:spacing w:line="360" w:lineRule="auto"/>
        <w:ind w:firstLine="422" w:firstLineChars="200"/>
        <w:outlineLvl w:val="1"/>
        <w:rPr>
          <w:rFonts w:hint="eastAsia" w:ascii="宋体" w:hAnsi="宋体" w:eastAsia="宋体" w:cs="宋体"/>
          <w:b/>
          <w:bCs/>
          <w:szCs w:val="21"/>
          <w:lang w:val="en-US" w:eastAsia="zh-CN"/>
        </w:rPr>
      </w:pPr>
      <w:r>
        <w:rPr>
          <w:rFonts w:hint="eastAsia" w:ascii="宋体" w:hAnsi="宋体" w:eastAsia="宋体" w:cs="宋体"/>
          <w:b/>
          <w:bCs/>
          <w:szCs w:val="21"/>
          <w:lang w:val="en-US" w:eastAsia="zh-CN"/>
        </w:rPr>
        <w:t>九、验收要求</w:t>
      </w:r>
    </w:p>
    <w:p w14:paraId="61B1DA62">
      <w:pPr>
        <w:spacing w:line="360" w:lineRule="auto"/>
        <w:ind w:firstLine="420" w:firstLineChars="200"/>
        <w:outlineLvl w:val="1"/>
        <w:rPr>
          <w:rFonts w:hint="default" w:ascii="宋体" w:hAnsi="宋体" w:eastAsia="宋体" w:cs="宋体"/>
          <w:bCs/>
          <w:szCs w:val="21"/>
          <w:lang w:val="en-US" w:eastAsia="zh-CN"/>
        </w:rPr>
      </w:pPr>
      <w:r>
        <w:rPr>
          <w:rFonts w:hint="eastAsia" w:ascii="宋体" w:hAnsi="宋体" w:eastAsia="宋体" w:cs="宋体"/>
          <w:bCs/>
          <w:szCs w:val="21"/>
        </w:rPr>
        <w:t>项目各阶段成果由采购人组织，</w:t>
      </w:r>
      <w:r>
        <w:rPr>
          <w:rFonts w:hint="eastAsia" w:ascii="宋体" w:hAnsi="宋体" w:eastAsia="宋体" w:cs="宋体"/>
          <w:bCs/>
          <w:szCs w:val="21"/>
          <w:lang w:val="en-US" w:eastAsia="zh-CN"/>
        </w:rPr>
        <w:t>并</w:t>
      </w:r>
      <w:r>
        <w:rPr>
          <w:rFonts w:hint="eastAsia" w:ascii="宋体" w:hAnsi="宋体" w:eastAsia="宋体" w:cs="宋体"/>
          <w:bCs/>
          <w:szCs w:val="21"/>
        </w:rPr>
        <w:t>邀请</w:t>
      </w:r>
      <w:r>
        <w:rPr>
          <w:rFonts w:hint="eastAsia" w:ascii="宋体" w:hAnsi="宋体" w:eastAsia="宋体" w:cs="宋体"/>
          <w:bCs/>
          <w:szCs w:val="21"/>
          <w:lang w:val="en-US" w:eastAsia="zh-CN"/>
        </w:rPr>
        <w:t>专家</w:t>
      </w:r>
      <w:r>
        <w:rPr>
          <w:rFonts w:hint="eastAsia" w:ascii="宋体" w:hAnsi="宋体" w:eastAsia="宋体" w:cs="宋体"/>
          <w:bCs/>
          <w:szCs w:val="21"/>
        </w:rPr>
        <w:t>，对本项目成果及服务内容进行研究、验收、审查和评价，</w:t>
      </w:r>
      <w:r>
        <w:rPr>
          <w:rFonts w:hint="eastAsia" w:ascii="宋体" w:hAnsi="宋体" w:eastAsia="宋体" w:cs="宋体"/>
          <w:bCs/>
          <w:szCs w:val="21"/>
          <w:lang w:val="en-US" w:eastAsia="zh-CN"/>
        </w:rPr>
        <w:t>承包单位</w:t>
      </w:r>
      <w:r>
        <w:rPr>
          <w:rFonts w:hint="eastAsia" w:ascii="宋体" w:hAnsi="宋体" w:eastAsia="宋体" w:cs="宋体"/>
          <w:bCs/>
          <w:szCs w:val="21"/>
        </w:rPr>
        <w:t>需进行配合。若</w:t>
      </w:r>
      <w:r>
        <w:rPr>
          <w:rFonts w:hint="eastAsia" w:ascii="宋体" w:hAnsi="宋体" w:eastAsia="宋体" w:cs="宋体"/>
          <w:bCs/>
          <w:szCs w:val="21"/>
          <w:lang w:val="en-US" w:eastAsia="zh-CN"/>
        </w:rPr>
        <w:t>承包单位</w:t>
      </w:r>
      <w:r>
        <w:rPr>
          <w:rFonts w:hint="eastAsia" w:ascii="宋体" w:hAnsi="宋体" w:eastAsia="宋体" w:cs="宋体"/>
          <w:bCs/>
          <w:szCs w:val="21"/>
        </w:rPr>
        <w:t>提供的成果和服务不符合采购文件和合同规定的，采购人有权拒收。递交的</w:t>
      </w:r>
      <w:r>
        <w:rPr>
          <w:rFonts w:hint="eastAsia" w:ascii="宋体" w:hAnsi="宋体" w:eastAsia="宋体" w:cs="宋体"/>
          <w:bCs/>
          <w:szCs w:val="21"/>
          <w:lang w:val="en-US" w:eastAsia="zh-CN"/>
        </w:rPr>
        <w:t>探测、评估、</w:t>
      </w:r>
      <w:r>
        <w:rPr>
          <w:rFonts w:hint="eastAsia" w:ascii="宋体" w:hAnsi="宋体" w:eastAsia="宋体" w:cs="宋体"/>
          <w:bCs/>
          <w:szCs w:val="21"/>
        </w:rPr>
        <w:t>检测成果文件应通过采购人组织的</w:t>
      </w:r>
      <w:r>
        <w:rPr>
          <w:rFonts w:hint="eastAsia" w:ascii="宋体" w:hAnsi="宋体" w:eastAsia="宋体" w:cs="宋体"/>
          <w:bCs/>
          <w:szCs w:val="21"/>
          <w:lang w:val="en-US" w:eastAsia="zh-CN"/>
        </w:rPr>
        <w:t>专家</w:t>
      </w:r>
      <w:r>
        <w:rPr>
          <w:rFonts w:hint="eastAsia" w:ascii="宋体" w:hAnsi="宋体" w:eastAsia="宋体" w:cs="宋体"/>
          <w:bCs/>
          <w:szCs w:val="21"/>
        </w:rPr>
        <w:t>的审查</w:t>
      </w:r>
      <w:r>
        <w:rPr>
          <w:rFonts w:hint="eastAsia" w:ascii="宋体" w:hAnsi="宋体" w:eastAsia="宋体" w:cs="宋体"/>
          <w:bCs/>
          <w:szCs w:val="21"/>
          <w:lang w:eastAsia="zh-CN"/>
        </w:rPr>
        <w:t>，</w:t>
      </w:r>
      <w:r>
        <w:rPr>
          <w:rFonts w:hint="eastAsia" w:ascii="宋体" w:hAnsi="宋体" w:eastAsia="宋体" w:cs="宋体"/>
          <w:bCs/>
          <w:szCs w:val="21"/>
          <w:lang w:val="en-US" w:eastAsia="zh-CN"/>
        </w:rPr>
        <w:t>专家费含在投标报价中。</w:t>
      </w:r>
    </w:p>
    <w:p w14:paraId="7BF1B870">
      <w:pPr>
        <w:spacing w:line="360" w:lineRule="auto"/>
        <w:ind w:left="422"/>
        <w:outlineLvl w:val="1"/>
        <w:rPr>
          <w:rFonts w:ascii="宋体" w:hAnsi="宋体" w:eastAsia="宋体"/>
          <w:b/>
          <w:szCs w:val="21"/>
        </w:rPr>
      </w:pPr>
      <w:r>
        <w:rPr>
          <w:rFonts w:hint="eastAsia" w:ascii="宋体" w:hAnsi="宋体" w:eastAsia="宋体"/>
          <w:b/>
          <w:szCs w:val="21"/>
          <w:lang w:val="en-US" w:eastAsia="zh-CN"/>
        </w:rPr>
        <w:t>十</w:t>
      </w:r>
      <w:r>
        <w:rPr>
          <w:rFonts w:hint="eastAsia" w:ascii="宋体" w:hAnsi="宋体" w:eastAsia="宋体"/>
          <w:b/>
          <w:szCs w:val="21"/>
        </w:rPr>
        <w:t>、为保障项目平稳实施，甲方对项目保险作出如下要求：</w:t>
      </w:r>
    </w:p>
    <w:p w14:paraId="65710FBB">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1、投保</w:t>
      </w:r>
    </w:p>
    <w:p w14:paraId="083FD34A">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乙方应投保团体意外险+公众责任险或建筑/安装工程一切险+建筑工程意外伤害险。</w:t>
      </w:r>
    </w:p>
    <w:p w14:paraId="6B7F3107">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2、保险金额/赔偿限额</w:t>
      </w:r>
    </w:p>
    <w:p w14:paraId="71D38373">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①第三者人身伤害及财产损失，每次事故赔偿额度不得低于300万，不得设立每人赔偿限额。</w:t>
      </w:r>
    </w:p>
    <w:p w14:paraId="4C994EDB">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②项目人员，每人赔偿限额不得低于150万。</w:t>
      </w:r>
    </w:p>
    <w:p w14:paraId="234A3305">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③工程财产损失保险金额不得低于工程造价金额。</w:t>
      </w:r>
    </w:p>
    <w:p w14:paraId="1E41F0A4">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3、其他</w:t>
      </w:r>
    </w:p>
    <w:p w14:paraId="23D586D8">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①乙方应当在中标通知书发出后，合同开始履行前完成项目保险的投保，乙方应选择具有良好信誉和资质的保险公司进行投保，保险期应覆盖整个项目周期，按年度购买的，后续服务期，乙方应当提前一个月完成下一年度的投保。</w:t>
      </w:r>
    </w:p>
    <w:p w14:paraId="055B8D42">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②乙方投保建筑/安装工程一切险、公众责任险时应同时将甲方及相关方作为共同被保险人。</w:t>
      </w:r>
    </w:p>
    <w:p w14:paraId="608CC2A0">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③乙方应及时向甲方提交所购买保险的凭证、保险单复印件，保险单内容必须与甲方要求保持一致。</w:t>
      </w:r>
    </w:p>
    <w:p w14:paraId="08EA626E">
      <w:pPr>
        <w:spacing w:line="360" w:lineRule="auto"/>
        <w:ind w:firstLine="422" w:firstLineChars="200"/>
        <w:outlineLvl w:val="1"/>
        <w:rPr>
          <w:rFonts w:ascii="宋体" w:hAnsi="宋体" w:eastAsia="宋体" w:cs="宋体"/>
          <w:b/>
          <w:szCs w:val="21"/>
        </w:rPr>
      </w:pPr>
      <w:r>
        <w:rPr>
          <w:rFonts w:hint="eastAsia" w:ascii="宋体" w:hAnsi="宋体" w:eastAsia="宋体" w:cs="宋体"/>
          <w:b/>
          <w:szCs w:val="21"/>
          <w:lang w:val="en-US" w:eastAsia="zh-CN"/>
        </w:rPr>
        <w:t>十一</w:t>
      </w:r>
      <w:r>
        <w:rPr>
          <w:rFonts w:hint="eastAsia" w:ascii="宋体" w:hAnsi="宋体" w:eastAsia="宋体" w:cs="宋体"/>
          <w:b/>
          <w:szCs w:val="21"/>
        </w:rPr>
        <w:t>、对中标人的要求</w:t>
      </w:r>
    </w:p>
    <w:p w14:paraId="2304F2BB">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1、中标人应在园区设立项目部，项目人员应在园区固定办公，相关人员和设备应由项目部统一管理。</w:t>
      </w:r>
    </w:p>
    <w:p w14:paraId="2B72B7D9">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2、中标人承诺投入车辆（设备）均为该项目专用车辆（设备），原则上不得更换。承包人如需更换本项目专用车辆（设备），应向采购方提出书面申请，经采购方批准后方可进行更换，所更换车辆（设备）的型号、参数、性能等不得低于其投标文件承诺。车辆（设备）不得擅自用于其他项目，如有违反将根据养护手册相关处罚条款进行处罚。</w:t>
      </w:r>
    </w:p>
    <w:p w14:paraId="4DF14B9F">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3、中标人原则上不得更换项目经理部人员，如需更换，应向采购方提出书面申请，经采购方批准后方可进行更换，所更换人员资格不得低于其投标文件承诺。</w:t>
      </w:r>
    </w:p>
    <w:p w14:paraId="495081F9">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4、</w:t>
      </w:r>
      <w:r>
        <w:rPr>
          <w:rFonts w:hint="eastAsia" w:ascii="宋体" w:hAnsi="宋体" w:eastAsia="宋体" w:cs="宋体"/>
          <w:bCs/>
          <w:szCs w:val="21"/>
          <w:lang w:val="en-US" w:eastAsia="zh-CN"/>
        </w:rPr>
        <w:t>作业</w:t>
      </w:r>
      <w:r>
        <w:rPr>
          <w:rFonts w:hint="eastAsia" w:ascii="宋体" w:hAnsi="宋体" w:eastAsia="宋体" w:cs="宋体"/>
          <w:bCs/>
          <w:szCs w:val="21"/>
        </w:rPr>
        <w:t>期间必须保持路面畅通，不得擅自中断交通，封闭、占用道路设施需经相关交通管理部门同意并自行办理相关手续，需要交纳的相应费用由投标人自行考虑并计入投标报价中，发包人仅负责配合协调工作。承包商须负责</w:t>
      </w:r>
      <w:r>
        <w:rPr>
          <w:rFonts w:hint="eastAsia" w:ascii="宋体" w:hAnsi="宋体" w:eastAsia="宋体" w:cs="宋体"/>
          <w:bCs/>
          <w:szCs w:val="21"/>
          <w:lang w:val="en-US" w:eastAsia="zh-CN"/>
        </w:rPr>
        <w:t>作业</w:t>
      </w:r>
      <w:r>
        <w:rPr>
          <w:rFonts w:hint="eastAsia" w:ascii="宋体" w:hAnsi="宋体" w:eastAsia="宋体" w:cs="宋体"/>
          <w:bCs/>
          <w:szCs w:val="21"/>
        </w:rPr>
        <w:t>期间的道路保洁工作。要求承包商充分考虑交通部门的协调、管制等相关费用，确保探测工作顺利进行。</w:t>
      </w:r>
    </w:p>
    <w:p w14:paraId="7A634634">
      <w:pPr>
        <w:spacing w:line="360" w:lineRule="auto"/>
        <w:ind w:firstLine="420" w:firstLineChars="200"/>
        <w:outlineLvl w:val="1"/>
        <w:rPr>
          <w:rFonts w:ascii="宋体" w:hAnsi="宋体" w:eastAsia="宋体" w:cs="宋体"/>
          <w:bCs/>
          <w:szCs w:val="21"/>
        </w:rPr>
      </w:pPr>
      <w:r>
        <w:rPr>
          <w:rFonts w:hint="eastAsia" w:ascii="宋体" w:hAnsi="宋体" w:eastAsia="宋体" w:cs="宋体"/>
          <w:bCs/>
          <w:szCs w:val="21"/>
        </w:rPr>
        <w:t>5、为保证通行路面的交通安全，承包商需在整个</w:t>
      </w:r>
      <w:r>
        <w:rPr>
          <w:rFonts w:hint="eastAsia" w:ascii="宋体" w:hAnsi="宋体" w:eastAsia="宋体" w:cs="宋体"/>
          <w:bCs/>
          <w:szCs w:val="21"/>
          <w:lang w:val="en-US" w:eastAsia="zh-CN"/>
        </w:rPr>
        <w:t>作业</w:t>
      </w:r>
      <w:r>
        <w:rPr>
          <w:rFonts w:hint="eastAsia" w:ascii="宋体" w:hAnsi="宋体" w:eastAsia="宋体" w:cs="宋体"/>
          <w:bCs/>
          <w:szCs w:val="21"/>
        </w:rPr>
        <w:t>期间在路面端头或两侧或周边设置必要的、统一的交通指示、指引、警告标志；</w:t>
      </w:r>
      <w:r>
        <w:rPr>
          <w:rFonts w:hint="eastAsia" w:ascii="宋体" w:hAnsi="宋体" w:eastAsia="宋体" w:cs="宋体"/>
          <w:bCs/>
          <w:szCs w:val="21"/>
          <w:lang w:val="en-US" w:eastAsia="zh-CN"/>
        </w:rPr>
        <w:t>作业</w:t>
      </w:r>
      <w:r>
        <w:rPr>
          <w:rFonts w:hint="eastAsia" w:ascii="宋体" w:hAnsi="宋体" w:eastAsia="宋体" w:cs="宋体"/>
          <w:bCs/>
          <w:szCs w:val="21"/>
        </w:rPr>
        <w:t>过程中应安排专人负责交通、保洁工作。承包人必须加强</w:t>
      </w:r>
      <w:r>
        <w:rPr>
          <w:rFonts w:hint="eastAsia" w:ascii="宋体" w:hAnsi="宋体" w:eastAsia="宋体" w:cs="宋体"/>
          <w:bCs/>
          <w:szCs w:val="21"/>
          <w:lang w:val="en-US" w:eastAsia="zh-CN"/>
        </w:rPr>
        <w:t>作业</w:t>
      </w:r>
      <w:r>
        <w:rPr>
          <w:rFonts w:hint="eastAsia" w:ascii="宋体" w:hAnsi="宋体" w:eastAsia="宋体" w:cs="宋体"/>
          <w:bCs/>
          <w:szCs w:val="21"/>
        </w:rPr>
        <w:t>区域内交通组织管理，</w:t>
      </w:r>
      <w:r>
        <w:rPr>
          <w:rFonts w:hint="eastAsia" w:ascii="宋体" w:hAnsi="宋体" w:eastAsia="宋体" w:cs="宋体"/>
          <w:bCs/>
          <w:szCs w:val="21"/>
          <w:lang w:val="en-US" w:eastAsia="zh-CN"/>
        </w:rPr>
        <w:t>作业</w:t>
      </w:r>
      <w:r>
        <w:rPr>
          <w:rFonts w:hint="eastAsia" w:ascii="宋体" w:hAnsi="宋体" w:eastAsia="宋体" w:cs="宋体"/>
          <w:bCs/>
          <w:szCs w:val="21"/>
        </w:rPr>
        <w:t>区域内发生交通安全事故由承包人负责处理并承担相应法律责任（如有）。</w:t>
      </w:r>
    </w:p>
    <w:p w14:paraId="62CB522C">
      <w:pPr>
        <w:spacing w:line="360" w:lineRule="auto"/>
        <w:ind w:firstLine="420" w:firstLineChars="200"/>
        <w:outlineLvl w:val="1"/>
        <w:rPr>
          <w:rFonts w:hint="eastAsia" w:ascii="宋体" w:hAnsi="宋体" w:eastAsia="宋体" w:cs="宋体"/>
          <w:bCs/>
          <w:szCs w:val="21"/>
        </w:rPr>
      </w:pPr>
      <w:r>
        <w:rPr>
          <w:rFonts w:hint="eastAsia" w:ascii="宋体" w:hAnsi="宋体" w:eastAsia="宋体" w:cs="宋体"/>
          <w:bCs/>
          <w:szCs w:val="21"/>
          <w:lang w:val="en-US" w:eastAsia="zh-CN"/>
        </w:rPr>
        <w:t>6</w:t>
      </w:r>
      <w:r>
        <w:rPr>
          <w:rFonts w:hint="eastAsia" w:ascii="宋体" w:hAnsi="宋体" w:eastAsia="宋体" w:cs="宋体"/>
          <w:bCs/>
          <w:szCs w:val="21"/>
        </w:rPr>
        <w:t>、对于应急突发探测任务，承包商必须在2小时以内响应并且到达甲方指定位置，响应不及时</w:t>
      </w:r>
      <w:r>
        <w:rPr>
          <w:rFonts w:hint="eastAsia" w:ascii="宋体" w:hAnsi="宋体" w:eastAsia="宋体" w:cs="宋体"/>
          <w:bCs/>
          <w:szCs w:val="21"/>
          <w:lang w:val="en-US" w:eastAsia="zh-CN"/>
        </w:rPr>
        <w:t>按考核表相关条款进行</w:t>
      </w:r>
      <w:r>
        <w:rPr>
          <w:rFonts w:hint="eastAsia" w:ascii="宋体" w:hAnsi="宋体" w:eastAsia="宋体" w:cs="宋体"/>
          <w:bCs/>
          <w:szCs w:val="21"/>
        </w:rPr>
        <w:t>扣款。</w:t>
      </w:r>
    </w:p>
    <w:p w14:paraId="030213A1">
      <w:pPr>
        <w:spacing w:line="360" w:lineRule="auto"/>
        <w:ind w:firstLine="420" w:firstLineChars="200"/>
        <w:outlineLvl w:val="1"/>
        <w:rPr>
          <w:rFonts w:hint="eastAsia" w:ascii="宋体" w:hAnsi="宋体" w:eastAsia="宋体" w:cs="宋体"/>
          <w:bCs/>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bCs/>
          <w:szCs w:val="21"/>
          <w:lang w:val="en-US" w:eastAsia="zh-CN"/>
        </w:rPr>
        <w:t>7</w:t>
      </w:r>
      <w:r>
        <w:rPr>
          <w:rFonts w:hint="eastAsia" w:ascii="宋体" w:hAnsi="宋体" w:eastAsia="宋体" w:cs="宋体"/>
          <w:bCs/>
          <w:szCs w:val="21"/>
        </w:rPr>
        <w:t>、实事求是、透明公正地评价项目完成质量，由管理工程师根据合同约定及《苏州工业园区市政服务集团有限公司市政基础设施养护手册》内相关处罚条款进行相应考核，考核结果定期汇总。</w:t>
      </w:r>
    </w:p>
    <w:tbl>
      <w:tblPr>
        <w:tblStyle w:val="6"/>
        <w:tblW w:w="14174" w:type="dxa"/>
        <w:tblInd w:w="0" w:type="dxa"/>
        <w:tblLayout w:type="fixed"/>
        <w:tblCellMar>
          <w:top w:w="0" w:type="dxa"/>
          <w:left w:w="108" w:type="dxa"/>
          <w:bottom w:w="0" w:type="dxa"/>
          <w:right w:w="108" w:type="dxa"/>
        </w:tblCellMar>
      </w:tblPr>
      <w:tblGrid>
        <w:gridCol w:w="597"/>
        <w:gridCol w:w="1639"/>
        <w:gridCol w:w="5585"/>
        <w:gridCol w:w="2772"/>
        <w:gridCol w:w="1886"/>
        <w:gridCol w:w="834"/>
        <w:gridCol w:w="861"/>
      </w:tblGrid>
      <w:tr w14:paraId="577B5187">
        <w:tblPrEx>
          <w:tblCellMar>
            <w:top w:w="0" w:type="dxa"/>
            <w:left w:w="108" w:type="dxa"/>
            <w:bottom w:w="0" w:type="dxa"/>
            <w:right w:w="108" w:type="dxa"/>
          </w:tblCellMar>
        </w:tblPrEx>
        <w:tc>
          <w:tcPr>
            <w:tcW w:w="14174" w:type="dxa"/>
            <w:gridSpan w:val="7"/>
            <w:tcBorders>
              <w:top w:val="nil"/>
              <w:left w:val="nil"/>
              <w:bottom w:val="nil"/>
              <w:right w:val="nil"/>
            </w:tcBorders>
            <w:noWrap/>
            <w:vAlign w:val="center"/>
          </w:tcPr>
          <w:p w14:paraId="7F36E344">
            <w:pPr>
              <w:pStyle w:val="2"/>
              <w:pageBreakBefore/>
              <w:jc w:val="center"/>
              <w:rPr>
                <w:rFonts w:ascii="Arial" w:hAnsi="Arial" w:cs="Arial"/>
                <w:color w:val="000000"/>
                <w:sz w:val="36"/>
                <w:szCs w:val="36"/>
              </w:rPr>
            </w:pPr>
            <w:r>
              <w:rPr>
                <w:rStyle w:val="14"/>
                <w:rFonts w:hint="eastAsia"/>
                <w:b/>
                <w:bCs/>
                <w:color w:val="auto"/>
                <w:sz w:val="32"/>
                <w:szCs w:val="32"/>
                <w:lang w:bidi="ar-SA"/>
              </w:rPr>
              <w:t>城维项目月度考核表（市政养护类）</w:t>
            </w:r>
          </w:p>
        </w:tc>
      </w:tr>
      <w:tr w14:paraId="4EE6CDC1">
        <w:tblPrEx>
          <w:tblCellMar>
            <w:top w:w="0" w:type="dxa"/>
            <w:left w:w="108" w:type="dxa"/>
            <w:bottom w:w="0" w:type="dxa"/>
            <w:right w:w="108" w:type="dxa"/>
          </w:tblCellMar>
        </w:tblPrEx>
        <w:tc>
          <w:tcPr>
            <w:tcW w:w="14174" w:type="dxa"/>
            <w:gridSpan w:val="7"/>
            <w:tcBorders>
              <w:top w:val="nil"/>
              <w:left w:val="nil"/>
              <w:bottom w:val="nil"/>
              <w:right w:val="nil"/>
            </w:tcBorders>
            <w:noWrap/>
            <w:vAlign w:val="center"/>
          </w:tcPr>
          <w:p w14:paraId="32E66AF2">
            <w:pPr>
              <w:widowControl/>
              <w:snapToGrid w:val="0"/>
              <w:jc w:val="left"/>
              <w:textAlignment w:val="center"/>
              <w:rPr>
                <w:rFonts w:hint="eastAsia" w:ascii="宋体" w:hAnsi="宋体" w:eastAsia="Microsoft YaHei ΢ȭхڢ  ڌ墠 ˎ̥"/>
                <w:color w:val="000000"/>
                <w:sz w:val="21"/>
                <w:szCs w:val="21"/>
                <w:lang w:val="en-US" w:eastAsia="zh-CN"/>
              </w:rPr>
            </w:pPr>
            <w:r>
              <w:rPr>
                <w:rStyle w:val="15"/>
                <w:lang w:bidi="ar"/>
              </w:rPr>
              <w:t>合同编号：</w:t>
            </w:r>
            <w:r>
              <w:rPr>
                <w:rStyle w:val="16"/>
                <w:rFonts w:eastAsia="宋体"/>
                <w:lang w:bidi="ar"/>
              </w:rPr>
              <w:t xml:space="preserve">                                                                                </w:t>
            </w:r>
            <w:r>
              <w:rPr>
                <w:rStyle w:val="15"/>
                <w:lang w:bidi="ar"/>
              </w:rPr>
              <w:t>项目名称：</w:t>
            </w:r>
            <w:r>
              <w:rPr>
                <w:rStyle w:val="15"/>
                <w:rFonts w:hint="eastAsia"/>
                <w:lang w:val="en-US" w:eastAsia="zh-CN" w:bidi="ar"/>
              </w:rPr>
              <w:t xml:space="preserve"> </w:t>
            </w:r>
          </w:p>
        </w:tc>
      </w:tr>
      <w:tr w14:paraId="163886CE">
        <w:tblPrEx>
          <w:tblCellMar>
            <w:top w:w="0" w:type="dxa"/>
            <w:left w:w="108" w:type="dxa"/>
            <w:bottom w:w="0" w:type="dxa"/>
            <w:right w:w="108" w:type="dxa"/>
          </w:tblCellMar>
        </w:tblPrEx>
        <w:tc>
          <w:tcPr>
            <w:tcW w:w="14174" w:type="dxa"/>
            <w:gridSpan w:val="7"/>
            <w:tcBorders>
              <w:top w:val="nil"/>
              <w:left w:val="nil"/>
              <w:bottom w:val="nil"/>
              <w:right w:val="nil"/>
            </w:tcBorders>
            <w:noWrap/>
            <w:vAlign w:val="center"/>
          </w:tcPr>
          <w:p w14:paraId="1DBF8257">
            <w:pPr>
              <w:widowControl/>
              <w:snapToGrid w:val="0"/>
              <w:jc w:val="left"/>
              <w:textAlignment w:val="center"/>
              <w:rPr>
                <w:rFonts w:hint="eastAsia" w:ascii="宋体" w:hAnsi="宋体" w:eastAsia="宋体"/>
                <w:color w:val="000000"/>
                <w:sz w:val="21"/>
                <w:szCs w:val="21"/>
              </w:rPr>
            </w:pPr>
            <w:r>
              <w:rPr>
                <w:rStyle w:val="15"/>
                <w:lang w:bidi="ar"/>
              </w:rPr>
              <w:t>被考核企业：</w:t>
            </w:r>
            <w:r>
              <w:rPr>
                <w:rStyle w:val="16"/>
                <w:rFonts w:eastAsia="宋体"/>
                <w:lang w:bidi="ar"/>
              </w:rPr>
              <w:t xml:space="preserve">                                                                              </w:t>
            </w:r>
            <w:r>
              <w:rPr>
                <w:rStyle w:val="15"/>
                <w:lang w:bidi="ar"/>
              </w:rPr>
              <w:t>考核日期：</w:t>
            </w:r>
          </w:p>
        </w:tc>
      </w:tr>
      <w:tr w14:paraId="7A03B9B6">
        <w:tblPrEx>
          <w:tblCellMar>
            <w:top w:w="0" w:type="dxa"/>
            <w:left w:w="108" w:type="dxa"/>
            <w:bottom w:w="0" w:type="dxa"/>
            <w:right w:w="108" w:type="dxa"/>
          </w:tblCellMar>
        </w:tblPrEx>
        <w:trPr>
          <w:trHeight w:val="544" w:hRule="atLeast"/>
        </w:trPr>
        <w:tc>
          <w:tcPr>
            <w:tcW w:w="597" w:type="dxa"/>
            <w:tcBorders>
              <w:top w:val="single" w:color="000000" w:sz="4" w:space="0"/>
              <w:left w:val="single" w:color="000000" w:sz="4" w:space="0"/>
              <w:bottom w:val="single" w:color="000000" w:sz="4" w:space="0"/>
              <w:right w:val="single" w:color="000000" w:sz="4" w:space="0"/>
            </w:tcBorders>
            <w:noWrap w:val="0"/>
            <w:vAlign w:val="center"/>
          </w:tcPr>
          <w:p w14:paraId="23CAF676">
            <w:pPr>
              <w:widowControl/>
              <w:snapToGrid w:val="0"/>
              <w:jc w:val="center"/>
              <w:textAlignment w:val="center"/>
              <w:rPr>
                <w:rFonts w:ascii="Arial" w:hAnsi="Arial" w:eastAsia="宋体" w:cs="Arial"/>
                <w:b/>
                <w:bCs/>
                <w:color w:val="000000"/>
                <w:sz w:val="21"/>
                <w:szCs w:val="21"/>
              </w:rPr>
            </w:pPr>
            <w:r>
              <w:rPr>
                <w:rStyle w:val="17"/>
                <w:rFonts w:hAnsi="Arial"/>
                <w:lang w:bidi="ar"/>
              </w:rPr>
              <w:t>序号</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5D07ACA5">
            <w:pPr>
              <w:widowControl/>
              <w:snapToGrid w:val="0"/>
              <w:jc w:val="center"/>
              <w:textAlignment w:val="center"/>
              <w:rPr>
                <w:rFonts w:ascii="Arial" w:hAnsi="Arial" w:eastAsia="宋体" w:cs="Arial"/>
                <w:b/>
                <w:bCs/>
                <w:color w:val="000000"/>
                <w:sz w:val="21"/>
                <w:szCs w:val="21"/>
              </w:rPr>
            </w:pPr>
            <w:r>
              <w:rPr>
                <w:rStyle w:val="17"/>
                <w:rFonts w:hAnsi="Arial"/>
                <w:lang w:bidi="ar"/>
              </w:rPr>
              <w:t>考核项目</w:t>
            </w: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05A2A42A">
            <w:pPr>
              <w:widowControl/>
              <w:snapToGrid w:val="0"/>
              <w:jc w:val="center"/>
              <w:textAlignment w:val="center"/>
              <w:rPr>
                <w:rFonts w:ascii="Arial" w:hAnsi="Arial" w:eastAsia="宋体" w:cs="Arial"/>
                <w:b/>
                <w:bCs/>
                <w:color w:val="000000"/>
                <w:sz w:val="21"/>
                <w:szCs w:val="21"/>
              </w:rPr>
            </w:pPr>
            <w:r>
              <w:rPr>
                <w:rStyle w:val="17"/>
                <w:rFonts w:hAnsi="Arial"/>
                <w:lang w:bidi="ar"/>
              </w:rPr>
              <w:t>考核内容</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4E60637E">
            <w:pPr>
              <w:widowControl/>
              <w:snapToGrid w:val="0"/>
              <w:jc w:val="center"/>
              <w:textAlignment w:val="center"/>
              <w:rPr>
                <w:rFonts w:ascii="Arial" w:hAnsi="Arial" w:eastAsia="宋体" w:cs="Arial"/>
                <w:b/>
                <w:bCs/>
                <w:color w:val="000000"/>
                <w:sz w:val="21"/>
                <w:szCs w:val="21"/>
              </w:rPr>
            </w:pPr>
            <w:r>
              <w:rPr>
                <w:rStyle w:val="17"/>
                <w:rFonts w:hAnsi="Arial"/>
                <w:lang w:bidi="ar"/>
              </w:rPr>
              <w:t>扣款标准</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44DA34B0">
            <w:pPr>
              <w:widowControl/>
              <w:snapToGrid w:val="0"/>
              <w:jc w:val="center"/>
              <w:textAlignment w:val="center"/>
              <w:rPr>
                <w:rFonts w:ascii="Arial" w:hAnsi="Arial" w:eastAsia="宋体" w:cs="Arial"/>
                <w:b/>
                <w:bCs/>
                <w:color w:val="000000"/>
                <w:sz w:val="21"/>
                <w:szCs w:val="21"/>
              </w:rPr>
            </w:pPr>
            <w:r>
              <w:rPr>
                <w:rStyle w:val="17"/>
                <w:rFonts w:hAnsi="Arial"/>
                <w:lang w:bidi="ar"/>
              </w:rPr>
              <w:t>扣分标准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49EDC960">
            <w:pPr>
              <w:widowControl/>
              <w:snapToGrid w:val="0"/>
              <w:jc w:val="center"/>
              <w:textAlignment w:val="center"/>
              <w:rPr>
                <w:rFonts w:ascii="Arial" w:hAnsi="Arial" w:eastAsia="宋体" w:cs="Arial"/>
                <w:b/>
                <w:bCs/>
                <w:color w:val="000000"/>
                <w:sz w:val="21"/>
                <w:szCs w:val="21"/>
              </w:rPr>
            </w:pPr>
            <w:r>
              <w:rPr>
                <w:rStyle w:val="17"/>
                <w:rFonts w:hAnsi="Arial"/>
                <w:lang w:bidi="ar"/>
              </w:rPr>
              <w:t>扣款情况</w:t>
            </w:r>
          </w:p>
        </w:tc>
        <w:tc>
          <w:tcPr>
            <w:tcW w:w="861" w:type="dxa"/>
            <w:tcBorders>
              <w:top w:val="single" w:color="000000" w:sz="4" w:space="0"/>
              <w:left w:val="single" w:color="000000" w:sz="4" w:space="0"/>
              <w:bottom w:val="single" w:color="000000" w:sz="4" w:space="0"/>
              <w:right w:val="single" w:color="000000" w:sz="4" w:space="0"/>
            </w:tcBorders>
            <w:noWrap w:val="0"/>
            <w:vAlign w:val="center"/>
          </w:tcPr>
          <w:p w14:paraId="188CAB80">
            <w:pPr>
              <w:widowControl/>
              <w:snapToGrid w:val="0"/>
              <w:jc w:val="center"/>
              <w:textAlignment w:val="center"/>
              <w:rPr>
                <w:rFonts w:ascii="Arial" w:hAnsi="Arial" w:eastAsia="宋体" w:cs="Arial"/>
                <w:b/>
                <w:bCs/>
                <w:color w:val="000000"/>
                <w:sz w:val="21"/>
                <w:szCs w:val="21"/>
              </w:rPr>
            </w:pPr>
            <w:r>
              <w:rPr>
                <w:rStyle w:val="17"/>
                <w:rFonts w:hAnsi="Arial"/>
                <w:lang w:bidi="ar"/>
              </w:rPr>
              <w:t>考核得分</w:t>
            </w:r>
          </w:p>
        </w:tc>
      </w:tr>
      <w:tr w14:paraId="4D01F04D">
        <w:tblPrEx>
          <w:tblCellMar>
            <w:top w:w="0" w:type="dxa"/>
            <w:left w:w="108" w:type="dxa"/>
            <w:bottom w:w="0" w:type="dxa"/>
            <w:right w:w="108" w:type="dxa"/>
          </w:tblCellMar>
        </w:tblPrEx>
        <w:trPr>
          <w:trHeight w:val="567" w:hRule="atLeast"/>
        </w:trPr>
        <w:tc>
          <w:tcPr>
            <w:tcW w:w="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435FF44B">
            <w:pPr>
              <w:widowControl/>
              <w:snapToGrid w:val="0"/>
              <w:jc w:val="center"/>
              <w:textAlignment w:val="center"/>
              <w:rPr>
                <w:rFonts w:ascii="Arial" w:hAnsi="Arial" w:eastAsia="宋体" w:cs="Arial"/>
                <w:color w:val="000000"/>
                <w:sz w:val="21"/>
                <w:szCs w:val="21"/>
              </w:rPr>
            </w:pPr>
            <w:r>
              <w:rPr>
                <w:rFonts w:ascii="Arial" w:hAnsi="Arial" w:eastAsia="宋体" w:cs="Arial"/>
                <w:color w:val="000000"/>
                <w:sz w:val="21"/>
                <w:szCs w:val="21"/>
                <w:lang w:bidi="ar"/>
              </w:rPr>
              <w:t>1</w:t>
            </w:r>
          </w:p>
        </w:tc>
        <w:tc>
          <w:tcPr>
            <w:tcW w:w="1639" w:type="dxa"/>
            <w:vMerge w:val="restart"/>
            <w:tcBorders>
              <w:top w:val="single" w:color="000000" w:sz="4" w:space="0"/>
              <w:left w:val="single" w:color="000000" w:sz="4" w:space="0"/>
              <w:bottom w:val="single" w:color="000000" w:sz="4" w:space="0"/>
              <w:right w:val="single" w:color="000000" w:sz="4" w:space="0"/>
            </w:tcBorders>
            <w:noWrap w:val="0"/>
            <w:vAlign w:val="center"/>
          </w:tcPr>
          <w:p w14:paraId="3972EEA5">
            <w:pPr>
              <w:widowControl/>
              <w:snapToGrid w:val="0"/>
              <w:jc w:val="center"/>
              <w:textAlignment w:val="center"/>
              <w:rPr>
                <w:rFonts w:ascii="仿宋_GB2312" w:hAnsi="宋体" w:eastAsia="仿宋_GB2312" w:cs="仿宋_GB2312"/>
                <w:color w:val="000000"/>
                <w:sz w:val="21"/>
                <w:szCs w:val="21"/>
              </w:rPr>
            </w:pPr>
            <w:r>
              <w:rPr>
                <w:rStyle w:val="18"/>
                <w:rFonts w:hint="default" w:hAnsi="宋体"/>
                <w:lang w:bidi="ar"/>
              </w:rPr>
              <w:t>人员管理（</w:t>
            </w:r>
            <w:r>
              <w:rPr>
                <w:rStyle w:val="16"/>
                <w:rFonts w:eastAsia="仿宋_GB2312"/>
                <w:lang w:bidi="ar"/>
              </w:rPr>
              <w:t>10</w:t>
            </w:r>
            <w:r>
              <w:rPr>
                <w:rStyle w:val="15"/>
                <w:lang w:bidi="ar"/>
              </w:rPr>
              <w:t>分</w:t>
            </w:r>
            <w:r>
              <w:rPr>
                <w:rStyle w:val="18"/>
                <w:rFonts w:hint="default" w:hAnsi="宋体"/>
                <w:lang w:bidi="ar"/>
              </w:rPr>
              <w:t>）</w:t>
            </w: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331714E3">
            <w:pPr>
              <w:widowControl/>
              <w:snapToGrid w:val="0"/>
              <w:textAlignment w:val="center"/>
              <w:rPr>
                <w:rFonts w:ascii="仿宋_GB2312" w:hAnsi="宋体" w:eastAsia="仿宋_GB2312" w:cs="仿宋_GB2312"/>
                <w:color w:val="000000"/>
                <w:sz w:val="21"/>
                <w:szCs w:val="21"/>
              </w:rPr>
            </w:pPr>
            <w:r>
              <w:rPr>
                <w:rFonts w:ascii="仿宋_GB2312" w:hAnsi="宋体" w:eastAsia="仿宋_GB2312" w:cs="仿宋_GB2312"/>
                <w:color w:val="000000"/>
                <w:sz w:val="21"/>
                <w:szCs w:val="21"/>
                <w:lang w:bidi="ar"/>
              </w:rPr>
              <w:t>（</w:t>
            </w:r>
            <w:r>
              <w:rPr>
                <w:rStyle w:val="16"/>
                <w:rFonts w:eastAsia="仿宋_GB2312"/>
                <w:lang w:bidi="ar"/>
              </w:rPr>
              <w:t>1</w:t>
            </w:r>
            <w:r>
              <w:rPr>
                <w:rStyle w:val="18"/>
                <w:rFonts w:hint="default" w:hAnsi="宋体"/>
                <w:lang w:bidi="ar"/>
              </w:rPr>
              <w:t>）项目组相关人员未经批准擅自离岗位。</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0F7C4A5F">
            <w:pPr>
              <w:widowControl/>
              <w:snapToGrid w:val="0"/>
              <w:jc w:val="center"/>
              <w:textAlignment w:val="center"/>
              <w:rPr>
                <w:rFonts w:ascii="Arial" w:hAnsi="Arial" w:eastAsia="宋体" w:cs="Arial"/>
                <w:color w:val="000000"/>
                <w:sz w:val="21"/>
                <w:szCs w:val="21"/>
              </w:rPr>
            </w:pPr>
            <w:r>
              <w:rPr>
                <w:rStyle w:val="16"/>
                <w:rFonts w:eastAsia="宋体"/>
                <w:lang w:bidi="ar"/>
              </w:rPr>
              <w:t>2000</w:t>
            </w:r>
            <w:r>
              <w:rPr>
                <w:rStyle w:val="18"/>
                <w:rFonts w:hint="default" w:hAnsi="Arial"/>
                <w:lang w:bidi="ar"/>
              </w:rPr>
              <w:t>元</w:t>
            </w:r>
            <w:r>
              <w:rPr>
                <w:rStyle w:val="16"/>
                <w:rFonts w:eastAsia="宋体"/>
                <w:lang w:bidi="ar"/>
              </w:rPr>
              <w:t>/</w:t>
            </w:r>
            <w:r>
              <w:rPr>
                <w:rStyle w:val="18"/>
                <w:rFonts w:hint="default" w:hAnsi="Arial"/>
                <w:lang w:bidi="ar"/>
              </w:rPr>
              <w:t>人次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12B5A671">
            <w:pPr>
              <w:widowControl/>
              <w:snapToGrid w:val="0"/>
              <w:jc w:val="center"/>
              <w:textAlignment w:val="center"/>
              <w:rPr>
                <w:rFonts w:ascii="Arial" w:hAnsi="Arial" w:eastAsia="宋体" w:cs="Arial"/>
                <w:color w:val="000000"/>
                <w:sz w:val="21"/>
                <w:szCs w:val="21"/>
              </w:rPr>
            </w:pPr>
            <w:r>
              <w:rPr>
                <w:rStyle w:val="18"/>
                <w:rFonts w:hint="default" w:hAnsi="Arial"/>
                <w:lang w:bidi="ar"/>
              </w:rPr>
              <w:t>扣</w:t>
            </w:r>
            <w:r>
              <w:rPr>
                <w:rStyle w:val="16"/>
                <w:rFonts w:eastAsia="宋体"/>
                <w:lang w:bidi="ar"/>
              </w:rPr>
              <w:t>0.5</w:t>
            </w:r>
            <w:r>
              <w:rPr>
                <w:rStyle w:val="18"/>
                <w:rFonts w:hint="default" w:hAnsi="Arial"/>
                <w:lang w:bidi="ar"/>
              </w:rPr>
              <w:t>分</w:t>
            </w:r>
            <w:r>
              <w:rPr>
                <w:rStyle w:val="16"/>
                <w:rFonts w:eastAsia="宋体"/>
                <w:lang w:bidi="ar"/>
              </w:rPr>
              <w:t>/</w:t>
            </w:r>
            <w:r>
              <w:rPr>
                <w:rStyle w:val="18"/>
                <w:rFonts w:hint="default" w:hAnsi="Arial"/>
                <w:lang w:bidi="ar"/>
              </w:rPr>
              <w:t>人次</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11C11BAE">
            <w:pPr>
              <w:snapToGrid w:val="0"/>
              <w:jc w:val="center"/>
              <w:rPr>
                <w:rFonts w:ascii="Arial" w:hAnsi="Arial" w:eastAsia="宋体" w:cs="Arial"/>
                <w:color w:val="000000"/>
                <w:sz w:val="21"/>
                <w:szCs w:val="21"/>
              </w:rPr>
            </w:pPr>
          </w:p>
        </w:tc>
        <w:tc>
          <w:tcPr>
            <w:tcW w:w="861" w:type="dxa"/>
            <w:vMerge w:val="restart"/>
            <w:tcBorders>
              <w:top w:val="single" w:color="000000" w:sz="4" w:space="0"/>
              <w:left w:val="single" w:color="000000" w:sz="4" w:space="0"/>
              <w:bottom w:val="single" w:color="000000" w:sz="4" w:space="0"/>
              <w:right w:val="single" w:color="000000" w:sz="4" w:space="0"/>
            </w:tcBorders>
            <w:noWrap w:val="0"/>
            <w:vAlign w:val="center"/>
          </w:tcPr>
          <w:p w14:paraId="43E51FE2">
            <w:pPr>
              <w:snapToGrid w:val="0"/>
              <w:jc w:val="center"/>
              <w:rPr>
                <w:rFonts w:ascii="Arial" w:hAnsi="Arial" w:eastAsia="宋体" w:cs="Arial"/>
                <w:color w:val="000000"/>
                <w:sz w:val="21"/>
                <w:szCs w:val="21"/>
              </w:rPr>
            </w:pPr>
          </w:p>
        </w:tc>
      </w:tr>
      <w:tr w14:paraId="0ADFF373">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9F12B6">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312171">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56FDFD57">
            <w:pPr>
              <w:widowControl/>
              <w:snapToGrid w:val="0"/>
              <w:spacing w:line="240" w:lineRule="auto"/>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2</w:t>
            </w:r>
            <w:r>
              <w:rPr>
                <w:rStyle w:val="18"/>
                <w:rFonts w:hint="default" w:hAnsi="Arial"/>
                <w:lang w:bidi="ar"/>
              </w:rPr>
              <w:t>）项目组相关人员出勤未满足招标文件要求。</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1035BCFA">
            <w:pPr>
              <w:widowControl/>
              <w:snapToGrid w:val="0"/>
              <w:jc w:val="center"/>
              <w:textAlignment w:val="center"/>
              <w:rPr>
                <w:rFonts w:ascii="Arial" w:hAnsi="Arial" w:eastAsia="宋体" w:cs="Arial"/>
                <w:color w:val="000000"/>
                <w:sz w:val="21"/>
                <w:szCs w:val="21"/>
              </w:rPr>
            </w:pPr>
            <w:r>
              <w:rPr>
                <w:rStyle w:val="16"/>
                <w:rFonts w:eastAsia="宋体"/>
                <w:lang w:bidi="ar"/>
              </w:rPr>
              <w:t>1000</w:t>
            </w:r>
            <w:r>
              <w:rPr>
                <w:rStyle w:val="18"/>
                <w:rFonts w:hint="default" w:hAnsi="Arial"/>
                <w:lang w:bidi="ar"/>
              </w:rPr>
              <w:t>元</w:t>
            </w:r>
            <w:r>
              <w:rPr>
                <w:rStyle w:val="16"/>
                <w:rFonts w:eastAsia="宋体"/>
                <w:lang w:bidi="ar"/>
              </w:rPr>
              <w:t>/</w:t>
            </w:r>
            <w:r>
              <w:rPr>
                <w:rStyle w:val="18"/>
                <w:rFonts w:hint="default" w:hAnsi="Arial"/>
                <w:lang w:bidi="ar"/>
              </w:rPr>
              <w:t>人次天</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0F15E1AB">
            <w:pPr>
              <w:widowControl/>
              <w:snapToGrid w:val="0"/>
              <w:jc w:val="center"/>
              <w:textAlignment w:val="center"/>
              <w:rPr>
                <w:rFonts w:ascii="Arial" w:hAnsi="Arial" w:eastAsia="宋体" w:cs="Arial"/>
                <w:color w:val="000000"/>
                <w:sz w:val="21"/>
                <w:szCs w:val="21"/>
              </w:rPr>
            </w:pPr>
            <w:r>
              <w:rPr>
                <w:rStyle w:val="18"/>
                <w:rFonts w:hint="default" w:hAnsi="Arial"/>
                <w:lang w:bidi="ar"/>
              </w:rPr>
              <w:t>扣</w:t>
            </w:r>
            <w:r>
              <w:rPr>
                <w:rStyle w:val="16"/>
                <w:rFonts w:eastAsia="宋体"/>
                <w:lang w:bidi="ar"/>
              </w:rPr>
              <w:t>0.2</w:t>
            </w:r>
            <w:r>
              <w:rPr>
                <w:rStyle w:val="18"/>
                <w:rFonts w:hint="default" w:hAnsi="Arial"/>
                <w:lang w:bidi="ar"/>
              </w:rPr>
              <w:t>分</w:t>
            </w:r>
            <w:r>
              <w:rPr>
                <w:rStyle w:val="16"/>
                <w:rFonts w:eastAsia="宋体"/>
                <w:lang w:bidi="ar"/>
              </w:rPr>
              <w:t>/</w:t>
            </w:r>
            <w:r>
              <w:rPr>
                <w:rStyle w:val="18"/>
                <w:rFonts w:hint="default" w:hAnsi="Arial"/>
                <w:lang w:bidi="ar"/>
              </w:rPr>
              <w:t>人次</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70695497">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3C4AFA">
            <w:pPr>
              <w:snapToGrid w:val="0"/>
              <w:jc w:val="center"/>
              <w:rPr>
                <w:rFonts w:ascii="Arial" w:hAnsi="Arial" w:eastAsia="宋体" w:cs="Arial"/>
                <w:color w:val="000000"/>
                <w:sz w:val="21"/>
                <w:szCs w:val="21"/>
              </w:rPr>
            </w:pPr>
          </w:p>
        </w:tc>
      </w:tr>
      <w:tr w14:paraId="70A544F9">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8A85EF">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A8B1B7">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1AC6325A">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3</w:t>
            </w:r>
            <w:r>
              <w:rPr>
                <w:rStyle w:val="18"/>
                <w:rFonts w:hint="default" w:hAnsi="Arial"/>
                <w:lang w:bidi="ar"/>
              </w:rPr>
              <w:t>）承包人更换项目组成员。</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28590480">
            <w:pPr>
              <w:widowControl/>
              <w:snapToGrid w:val="0"/>
              <w:jc w:val="center"/>
              <w:textAlignment w:val="center"/>
              <w:rPr>
                <w:rFonts w:ascii="Arial" w:hAnsi="Arial" w:eastAsia="宋体" w:cs="Arial"/>
                <w:color w:val="000000"/>
                <w:sz w:val="21"/>
                <w:szCs w:val="21"/>
              </w:rPr>
            </w:pPr>
            <w:r>
              <w:rPr>
                <w:rStyle w:val="18"/>
                <w:rFonts w:hint="default" w:hAnsi="Arial"/>
                <w:lang w:bidi="ar"/>
              </w:rPr>
              <w:t>按招标文件和合同要求扣款</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7953DF15">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2</w:t>
            </w:r>
            <w:r>
              <w:rPr>
                <w:rStyle w:val="18"/>
                <w:rFonts w:hint="default" w:hAnsi="Arial"/>
                <w:lang w:bidi="ar"/>
              </w:rPr>
              <w:t>分</w:t>
            </w:r>
            <w:r>
              <w:rPr>
                <w:rStyle w:val="16"/>
                <w:rFonts w:eastAsia="宋体"/>
                <w:lang w:bidi="ar"/>
              </w:rPr>
              <w:t>/</w:t>
            </w:r>
            <w:r>
              <w:rPr>
                <w:rStyle w:val="18"/>
                <w:rFonts w:hint="default" w:hAnsi="Arial"/>
                <w:lang w:bidi="ar"/>
              </w:rPr>
              <w:t>人</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18BE5588">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FA6EB">
            <w:pPr>
              <w:snapToGrid w:val="0"/>
              <w:jc w:val="center"/>
              <w:rPr>
                <w:rFonts w:ascii="Arial" w:hAnsi="Arial" w:eastAsia="宋体" w:cs="Arial"/>
                <w:color w:val="000000"/>
                <w:sz w:val="21"/>
                <w:szCs w:val="21"/>
              </w:rPr>
            </w:pPr>
          </w:p>
        </w:tc>
      </w:tr>
      <w:tr w14:paraId="762FBC5F">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A53C3F">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3D04F6">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42209595">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4</w:t>
            </w:r>
            <w:r>
              <w:rPr>
                <w:rStyle w:val="18"/>
                <w:rFonts w:hint="default" w:hAnsi="Arial"/>
                <w:lang w:bidi="ar"/>
              </w:rPr>
              <w:t>）非法用工或拖欠农民工（或作业人员）工资。</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02BB803B">
            <w:pPr>
              <w:widowControl/>
              <w:snapToGrid w:val="0"/>
              <w:jc w:val="center"/>
              <w:textAlignment w:val="center"/>
              <w:rPr>
                <w:rFonts w:ascii="Arial" w:hAnsi="Arial" w:eastAsia="宋体" w:cs="Arial"/>
                <w:color w:val="000000"/>
                <w:sz w:val="21"/>
                <w:szCs w:val="21"/>
              </w:rPr>
            </w:pPr>
            <w:r>
              <w:rPr>
                <w:rStyle w:val="16"/>
                <w:rFonts w:eastAsia="宋体"/>
                <w:lang w:bidi="ar"/>
              </w:rPr>
              <w:t>20000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3BE8F21A">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3</w:t>
            </w:r>
            <w:r>
              <w:rPr>
                <w:rStyle w:val="18"/>
                <w:rFonts w:hint="default" w:hAnsi="Arial"/>
                <w:lang w:bidi="ar"/>
              </w:rPr>
              <w:t>分</w:t>
            </w:r>
            <w:r>
              <w:rPr>
                <w:rStyle w:val="16"/>
                <w:rFonts w:eastAsia="宋体"/>
                <w:lang w:bidi="ar"/>
              </w:rPr>
              <w:t>/</w:t>
            </w:r>
            <w:r>
              <w:rPr>
                <w:rStyle w:val="18"/>
                <w:rFonts w:hint="default" w:hAnsi="Arial"/>
                <w:lang w:bidi="ar"/>
              </w:rPr>
              <w:t>人</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5A54D65A">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7DDA6F">
            <w:pPr>
              <w:snapToGrid w:val="0"/>
              <w:jc w:val="center"/>
              <w:rPr>
                <w:rFonts w:ascii="Arial" w:hAnsi="Arial" w:eastAsia="宋体" w:cs="Arial"/>
                <w:color w:val="000000"/>
                <w:sz w:val="21"/>
                <w:szCs w:val="21"/>
              </w:rPr>
            </w:pPr>
          </w:p>
        </w:tc>
      </w:tr>
      <w:tr w14:paraId="63987FB3">
        <w:tblPrEx>
          <w:tblCellMar>
            <w:top w:w="0" w:type="dxa"/>
            <w:left w:w="108" w:type="dxa"/>
            <w:bottom w:w="0" w:type="dxa"/>
            <w:right w:w="108" w:type="dxa"/>
          </w:tblCellMar>
        </w:tblPrEx>
        <w:trPr>
          <w:trHeight w:val="567" w:hRule="atLeast"/>
        </w:trPr>
        <w:tc>
          <w:tcPr>
            <w:tcW w:w="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5BDA973C">
            <w:pPr>
              <w:widowControl/>
              <w:snapToGrid w:val="0"/>
              <w:jc w:val="center"/>
              <w:textAlignment w:val="center"/>
              <w:rPr>
                <w:rFonts w:ascii="Arial" w:hAnsi="Arial" w:eastAsia="宋体" w:cs="Arial"/>
                <w:color w:val="000000"/>
                <w:sz w:val="21"/>
                <w:szCs w:val="21"/>
              </w:rPr>
            </w:pPr>
            <w:r>
              <w:rPr>
                <w:rFonts w:ascii="Arial" w:hAnsi="Arial" w:eastAsia="宋体" w:cs="Arial"/>
                <w:color w:val="000000"/>
                <w:sz w:val="21"/>
                <w:szCs w:val="21"/>
                <w:lang w:bidi="ar"/>
              </w:rPr>
              <w:t>2</w:t>
            </w:r>
          </w:p>
        </w:tc>
        <w:tc>
          <w:tcPr>
            <w:tcW w:w="1639" w:type="dxa"/>
            <w:vMerge w:val="restart"/>
            <w:tcBorders>
              <w:top w:val="single" w:color="000000" w:sz="4" w:space="0"/>
              <w:left w:val="single" w:color="000000" w:sz="4" w:space="0"/>
              <w:bottom w:val="single" w:color="000000" w:sz="4" w:space="0"/>
              <w:right w:val="single" w:color="000000" w:sz="4" w:space="0"/>
            </w:tcBorders>
            <w:noWrap w:val="0"/>
            <w:vAlign w:val="center"/>
          </w:tcPr>
          <w:p w14:paraId="72EC980F">
            <w:pPr>
              <w:widowControl/>
              <w:snapToGrid w:val="0"/>
              <w:jc w:val="center"/>
              <w:textAlignment w:val="center"/>
              <w:rPr>
                <w:rFonts w:ascii="仿宋_GB2312" w:hAnsi="宋体" w:eastAsia="仿宋_GB2312" w:cs="仿宋_GB2312"/>
                <w:color w:val="000000"/>
                <w:sz w:val="21"/>
                <w:szCs w:val="21"/>
              </w:rPr>
            </w:pPr>
            <w:r>
              <w:rPr>
                <w:rStyle w:val="18"/>
                <w:rFonts w:hint="default" w:hAnsi="宋体"/>
                <w:lang w:bidi="ar"/>
              </w:rPr>
              <w:t>投诉管理</w:t>
            </w:r>
            <w:r>
              <w:rPr>
                <w:rStyle w:val="16"/>
                <w:rFonts w:eastAsia="仿宋_GB2312"/>
                <w:lang w:bidi="ar"/>
              </w:rPr>
              <w:br w:type="textWrapping"/>
            </w:r>
            <w:r>
              <w:rPr>
                <w:rStyle w:val="15"/>
                <w:lang w:bidi="ar"/>
              </w:rPr>
              <w:t>（</w:t>
            </w:r>
            <w:r>
              <w:rPr>
                <w:rStyle w:val="18"/>
                <w:rFonts w:hint="default" w:hAnsi="宋体"/>
                <w:lang w:bidi="ar"/>
              </w:rPr>
              <w:t>1</w:t>
            </w:r>
            <w:r>
              <w:rPr>
                <w:rStyle w:val="16"/>
                <w:rFonts w:eastAsia="仿宋_GB2312"/>
                <w:lang w:bidi="ar"/>
              </w:rPr>
              <w:t>0</w:t>
            </w:r>
            <w:r>
              <w:rPr>
                <w:rStyle w:val="15"/>
                <w:lang w:bidi="ar"/>
              </w:rPr>
              <w:t>分）</w:t>
            </w: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24CA3FD4">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1</w:t>
            </w:r>
            <w:r>
              <w:rPr>
                <w:rStyle w:val="18"/>
                <w:rFonts w:hint="default" w:hAnsi="Arial"/>
                <w:lang w:bidi="ar"/>
              </w:rPr>
              <w:t>）对数字城管案件或各类投诉案卷不及时回复或弄虚作假。</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1C8C19A6">
            <w:pPr>
              <w:widowControl/>
              <w:snapToGrid w:val="0"/>
              <w:jc w:val="center"/>
              <w:textAlignment w:val="center"/>
              <w:rPr>
                <w:rFonts w:ascii="Arial" w:hAnsi="Arial" w:eastAsia="宋体" w:cs="Arial"/>
                <w:color w:val="000000"/>
                <w:sz w:val="21"/>
                <w:szCs w:val="21"/>
              </w:rPr>
            </w:pPr>
            <w:r>
              <w:rPr>
                <w:rStyle w:val="16"/>
                <w:rFonts w:eastAsia="宋体"/>
                <w:lang w:bidi="ar"/>
              </w:rPr>
              <w:t>2000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41F0DC43">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60A81EDB">
            <w:pPr>
              <w:snapToGrid w:val="0"/>
              <w:jc w:val="center"/>
              <w:rPr>
                <w:rFonts w:ascii="Arial" w:hAnsi="Arial" w:eastAsia="宋体" w:cs="Arial"/>
                <w:color w:val="000000"/>
                <w:sz w:val="21"/>
                <w:szCs w:val="21"/>
              </w:rPr>
            </w:pPr>
          </w:p>
        </w:tc>
        <w:tc>
          <w:tcPr>
            <w:tcW w:w="861" w:type="dxa"/>
            <w:vMerge w:val="restart"/>
            <w:tcBorders>
              <w:top w:val="single" w:color="000000" w:sz="4" w:space="0"/>
              <w:left w:val="single" w:color="000000" w:sz="4" w:space="0"/>
              <w:bottom w:val="single" w:color="000000" w:sz="4" w:space="0"/>
              <w:right w:val="single" w:color="000000" w:sz="4" w:space="0"/>
            </w:tcBorders>
            <w:noWrap w:val="0"/>
            <w:vAlign w:val="center"/>
          </w:tcPr>
          <w:p w14:paraId="703804BF">
            <w:pPr>
              <w:snapToGrid w:val="0"/>
              <w:jc w:val="center"/>
              <w:rPr>
                <w:rFonts w:ascii="Arial" w:hAnsi="Arial" w:eastAsia="宋体" w:cs="Arial"/>
                <w:color w:val="000000"/>
                <w:sz w:val="21"/>
                <w:szCs w:val="21"/>
              </w:rPr>
            </w:pPr>
          </w:p>
        </w:tc>
      </w:tr>
      <w:tr w14:paraId="433F938D">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6A0F15">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AC323">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074AB512">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2</w:t>
            </w:r>
            <w:r>
              <w:rPr>
                <w:rStyle w:val="18"/>
                <w:rFonts w:hint="default" w:hAnsi="Arial"/>
                <w:lang w:bidi="ar"/>
              </w:rPr>
              <w:t>）工单处理不及时导致超期、非权属工单未按流程处置</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6D12A073">
            <w:pPr>
              <w:widowControl/>
              <w:snapToGrid w:val="0"/>
              <w:jc w:val="center"/>
              <w:textAlignment w:val="center"/>
              <w:rPr>
                <w:rFonts w:ascii="Arial" w:hAnsi="Arial" w:eastAsia="宋体" w:cs="Arial"/>
                <w:color w:val="000000"/>
                <w:sz w:val="21"/>
                <w:szCs w:val="21"/>
              </w:rPr>
            </w:pPr>
            <w:r>
              <w:rPr>
                <w:rStyle w:val="16"/>
                <w:rFonts w:eastAsia="宋体"/>
                <w:lang w:bidi="ar"/>
              </w:rPr>
              <w:t>2000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60040316">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25DA8532">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37D9B0">
            <w:pPr>
              <w:snapToGrid w:val="0"/>
              <w:jc w:val="center"/>
              <w:rPr>
                <w:rFonts w:ascii="Arial" w:hAnsi="Arial" w:eastAsia="宋体" w:cs="Arial"/>
                <w:color w:val="000000"/>
                <w:sz w:val="21"/>
                <w:szCs w:val="21"/>
              </w:rPr>
            </w:pPr>
          </w:p>
        </w:tc>
      </w:tr>
      <w:tr w14:paraId="09848B1F">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1FC8BC">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69B9A4">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4C9CAF42">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3</w:t>
            </w:r>
            <w:r>
              <w:rPr>
                <w:rStyle w:val="18"/>
                <w:rFonts w:hint="default" w:hAnsi="Arial"/>
                <w:lang w:bidi="ar"/>
              </w:rPr>
              <w:t>）因承包人原因发生有责投诉、或遭新闻媒体曝光。</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13743084">
            <w:pPr>
              <w:widowControl/>
              <w:snapToGrid w:val="0"/>
              <w:jc w:val="center"/>
              <w:textAlignment w:val="center"/>
              <w:rPr>
                <w:rFonts w:ascii="Arial" w:hAnsi="Arial" w:eastAsia="宋体" w:cs="Arial"/>
                <w:color w:val="000000"/>
                <w:sz w:val="21"/>
                <w:szCs w:val="21"/>
              </w:rPr>
            </w:pPr>
            <w:r>
              <w:rPr>
                <w:rStyle w:val="16"/>
                <w:rFonts w:eastAsia="宋体"/>
                <w:lang w:bidi="ar"/>
              </w:rPr>
              <w:t>5000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59C2D6F3">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2</w:t>
            </w:r>
            <w:r>
              <w:rPr>
                <w:rStyle w:val="18"/>
                <w:rFonts w:hint="default" w:hAnsi="Arial"/>
                <w:lang w:bidi="ar"/>
              </w:rPr>
              <w:t>分</w:t>
            </w:r>
            <w:r>
              <w:rPr>
                <w:rStyle w:val="16"/>
                <w:rFonts w:eastAsia="宋体"/>
                <w:lang w:bidi="ar"/>
              </w:rPr>
              <w:t>/</w:t>
            </w:r>
            <w:r>
              <w:rPr>
                <w:rStyle w:val="18"/>
                <w:rFonts w:hint="default" w:hAnsi="Arial"/>
                <w:lang w:bidi="ar"/>
              </w:rPr>
              <w:t>人</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3BB0CE55">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4A49C8">
            <w:pPr>
              <w:snapToGrid w:val="0"/>
              <w:jc w:val="center"/>
              <w:rPr>
                <w:rFonts w:ascii="Arial" w:hAnsi="Arial" w:eastAsia="宋体" w:cs="Arial"/>
                <w:color w:val="000000"/>
                <w:sz w:val="21"/>
                <w:szCs w:val="21"/>
              </w:rPr>
            </w:pPr>
          </w:p>
        </w:tc>
      </w:tr>
      <w:tr w14:paraId="1BA86327">
        <w:tblPrEx>
          <w:tblCellMar>
            <w:top w:w="0" w:type="dxa"/>
            <w:left w:w="108" w:type="dxa"/>
            <w:bottom w:w="0" w:type="dxa"/>
            <w:right w:w="108" w:type="dxa"/>
          </w:tblCellMar>
        </w:tblPrEx>
        <w:trPr>
          <w:trHeight w:val="567" w:hRule="atLeast"/>
        </w:trPr>
        <w:tc>
          <w:tcPr>
            <w:tcW w:w="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79689434">
            <w:pPr>
              <w:widowControl/>
              <w:snapToGrid w:val="0"/>
              <w:jc w:val="center"/>
              <w:textAlignment w:val="center"/>
              <w:rPr>
                <w:rFonts w:ascii="Arial" w:hAnsi="Arial" w:eastAsia="宋体" w:cs="Arial"/>
                <w:color w:val="000000"/>
                <w:sz w:val="21"/>
                <w:szCs w:val="21"/>
              </w:rPr>
            </w:pPr>
            <w:r>
              <w:rPr>
                <w:rFonts w:ascii="Arial" w:hAnsi="Arial" w:eastAsia="宋体" w:cs="Arial"/>
                <w:color w:val="000000"/>
                <w:sz w:val="21"/>
                <w:szCs w:val="21"/>
                <w:lang w:bidi="ar"/>
              </w:rPr>
              <w:t>3</w:t>
            </w:r>
          </w:p>
        </w:tc>
        <w:tc>
          <w:tcPr>
            <w:tcW w:w="1639" w:type="dxa"/>
            <w:vMerge w:val="restart"/>
            <w:tcBorders>
              <w:top w:val="single" w:color="000000" w:sz="4" w:space="0"/>
              <w:left w:val="single" w:color="000000" w:sz="4" w:space="0"/>
              <w:bottom w:val="single" w:color="000000" w:sz="4" w:space="0"/>
              <w:right w:val="single" w:color="000000" w:sz="4" w:space="0"/>
            </w:tcBorders>
            <w:noWrap w:val="0"/>
            <w:vAlign w:val="center"/>
          </w:tcPr>
          <w:p w14:paraId="611B881F">
            <w:pPr>
              <w:widowControl/>
              <w:snapToGrid w:val="0"/>
              <w:jc w:val="center"/>
              <w:textAlignment w:val="center"/>
              <w:rPr>
                <w:rFonts w:ascii="仿宋_GB2312" w:hAnsi="宋体" w:eastAsia="仿宋_GB2312" w:cs="仿宋_GB2312"/>
                <w:color w:val="000000"/>
                <w:sz w:val="21"/>
                <w:szCs w:val="21"/>
              </w:rPr>
            </w:pPr>
            <w:r>
              <w:rPr>
                <w:rStyle w:val="18"/>
                <w:rFonts w:hint="default" w:hAnsi="宋体"/>
                <w:lang w:bidi="ar"/>
              </w:rPr>
              <w:t>作业行为和质量管理（</w:t>
            </w:r>
            <w:r>
              <w:rPr>
                <w:rStyle w:val="16"/>
                <w:rFonts w:eastAsia="仿宋_GB2312"/>
                <w:lang w:bidi="ar"/>
              </w:rPr>
              <w:t>5</w:t>
            </w:r>
            <w:r>
              <w:rPr>
                <w:rStyle w:val="18"/>
                <w:rFonts w:hint="default" w:hAnsi="宋体"/>
                <w:lang w:bidi="ar"/>
              </w:rPr>
              <w:t>0分）</w:t>
            </w: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32BB4947">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1</w:t>
            </w:r>
            <w:r>
              <w:rPr>
                <w:rStyle w:val="18"/>
                <w:rFonts w:hint="default" w:hAnsi="Arial"/>
                <w:lang w:bidi="ar"/>
              </w:rPr>
              <w:t>）未按合同要求配备机械设备、车辆或擅自离开本标段。</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0DE258BF">
            <w:pPr>
              <w:widowControl/>
              <w:snapToGrid w:val="0"/>
              <w:jc w:val="center"/>
              <w:textAlignment w:val="center"/>
              <w:rPr>
                <w:rFonts w:ascii="Arial" w:hAnsi="Arial" w:eastAsia="宋体" w:cs="Arial"/>
                <w:color w:val="000000"/>
                <w:sz w:val="21"/>
                <w:szCs w:val="21"/>
              </w:rPr>
            </w:pPr>
            <w:r>
              <w:rPr>
                <w:rStyle w:val="18"/>
                <w:rFonts w:hint="default" w:hAnsi="Arial"/>
                <w:lang w:bidi="ar"/>
              </w:rPr>
              <w:t>每台次</w:t>
            </w:r>
            <w:r>
              <w:rPr>
                <w:rStyle w:val="16"/>
                <w:rFonts w:eastAsia="宋体"/>
                <w:lang w:bidi="ar"/>
              </w:rPr>
              <w:t>3000</w:t>
            </w:r>
            <w:r>
              <w:rPr>
                <w:rStyle w:val="18"/>
                <w:rFonts w:hint="default" w:hAnsi="Arial"/>
                <w:lang w:bidi="ar"/>
              </w:rPr>
              <w:t>元</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7347A2F5">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096AFBE0">
            <w:pPr>
              <w:snapToGrid w:val="0"/>
              <w:jc w:val="center"/>
              <w:rPr>
                <w:rFonts w:ascii="Arial" w:hAnsi="Arial" w:eastAsia="宋体" w:cs="Arial"/>
                <w:color w:val="000000"/>
                <w:sz w:val="21"/>
                <w:szCs w:val="21"/>
              </w:rPr>
            </w:pPr>
          </w:p>
        </w:tc>
        <w:tc>
          <w:tcPr>
            <w:tcW w:w="861" w:type="dxa"/>
            <w:vMerge w:val="restart"/>
            <w:tcBorders>
              <w:top w:val="single" w:color="000000" w:sz="4" w:space="0"/>
              <w:left w:val="single" w:color="000000" w:sz="4" w:space="0"/>
              <w:bottom w:val="single" w:color="000000" w:sz="4" w:space="0"/>
              <w:right w:val="single" w:color="000000" w:sz="4" w:space="0"/>
            </w:tcBorders>
            <w:noWrap w:val="0"/>
            <w:vAlign w:val="center"/>
          </w:tcPr>
          <w:p w14:paraId="75E92EB0">
            <w:pPr>
              <w:snapToGrid w:val="0"/>
              <w:jc w:val="center"/>
              <w:rPr>
                <w:rFonts w:ascii="Arial" w:hAnsi="Arial" w:eastAsia="宋体" w:cs="Arial"/>
                <w:color w:val="000000"/>
                <w:sz w:val="21"/>
                <w:szCs w:val="21"/>
              </w:rPr>
            </w:pPr>
          </w:p>
        </w:tc>
      </w:tr>
      <w:tr w14:paraId="72E048AC">
        <w:tblPrEx>
          <w:tblCellMar>
            <w:top w:w="0" w:type="dxa"/>
            <w:left w:w="108" w:type="dxa"/>
            <w:bottom w:w="0" w:type="dxa"/>
            <w:right w:w="108" w:type="dxa"/>
          </w:tblCellMar>
        </w:tblPrEx>
        <w:trPr>
          <w:trHeight w:val="85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20B50F">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B4B184">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47CD9FA1">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2</w:t>
            </w:r>
            <w:r>
              <w:rPr>
                <w:rStyle w:val="18"/>
                <w:rFonts w:hint="default" w:hAnsi="Arial"/>
                <w:lang w:bidi="ar"/>
              </w:rPr>
              <w:t>）中标人的项目组成员在中标合同期以及苏州工业园区范围内的，以任何形式承担我司其它发包工程项目的施工管理或接受其它施工单位的分包项目管理。</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78C7B26B">
            <w:pPr>
              <w:widowControl/>
              <w:snapToGrid w:val="0"/>
              <w:jc w:val="center"/>
              <w:textAlignment w:val="center"/>
              <w:rPr>
                <w:rFonts w:ascii="Arial" w:hAnsi="Arial" w:eastAsia="宋体" w:cs="Arial"/>
                <w:color w:val="000000"/>
                <w:sz w:val="21"/>
                <w:szCs w:val="21"/>
              </w:rPr>
            </w:pPr>
            <w:r>
              <w:rPr>
                <w:rStyle w:val="16"/>
                <w:rFonts w:eastAsia="宋体"/>
                <w:lang w:bidi="ar"/>
              </w:rPr>
              <w:t>200000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2AF1FFDD">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5</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1B0CB274">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4BA40B">
            <w:pPr>
              <w:snapToGrid w:val="0"/>
              <w:jc w:val="center"/>
              <w:rPr>
                <w:rFonts w:ascii="Arial" w:hAnsi="Arial" w:eastAsia="宋体" w:cs="Arial"/>
                <w:color w:val="000000"/>
                <w:sz w:val="21"/>
                <w:szCs w:val="21"/>
              </w:rPr>
            </w:pPr>
          </w:p>
        </w:tc>
      </w:tr>
      <w:tr w14:paraId="68DECF77">
        <w:tblPrEx>
          <w:tblCellMar>
            <w:top w:w="0" w:type="dxa"/>
            <w:left w:w="108" w:type="dxa"/>
            <w:bottom w:w="0" w:type="dxa"/>
            <w:right w:w="108" w:type="dxa"/>
          </w:tblCellMar>
        </w:tblPrEx>
        <w:trPr>
          <w:trHeight w:val="68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BFFF04">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87F45F">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25F6D190">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3</w:t>
            </w:r>
            <w:r>
              <w:rPr>
                <w:rStyle w:val="18"/>
                <w:rFonts w:hint="default" w:hAnsi="Arial"/>
                <w:lang w:bidi="ar"/>
              </w:rPr>
              <w:t>）</w:t>
            </w:r>
            <w:r>
              <w:rPr>
                <w:rStyle w:val="18"/>
                <w:rFonts w:hint="default" w:hAnsi="Arial"/>
                <w:i w:val="0"/>
                <w:iCs w:val="0"/>
                <w:lang w:bidi="ar"/>
              </w:rPr>
              <w:t>专用设备或车辆不得用于其他标段使用、未在本标段养护范围内。</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0887E375">
            <w:pPr>
              <w:widowControl/>
              <w:snapToGrid w:val="0"/>
              <w:jc w:val="center"/>
              <w:textAlignment w:val="center"/>
              <w:rPr>
                <w:rFonts w:ascii="Arial" w:hAnsi="Arial" w:eastAsia="宋体" w:cs="Arial"/>
                <w:color w:val="000000"/>
                <w:sz w:val="21"/>
                <w:szCs w:val="21"/>
              </w:rPr>
            </w:pPr>
            <w:r>
              <w:rPr>
                <w:rStyle w:val="16"/>
                <w:rFonts w:eastAsia="宋体"/>
                <w:lang w:bidi="ar"/>
              </w:rPr>
              <w:t>10000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6C2090E5">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2D4A8AFD">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3BFA84">
            <w:pPr>
              <w:snapToGrid w:val="0"/>
              <w:jc w:val="center"/>
              <w:rPr>
                <w:rFonts w:ascii="Arial" w:hAnsi="Arial" w:eastAsia="宋体" w:cs="Arial"/>
                <w:color w:val="000000"/>
                <w:sz w:val="21"/>
                <w:szCs w:val="21"/>
              </w:rPr>
            </w:pPr>
          </w:p>
        </w:tc>
      </w:tr>
      <w:tr w14:paraId="6E4FF752">
        <w:tblPrEx>
          <w:tblCellMar>
            <w:top w:w="0" w:type="dxa"/>
            <w:left w:w="108" w:type="dxa"/>
            <w:bottom w:w="0" w:type="dxa"/>
            <w:right w:w="108" w:type="dxa"/>
          </w:tblCellMar>
        </w:tblPrEx>
        <w:trPr>
          <w:trHeight w:val="68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40F9AB">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E235F6">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074C8F20">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4</w:t>
            </w:r>
            <w:r>
              <w:rPr>
                <w:rStyle w:val="18"/>
                <w:rFonts w:hint="default" w:hAnsi="Arial"/>
                <w:lang w:bidi="ar"/>
              </w:rPr>
              <w:t>）承包人未按主材名录规定主材品牌选购材料、或未对进场材料按要求进行申报即投入施工。</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644E1213">
            <w:pPr>
              <w:widowControl/>
              <w:snapToGrid w:val="0"/>
              <w:jc w:val="center"/>
              <w:textAlignment w:val="center"/>
              <w:rPr>
                <w:rFonts w:ascii="Arial" w:hAnsi="Arial" w:eastAsia="宋体" w:cs="Arial"/>
                <w:color w:val="000000"/>
                <w:sz w:val="21"/>
                <w:szCs w:val="21"/>
              </w:rPr>
            </w:pPr>
            <w:r>
              <w:rPr>
                <w:rStyle w:val="16"/>
                <w:rFonts w:eastAsia="宋体"/>
                <w:lang w:bidi="ar"/>
              </w:rPr>
              <w:t>10000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4FA825DD">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4CAB1FA3">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CA929B">
            <w:pPr>
              <w:snapToGrid w:val="0"/>
              <w:jc w:val="center"/>
              <w:rPr>
                <w:rFonts w:ascii="Arial" w:hAnsi="Arial" w:eastAsia="宋体" w:cs="Arial"/>
                <w:color w:val="000000"/>
                <w:sz w:val="21"/>
                <w:szCs w:val="21"/>
              </w:rPr>
            </w:pPr>
          </w:p>
        </w:tc>
      </w:tr>
      <w:tr w14:paraId="120D3C00">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74D4B">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496759">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2BFD720C">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5</w:t>
            </w:r>
            <w:r>
              <w:rPr>
                <w:rStyle w:val="18"/>
                <w:rFonts w:hint="default" w:hAnsi="Arial"/>
                <w:lang w:bidi="ar"/>
              </w:rPr>
              <w:t>）相关人员未按要求统一着装、做与工作无关事项。</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3CC1733A">
            <w:pPr>
              <w:widowControl/>
              <w:snapToGrid w:val="0"/>
              <w:jc w:val="center"/>
              <w:textAlignment w:val="center"/>
              <w:rPr>
                <w:rFonts w:ascii="Arial" w:hAnsi="Arial" w:eastAsia="宋体" w:cs="Arial"/>
                <w:color w:val="000000"/>
                <w:sz w:val="21"/>
                <w:szCs w:val="21"/>
              </w:rPr>
            </w:pPr>
            <w:r>
              <w:rPr>
                <w:rStyle w:val="18"/>
                <w:rFonts w:hint="eastAsia" w:hAnsi="Arial"/>
                <w:i w:val="0"/>
                <w:iCs w:val="0"/>
                <w:lang w:bidi="ar"/>
              </w:rPr>
              <w:t>年合同价大于等于500万，扣</w:t>
            </w:r>
            <w:r>
              <w:rPr>
                <w:rStyle w:val="18"/>
                <w:rFonts w:hint="eastAsia" w:hAnsi="Arial"/>
                <w:b/>
                <w:bCs/>
                <w:i w:val="0"/>
                <w:iCs w:val="0"/>
                <w:lang w:bidi="ar"/>
              </w:rPr>
              <w:t>1000</w:t>
            </w:r>
            <w:r>
              <w:rPr>
                <w:rStyle w:val="18"/>
                <w:rFonts w:hint="eastAsia" w:hAnsi="Arial"/>
                <w:i w:val="0"/>
                <w:iCs w:val="0"/>
                <w:lang w:bidi="ar"/>
              </w:rPr>
              <w:t>元/人次；年合同价小于500万，扣</w:t>
            </w:r>
            <w:r>
              <w:rPr>
                <w:rStyle w:val="18"/>
                <w:rFonts w:hint="eastAsia" w:hAnsi="Arial"/>
                <w:b/>
                <w:bCs/>
                <w:i w:val="0"/>
                <w:iCs w:val="0"/>
                <w:lang w:bidi="ar"/>
              </w:rPr>
              <w:t>500</w:t>
            </w:r>
            <w:r>
              <w:rPr>
                <w:rStyle w:val="18"/>
                <w:rFonts w:hint="eastAsia" w:hAnsi="Arial" w:eastAsia="仿宋"/>
                <w:b w:val="0"/>
                <w:bCs w:val="0"/>
                <w:i w:val="0"/>
                <w:iCs w:val="0"/>
                <w:lang w:val="en-US" w:eastAsia="zh-CN" w:bidi="ar"/>
              </w:rPr>
              <w:t>元</w:t>
            </w:r>
            <w:r>
              <w:rPr>
                <w:rStyle w:val="18"/>
                <w:rFonts w:hint="eastAsia" w:hAnsi="Arial"/>
                <w:i w:val="0"/>
                <w:iCs w:val="0"/>
                <w:lang w:bidi="ar"/>
              </w:rPr>
              <w:t>/人次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6E1DE623">
            <w:pPr>
              <w:widowControl/>
              <w:snapToGrid w:val="0"/>
              <w:jc w:val="center"/>
              <w:textAlignment w:val="center"/>
              <w:rPr>
                <w:rFonts w:ascii="Arial" w:hAnsi="Arial" w:eastAsia="宋体" w:cs="Arial"/>
                <w:color w:val="000000"/>
                <w:sz w:val="21"/>
                <w:szCs w:val="21"/>
              </w:rPr>
            </w:pPr>
            <w:r>
              <w:rPr>
                <w:rStyle w:val="18"/>
                <w:rFonts w:hint="default" w:hAnsi="Arial"/>
                <w:lang w:bidi="ar"/>
              </w:rPr>
              <w:t>扣</w:t>
            </w:r>
            <w:r>
              <w:rPr>
                <w:rStyle w:val="16"/>
                <w:rFonts w:eastAsia="宋体"/>
                <w:lang w:bidi="ar"/>
              </w:rPr>
              <w:t>0.5</w:t>
            </w:r>
            <w:r>
              <w:rPr>
                <w:rStyle w:val="18"/>
                <w:rFonts w:hint="default" w:hAnsi="Arial"/>
                <w:lang w:bidi="ar"/>
              </w:rPr>
              <w:t>分</w:t>
            </w:r>
            <w:r>
              <w:rPr>
                <w:rStyle w:val="16"/>
                <w:rFonts w:eastAsia="宋体"/>
                <w:lang w:bidi="ar"/>
              </w:rPr>
              <w:t>/</w:t>
            </w:r>
            <w:r>
              <w:rPr>
                <w:rStyle w:val="18"/>
                <w:rFonts w:hint="default" w:hAnsi="Arial"/>
                <w:lang w:bidi="ar"/>
              </w:rPr>
              <w:t>人次</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2768FFBB">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1CA256">
            <w:pPr>
              <w:snapToGrid w:val="0"/>
              <w:jc w:val="center"/>
              <w:rPr>
                <w:rFonts w:ascii="Arial" w:hAnsi="Arial" w:eastAsia="宋体" w:cs="Arial"/>
                <w:color w:val="000000"/>
                <w:sz w:val="21"/>
                <w:szCs w:val="21"/>
              </w:rPr>
            </w:pPr>
          </w:p>
        </w:tc>
      </w:tr>
      <w:tr w14:paraId="2A39E282">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300CB2">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3DA06">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4B17C816">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6</w:t>
            </w:r>
            <w:r>
              <w:rPr>
                <w:rStyle w:val="18"/>
                <w:rFonts w:hint="default" w:hAnsi="Arial"/>
                <w:lang w:bidi="ar"/>
              </w:rPr>
              <w:t>）承包人进场材料不符合招标文件要求。</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424D9E74">
            <w:pPr>
              <w:widowControl/>
              <w:snapToGrid w:val="0"/>
              <w:jc w:val="center"/>
              <w:textAlignment w:val="center"/>
              <w:rPr>
                <w:rFonts w:ascii="Arial" w:hAnsi="Arial" w:eastAsia="宋体" w:cs="Arial"/>
                <w:color w:val="000000"/>
                <w:sz w:val="21"/>
                <w:szCs w:val="21"/>
              </w:rPr>
            </w:pPr>
            <w:r>
              <w:rPr>
                <w:rStyle w:val="16"/>
                <w:rFonts w:eastAsia="宋体"/>
                <w:lang w:bidi="ar"/>
              </w:rPr>
              <w:t>5000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2EF25A6B">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5E7026FB">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044B44">
            <w:pPr>
              <w:snapToGrid w:val="0"/>
              <w:jc w:val="center"/>
              <w:rPr>
                <w:rFonts w:ascii="Arial" w:hAnsi="Arial" w:eastAsia="宋体" w:cs="Arial"/>
                <w:color w:val="000000"/>
                <w:sz w:val="21"/>
                <w:szCs w:val="21"/>
              </w:rPr>
            </w:pPr>
          </w:p>
        </w:tc>
      </w:tr>
      <w:tr w14:paraId="43A16162">
        <w:tblPrEx>
          <w:tblCellMar>
            <w:top w:w="0" w:type="dxa"/>
            <w:left w:w="108" w:type="dxa"/>
            <w:bottom w:w="0" w:type="dxa"/>
            <w:right w:w="108" w:type="dxa"/>
          </w:tblCellMar>
        </w:tblPrEx>
        <w:trPr>
          <w:trHeight w:val="68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48C4EA">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C4866B">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0406ED23">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7</w:t>
            </w:r>
            <w:r>
              <w:rPr>
                <w:rStyle w:val="18"/>
                <w:rFonts w:hint="default" w:hAnsi="Arial"/>
                <w:lang w:bidi="ar"/>
              </w:rPr>
              <w:t>）未进行巡视或巡视不到位、未发现故障或破损设施设备或未及时维修上报。</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6E8D7BAE">
            <w:pPr>
              <w:widowControl/>
              <w:snapToGrid w:val="0"/>
              <w:jc w:val="center"/>
              <w:textAlignment w:val="center"/>
              <w:rPr>
                <w:rFonts w:ascii="Arial" w:hAnsi="Arial" w:eastAsia="宋体" w:cs="Arial"/>
                <w:color w:val="000000"/>
                <w:sz w:val="21"/>
                <w:szCs w:val="21"/>
              </w:rPr>
            </w:pPr>
            <w:r>
              <w:rPr>
                <w:rStyle w:val="18"/>
                <w:rFonts w:hint="eastAsia" w:hAnsi="Arial"/>
                <w:i w:val="0"/>
                <w:iCs w:val="0"/>
                <w:lang w:val="en-US" w:eastAsia="zh-CN" w:bidi="ar"/>
              </w:rPr>
              <w:t>年合同价大于等于500万，扣</w:t>
            </w:r>
            <w:r>
              <w:rPr>
                <w:rStyle w:val="18"/>
                <w:rFonts w:hint="eastAsia" w:hAnsi="Arial"/>
                <w:b/>
                <w:bCs/>
                <w:i w:val="0"/>
                <w:iCs w:val="0"/>
                <w:lang w:val="en-US" w:eastAsia="zh-CN" w:bidi="ar"/>
              </w:rPr>
              <w:t>2000</w:t>
            </w:r>
            <w:r>
              <w:rPr>
                <w:rStyle w:val="18"/>
                <w:rFonts w:hint="eastAsia" w:hAnsi="Arial"/>
                <w:i w:val="0"/>
                <w:iCs w:val="0"/>
                <w:lang w:val="en-US" w:eastAsia="zh-CN" w:bidi="ar"/>
              </w:rPr>
              <w:t>元/次；年合同价小于500万，扣</w:t>
            </w:r>
            <w:r>
              <w:rPr>
                <w:rStyle w:val="18"/>
                <w:rFonts w:hint="eastAsia" w:hAnsi="Arial"/>
                <w:b/>
                <w:bCs/>
                <w:i w:val="0"/>
                <w:iCs w:val="0"/>
                <w:lang w:val="en-US" w:eastAsia="zh-CN" w:bidi="ar"/>
              </w:rPr>
              <w:t>1000</w:t>
            </w:r>
            <w:r>
              <w:rPr>
                <w:rStyle w:val="18"/>
                <w:rFonts w:hint="eastAsia" w:hAnsi="Arial"/>
                <w:i w:val="0"/>
                <w:iCs w:val="0"/>
                <w:lang w:val="en-US" w:eastAsia="zh-CN" w:bidi="ar"/>
              </w:rPr>
              <w:t>元/次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283D3361">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0.5</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3AAC5936">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DF5B12">
            <w:pPr>
              <w:snapToGrid w:val="0"/>
              <w:jc w:val="center"/>
              <w:rPr>
                <w:rFonts w:ascii="Arial" w:hAnsi="Arial" w:eastAsia="宋体" w:cs="Arial"/>
                <w:color w:val="000000"/>
                <w:sz w:val="21"/>
                <w:szCs w:val="21"/>
              </w:rPr>
            </w:pPr>
          </w:p>
        </w:tc>
      </w:tr>
      <w:tr w14:paraId="02DD8D0F">
        <w:tblPrEx>
          <w:tblCellMar>
            <w:top w:w="0" w:type="dxa"/>
            <w:left w:w="108" w:type="dxa"/>
            <w:bottom w:w="0" w:type="dxa"/>
            <w:right w:w="108" w:type="dxa"/>
          </w:tblCellMar>
        </w:tblPrEx>
        <w:trPr>
          <w:trHeight w:val="68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84E03D">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C866BC">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193792C4">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8</w:t>
            </w:r>
            <w:r>
              <w:rPr>
                <w:rStyle w:val="18"/>
                <w:rFonts w:hint="default" w:hAnsi="Arial"/>
                <w:lang w:bidi="ar"/>
              </w:rPr>
              <w:t>）在巡视过程中应及时调查取证并阻止其他单位或个人对市政设施的非法开挖、占用或破坏。若未发现、未报告。</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480FA111">
            <w:pPr>
              <w:widowControl/>
              <w:snapToGrid w:val="0"/>
              <w:jc w:val="center"/>
              <w:textAlignment w:val="center"/>
              <w:rPr>
                <w:rFonts w:ascii="Arial" w:hAnsi="Arial" w:eastAsia="宋体" w:cs="Arial"/>
                <w:color w:val="000000"/>
                <w:sz w:val="21"/>
                <w:szCs w:val="21"/>
              </w:rPr>
            </w:pPr>
            <w:r>
              <w:rPr>
                <w:rStyle w:val="16"/>
                <w:rFonts w:eastAsia="宋体"/>
                <w:lang w:bidi="ar"/>
              </w:rPr>
              <w:t>3000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45DBA07A">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7BADA04B">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979F56">
            <w:pPr>
              <w:snapToGrid w:val="0"/>
              <w:jc w:val="center"/>
              <w:rPr>
                <w:rFonts w:ascii="Arial" w:hAnsi="Arial" w:eastAsia="宋体" w:cs="Arial"/>
                <w:color w:val="000000"/>
                <w:sz w:val="21"/>
                <w:szCs w:val="21"/>
              </w:rPr>
            </w:pPr>
          </w:p>
        </w:tc>
      </w:tr>
      <w:tr w14:paraId="27739F9D">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CC2D73">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692D2F">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53CFE50B">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9</w:t>
            </w:r>
            <w:r>
              <w:rPr>
                <w:rStyle w:val="18"/>
                <w:rFonts w:hint="default" w:hAnsi="Arial"/>
                <w:lang w:bidi="ar"/>
              </w:rPr>
              <w:t>）未能按时完成管理单位布置工作任务。</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2661C846">
            <w:pPr>
              <w:widowControl/>
              <w:snapToGrid w:val="0"/>
              <w:jc w:val="center"/>
              <w:textAlignment w:val="center"/>
              <w:rPr>
                <w:rFonts w:ascii="Arial" w:hAnsi="Arial" w:eastAsia="宋体" w:cs="Arial"/>
                <w:color w:val="000000"/>
                <w:sz w:val="21"/>
                <w:szCs w:val="21"/>
              </w:rPr>
            </w:pPr>
            <w:r>
              <w:rPr>
                <w:rStyle w:val="16"/>
                <w:rFonts w:eastAsia="宋体"/>
                <w:lang w:bidi="ar"/>
              </w:rPr>
              <w:t>1000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4515B76E">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28FB633C">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96CD99">
            <w:pPr>
              <w:snapToGrid w:val="0"/>
              <w:jc w:val="center"/>
              <w:rPr>
                <w:rFonts w:ascii="Arial" w:hAnsi="Arial" w:eastAsia="宋体" w:cs="Arial"/>
                <w:color w:val="000000"/>
                <w:sz w:val="21"/>
                <w:szCs w:val="21"/>
              </w:rPr>
            </w:pPr>
          </w:p>
        </w:tc>
      </w:tr>
      <w:tr w14:paraId="2D949DB8">
        <w:tblPrEx>
          <w:tblCellMar>
            <w:top w:w="0" w:type="dxa"/>
            <w:left w:w="108" w:type="dxa"/>
            <w:bottom w:w="0" w:type="dxa"/>
            <w:right w:w="108" w:type="dxa"/>
          </w:tblCellMar>
        </w:tblPrEx>
        <w:trPr>
          <w:trHeight w:val="68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2AFB0F">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B7718D">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43A5DE44">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10</w:t>
            </w:r>
            <w:r>
              <w:rPr>
                <w:rStyle w:val="18"/>
                <w:rFonts w:hint="default" w:hAnsi="Arial"/>
                <w:lang w:bidi="ar"/>
              </w:rPr>
              <w:t>）未按流程操作或施工、养护维修质量不符合规范或合同文件相关要求。</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5173C375">
            <w:pPr>
              <w:widowControl/>
              <w:snapToGrid w:val="0"/>
              <w:jc w:val="center"/>
              <w:textAlignment w:val="center"/>
              <w:rPr>
                <w:rFonts w:ascii="Arial" w:hAnsi="Arial" w:eastAsia="宋体" w:cs="Arial"/>
                <w:color w:val="000000"/>
                <w:sz w:val="21"/>
                <w:szCs w:val="21"/>
              </w:rPr>
            </w:pPr>
            <w:r>
              <w:rPr>
                <w:rStyle w:val="18"/>
                <w:rFonts w:hint="eastAsia" w:hAnsi="Arial"/>
                <w:i w:val="0"/>
                <w:iCs w:val="0"/>
                <w:lang w:val="en-US" w:eastAsia="zh-CN" w:bidi="ar"/>
              </w:rPr>
              <w:t>年合同价大于等于500万，扣</w:t>
            </w:r>
            <w:r>
              <w:rPr>
                <w:rStyle w:val="18"/>
                <w:rFonts w:hint="eastAsia" w:hAnsi="Arial"/>
                <w:b/>
                <w:bCs/>
                <w:i w:val="0"/>
                <w:iCs w:val="0"/>
                <w:lang w:val="en-US" w:eastAsia="zh-CN" w:bidi="ar"/>
              </w:rPr>
              <w:t>3000</w:t>
            </w:r>
            <w:r>
              <w:rPr>
                <w:rStyle w:val="18"/>
                <w:rFonts w:hint="eastAsia" w:hAnsi="Arial"/>
                <w:i w:val="0"/>
                <w:iCs w:val="0"/>
                <w:lang w:val="en-US" w:eastAsia="zh-CN" w:bidi="ar"/>
              </w:rPr>
              <w:t>元/次；年合同价小于500万，扣</w:t>
            </w:r>
            <w:r>
              <w:rPr>
                <w:rStyle w:val="18"/>
                <w:rFonts w:hint="eastAsia" w:hAnsi="Arial"/>
                <w:b/>
                <w:bCs/>
                <w:i w:val="0"/>
                <w:iCs w:val="0"/>
                <w:lang w:val="en-US" w:eastAsia="zh-CN" w:bidi="ar"/>
              </w:rPr>
              <w:t>1500</w:t>
            </w:r>
            <w:r>
              <w:rPr>
                <w:rStyle w:val="18"/>
                <w:rFonts w:hint="eastAsia" w:hAnsi="Arial"/>
                <w:i w:val="0"/>
                <w:iCs w:val="0"/>
                <w:lang w:val="en-US" w:eastAsia="zh-CN" w:bidi="ar"/>
              </w:rPr>
              <w:t>元/次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5C642C9F">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1C89EA5F">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748CBE">
            <w:pPr>
              <w:snapToGrid w:val="0"/>
              <w:jc w:val="center"/>
              <w:rPr>
                <w:rFonts w:ascii="Arial" w:hAnsi="Arial" w:eastAsia="宋体" w:cs="Arial"/>
                <w:color w:val="000000"/>
                <w:sz w:val="21"/>
                <w:szCs w:val="21"/>
              </w:rPr>
            </w:pPr>
          </w:p>
        </w:tc>
      </w:tr>
      <w:tr w14:paraId="2148429D">
        <w:tblPrEx>
          <w:tblCellMar>
            <w:top w:w="0" w:type="dxa"/>
            <w:left w:w="108" w:type="dxa"/>
            <w:bottom w:w="0" w:type="dxa"/>
            <w:right w:w="108" w:type="dxa"/>
          </w:tblCellMar>
        </w:tblPrEx>
        <w:trPr>
          <w:trHeight w:val="68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1C197D">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A6CE30">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0407735A">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11</w:t>
            </w:r>
            <w:r>
              <w:rPr>
                <w:rStyle w:val="18"/>
                <w:rFonts w:hint="default" w:hAnsi="Arial"/>
                <w:lang w:bidi="ar"/>
              </w:rPr>
              <w:t>）对现场防尘降噪、应急处置事件保障、雨雪灾害天气、重大活动保障等措施不符合要求。</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39A19A48">
            <w:pPr>
              <w:widowControl/>
              <w:snapToGrid w:val="0"/>
              <w:jc w:val="center"/>
              <w:textAlignment w:val="center"/>
              <w:rPr>
                <w:rFonts w:ascii="Arial" w:hAnsi="Arial" w:eastAsia="宋体" w:cs="Arial"/>
                <w:color w:val="000000"/>
                <w:sz w:val="21"/>
                <w:szCs w:val="21"/>
              </w:rPr>
            </w:pPr>
            <w:r>
              <w:rPr>
                <w:rStyle w:val="16"/>
                <w:rFonts w:eastAsia="宋体"/>
                <w:lang w:bidi="ar"/>
              </w:rPr>
              <w:t>5000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36D8E6D0">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2</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0A672626">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8768CB">
            <w:pPr>
              <w:snapToGrid w:val="0"/>
              <w:jc w:val="center"/>
              <w:rPr>
                <w:rFonts w:ascii="Arial" w:hAnsi="Arial" w:eastAsia="宋体" w:cs="Arial"/>
                <w:color w:val="000000"/>
                <w:sz w:val="21"/>
                <w:szCs w:val="21"/>
              </w:rPr>
            </w:pPr>
          </w:p>
        </w:tc>
      </w:tr>
      <w:tr w14:paraId="6CA4C515">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434CDC">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BDD603">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08553C61">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12</w:t>
            </w:r>
            <w:r>
              <w:rPr>
                <w:rStyle w:val="18"/>
                <w:rFonts w:hint="default" w:hAnsi="Arial"/>
                <w:lang w:bidi="ar"/>
              </w:rPr>
              <w:t>）未按照招标文件或合同执行。</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3EA8096F">
            <w:pPr>
              <w:widowControl/>
              <w:snapToGrid w:val="0"/>
              <w:jc w:val="center"/>
              <w:textAlignment w:val="center"/>
              <w:rPr>
                <w:rFonts w:ascii="Arial" w:hAnsi="Arial" w:eastAsia="宋体" w:cs="Arial"/>
                <w:color w:val="000000"/>
                <w:sz w:val="21"/>
                <w:szCs w:val="21"/>
              </w:rPr>
            </w:pPr>
            <w:r>
              <w:rPr>
                <w:rStyle w:val="18"/>
                <w:rFonts w:hint="default" w:hAnsi="Arial"/>
                <w:lang w:bidi="ar"/>
              </w:rPr>
              <w:t>按招标文件和合同要求扣款</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7F9606A7">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2</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7BB23B0A">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2BECDE">
            <w:pPr>
              <w:snapToGrid w:val="0"/>
              <w:jc w:val="center"/>
              <w:rPr>
                <w:rFonts w:ascii="Arial" w:hAnsi="Arial" w:eastAsia="宋体" w:cs="Arial"/>
                <w:color w:val="000000"/>
                <w:sz w:val="21"/>
                <w:szCs w:val="21"/>
              </w:rPr>
            </w:pPr>
          </w:p>
        </w:tc>
      </w:tr>
      <w:tr w14:paraId="2FADF712">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068EAB">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85B61B">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09D96F10">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13</w:t>
            </w:r>
            <w:r>
              <w:rPr>
                <w:rStyle w:val="18"/>
                <w:rFonts w:hint="default" w:hAnsi="Arial"/>
                <w:lang w:bidi="ar"/>
              </w:rPr>
              <w:t>）（桥隧）未按要求对消防、特种设备等设备或系统进行定期维护保养。</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33F71CDD">
            <w:pPr>
              <w:widowControl/>
              <w:snapToGrid w:val="0"/>
              <w:jc w:val="center"/>
              <w:textAlignment w:val="center"/>
              <w:rPr>
                <w:rFonts w:ascii="Arial" w:hAnsi="Arial" w:eastAsia="宋体" w:cs="Arial"/>
                <w:color w:val="000000"/>
                <w:sz w:val="21"/>
                <w:szCs w:val="21"/>
              </w:rPr>
            </w:pPr>
            <w:r>
              <w:rPr>
                <w:rStyle w:val="18"/>
                <w:rFonts w:hint="eastAsia" w:hAnsi="Arial"/>
                <w:i w:val="0"/>
                <w:iCs w:val="0"/>
                <w:lang w:val="en-US" w:eastAsia="zh-CN" w:bidi="ar"/>
              </w:rPr>
              <w:t>年合同价大于等于500万，扣</w:t>
            </w:r>
            <w:r>
              <w:rPr>
                <w:rStyle w:val="18"/>
                <w:rFonts w:hint="eastAsia" w:hAnsi="Arial"/>
                <w:b/>
                <w:bCs/>
                <w:i w:val="0"/>
                <w:iCs w:val="0"/>
                <w:lang w:val="en-US" w:eastAsia="zh-CN" w:bidi="ar"/>
              </w:rPr>
              <w:t>3000</w:t>
            </w:r>
            <w:r>
              <w:rPr>
                <w:rStyle w:val="18"/>
                <w:rFonts w:hint="eastAsia" w:hAnsi="Arial"/>
                <w:i w:val="0"/>
                <w:iCs w:val="0"/>
                <w:lang w:val="en-US" w:eastAsia="zh-CN" w:bidi="ar"/>
              </w:rPr>
              <w:t>元/次；年合同价小于500万，扣</w:t>
            </w:r>
            <w:r>
              <w:rPr>
                <w:rStyle w:val="18"/>
                <w:rFonts w:hint="eastAsia" w:hAnsi="Arial"/>
                <w:b/>
                <w:bCs/>
                <w:i w:val="0"/>
                <w:iCs w:val="0"/>
                <w:lang w:val="en-US" w:eastAsia="zh-CN" w:bidi="ar"/>
              </w:rPr>
              <w:t>1500</w:t>
            </w:r>
            <w:r>
              <w:rPr>
                <w:rStyle w:val="18"/>
                <w:rFonts w:hint="eastAsia" w:hAnsi="Arial"/>
                <w:i w:val="0"/>
                <w:iCs w:val="0"/>
                <w:lang w:val="en-US" w:eastAsia="zh-CN" w:bidi="ar"/>
              </w:rPr>
              <w:t>元/次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15ED7BFB">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101FD141">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D89786">
            <w:pPr>
              <w:snapToGrid w:val="0"/>
              <w:jc w:val="center"/>
              <w:rPr>
                <w:rFonts w:ascii="Arial" w:hAnsi="Arial" w:eastAsia="宋体" w:cs="Arial"/>
                <w:color w:val="000000"/>
                <w:sz w:val="21"/>
                <w:szCs w:val="21"/>
              </w:rPr>
            </w:pPr>
          </w:p>
        </w:tc>
      </w:tr>
      <w:tr w14:paraId="1DC34230">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AA35CD">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926F91">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42A8CA71">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14</w:t>
            </w:r>
            <w:r>
              <w:rPr>
                <w:rStyle w:val="18"/>
                <w:rFonts w:hint="default" w:hAnsi="Arial"/>
                <w:lang w:bidi="ar"/>
              </w:rPr>
              <w:t>）（桥隧）设备箱门、安全通道门非维护时处于开启状态、各类警示标识不全的、照明与应急照明设施故障未及时修复。</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0AEFBBA6">
            <w:pPr>
              <w:widowControl/>
              <w:snapToGrid w:val="0"/>
              <w:jc w:val="center"/>
              <w:textAlignment w:val="center"/>
              <w:rPr>
                <w:rFonts w:ascii="Arial" w:hAnsi="Arial" w:eastAsia="宋体" w:cs="Arial"/>
                <w:color w:val="000000"/>
                <w:sz w:val="21"/>
                <w:szCs w:val="21"/>
              </w:rPr>
            </w:pPr>
            <w:r>
              <w:rPr>
                <w:rStyle w:val="16"/>
                <w:rFonts w:eastAsia="宋体"/>
                <w:lang w:bidi="ar"/>
              </w:rPr>
              <w:t>1000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64E42DEB">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0.5</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6C5CCB84">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93F65C">
            <w:pPr>
              <w:snapToGrid w:val="0"/>
              <w:jc w:val="center"/>
              <w:rPr>
                <w:rFonts w:ascii="Arial" w:hAnsi="Arial" w:eastAsia="宋体" w:cs="Arial"/>
                <w:color w:val="000000"/>
                <w:sz w:val="21"/>
                <w:szCs w:val="21"/>
              </w:rPr>
            </w:pPr>
          </w:p>
        </w:tc>
      </w:tr>
      <w:tr w14:paraId="1684FA7F">
        <w:tblPrEx>
          <w:tblCellMar>
            <w:top w:w="0" w:type="dxa"/>
            <w:left w:w="108" w:type="dxa"/>
            <w:bottom w:w="0" w:type="dxa"/>
            <w:right w:w="108" w:type="dxa"/>
          </w:tblCellMar>
        </w:tblPrEx>
        <w:trPr>
          <w:trHeight w:val="68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C8F110">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2F8354">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028E54A1">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15</w:t>
            </w:r>
            <w:r>
              <w:rPr>
                <w:rStyle w:val="18"/>
                <w:rFonts w:hint="default" w:hAnsi="Arial"/>
                <w:lang w:bidi="ar"/>
              </w:rPr>
              <w:t>）（桥隧）路面、地面、卫生间等公共区域保洁不符合要求。</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786611AF">
            <w:pPr>
              <w:widowControl/>
              <w:snapToGrid w:val="0"/>
              <w:jc w:val="center"/>
              <w:textAlignment w:val="center"/>
              <w:rPr>
                <w:rFonts w:ascii="Arial" w:hAnsi="Arial" w:eastAsia="宋体" w:cs="Arial"/>
                <w:color w:val="000000"/>
                <w:sz w:val="21"/>
                <w:szCs w:val="21"/>
              </w:rPr>
            </w:pPr>
            <w:r>
              <w:rPr>
                <w:rStyle w:val="18"/>
                <w:rFonts w:hint="eastAsia" w:hAnsi="Arial"/>
                <w:i w:val="0"/>
                <w:iCs w:val="0"/>
                <w:lang w:val="en-US" w:eastAsia="zh-CN" w:bidi="ar"/>
              </w:rPr>
              <w:t>年合同价大于等于500万，扣</w:t>
            </w:r>
            <w:r>
              <w:rPr>
                <w:rStyle w:val="18"/>
                <w:rFonts w:hint="eastAsia" w:hAnsi="Arial"/>
                <w:b/>
                <w:bCs/>
                <w:i w:val="0"/>
                <w:iCs w:val="0"/>
                <w:lang w:val="en-US" w:eastAsia="zh-CN" w:bidi="ar"/>
              </w:rPr>
              <w:t>2000</w:t>
            </w:r>
            <w:r>
              <w:rPr>
                <w:rStyle w:val="18"/>
                <w:rFonts w:hint="eastAsia" w:hAnsi="Arial"/>
                <w:i w:val="0"/>
                <w:iCs w:val="0"/>
                <w:lang w:val="en-US" w:eastAsia="zh-CN" w:bidi="ar"/>
              </w:rPr>
              <w:t>元/次；年合同价小于500万，扣</w:t>
            </w:r>
            <w:r>
              <w:rPr>
                <w:rStyle w:val="18"/>
                <w:rFonts w:hint="eastAsia" w:hAnsi="Arial"/>
                <w:b/>
                <w:bCs/>
                <w:i w:val="0"/>
                <w:iCs w:val="0"/>
                <w:lang w:val="en-US" w:eastAsia="zh-CN" w:bidi="ar"/>
              </w:rPr>
              <w:t>1000</w:t>
            </w:r>
            <w:r>
              <w:rPr>
                <w:rStyle w:val="18"/>
                <w:rFonts w:hint="eastAsia" w:hAnsi="Arial"/>
                <w:i w:val="0"/>
                <w:iCs w:val="0"/>
                <w:lang w:val="en-US" w:eastAsia="zh-CN" w:bidi="ar"/>
              </w:rPr>
              <w:t>元/次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03851AF5">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0.5</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59FCF387">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nil"/>
              <w:right w:val="single" w:color="000000" w:sz="4" w:space="0"/>
            </w:tcBorders>
            <w:noWrap w:val="0"/>
            <w:vAlign w:val="center"/>
          </w:tcPr>
          <w:p w14:paraId="7262A83D">
            <w:pPr>
              <w:snapToGrid w:val="0"/>
              <w:jc w:val="center"/>
              <w:rPr>
                <w:rFonts w:ascii="Arial" w:hAnsi="Arial" w:eastAsia="宋体" w:cs="Arial"/>
                <w:color w:val="000000"/>
                <w:sz w:val="21"/>
                <w:szCs w:val="21"/>
              </w:rPr>
            </w:pPr>
          </w:p>
        </w:tc>
      </w:tr>
      <w:tr w14:paraId="3A533996">
        <w:tblPrEx>
          <w:tblCellMar>
            <w:top w:w="0" w:type="dxa"/>
            <w:left w:w="108" w:type="dxa"/>
            <w:bottom w:w="0" w:type="dxa"/>
            <w:right w:w="108" w:type="dxa"/>
          </w:tblCellMar>
        </w:tblPrEx>
        <w:trPr>
          <w:trHeight w:val="680" w:hRule="atLeast"/>
        </w:trPr>
        <w:tc>
          <w:tcPr>
            <w:tcW w:w="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04249DB1">
            <w:pPr>
              <w:widowControl/>
              <w:snapToGrid w:val="0"/>
              <w:jc w:val="center"/>
              <w:textAlignment w:val="center"/>
              <w:rPr>
                <w:rFonts w:ascii="Arial" w:hAnsi="Arial" w:eastAsia="宋体" w:cs="Arial"/>
                <w:color w:val="000000"/>
                <w:sz w:val="21"/>
                <w:szCs w:val="21"/>
              </w:rPr>
            </w:pPr>
            <w:r>
              <w:rPr>
                <w:rFonts w:ascii="Arial" w:hAnsi="Arial" w:eastAsia="宋体" w:cs="Arial"/>
                <w:color w:val="000000"/>
                <w:sz w:val="21"/>
                <w:szCs w:val="21"/>
                <w:lang w:bidi="ar"/>
              </w:rPr>
              <w:t>4</w:t>
            </w:r>
          </w:p>
        </w:tc>
        <w:tc>
          <w:tcPr>
            <w:tcW w:w="1639" w:type="dxa"/>
            <w:vMerge w:val="restart"/>
            <w:tcBorders>
              <w:top w:val="single" w:color="000000" w:sz="4" w:space="0"/>
              <w:left w:val="single" w:color="000000" w:sz="4" w:space="0"/>
              <w:bottom w:val="single" w:color="000000" w:sz="4" w:space="0"/>
              <w:right w:val="single" w:color="000000" w:sz="4" w:space="0"/>
            </w:tcBorders>
            <w:noWrap w:val="0"/>
            <w:vAlign w:val="center"/>
          </w:tcPr>
          <w:p w14:paraId="2797A8A9">
            <w:pPr>
              <w:widowControl/>
              <w:snapToGrid w:val="0"/>
              <w:jc w:val="center"/>
              <w:textAlignment w:val="center"/>
              <w:rPr>
                <w:rFonts w:ascii="仿宋_GB2312" w:hAnsi="宋体" w:eastAsia="仿宋_GB2312" w:cs="仿宋_GB2312"/>
                <w:color w:val="000000"/>
                <w:sz w:val="21"/>
                <w:szCs w:val="21"/>
              </w:rPr>
            </w:pPr>
            <w:r>
              <w:rPr>
                <w:rFonts w:ascii="仿宋_GB2312" w:hAnsi="宋体" w:eastAsia="仿宋_GB2312" w:cs="仿宋_GB2312"/>
                <w:color w:val="000000"/>
                <w:sz w:val="21"/>
                <w:szCs w:val="21"/>
                <w:lang w:bidi="ar"/>
              </w:rPr>
              <w:t>资料管理（10分）</w:t>
            </w: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4BE88446">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1</w:t>
            </w:r>
            <w:r>
              <w:rPr>
                <w:rStyle w:val="18"/>
                <w:rFonts w:hint="default" w:hAnsi="Arial"/>
                <w:lang w:bidi="ar"/>
              </w:rPr>
              <w:t>）未按时提交各类</w:t>
            </w:r>
            <w:r>
              <w:rPr>
                <w:rStyle w:val="18"/>
                <w:rFonts w:hint="eastAsia" w:hAnsi="Arial" w:eastAsia="仿宋"/>
                <w:lang w:val="en-US" w:eastAsia="zh-CN" w:bidi="ar"/>
              </w:rPr>
              <w:t>统计</w:t>
            </w:r>
            <w:r>
              <w:rPr>
                <w:rStyle w:val="18"/>
                <w:rFonts w:hint="default" w:hAnsi="Arial"/>
                <w:lang w:bidi="ar"/>
              </w:rPr>
              <w:t>资料、报告等。</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55E7602E">
            <w:pPr>
              <w:widowControl/>
              <w:snapToGrid w:val="0"/>
              <w:jc w:val="center"/>
              <w:textAlignment w:val="center"/>
              <w:rPr>
                <w:rFonts w:ascii="Arial" w:hAnsi="Arial" w:eastAsia="宋体" w:cs="Arial"/>
                <w:color w:val="000000"/>
                <w:sz w:val="21"/>
                <w:szCs w:val="21"/>
              </w:rPr>
            </w:pPr>
            <w:r>
              <w:rPr>
                <w:rStyle w:val="16"/>
                <w:rFonts w:eastAsia="宋体"/>
                <w:lang w:bidi="ar"/>
              </w:rPr>
              <w:t>1000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0071D355">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45694020">
            <w:pPr>
              <w:snapToGrid w:val="0"/>
              <w:jc w:val="center"/>
              <w:rPr>
                <w:rFonts w:ascii="Arial" w:hAnsi="Arial" w:eastAsia="宋体" w:cs="Arial"/>
                <w:color w:val="000000"/>
                <w:sz w:val="21"/>
                <w:szCs w:val="21"/>
              </w:rPr>
            </w:pPr>
          </w:p>
        </w:tc>
        <w:tc>
          <w:tcPr>
            <w:tcW w:w="861" w:type="dxa"/>
            <w:vMerge w:val="restart"/>
            <w:tcBorders>
              <w:top w:val="single" w:color="000000" w:sz="4" w:space="0"/>
              <w:left w:val="single" w:color="000000" w:sz="4" w:space="0"/>
              <w:bottom w:val="nil"/>
              <w:right w:val="single" w:color="000000" w:sz="4" w:space="0"/>
            </w:tcBorders>
            <w:noWrap w:val="0"/>
            <w:vAlign w:val="center"/>
          </w:tcPr>
          <w:p w14:paraId="7775093F">
            <w:pPr>
              <w:snapToGrid w:val="0"/>
              <w:jc w:val="center"/>
              <w:rPr>
                <w:rFonts w:ascii="Arial" w:hAnsi="Arial" w:eastAsia="宋体" w:cs="Arial"/>
                <w:color w:val="000000"/>
                <w:sz w:val="21"/>
                <w:szCs w:val="21"/>
              </w:rPr>
            </w:pPr>
          </w:p>
        </w:tc>
      </w:tr>
      <w:tr w14:paraId="2135B4BE">
        <w:tblPrEx>
          <w:tblCellMar>
            <w:top w:w="0" w:type="dxa"/>
            <w:left w:w="108" w:type="dxa"/>
            <w:bottom w:w="0" w:type="dxa"/>
            <w:right w:w="108" w:type="dxa"/>
          </w:tblCellMar>
        </w:tblPrEx>
        <w:trPr>
          <w:trHeight w:val="68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66B26E">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17EBEE">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5CE07A4E">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2</w:t>
            </w:r>
            <w:r>
              <w:rPr>
                <w:rStyle w:val="18"/>
                <w:rFonts w:hint="default" w:hAnsi="Arial"/>
                <w:lang w:bidi="ar"/>
              </w:rPr>
              <w:t>）签证、决算资料不完整、不及时、不准确。</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705877D0">
            <w:pPr>
              <w:widowControl/>
              <w:snapToGrid w:val="0"/>
              <w:jc w:val="center"/>
              <w:textAlignment w:val="center"/>
              <w:rPr>
                <w:rFonts w:ascii="Arial" w:hAnsi="Arial" w:eastAsia="宋体" w:cs="Arial"/>
                <w:color w:val="000000"/>
                <w:sz w:val="21"/>
                <w:szCs w:val="21"/>
              </w:rPr>
            </w:pPr>
            <w:r>
              <w:rPr>
                <w:rStyle w:val="16"/>
                <w:rFonts w:eastAsia="宋体"/>
                <w:lang w:bidi="ar"/>
              </w:rPr>
              <w:t>3000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40109DC3">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2</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4D3D6CF7">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900D40">
            <w:pPr>
              <w:snapToGrid w:val="0"/>
              <w:jc w:val="center"/>
              <w:rPr>
                <w:rFonts w:ascii="Arial" w:hAnsi="Arial" w:eastAsia="宋体" w:cs="Arial"/>
                <w:color w:val="000000"/>
                <w:sz w:val="21"/>
                <w:szCs w:val="21"/>
              </w:rPr>
            </w:pPr>
          </w:p>
        </w:tc>
      </w:tr>
      <w:tr w14:paraId="5B66A91C">
        <w:tblPrEx>
          <w:tblCellMar>
            <w:top w:w="0" w:type="dxa"/>
            <w:left w:w="108" w:type="dxa"/>
            <w:bottom w:w="0" w:type="dxa"/>
            <w:right w:w="108" w:type="dxa"/>
          </w:tblCellMar>
        </w:tblPrEx>
        <w:trPr>
          <w:trHeight w:val="680" w:hRule="atLeast"/>
        </w:trPr>
        <w:tc>
          <w:tcPr>
            <w:tcW w:w="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0241C5CA">
            <w:pPr>
              <w:widowControl/>
              <w:snapToGrid w:val="0"/>
              <w:jc w:val="center"/>
              <w:textAlignment w:val="center"/>
              <w:rPr>
                <w:rFonts w:ascii="Arial" w:hAnsi="Arial" w:eastAsia="宋体" w:cs="Arial"/>
                <w:color w:val="000000"/>
                <w:sz w:val="21"/>
                <w:szCs w:val="21"/>
              </w:rPr>
            </w:pPr>
            <w:r>
              <w:rPr>
                <w:rFonts w:ascii="Arial" w:hAnsi="Arial" w:eastAsia="宋体" w:cs="Arial"/>
                <w:color w:val="000000"/>
                <w:sz w:val="21"/>
                <w:szCs w:val="21"/>
                <w:lang w:bidi="ar"/>
              </w:rPr>
              <w:t>5</w:t>
            </w:r>
          </w:p>
        </w:tc>
        <w:tc>
          <w:tcPr>
            <w:tcW w:w="1639" w:type="dxa"/>
            <w:vMerge w:val="restart"/>
            <w:tcBorders>
              <w:top w:val="single" w:color="000000" w:sz="4" w:space="0"/>
              <w:left w:val="single" w:color="000000" w:sz="4" w:space="0"/>
              <w:bottom w:val="single" w:color="000000" w:sz="4" w:space="0"/>
              <w:right w:val="single" w:color="000000" w:sz="4" w:space="0"/>
            </w:tcBorders>
            <w:noWrap w:val="0"/>
            <w:vAlign w:val="center"/>
          </w:tcPr>
          <w:p w14:paraId="18472C74">
            <w:pPr>
              <w:widowControl/>
              <w:snapToGrid w:val="0"/>
              <w:jc w:val="center"/>
              <w:textAlignment w:val="center"/>
              <w:rPr>
                <w:rFonts w:ascii="仿宋_GB2312" w:hAnsi="宋体" w:eastAsia="仿宋_GB2312" w:cs="仿宋_GB2312"/>
                <w:color w:val="000000"/>
                <w:sz w:val="21"/>
                <w:szCs w:val="21"/>
              </w:rPr>
            </w:pPr>
            <w:r>
              <w:rPr>
                <w:rStyle w:val="18"/>
                <w:rFonts w:hint="default" w:hAnsi="宋体"/>
                <w:lang w:bidi="ar"/>
              </w:rPr>
              <w:t>安全文明</w:t>
            </w:r>
            <w:r>
              <w:rPr>
                <w:rStyle w:val="16"/>
                <w:rFonts w:eastAsia="仿宋_GB2312"/>
                <w:lang w:bidi="ar"/>
              </w:rPr>
              <w:br w:type="textWrapping"/>
            </w:r>
            <w:r>
              <w:rPr>
                <w:rStyle w:val="18"/>
                <w:rFonts w:hint="default" w:hAnsi="宋体"/>
                <w:lang w:bidi="ar"/>
              </w:rPr>
              <w:t>施工</w:t>
            </w:r>
            <w:r>
              <w:rPr>
                <w:rStyle w:val="16"/>
                <w:rFonts w:eastAsia="仿宋_GB2312"/>
                <w:lang w:bidi="ar"/>
              </w:rPr>
              <w:br w:type="textWrapping"/>
            </w:r>
            <w:r>
              <w:rPr>
                <w:rStyle w:val="15"/>
                <w:lang w:bidi="ar"/>
              </w:rPr>
              <w:t>（</w:t>
            </w:r>
            <w:r>
              <w:rPr>
                <w:rStyle w:val="16"/>
                <w:rFonts w:eastAsia="仿宋_GB2312"/>
                <w:lang w:bidi="ar"/>
              </w:rPr>
              <w:t>20</w:t>
            </w:r>
            <w:r>
              <w:rPr>
                <w:rStyle w:val="15"/>
                <w:lang w:bidi="ar"/>
              </w:rPr>
              <w:t>分）</w:t>
            </w: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3548E54A">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1</w:t>
            </w:r>
            <w:r>
              <w:rPr>
                <w:rStyle w:val="18"/>
                <w:rFonts w:hint="default" w:hAnsi="Arial"/>
                <w:lang w:bidi="ar"/>
              </w:rPr>
              <w:t>）未按要求建立项目安全管理体系、制定项目安全标准化管理制度等文件。</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372DEBCE">
            <w:pPr>
              <w:widowControl/>
              <w:snapToGrid w:val="0"/>
              <w:jc w:val="center"/>
              <w:textAlignment w:val="center"/>
              <w:rPr>
                <w:rFonts w:ascii="Arial" w:hAnsi="Arial" w:eastAsia="宋体" w:cs="Arial"/>
                <w:color w:val="000000"/>
                <w:sz w:val="21"/>
                <w:szCs w:val="21"/>
              </w:rPr>
            </w:pPr>
            <w:r>
              <w:rPr>
                <w:rStyle w:val="16"/>
                <w:rFonts w:eastAsia="宋体"/>
                <w:lang w:bidi="ar"/>
              </w:rPr>
              <w:t>2000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0AEC56CE">
            <w:pPr>
              <w:widowControl/>
              <w:snapToGrid w:val="0"/>
              <w:jc w:val="center"/>
              <w:textAlignment w:val="center"/>
              <w:rPr>
                <w:rFonts w:ascii="Arial" w:hAnsi="Arial" w:eastAsia="宋体" w:cs="Arial"/>
                <w:color w:val="000000"/>
                <w:sz w:val="21"/>
                <w:szCs w:val="21"/>
              </w:rPr>
            </w:pPr>
            <w:r>
              <w:rPr>
                <w:rStyle w:val="18"/>
                <w:rFonts w:hint="default" w:hAnsi="Arial"/>
                <w:lang w:bidi="ar"/>
              </w:rPr>
              <w:t>每发现一项扣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62E054AB">
            <w:pPr>
              <w:snapToGrid w:val="0"/>
              <w:jc w:val="center"/>
              <w:rPr>
                <w:rFonts w:ascii="Arial" w:hAnsi="Arial" w:eastAsia="宋体" w:cs="Arial"/>
                <w:color w:val="000000"/>
                <w:sz w:val="21"/>
                <w:szCs w:val="21"/>
              </w:rPr>
            </w:pPr>
          </w:p>
        </w:tc>
        <w:tc>
          <w:tcPr>
            <w:tcW w:w="861" w:type="dxa"/>
            <w:vMerge w:val="restart"/>
            <w:tcBorders>
              <w:top w:val="single" w:color="000000" w:sz="4" w:space="0"/>
              <w:left w:val="single" w:color="000000" w:sz="4" w:space="0"/>
              <w:bottom w:val="single" w:color="000000" w:sz="4" w:space="0"/>
              <w:right w:val="single" w:color="000000" w:sz="4" w:space="0"/>
            </w:tcBorders>
            <w:noWrap w:val="0"/>
            <w:vAlign w:val="center"/>
          </w:tcPr>
          <w:p w14:paraId="6114857A">
            <w:pPr>
              <w:snapToGrid w:val="0"/>
              <w:jc w:val="center"/>
              <w:rPr>
                <w:rFonts w:ascii="Arial" w:hAnsi="Arial" w:eastAsia="宋体" w:cs="Arial"/>
                <w:color w:val="000000"/>
                <w:sz w:val="21"/>
                <w:szCs w:val="21"/>
              </w:rPr>
            </w:pPr>
          </w:p>
        </w:tc>
      </w:tr>
      <w:tr w14:paraId="014B63E1">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7DD6D3">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DFC8BD">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0E268A36">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2</w:t>
            </w:r>
            <w:r>
              <w:rPr>
                <w:rStyle w:val="18"/>
                <w:rFonts w:hint="default" w:hAnsi="Arial"/>
                <w:lang w:bidi="ar"/>
              </w:rPr>
              <w:t>）未按项目安全生产制度开展检查、演练、培训等工作、无相关记录。</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4D427C53">
            <w:pPr>
              <w:widowControl/>
              <w:snapToGrid w:val="0"/>
              <w:jc w:val="center"/>
              <w:textAlignment w:val="center"/>
              <w:rPr>
                <w:rFonts w:ascii="Arial" w:hAnsi="Arial" w:eastAsia="宋体" w:cs="Arial"/>
                <w:color w:val="000000"/>
                <w:sz w:val="21"/>
                <w:szCs w:val="21"/>
              </w:rPr>
            </w:pPr>
            <w:r>
              <w:rPr>
                <w:rStyle w:val="16"/>
                <w:rFonts w:eastAsia="宋体"/>
                <w:lang w:bidi="ar"/>
              </w:rPr>
              <w:t>2000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355A788C">
            <w:pPr>
              <w:widowControl/>
              <w:snapToGrid w:val="0"/>
              <w:jc w:val="center"/>
              <w:textAlignment w:val="center"/>
              <w:rPr>
                <w:rFonts w:ascii="Arial" w:hAnsi="Arial" w:eastAsia="宋体" w:cs="Arial"/>
                <w:color w:val="000000"/>
                <w:sz w:val="21"/>
                <w:szCs w:val="21"/>
              </w:rPr>
            </w:pPr>
            <w:r>
              <w:rPr>
                <w:rStyle w:val="18"/>
                <w:rFonts w:hint="default" w:hAnsi="Arial"/>
                <w:lang w:bidi="ar"/>
              </w:rPr>
              <w:t>每发现一项扣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6FEDEE51">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795FEC">
            <w:pPr>
              <w:snapToGrid w:val="0"/>
              <w:jc w:val="center"/>
              <w:rPr>
                <w:rFonts w:ascii="Arial" w:hAnsi="Arial" w:eastAsia="宋体" w:cs="Arial"/>
                <w:color w:val="000000"/>
                <w:sz w:val="21"/>
                <w:szCs w:val="21"/>
              </w:rPr>
            </w:pPr>
          </w:p>
        </w:tc>
      </w:tr>
      <w:tr w14:paraId="08DBE7B4">
        <w:tblPrEx>
          <w:tblCellMar>
            <w:top w:w="0" w:type="dxa"/>
            <w:left w:w="108" w:type="dxa"/>
            <w:bottom w:w="0" w:type="dxa"/>
            <w:right w:w="108" w:type="dxa"/>
          </w:tblCellMar>
        </w:tblPrEx>
        <w:trPr>
          <w:trHeight w:val="68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911CFF">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9AA34B">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251D849E">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3</w:t>
            </w:r>
            <w:r>
              <w:rPr>
                <w:rStyle w:val="18"/>
                <w:rFonts w:hint="default" w:hAnsi="Arial"/>
                <w:lang w:bidi="ar"/>
              </w:rPr>
              <w:t>）未落实安全风险分级管控和隐患排查治理双重预防工作，未按要求组织开展隐患排查、未落实隐患整改闭环。</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3885F52C">
            <w:pPr>
              <w:widowControl/>
              <w:snapToGrid w:val="0"/>
              <w:jc w:val="center"/>
              <w:textAlignment w:val="center"/>
              <w:rPr>
                <w:rFonts w:ascii="Arial" w:hAnsi="Arial" w:eastAsia="宋体" w:cs="Arial"/>
                <w:color w:val="000000"/>
                <w:sz w:val="21"/>
                <w:szCs w:val="21"/>
              </w:rPr>
            </w:pPr>
            <w:r>
              <w:rPr>
                <w:rStyle w:val="16"/>
                <w:rFonts w:eastAsia="宋体"/>
                <w:lang w:bidi="ar"/>
              </w:rPr>
              <w:t>2000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3956A66C">
            <w:pPr>
              <w:widowControl/>
              <w:snapToGrid w:val="0"/>
              <w:jc w:val="center"/>
              <w:textAlignment w:val="center"/>
              <w:rPr>
                <w:rFonts w:ascii="Arial" w:hAnsi="Arial" w:eastAsia="宋体" w:cs="Arial"/>
                <w:color w:val="000000"/>
                <w:sz w:val="21"/>
                <w:szCs w:val="21"/>
              </w:rPr>
            </w:pPr>
            <w:r>
              <w:rPr>
                <w:rStyle w:val="18"/>
                <w:rFonts w:hint="default" w:hAnsi="Arial"/>
                <w:lang w:bidi="ar"/>
              </w:rPr>
              <w:t>每发现一项扣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267F9F69">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0D7721">
            <w:pPr>
              <w:snapToGrid w:val="0"/>
              <w:jc w:val="center"/>
              <w:rPr>
                <w:rFonts w:ascii="Arial" w:hAnsi="Arial" w:eastAsia="宋体" w:cs="Arial"/>
                <w:color w:val="000000"/>
                <w:sz w:val="21"/>
                <w:szCs w:val="21"/>
              </w:rPr>
            </w:pPr>
          </w:p>
        </w:tc>
      </w:tr>
      <w:tr w14:paraId="2B09D7DF">
        <w:tblPrEx>
          <w:tblCellMar>
            <w:top w:w="0" w:type="dxa"/>
            <w:left w:w="108" w:type="dxa"/>
            <w:bottom w:w="0" w:type="dxa"/>
            <w:right w:w="108" w:type="dxa"/>
          </w:tblCellMar>
        </w:tblPrEx>
        <w:trPr>
          <w:trHeight w:val="68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2CC2D1">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8EDE2F">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076DFD30">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4</w:t>
            </w:r>
            <w:r>
              <w:rPr>
                <w:rStyle w:val="18"/>
                <w:rFonts w:hint="default" w:hAnsi="Arial"/>
                <w:lang w:bidi="ar"/>
              </w:rPr>
              <w:t>）作业现场无安全防护措施的、或未落实安全防护要求的、或未配备安全防护器具。</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515BD61F">
            <w:pPr>
              <w:widowControl/>
              <w:snapToGrid w:val="0"/>
              <w:jc w:val="center"/>
              <w:textAlignment w:val="center"/>
              <w:rPr>
                <w:rFonts w:ascii="Arial" w:hAnsi="Arial" w:eastAsia="宋体" w:cs="Arial"/>
                <w:color w:val="000000"/>
                <w:sz w:val="21"/>
                <w:szCs w:val="21"/>
              </w:rPr>
            </w:pPr>
            <w:r>
              <w:rPr>
                <w:rStyle w:val="16"/>
                <w:rFonts w:eastAsia="宋体"/>
                <w:lang w:bidi="ar"/>
              </w:rPr>
              <w:t>2000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77D1375B">
            <w:pPr>
              <w:widowControl/>
              <w:snapToGrid w:val="0"/>
              <w:jc w:val="center"/>
              <w:textAlignment w:val="center"/>
              <w:rPr>
                <w:rFonts w:ascii="Arial" w:hAnsi="Arial" w:eastAsia="宋体" w:cs="Arial"/>
                <w:color w:val="000000"/>
                <w:sz w:val="21"/>
                <w:szCs w:val="21"/>
              </w:rPr>
            </w:pPr>
            <w:r>
              <w:rPr>
                <w:rStyle w:val="18"/>
                <w:rFonts w:hint="default" w:hAnsi="Arial"/>
                <w:lang w:bidi="ar"/>
              </w:rPr>
              <w:t>每发现一次扣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4483C8FD">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1E54E3">
            <w:pPr>
              <w:snapToGrid w:val="0"/>
              <w:jc w:val="center"/>
              <w:rPr>
                <w:rFonts w:ascii="Arial" w:hAnsi="Arial" w:eastAsia="宋体" w:cs="Arial"/>
                <w:color w:val="000000"/>
                <w:sz w:val="21"/>
                <w:szCs w:val="21"/>
              </w:rPr>
            </w:pPr>
          </w:p>
        </w:tc>
      </w:tr>
      <w:tr w14:paraId="6CA11A7A">
        <w:tblPrEx>
          <w:tblCellMar>
            <w:top w:w="0" w:type="dxa"/>
            <w:left w:w="108" w:type="dxa"/>
            <w:bottom w:w="0" w:type="dxa"/>
            <w:right w:w="108" w:type="dxa"/>
          </w:tblCellMar>
        </w:tblPrEx>
        <w:trPr>
          <w:trHeight w:val="567"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1A9B5D">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099AC5">
            <w:pPr>
              <w:snapToGrid w:val="0"/>
              <w:jc w:val="center"/>
              <w:rPr>
                <w:rFonts w:ascii="仿宋_GB2312" w:hAnsi="宋体" w:eastAsia="仿宋_GB2312" w:cs="仿宋_GB2312"/>
                <w:color w:val="000000"/>
                <w:sz w:val="21"/>
                <w:szCs w:val="21"/>
              </w:rP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5E532B0F">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5</w:t>
            </w:r>
            <w:r>
              <w:rPr>
                <w:rStyle w:val="18"/>
                <w:rFonts w:hint="default" w:hAnsi="Arial"/>
                <w:lang w:bidi="ar"/>
              </w:rPr>
              <w:t>）作业过程中存在</w:t>
            </w:r>
            <w:r>
              <w:rPr>
                <w:rStyle w:val="16"/>
                <w:rFonts w:eastAsia="宋体"/>
                <w:lang w:bidi="ar"/>
              </w:rPr>
              <w:t>“</w:t>
            </w:r>
            <w:r>
              <w:rPr>
                <w:rStyle w:val="18"/>
                <w:rFonts w:hint="default" w:hAnsi="Arial"/>
                <w:lang w:bidi="ar"/>
              </w:rPr>
              <w:t>三违</w:t>
            </w:r>
            <w:r>
              <w:rPr>
                <w:rStyle w:val="16"/>
                <w:rFonts w:eastAsia="宋体"/>
                <w:lang w:bidi="ar"/>
              </w:rPr>
              <w:t>”</w:t>
            </w:r>
            <w:r>
              <w:rPr>
                <w:rStyle w:val="18"/>
                <w:rFonts w:hint="default" w:hAnsi="Arial"/>
                <w:lang w:bidi="ar"/>
              </w:rPr>
              <w:t>问题、特种作业人员未持证上岗。</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3FED5DCC">
            <w:pPr>
              <w:widowControl/>
              <w:snapToGrid w:val="0"/>
              <w:jc w:val="center"/>
              <w:textAlignment w:val="center"/>
              <w:rPr>
                <w:rFonts w:ascii="Arial" w:hAnsi="Arial" w:eastAsia="宋体" w:cs="Arial"/>
                <w:color w:val="000000"/>
                <w:sz w:val="21"/>
                <w:szCs w:val="21"/>
              </w:rPr>
            </w:pPr>
            <w:r>
              <w:rPr>
                <w:rStyle w:val="16"/>
                <w:rFonts w:eastAsia="宋体"/>
                <w:lang w:bidi="ar"/>
              </w:rPr>
              <w:t>1000</w:t>
            </w:r>
            <w:r>
              <w:rPr>
                <w:rStyle w:val="18"/>
                <w:rFonts w:hint="default" w:hAnsi="Arial"/>
                <w:lang w:bidi="ar"/>
              </w:rPr>
              <w:t>元</w:t>
            </w:r>
            <w:r>
              <w:rPr>
                <w:rStyle w:val="16"/>
                <w:rFonts w:eastAsia="宋体"/>
                <w:lang w:bidi="ar"/>
              </w:rPr>
              <w:t>/</w:t>
            </w:r>
            <w:r>
              <w:rPr>
                <w:rStyle w:val="18"/>
                <w:rFonts w:hint="default" w:hAnsi="Arial"/>
                <w:lang w:bidi="ar"/>
              </w:rPr>
              <w:t>人次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1CF55D29">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0.5</w:t>
            </w:r>
            <w:r>
              <w:rPr>
                <w:rStyle w:val="18"/>
                <w:rFonts w:hint="default" w:hAnsi="Arial"/>
                <w:lang w:bidi="ar"/>
              </w:rPr>
              <w:t>分</w:t>
            </w:r>
            <w:r>
              <w:rPr>
                <w:rStyle w:val="16"/>
                <w:rFonts w:eastAsia="宋体"/>
                <w:lang w:bidi="ar"/>
              </w:rPr>
              <w:t>/</w:t>
            </w:r>
            <w:r>
              <w:rPr>
                <w:rStyle w:val="18"/>
                <w:rFonts w:hint="default" w:hAnsi="Arial"/>
                <w:lang w:bidi="ar"/>
              </w:rPr>
              <w:t>人</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2486231D">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454665">
            <w:pPr>
              <w:snapToGrid w:val="0"/>
              <w:jc w:val="center"/>
              <w:rPr>
                <w:rFonts w:ascii="Arial" w:hAnsi="Arial" w:eastAsia="宋体" w:cs="Arial"/>
                <w:color w:val="000000"/>
                <w:sz w:val="21"/>
                <w:szCs w:val="21"/>
              </w:rPr>
            </w:pPr>
          </w:p>
        </w:tc>
      </w:tr>
      <w:tr w14:paraId="5F5ED638">
        <w:tblPrEx>
          <w:tblCellMar>
            <w:top w:w="0" w:type="dxa"/>
            <w:left w:w="108" w:type="dxa"/>
            <w:bottom w:w="0" w:type="dxa"/>
            <w:right w:w="108" w:type="dxa"/>
          </w:tblCellMar>
        </w:tblPrEx>
        <w:trPr>
          <w:trHeight w:val="850" w:hRule="atLeast"/>
        </w:trPr>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CAF136">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8DE494">
            <w:pPr>
              <w:snapToGrid w:val="0"/>
              <w:jc w:val="cente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2B403273">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6</w:t>
            </w:r>
            <w:r>
              <w:rPr>
                <w:rStyle w:val="18"/>
                <w:rFonts w:hint="default" w:hAnsi="Arial"/>
                <w:lang w:bidi="ar"/>
              </w:rPr>
              <w:t>）未制定与本项目相关的应急预案、未定期开展演练、缺少必要的应急物资。</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150CAC29">
            <w:pPr>
              <w:widowControl/>
              <w:snapToGrid w:val="0"/>
              <w:jc w:val="center"/>
              <w:textAlignment w:val="center"/>
              <w:rPr>
                <w:rFonts w:ascii="Arial" w:hAnsi="Arial" w:eastAsia="宋体" w:cs="Arial"/>
                <w:color w:val="000000"/>
                <w:sz w:val="21"/>
                <w:szCs w:val="21"/>
              </w:rPr>
            </w:pPr>
            <w:r>
              <w:rPr>
                <w:rStyle w:val="16"/>
                <w:rFonts w:eastAsia="宋体"/>
                <w:lang w:bidi="ar"/>
              </w:rPr>
              <w:t>2000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2F694C34">
            <w:pPr>
              <w:widowControl/>
              <w:snapToGrid w:val="0"/>
              <w:jc w:val="center"/>
              <w:textAlignment w:val="center"/>
              <w:rPr>
                <w:rFonts w:ascii="Arial" w:hAnsi="Arial" w:eastAsia="宋体" w:cs="Arial"/>
                <w:color w:val="000000"/>
                <w:sz w:val="21"/>
                <w:szCs w:val="21"/>
              </w:rPr>
            </w:pPr>
            <w:r>
              <w:rPr>
                <w:rStyle w:val="18"/>
                <w:rFonts w:hint="default" w:hAnsi="Arial"/>
                <w:lang w:bidi="ar"/>
              </w:rPr>
              <w:t>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0732251B">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4533C8">
            <w:pPr>
              <w:snapToGrid w:val="0"/>
              <w:jc w:val="center"/>
              <w:rPr>
                <w:rFonts w:ascii="Arial" w:hAnsi="Arial" w:eastAsia="宋体" w:cs="Arial"/>
                <w:color w:val="000000"/>
                <w:sz w:val="21"/>
                <w:szCs w:val="21"/>
              </w:rPr>
            </w:pPr>
          </w:p>
        </w:tc>
      </w:tr>
      <w:tr w14:paraId="2AC7C952">
        <w:tblPrEx>
          <w:tblCellMar>
            <w:top w:w="0" w:type="dxa"/>
            <w:left w:w="108" w:type="dxa"/>
            <w:bottom w:w="0" w:type="dxa"/>
            <w:right w:w="108" w:type="dxa"/>
          </w:tblCellMar>
        </w:tblPrEx>
        <w:tc>
          <w:tcPr>
            <w:tcW w:w="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5D704E">
            <w:pPr>
              <w:snapToGrid w:val="0"/>
              <w:jc w:val="center"/>
              <w:rPr>
                <w:rFonts w:ascii="Arial" w:hAnsi="Arial" w:eastAsia="宋体" w:cs="Arial"/>
                <w:color w:val="000000"/>
                <w:sz w:val="21"/>
                <w:szCs w:val="21"/>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8AFC0">
            <w:pPr>
              <w:snapToGrid w:val="0"/>
              <w:jc w:val="center"/>
            </w:pPr>
          </w:p>
        </w:tc>
        <w:tc>
          <w:tcPr>
            <w:tcW w:w="5585" w:type="dxa"/>
            <w:tcBorders>
              <w:top w:val="single" w:color="000000" w:sz="4" w:space="0"/>
              <w:left w:val="single" w:color="000000" w:sz="4" w:space="0"/>
              <w:bottom w:val="single" w:color="000000" w:sz="4" w:space="0"/>
              <w:right w:val="single" w:color="000000" w:sz="4" w:space="0"/>
            </w:tcBorders>
            <w:noWrap w:val="0"/>
            <w:vAlign w:val="center"/>
          </w:tcPr>
          <w:p w14:paraId="05A11FEA">
            <w:pPr>
              <w:widowControl/>
              <w:snapToGrid w:val="0"/>
              <w:textAlignment w:val="center"/>
              <w:rPr>
                <w:rFonts w:ascii="Arial" w:hAnsi="Arial" w:eastAsia="宋体" w:cs="Arial"/>
                <w:color w:val="000000"/>
                <w:sz w:val="21"/>
                <w:szCs w:val="21"/>
              </w:rPr>
            </w:pPr>
            <w:r>
              <w:rPr>
                <w:rStyle w:val="18"/>
                <w:rFonts w:hint="default" w:hAnsi="Arial"/>
                <w:lang w:bidi="ar"/>
              </w:rPr>
              <w:t>（</w:t>
            </w:r>
            <w:r>
              <w:rPr>
                <w:rStyle w:val="16"/>
                <w:rFonts w:eastAsia="宋体"/>
                <w:lang w:bidi="ar"/>
              </w:rPr>
              <w:t>7</w:t>
            </w:r>
            <w:r>
              <w:rPr>
                <w:rStyle w:val="18"/>
                <w:rFonts w:hint="default" w:hAnsi="Arial"/>
                <w:lang w:bidi="ar"/>
              </w:rPr>
              <w:t>）未按要求配置消防设施设备、或未按要求进行检查（点检）、车辆或特种设备故障或未及时校验。</w:t>
            </w:r>
          </w:p>
        </w:tc>
        <w:tc>
          <w:tcPr>
            <w:tcW w:w="2772" w:type="dxa"/>
            <w:tcBorders>
              <w:top w:val="single" w:color="000000" w:sz="4" w:space="0"/>
              <w:left w:val="single" w:color="000000" w:sz="4" w:space="0"/>
              <w:bottom w:val="single" w:color="000000" w:sz="4" w:space="0"/>
              <w:right w:val="single" w:color="000000" w:sz="4" w:space="0"/>
            </w:tcBorders>
            <w:noWrap w:val="0"/>
            <w:vAlign w:val="center"/>
          </w:tcPr>
          <w:p w14:paraId="7FC07946">
            <w:pPr>
              <w:widowControl/>
              <w:snapToGrid w:val="0"/>
              <w:jc w:val="center"/>
              <w:textAlignment w:val="center"/>
              <w:rPr>
                <w:rFonts w:ascii="Arial" w:hAnsi="Arial" w:eastAsia="宋体" w:cs="Arial"/>
                <w:color w:val="000000"/>
                <w:sz w:val="21"/>
                <w:szCs w:val="21"/>
              </w:rPr>
            </w:pPr>
            <w:r>
              <w:rPr>
                <w:rStyle w:val="16"/>
                <w:rFonts w:eastAsia="宋体"/>
                <w:lang w:bidi="ar"/>
              </w:rPr>
              <w:t>2000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0"/>
            <w:vAlign w:val="center"/>
          </w:tcPr>
          <w:p w14:paraId="6F0E702A">
            <w:pPr>
              <w:widowControl/>
              <w:snapToGrid w:val="0"/>
              <w:jc w:val="center"/>
              <w:textAlignment w:val="center"/>
              <w:rPr>
                <w:rFonts w:ascii="Arial" w:hAnsi="Arial" w:eastAsia="宋体" w:cs="Arial"/>
                <w:color w:val="000000"/>
                <w:sz w:val="21"/>
                <w:szCs w:val="21"/>
              </w:rPr>
            </w:pPr>
            <w:r>
              <w:rPr>
                <w:rStyle w:val="18"/>
                <w:rFonts w:hint="default" w:hAnsi="Arial"/>
                <w:lang w:bidi="ar"/>
              </w:rPr>
              <w:t>每次扣</w:t>
            </w:r>
            <w:r>
              <w:rPr>
                <w:rStyle w:val="16"/>
                <w:rFonts w:eastAsia="宋体"/>
                <w:lang w:bidi="ar"/>
              </w:rPr>
              <w:t>1</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40194415">
            <w:pPr>
              <w:snapToGrid w:val="0"/>
              <w:jc w:val="center"/>
              <w:rPr>
                <w:rFonts w:ascii="Arial" w:hAnsi="Arial" w:eastAsia="宋体" w:cs="Arial"/>
                <w:color w:val="000000"/>
                <w:sz w:val="21"/>
                <w:szCs w:val="21"/>
              </w:rPr>
            </w:pPr>
          </w:p>
        </w:tc>
        <w:tc>
          <w:tcPr>
            <w:tcW w:w="8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B8EBA5">
            <w:pPr>
              <w:snapToGrid w:val="0"/>
              <w:jc w:val="center"/>
              <w:rPr>
                <w:rFonts w:ascii="Arial" w:hAnsi="Arial" w:eastAsia="宋体" w:cs="Arial"/>
                <w:color w:val="000000"/>
                <w:sz w:val="21"/>
                <w:szCs w:val="21"/>
              </w:rPr>
            </w:pPr>
          </w:p>
        </w:tc>
      </w:tr>
      <w:tr w14:paraId="21ABB808">
        <w:tblPrEx>
          <w:tblCellMar>
            <w:top w:w="0" w:type="dxa"/>
            <w:left w:w="108" w:type="dxa"/>
            <w:bottom w:w="0" w:type="dxa"/>
            <w:right w:w="108" w:type="dxa"/>
          </w:tblCellMar>
        </w:tblPrEx>
        <w:tc>
          <w:tcPr>
            <w:tcW w:w="597" w:type="dxa"/>
            <w:vMerge w:val="continue"/>
            <w:tcBorders>
              <w:top w:val="single" w:color="000000" w:sz="4" w:space="0"/>
              <w:left w:val="single" w:color="000000" w:sz="4" w:space="0"/>
              <w:bottom w:val="single" w:color="000000" w:sz="4" w:space="0"/>
              <w:right w:val="single" w:color="000000" w:sz="4" w:space="0"/>
            </w:tcBorders>
            <w:noWrap/>
            <w:vAlign w:val="center"/>
          </w:tcPr>
          <w:p w14:paraId="3672DE1C">
            <w:pPr>
              <w:snapToGrid w:val="0"/>
              <w:jc w:val="center"/>
              <w:rPr>
                <w:rFonts w:hint="eastAsia" w:ascii="宋体" w:hAnsi="宋体" w:eastAsia="宋体"/>
                <w:color w:val="000000"/>
                <w:sz w:val="22"/>
                <w:szCs w:val="22"/>
              </w:rPr>
            </w:pPr>
          </w:p>
        </w:tc>
        <w:tc>
          <w:tcPr>
            <w:tcW w:w="1639" w:type="dxa"/>
            <w:vMerge w:val="continue"/>
            <w:tcBorders>
              <w:top w:val="single" w:color="000000" w:sz="4" w:space="0"/>
              <w:left w:val="single" w:color="000000" w:sz="4" w:space="0"/>
              <w:bottom w:val="single" w:color="000000" w:sz="4" w:space="0"/>
              <w:right w:val="single" w:color="000000" w:sz="4" w:space="0"/>
            </w:tcBorders>
            <w:noWrap/>
            <w:vAlign w:val="center"/>
          </w:tcPr>
          <w:p w14:paraId="2E586217">
            <w:pPr>
              <w:snapToGrid w:val="0"/>
              <w:jc w:val="center"/>
            </w:pPr>
          </w:p>
        </w:tc>
        <w:tc>
          <w:tcPr>
            <w:tcW w:w="5585" w:type="dxa"/>
            <w:tcBorders>
              <w:top w:val="single" w:color="000000" w:sz="4" w:space="0"/>
              <w:left w:val="single" w:color="000000" w:sz="4" w:space="0"/>
              <w:bottom w:val="single" w:color="000000" w:sz="4" w:space="0"/>
              <w:right w:val="single" w:color="000000" w:sz="4" w:space="0"/>
            </w:tcBorders>
            <w:noWrap/>
            <w:vAlign w:val="center"/>
          </w:tcPr>
          <w:p w14:paraId="3BC88076">
            <w:pPr>
              <w:widowControl/>
              <w:snapToGrid w:val="0"/>
              <w:textAlignment w:val="center"/>
            </w:pPr>
            <w:r>
              <w:rPr>
                <w:rStyle w:val="18"/>
                <w:rFonts w:hint="default" w:hAnsi="Arial"/>
                <w:lang w:bidi="ar"/>
              </w:rPr>
              <w:t>（</w:t>
            </w:r>
            <w:r>
              <w:rPr>
                <w:rStyle w:val="16"/>
                <w:rFonts w:eastAsia="宋体"/>
                <w:lang w:bidi="ar"/>
              </w:rPr>
              <w:t>8</w:t>
            </w:r>
            <w:r>
              <w:rPr>
                <w:rStyle w:val="18"/>
                <w:rFonts w:hint="default" w:hAnsi="Arial"/>
                <w:lang w:bidi="ar"/>
              </w:rPr>
              <w:t>）发生安全生产事故（事件）、偷倒土或建筑垃圾。</w:t>
            </w:r>
          </w:p>
        </w:tc>
        <w:tc>
          <w:tcPr>
            <w:tcW w:w="2772" w:type="dxa"/>
            <w:tcBorders>
              <w:top w:val="single" w:color="000000" w:sz="4" w:space="0"/>
              <w:left w:val="single" w:color="000000" w:sz="4" w:space="0"/>
              <w:bottom w:val="single" w:color="000000" w:sz="4" w:space="0"/>
              <w:right w:val="single" w:color="000000" w:sz="4" w:space="0"/>
            </w:tcBorders>
            <w:noWrap/>
            <w:vAlign w:val="center"/>
          </w:tcPr>
          <w:p w14:paraId="586BD423">
            <w:pPr>
              <w:widowControl/>
              <w:snapToGrid w:val="0"/>
              <w:jc w:val="center"/>
              <w:textAlignment w:val="center"/>
            </w:pPr>
            <w:r>
              <w:rPr>
                <w:rStyle w:val="16"/>
                <w:rFonts w:hint="eastAsia" w:ascii="Arial" w:hAnsi="Arial" w:eastAsia="宋体" w:cs="Arial"/>
                <w:i w:val="0"/>
                <w:iCs w:val="0"/>
                <w:lang w:val="en-US" w:eastAsia="zh-CN" w:bidi="ar"/>
              </w:rPr>
              <w:t>30000</w:t>
            </w:r>
            <w:r>
              <w:rPr>
                <w:rStyle w:val="18"/>
                <w:rFonts w:hint="default" w:hAnsi="Arial"/>
                <w:lang w:bidi="ar"/>
              </w:rPr>
              <w:t>元</w:t>
            </w:r>
            <w:r>
              <w:rPr>
                <w:rStyle w:val="16"/>
                <w:rFonts w:eastAsia="宋体"/>
                <w:lang w:bidi="ar"/>
              </w:rPr>
              <w:t>/</w:t>
            </w:r>
            <w:r>
              <w:rPr>
                <w:rStyle w:val="18"/>
                <w:rFonts w:hint="default" w:hAnsi="Arial"/>
                <w:lang w:bidi="ar"/>
              </w:rPr>
              <w:t>次</w:t>
            </w:r>
          </w:p>
        </w:tc>
        <w:tc>
          <w:tcPr>
            <w:tcW w:w="1886" w:type="dxa"/>
            <w:tcBorders>
              <w:top w:val="single" w:color="000000" w:sz="4" w:space="0"/>
              <w:left w:val="single" w:color="000000" w:sz="4" w:space="0"/>
              <w:bottom w:val="single" w:color="000000" w:sz="4" w:space="0"/>
              <w:right w:val="single" w:color="000000" w:sz="4" w:space="0"/>
            </w:tcBorders>
            <w:noWrap/>
            <w:vAlign w:val="center"/>
          </w:tcPr>
          <w:p w14:paraId="27E65D27">
            <w:pPr>
              <w:widowControl/>
              <w:snapToGrid w:val="0"/>
              <w:jc w:val="center"/>
              <w:textAlignment w:val="center"/>
            </w:pPr>
            <w:r>
              <w:rPr>
                <w:rStyle w:val="18"/>
                <w:rFonts w:hint="default" w:hAnsi="Arial"/>
                <w:lang w:bidi="ar"/>
              </w:rPr>
              <w:t>每件扣</w:t>
            </w:r>
            <w:r>
              <w:rPr>
                <w:rStyle w:val="16"/>
                <w:rFonts w:eastAsia="宋体"/>
                <w:lang w:bidi="ar"/>
              </w:rPr>
              <w:t>5</w:t>
            </w:r>
            <w:r>
              <w:rPr>
                <w:rStyle w:val="18"/>
                <w:rFonts w:hint="default" w:hAnsi="Arial"/>
                <w:lang w:bidi="ar"/>
              </w:rPr>
              <w:t>分</w:t>
            </w:r>
          </w:p>
        </w:tc>
        <w:tc>
          <w:tcPr>
            <w:tcW w:w="834" w:type="dxa"/>
            <w:tcBorders>
              <w:top w:val="single" w:color="000000" w:sz="4" w:space="0"/>
              <w:left w:val="single" w:color="000000" w:sz="4" w:space="0"/>
              <w:bottom w:val="single" w:color="000000" w:sz="4" w:space="0"/>
              <w:right w:val="single" w:color="000000" w:sz="4" w:space="0"/>
            </w:tcBorders>
            <w:noWrap/>
            <w:vAlign w:val="center"/>
          </w:tcPr>
          <w:p w14:paraId="60C3F5DC">
            <w:pPr>
              <w:snapToGrid w:val="0"/>
              <w:jc w:val="center"/>
            </w:pPr>
          </w:p>
        </w:tc>
        <w:tc>
          <w:tcPr>
            <w:tcW w:w="861" w:type="dxa"/>
            <w:vMerge w:val="continue"/>
            <w:tcBorders>
              <w:top w:val="single" w:color="000000" w:sz="4" w:space="0"/>
              <w:left w:val="single" w:color="000000" w:sz="4" w:space="0"/>
              <w:bottom w:val="single" w:color="000000" w:sz="4" w:space="0"/>
              <w:right w:val="single" w:color="000000" w:sz="4" w:space="0"/>
            </w:tcBorders>
            <w:noWrap/>
            <w:vAlign w:val="center"/>
          </w:tcPr>
          <w:p w14:paraId="3BB1FCEC">
            <w:pPr>
              <w:snapToGrid w:val="0"/>
              <w:jc w:val="center"/>
            </w:pPr>
          </w:p>
        </w:tc>
      </w:tr>
    </w:tbl>
    <w:p w14:paraId="0EAC9FAB">
      <w:pPr>
        <w:widowControl/>
        <w:snapToGrid w:val="0"/>
        <w:jc w:val="left"/>
        <w:textAlignment w:val="center"/>
        <w:rPr>
          <w:rFonts w:hint="eastAsia" w:ascii="宋体" w:hAnsi="宋体" w:eastAsia="宋体"/>
          <w:color w:val="000000"/>
          <w:sz w:val="22"/>
          <w:szCs w:val="22"/>
          <w:lang w:bidi="ar"/>
        </w:rPr>
      </w:pPr>
    </w:p>
    <w:p w14:paraId="5F2A67E4">
      <w:pPr>
        <w:widowControl/>
        <w:snapToGrid w:val="0"/>
        <w:jc w:val="left"/>
        <w:textAlignment w:val="center"/>
        <w:rPr>
          <w:rStyle w:val="19"/>
          <w:rFonts w:hint="default"/>
          <w:lang w:bidi="ar"/>
        </w:rPr>
      </w:pPr>
      <w:r>
        <w:rPr>
          <w:rFonts w:hint="eastAsia" w:ascii="宋体" w:hAnsi="宋体" w:eastAsia="宋体"/>
          <w:color w:val="000000"/>
          <w:sz w:val="22"/>
          <w:szCs w:val="22"/>
          <w:lang w:bidi="ar"/>
        </w:rPr>
        <w:t>考核部门（签字盖章）：</w:t>
      </w:r>
      <w:r>
        <w:rPr>
          <w:rStyle w:val="19"/>
          <w:rFonts w:hint="default"/>
          <w:lang w:bidi="ar"/>
        </w:rPr>
        <w:t xml:space="preserve">        </w:t>
      </w:r>
      <w:r>
        <w:rPr>
          <w:rStyle w:val="19"/>
          <w:lang w:bidi="ar"/>
        </w:rPr>
        <w:t xml:space="preserve">                                               </w:t>
      </w:r>
      <w:r>
        <w:rPr>
          <w:rStyle w:val="20"/>
          <w:rFonts w:hint="default"/>
          <w:lang w:bidi="ar"/>
        </w:rPr>
        <w:t>承包企业（签字盖章）：</w:t>
      </w:r>
      <w:r>
        <w:rPr>
          <w:rStyle w:val="19"/>
          <w:rFonts w:hint="default"/>
          <w:lang w:bidi="ar"/>
        </w:rPr>
        <w:t xml:space="preserve">    </w:t>
      </w:r>
    </w:p>
    <w:p w14:paraId="1C89FD58">
      <w:pPr>
        <w:spacing w:line="360" w:lineRule="auto"/>
        <w:ind w:firstLine="420" w:firstLineChars="200"/>
        <w:outlineLvl w:val="1"/>
        <w:rPr>
          <w:rFonts w:hint="eastAsia" w:ascii="宋体" w:hAnsi="宋体" w:eastAsia="宋体" w:cs="宋体"/>
          <w:bCs/>
          <w:szCs w:val="21"/>
        </w:rPr>
      </w:pPr>
    </w:p>
    <w:sectPr>
      <w:pgSz w:w="16838" w:h="11906" w:orient="landscape"/>
      <w:pgMar w:top="1440" w:right="1803" w:bottom="1440" w:left="1803"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Microsoft YaHei ΢ȭхڢ  ڌ墠 ˎ̥">
    <w:altName w:val="宋体"/>
    <w:panose1 w:val="00000000000000000000"/>
    <w:charset w:val="86"/>
    <w:family w:val="roma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wZTllZTdlZDkyZjgxNWRhMDQ0YTZjYzY3MWM1ZDgifQ=="/>
  </w:docVars>
  <w:rsids>
    <w:rsidRoot w:val="13EB0069"/>
    <w:rsid w:val="0018583A"/>
    <w:rsid w:val="002D667C"/>
    <w:rsid w:val="0032717A"/>
    <w:rsid w:val="00344935"/>
    <w:rsid w:val="00411CA3"/>
    <w:rsid w:val="004813AC"/>
    <w:rsid w:val="00551820"/>
    <w:rsid w:val="005F36B9"/>
    <w:rsid w:val="0061423E"/>
    <w:rsid w:val="006871E8"/>
    <w:rsid w:val="00922FD2"/>
    <w:rsid w:val="009B213D"/>
    <w:rsid w:val="00C37F59"/>
    <w:rsid w:val="00F62169"/>
    <w:rsid w:val="00F67A23"/>
    <w:rsid w:val="00FE495B"/>
    <w:rsid w:val="0101251B"/>
    <w:rsid w:val="01FD609D"/>
    <w:rsid w:val="02CB0381"/>
    <w:rsid w:val="055F1DBE"/>
    <w:rsid w:val="06110369"/>
    <w:rsid w:val="08326375"/>
    <w:rsid w:val="08DB14AF"/>
    <w:rsid w:val="0CCA1F93"/>
    <w:rsid w:val="0E1924B1"/>
    <w:rsid w:val="0EEA1757"/>
    <w:rsid w:val="0F16254C"/>
    <w:rsid w:val="10590088"/>
    <w:rsid w:val="11205E38"/>
    <w:rsid w:val="121C431D"/>
    <w:rsid w:val="13EB0069"/>
    <w:rsid w:val="1489354A"/>
    <w:rsid w:val="15041CE5"/>
    <w:rsid w:val="1B590390"/>
    <w:rsid w:val="1C456EE5"/>
    <w:rsid w:val="1C9E7D80"/>
    <w:rsid w:val="1D03365D"/>
    <w:rsid w:val="1D1D0F4A"/>
    <w:rsid w:val="1E311151"/>
    <w:rsid w:val="1E5170FD"/>
    <w:rsid w:val="1E780B2E"/>
    <w:rsid w:val="1EFA7188"/>
    <w:rsid w:val="1F8D60DA"/>
    <w:rsid w:val="20EF256A"/>
    <w:rsid w:val="22323D5B"/>
    <w:rsid w:val="224F3E0C"/>
    <w:rsid w:val="23ED01FE"/>
    <w:rsid w:val="24C83BFA"/>
    <w:rsid w:val="2532674F"/>
    <w:rsid w:val="25E66CC5"/>
    <w:rsid w:val="267114F9"/>
    <w:rsid w:val="26DD00C8"/>
    <w:rsid w:val="275639D6"/>
    <w:rsid w:val="28301C5D"/>
    <w:rsid w:val="2DBB27E5"/>
    <w:rsid w:val="30205B42"/>
    <w:rsid w:val="305A62E5"/>
    <w:rsid w:val="315E1E05"/>
    <w:rsid w:val="33305A23"/>
    <w:rsid w:val="33D7313B"/>
    <w:rsid w:val="33DD6487"/>
    <w:rsid w:val="347436ED"/>
    <w:rsid w:val="357E1601"/>
    <w:rsid w:val="35D00DF7"/>
    <w:rsid w:val="36481A4A"/>
    <w:rsid w:val="36687282"/>
    <w:rsid w:val="37E35AD9"/>
    <w:rsid w:val="39C7352F"/>
    <w:rsid w:val="3A946897"/>
    <w:rsid w:val="3C2B4FD9"/>
    <w:rsid w:val="3C3C0488"/>
    <w:rsid w:val="3E921340"/>
    <w:rsid w:val="3F1F7980"/>
    <w:rsid w:val="3FCA68B7"/>
    <w:rsid w:val="41B617E9"/>
    <w:rsid w:val="41EA0DF0"/>
    <w:rsid w:val="421266B2"/>
    <w:rsid w:val="422E666A"/>
    <w:rsid w:val="44DF240C"/>
    <w:rsid w:val="457277D5"/>
    <w:rsid w:val="457B2B2E"/>
    <w:rsid w:val="45DF699A"/>
    <w:rsid w:val="46056014"/>
    <w:rsid w:val="46654E39"/>
    <w:rsid w:val="472D60AA"/>
    <w:rsid w:val="496164DE"/>
    <w:rsid w:val="498C34A8"/>
    <w:rsid w:val="49DC3DB7"/>
    <w:rsid w:val="4B1A045A"/>
    <w:rsid w:val="4B254A30"/>
    <w:rsid w:val="4DA37507"/>
    <w:rsid w:val="4E473E45"/>
    <w:rsid w:val="516E1798"/>
    <w:rsid w:val="58D11793"/>
    <w:rsid w:val="59376BB9"/>
    <w:rsid w:val="5A3A3D2D"/>
    <w:rsid w:val="5AC544DA"/>
    <w:rsid w:val="5E574020"/>
    <w:rsid w:val="5EC436C0"/>
    <w:rsid w:val="5EF47842"/>
    <w:rsid w:val="5FDA624B"/>
    <w:rsid w:val="5FE569BD"/>
    <w:rsid w:val="602C4CF9"/>
    <w:rsid w:val="62D36AEA"/>
    <w:rsid w:val="63A117C5"/>
    <w:rsid w:val="65D07CD0"/>
    <w:rsid w:val="682A4A94"/>
    <w:rsid w:val="690A0FED"/>
    <w:rsid w:val="696D1EDE"/>
    <w:rsid w:val="697F233D"/>
    <w:rsid w:val="6A701C86"/>
    <w:rsid w:val="6D3166AC"/>
    <w:rsid w:val="6E8A6B0B"/>
    <w:rsid w:val="7093137E"/>
    <w:rsid w:val="71F34B64"/>
    <w:rsid w:val="724A3704"/>
    <w:rsid w:val="72AF2C72"/>
    <w:rsid w:val="72EE0533"/>
    <w:rsid w:val="74963F5A"/>
    <w:rsid w:val="74EB5EFA"/>
    <w:rsid w:val="77737259"/>
    <w:rsid w:val="77D953F3"/>
    <w:rsid w:val="78827754"/>
    <w:rsid w:val="7B997D90"/>
    <w:rsid w:val="7E48730F"/>
    <w:rsid w:val="7E520F7B"/>
    <w:rsid w:val="7E8352D0"/>
    <w:rsid w:val="7EDD01B5"/>
    <w:rsid w:val="7FD85E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眉 字符"/>
    <w:basedOn w:val="8"/>
    <w:link w:val="5"/>
    <w:qFormat/>
    <w:uiPriority w:val="0"/>
    <w:rPr>
      <w:kern w:val="2"/>
      <w:sz w:val="18"/>
      <w:szCs w:val="18"/>
    </w:rPr>
  </w:style>
  <w:style w:type="character" w:customStyle="1" w:styleId="11">
    <w:name w:val="页脚 字符"/>
    <w:basedOn w:val="8"/>
    <w:link w:val="4"/>
    <w:qFormat/>
    <w:uiPriority w:val="0"/>
    <w:rPr>
      <w:kern w:val="2"/>
      <w:sz w:val="18"/>
      <w:szCs w:val="18"/>
    </w:rPr>
  </w:style>
  <w:style w:type="character" w:customStyle="1" w:styleId="12">
    <w:name w:val="批注框文本 字符"/>
    <w:basedOn w:val="8"/>
    <w:link w:val="3"/>
    <w:qFormat/>
    <w:uiPriority w:val="0"/>
    <w:rPr>
      <w:kern w:val="2"/>
      <w:sz w:val="18"/>
      <w:szCs w:val="18"/>
    </w:rPr>
  </w:style>
  <w:style w:type="paragraph" w:customStyle="1" w:styleId="13">
    <w:name w:val="**正文"/>
    <w:basedOn w:val="1"/>
    <w:qFormat/>
    <w:uiPriority w:val="0"/>
    <w:pPr>
      <w:spacing w:line="360" w:lineRule="auto"/>
      <w:ind w:firstLine="480" w:firstLineChars="200"/>
    </w:pPr>
    <w:rPr>
      <w:kern w:val="0"/>
      <w:sz w:val="20"/>
      <w:szCs w:val="32"/>
    </w:rPr>
  </w:style>
  <w:style w:type="character" w:customStyle="1" w:styleId="14">
    <w:name w:val="font81"/>
    <w:qFormat/>
    <w:uiPriority w:val="0"/>
    <w:rPr>
      <w:rFonts w:hint="eastAsia" w:ascii="宋体" w:hAnsi="宋体" w:eastAsia="宋体" w:cs="宋体"/>
      <w:b/>
      <w:bCs/>
      <w:color w:val="000000"/>
      <w:sz w:val="36"/>
      <w:szCs w:val="36"/>
      <w:u w:val="none"/>
    </w:rPr>
  </w:style>
  <w:style w:type="character" w:customStyle="1" w:styleId="15">
    <w:name w:val="font31"/>
    <w:qFormat/>
    <w:uiPriority w:val="0"/>
    <w:rPr>
      <w:rFonts w:hint="default" w:ascii="Arial" w:hAnsi="Arial" w:cs="Arial"/>
      <w:color w:val="000000"/>
      <w:sz w:val="20"/>
      <w:szCs w:val="20"/>
      <w:u w:val="none"/>
    </w:rPr>
  </w:style>
  <w:style w:type="character" w:customStyle="1" w:styleId="16">
    <w:name w:val="font51"/>
    <w:qFormat/>
    <w:uiPriority w:val="0"/>
    <w:rPr>
      <w:rFonts w:hint="default" w:ascii="Arial" w:hAnsi="Arial" w:cs="Arial"/>
      <w:b/>
      <w:bCs/>
      <w:color w:val="000000"/>
      <w:sz w:val="20"/>
      <w:szCs w:val="20"/>
      <w:u w:val="none"/>
    </w:rPr>
  </w:style>
  <w:style w:type="character" w:customStyle="1" w:styleId="17">
    <w:name w:val="font91"/>
    <w:qFormat/>
    <w:uiPriority w:val="0"/>
    <w:rPr>
      <w:rFonts w:ascii="仿宋_GB2312" w:eastAsia="仿宋_GB2312" w:cs="仿宋_GB2312"/>
      <w:b/>
      <w:bCs/>
      <w:color w:val="000000"/>
      <w:sz w:val="21"/>
      <w:szCs w:val="21"/>
      <w:u w:val="none"/>
    </w:rPr>
  </w:style>
  <w:style w:type="character" w:customStyle="1" w:styleId="18">
    <w:name w:val="font61"/>
    <w:qFormat/>
    <w:uiPriority w:val="0"/>
    <w:rPr>
      <w:rFonts w:hint="eastAsia" w:ascii="仿宋" w:hAnsi="仿宋" w:eastAsia="仿宋" w:cs="仿宋"/>
      <w:color w:val="000000"/>
      <w:sz w:val="20"/>
      <w:szCs w:val="20"/>
      <w:u w:val="none"/>
    </w:rPr>
  </w:style>
  <w:style w:type="character" w:customStyle="1" w:styleId="19">
    <w:name w:val="font11"/>
    <w:qFormat/>
    <w:uiPriority w:val="0"/>
    <w:rPr>
      <w:rFonts w:hint="eastAsia" w:ascii="宋体" w:hAnsi="宋体" w:eastAsia="宋体" w:cs="宋体"/>
      <w:color w:val="000000"/>
      <w:sz w:val="24"/>
      <w:szCs w:val="24"/>
      <w:u w:val="none"/>
    </w:rPr>
  </w:style>
  <w:style w:type="character" w:customStyle="1" w:styleId="20">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92404-CD8D-4199-8C25-E3892B9D5E5C}">
  <ds:schemaRefs/>
</ds:datastoreItem>
</file>

<file path=docProps/app.xml><?xml version="1.0" encoding="utf-8"?>
<Properties xmlns="http://schemas.openxmlformats.org/officeDocument/2006/extended-properties" xmlns:vt="http://schemas.openxmlformats.org/officeDocument/2006/docPropsVTypes">
  <Template>Normal</Template>
  <Pages>9</Pages>
  <Words>6491</Words>
  <Characters>6889</Characters>
  <Lines>21</Lines>
  <Paragraphs>6</Paragraphs>
  <TotalTime>9</TotalTime>
  <ScaleCrop>false</ScaleCrop>
  <LinksUpToDate>false</LinksUpToDate>
  <CharactersWithSpaces>7127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2023-10-20T02:13:00Z</dcterms:created>
  <dc:creator>苏州卫康招标代理公司</dc:creator>
  <cp:lastModifiedBy>jjmm</cp:lastModifiedBy>
  <dcterms:modified xsi:type="dcterms:W3CDTF">2026-07-27T06:18:10Z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34520A46AB2340FEA37B4A1A443F98D9_13</vt:lpwstr>
  </property>
  <property fmtid="{D5CDD505-2E9C-101B-9397-08002B2CF9AE}" pid="4" name="KSOTemplateDocerSaveRecord">
    <vt:lpwstr>eyJoZGlkIjoiODViY2JkMjU3NGYzZTEwMzZmMGFkZWViYmNkYWU3NDIiLCJ1c2VySWQiOiI1ODQxNjY5NTAifQ==</vt:lpwstr>
  </property>
</Properties>
</file>