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ind w:firstLine="0"/>
        <w:rPr>
          <w:rFonts w:hint="eastAsia" w:eastAsia="黑体"/>
          <w:b/>
          <w:bCs/>
          <w:sz w:val="84"/>
        </w:rPr>
      </w:pPr>
      <w:r>
        <w:rPr>
          <w:rFonts w:hint="eastAsia" w:eastAsia="黑体"/>
          <w:b/>
          <w:bCs/>
          <w:sz w:val="84"/>
        </w:rPr>
      </w:r>
      <w:r/>
    </w:p>
    <w:p>
      <w:pPr>
        <w:pStyle w:val="784"/>
        <w:ind w:firstLine="0"/>
        <w:jc w:val="center"/>
        <w:rPr>
          <w:rFonts w:hint="eastAsia" w:eastAsia="黑体"/>
          <w:b/>
          <w:bCs/>
          <w:sz w:val="84"/>
        </w:rPr>
      </w:pPr>
      <w:r>
        <w:rPr>
          <w:rFonts w:hint="eastAsia" w:eastAsia="黑体"/>
          <w:b/>
          <w:bCs/>
          <w:sz w:val="84"/>
        </w:rPr>
        <w:t xml:space="preserve">招　标　文　件</w:t>
      </w:r>
      <w:r/>
    </w:p>
    <w:p>
      <w:pPr>
        <w:pStyle w:val="784"/>
        <w:ind w:firstLine="0"/>
        <w:rPr>
          <w:rFonts w:hint="eastAsia"/>
          <w:b/>
          <w:bCs/>
          <w:sz w:val="32"/>
        </w:rPr>
      </w:pPr>
      <w:r>
        <w:rPr>
          <w:rFonts w:hint="eastAsia"/>
          <w:b/>
          <w:bCs/>
          <w:sz w:val="32"/>
        </w:rPr>
      </w:r>
      <w:r/>
    </w:p>
    <w:p>
      <w:pPr>
        <w:pStyle w:val="784"/>
        <w:jc w:val="center"/>
        <w:rPr>
          <w:rFonts w:hint="eastAsia"/>
          <w:b/>
          <w:bCs/>
          <w:sz w:val="32"/>
        </w:rPr>
      </w:pPr>
      <w:r>
        <w:rPr>
          <w:rFonts w:hint="eastAsia"/>
          <w:b/>
          <w:bCs/>
          <w:sz w:val="32"/>
        </w:rPr>
        <w:t xml:space="preserve">项目名称：</w:t>
      </w:r>
      <w:r>
        <w:rPr>
          <w:rFonts w:hint="eastAsia"/>
          <w:b/>
          <w:bCs/>
          <w:sz w:val="28"/>
          <w:szCs w:val="28"/>
        </w:rPr>
        <w:t xml:space="preserve">省中医院宫颈细胞学人工智能辅助诊断系统</w:t>
      </w:r>
      <w:r>
        <w:rPr>
          <w:rFonts w:hint="eastAsia"/>
          <w:b/>
          <w:bCs/>
          <w:sz w:val="32"/>
        </w:rPr>
      </w:r>
      <w:r/>
    </w:p>
    <w:p>
      <w:pPr>
        <w:pStyle w:val="692"/>
        <w:ind w:firstLine="1606"/>
        <w:rPr>
          <w:b/>
          <w:sz w:val="30"/>
          <w:szCs w:val="30"/>
        </w:rPr>
      </w:pPr>
      <w:r>
        <w:rPr>
          <w:rFonts w:hint="eastAsia"/>
          <w:b/>
          <w:bCs/>
          <w:sz w:val="32"/>
        </w:rPr>
        <w:t xml:space="preserve">采购编号：</w:t>
      </w:r>
      <w:r>
        <w:rPr>
          <w:b/>
          <w:bCs/>
          <w:sz w:val="32"/>
        </w:rPr>
        <w:t xml:space="preserve">JSZC-320000-SCZX-G2026-0270</w:t>
      </w:r>
      <w:r>
        <w:rPr>
          <w:rFonts w:hint="eastAsia"/>
        </w:rPr>
        <w:t xml:space="preserve">      </w:t>
      </w:r>
      <w:r>
        <w:rPr>
          <w:rFonts w:hint="eastAsia"/>
          <w:b/>
          <w:sz w:val="30"/>
          <w:szCs w:val="30"/>
        </w:rPr>
        <w:t xml:space="preserve">   </w:t>
      </w:r>
      <w:r>
        <w:t xml:space="preserve">  </w:t>
      </w:r>
      <w:r>
        <w:rPr>
          <w:b/>
          <w:sz w:val="30"/>
          <w:szCs w:val="30"/>
        </w:rPr>
        <w:t xml:space="preserve"> </w:t>
      </w:r>
      <w:r/>
    </w:p>
    <w:p>
      <w:pPr>
        <w:pStyle w:val="692"/>
        <w:ind w:left="2811" w:hanging="2811"/>
        <w:jc w:val="center"/>
        <w:rPr>
          <w:rFonts w:hint="eastAsia"/>
          <w:b/>
          <w:sz w:val="28"/>
          <w:szCs w:val="28"/>
        </w:rPr>
      </w:pPr>
      <w:r>
        <w:rPr>
          <w:rFonts w:hint="eastAsia"/>
          <w:b/>
          <w:sz w:val="28"/>
          <w:szCs w:val="28"/>
        </w:rPr>
      </w:r>
      <w:r/>
    </w:p>
    <w:p>
      <w:pPr>
        <w:pStyle w:val="784"/>
        <w:ind w:firstLine="0"/>
        <w:spacing w:before="0" w:after="0"/>
        <w:rPr>
          <w:rFonts w:hint="eastAsia" w:ascii="宋体" w:hAnsi="宋体"/>
        </w:rPr>
      </w:pPr>
      <w:r>
        <w:rPr>
          <w:rFonts w:hint="eastAsia" w:ascii="宋体" w:hAnsi="宋体"/>
        </w:rPr>
      </w:r>
      <w:r/>
    </w:p>
    <w:p>
      <w:pPr>
        <w:pStyle w:val="784"/>
        <w:ind w:firstLine="0"/>
        <w:spacing w:before="0" w:after="0"/>
        <w:rPr>
          <w:rFonts w:hint="eastAsia" w:ascii="宋体" w:hAnsi="宋体"/>
        </w:rPr>
      </w:pPr>
      <w:r>
        <w:rPr>
          <w:rFonts w:hint="eastAsia" w:ascii="宋体" w:hAnsi="宋体"/>
        </w:rPr>
      </w:r>
      <w:r/>
    </w:p>
    <w:p>
      <w:pPr>
        <w:pStyle w:val="784"/>
        <w:ind w:firstLine="0"/>
        <w:spacing w:before="0" w:after="0"/>
        <w:rPr>
          <w:rFonts w:hint="eastAsia" w:ascii="宋体" w:hAnsi="宋体"/>
        </w:rPr>
      </w:pPr>
      <w:r>
        <w:rPr>
          <w:rFonts w:hint="eastAsia" w:ascii="宋体" w:hAnsi="宋体"/>
        </w:rPr>
      </w:r>
      <w:r/>
    </w:p>
    <w:p>
      <w:pPr>
        <w:pStyle w:val="784"/>
        <w:ind w:firstLine="0"/>
        <w:spacing w:before="0" w:after="0"/>
        <w:rPr>
          <w:rFonts w:hint="eastAsia" w:ascii="宋体" w:hAnsi="宋体"/>
        </w:rPr>
      </w:pPr>
      <w:r>
        <w:rPr>
          <w:rFonts w:hint="eastAsia" w:ascii="宋体" w:hAnsi="宋体"/>
        </w:rPr>
      </w:r>
      <w:r/>
    </w:p>
    <w:p>
      <w:pPr>
        <w:pStyle w:val="784"/>
        <w:ind w:firstLine="0"/>
        <w:spacing w:before="0" w:after="0"/>
        <w:rPr>
          <w:rFonts w:hint="eastAsia" w:ascii="宋体" w:hAnsi="宋体"/>
        </w:rPr>
      </w:pPr>
      <w:r>
        <w:rPr>
          <w:rFonts w:hint="eastAsia" w:ascii="宋体" w:hAnsi="宋体"/>
        </w:rPr>
      </w:r>
      <w:r/>
    </w:p>
    <w:p>
      <w:pPr>
        <w:pStyle w:val="784"/>
        <w:ind w:firstLine="0"/>
        <w:spacing w:before="0" w:after="0"/>
        <w:rPr>
          <w:rFonts w:hint="eastAsia" w:ascii="宋体" w:hAnsi="宋体"/>
        </w:rPr>
      </w:pPr>
      <w:r>
        <w:rPr>
          <w:rFonts w:hint="eastAsia" w:ascii="宋体" w:hAnsi="宋体"/>
        </w:rPr>
      </w:r>
      <w:r/>
    </w:p>
    <w:p>
      <w:pPr>
        <w:pStyle w:val="784"/>
        <w:ind w:firstLine="0"/>
        <w:spacing w:before="0" w:after="0"/>
        <w:rPr>
          <w:rFonts w:hint="eastAsia" w:ascii="宋体" w:hAnsi="宋体"/>
        </w:rPr>
      </w:pPr>
      <w:r>
        <w:rPr>
          <w:rFonts w:hint="eastAsia" w:ascii="宋体" w:hAnsi="宋体"/>
        </w:rPr>
      </w:r>
      <w:r/>
    </w:p>
    <w:p>
      <w:pPr>
        <w:pStyle w:val="784"/>
        <w:ind w:firstLine="0"/>
        <w:jc w:val="center"/>
        <w:rPr>
          <w:rFonts w:hint="eastAsia"/>
          <w:b/>
          <w:bCs/>
          <w:sz w:val="32"/>
        </w:rPr>
      </w:pPr>
      <w:r>
        <w:rPr>
          <w:rFonts w:hint="eastAsia"/>
          <w:b/>
          <w:bCs/>
          <w:sz w:val="32"/>
        </w:rPr>
        <w:t xml:space="preserve">江苏省政府采购中心</w:t>
      </w:r>
      <w:r/>
    </w:p>
    <w:p>
      <w:pPr>
        <w:pStyle w:val="784"/>
        <w:ind w:firstLine="0"/>
        <w:jc w:val="center"/>
        <w:rPr>
          <w:rFonts w:hint="eastAsia"/>
          <w:b/>
          <w:bCs/>
          <w:sz w:val="32"/>
        </w:rPr>
      </w:pPr>
      <w:r>
        <w:rPr>
          <w:rFonts w:hint="eastAsia"/>
          <w:b/>
          <w:bCs/>
          <w:sz w:val="32"/>
        </w:rPr>
        <w:t xml:space="preserve">2026年7月</w:t>
      </w:r>
      <w:r/>
    </w:p>
    <w:p>
      <w:pPr>
        <w:pStyle w:val="784"/>
        <w:ind w:firstLine="0"/>
        <w:rPr>
          <w:rFonts w:hint="eastAsia"/>
          <w:u w:val="single"/>
        </w:rPr>
      </w:pPr>
      <w:r>
        <w:rPr>
          <w:rFonts w:hint="eastAsia"/>
        </w:rPr>
        <w:t xml:space="preserve">                        </w:t>
      </w:r>
      <w:r>
        <w:rPr>
          <w:rFonts w:hint="eastAsia"/>
          <w:u w:val="single"/>
        </w:rPr>
      </w:r>
      <w:r/>
    </w:p>
    <w:p>
      <w:pPr>
        <w:pStyle w:val="784"/>
        <w:ind w:firstLine="0"/>
        <w:jc w:val="center"/>
        <w:rPr>
          <w:rFonts w:hint="eastAsia"/>
        </w:rPr>
      </w:pPr>
      <w:r>
        <w:rPr>
          <w:rFonts w:hint="eastAsia"/>
        </w:rPr>
      </w:r>
      <w:r/>
    </w:p>
    <w:p>
      <w:pPr>
        <w:pStyle w:val="692"/>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rPr>
        <w:t xml:space="preserve"> </w:t>
      </w:r>
      <w:r>
        <w:rPr>
          <w:rFonts w:hint="eastAsia" w:ascii="黑体" w:hAnsi="Arial" w:eastAsia="黑体"/>
          <w:b/>
          <w:sz w:val="44"/>
        </w:rPr>
        <w:t xml:space="preserve">总  目  录</w:t>
      </w:r>
      <w:r/>
    </w:p>
    <w:p>
      <w:pPr>
        <w:pStyle w:val="692"/>
        <w:spacing w:line="480" w:lineRule="auto"/>
        <w:rPr>
          <w:rFonts w:hint="eastAsia" w:ascii="仿宋_GB2312" w:hAnsi="Arial" w:eastAsia="仿宋_GB2312"/>
          <w:b/>
          <w:sz w:val="28"/>
        </w:rPr>
      </w:pPr>
      <w:r>
        <w:rPr>
          <w:rFonts w:hint="eastAsia" w:ascii="仿宋_GB2312" w:hAnsi="Arial" w:eastAsia="仿宋_GB2312"/>
          <w:b/>
          <w:sz w:val="28"/>
        </w:rPr>
      </w:r>
      <w:r/>
    </w:p>
    <w:p>
      <w:pPr>
        <w:pStyle w:val="69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t xml:space="preserve"> </w:t>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rPr>
          <w:rFonts w:hint="eastAsia" w:ascii="黑体" w:hAnsi="Showcard Gothic" w:eastAsia="黑体"/>
          <w:sz w:val="36"/>
        </w:rPr>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20</w:t>
      </w:r>
      <w:r>
        <w:rPr>
          <w:rFonts w:hint="eastAsia" w:ascii="黑体" w:hAnsi="Showcard Gothic" w:eastAsia="黑体"/>
          <w:sz w:val="36"/>
        </w:rPr>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29</w:t>
      </w:r>
      <w:r>
        <w:rPr>
          <w:rFonts w:hint="eastAsia" w:ascii="黑体" w:hAnsi="Showcard Gothic" w:eastAsia="黑体"/>
          <w:sz w:val="36"/>
        </w:rPr>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54</w:t>
      </w:r>
      <w:r>
        <w:rPr>
          <w:rFonts w:hint="eastAsia" w:ascii="黑体" w:hAnsi="Showcard Gothic" w:eastAsia="黑体"/>
          <w:sz w:val="36"/>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2"/>
        <w:ind w:firstLine="480"/>
        <w:spacing w:line="400" w:lineRule="exact"/>
        <w:rPr>
          <w:rFonts w:ascii="宋体" w:hAnsi="宋体"/>
          <w:sz w:val="24"/>
          <w:szCs w:val="24"/>
        </w:rPr>
      </w:pPr>
      <w:r>
        <w:rPr>
          <w:rFonts w:hint="eastAsia" w:ascii="宋体" w:hAnsi="宋体"/>
          <w:sz w:val="24"/>
          <w:szCs w:val="24"/>
        </w:rPr>
        <w:t xml:space="preserve">受江苏省中医院的委托，江苏省政府采购中心就省中医院宫颈细胞学人工智能辅助诊断系统(</w:t>
      </w:r>
      <w:r>
        <w:rPr>
          <w:rFonts w:ascii="宋体" w:hAnsi="宋体"/>
          <w:sz w:val="24"/>
          <w:szCs w:val="24"/>
        </w:rPr>
        <w:t xml:space="preserve">JSZC-320000-SCZX-G2026-0270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92"/>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92"/>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省中医院宫颈细胞学人工智能辅助诊断系统</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年8</w:t>
      </w:r>
      <w:r>
        <w:rPr>
          <w:rFonts w:hint="eastAsia" w:ascii="宋体" w:hAnsi="宋体"/>
          <w:bCs/>
          <w:sz w:val="24"/>
          <w:szCs w:val="24"/>
          <w:u w:val="single"/>
        </w:rPr>
        <w:t xml:space="preserve">月26日09点30分（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95"/>
        <w:ind w:firstLine="498"/>
        <w:spacing w:before="145" w:after="145" w:line="400" w:lineRule="exact"/>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692"/>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JSZC-320000-SCZX-G2026-0270</w:t>
      </w:r>
      <w:r>
        <w:rPr>
          <w:rFonts w:hint="eastAsia" w:ascii="宋体" w:hAnsi="宋体"/>
          <w:sz w:val="24"/>
          <w:szCs w:val="24"/>
        </w:rPr>
        <w:t xml:space="preserve"> </w:t>
      </w:r>
      <w:r>
        <w:rPr>
          <w:rFonts w:ascii="宋体" w:hAnsi="宋体"/>
          <w:sz w:val="24"/>
          <w:szCs w:val="24"/>
        </w:rPr>
      </w:r>
      <w:r/>
    </w:p>
    <w:p>
      <w:pPr>
        <w:pStyle w:val="692"/>
        <w:ind w:firstLine="480"/>
        <w:spacing w:line="400" w:lineRule="exact"/>
        <w:rPr>
          <w:rFonts w:ascii="宋体" w:hAnsi="宋体"/>
          <w:sz w:val="24"/>
          <w:szCs w:val="24"/>
        </w:rPr>
      </w:pPr>
      <w:r>
        <w:rPr>
          <w:rFonts w:hint="eastAsia" w:ascii="宋体" w:hAnsi="宋体"/>
          <w:sz w:val="24"/>
          <w:szCs w:val="24"/>
        </w:rPr>
        <w:t xml:space="preserve">2.项目名称：省中医院宫颈细胞学人工智能辅助诊断系统</w:t>
      </w:r>
      <w:r>
        <w:rPr>
          <w:rFonts w:ascii="宋体" w:hAnsi="宋体"/>
          <w:sz w:val="24"/>
          <w:szCs w:val="24"/>
        </w:rPr>
      </w:r>
      <w:r/>
    </w:p>
    <w:p>
      <w:pPr>
        <w:pStyle w:val="692"/>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92"/>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92"/>
              <w:jc w:val="center"/>
              <w:spacing w:line="400" w:lineRule="exact"/>
              <w:rPr>
                <w:rFonts w:ascii="宋体" w:hAnsi="宋体"/>
              </w:rPr>
            </w:pPr>
            <w:r>
              <w:rPr>
                <w:rFonts w:hint="eastAsia" w:ascii="宋体" w:hAnsi="宋体"/>
              </w:rPr>
              <w:t xml:space="preserve">40</w:t>
            </w:r>
            <w:r>
              <w:rPr>
                <w:rFonts w:ascii="宋体" w:hAnsi="宋体"/>
              </w:rPr>
            </w:r>
            <w:r/>
          </w:p>
        </w:tc>
      </w:tr>
    </w:tbl>
    <w:p>
      <w:pPr>
        <w:pStyle w:val="692"/>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692"/>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p>
          <w:p>
            <w:pPr>
              <w:pStyle w:val="692"/>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p>
        </w:tc>
        <w:tc>
          <w:tcPr>
            <w:tcW w:w="3135" w:type="dxa"/>
            <w:vAlign w:val="top"/>
            <w:textDirection w:val="lrTb"/>
            <w:noWrap w:val="false"/>
          </w:tcPr>
          <w:p>
            <w:pPr>
              <w:pStyle w:val="692"/>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p>
        </w:tc>
      </w:tr>
      <w:tr>
        <w:trPr/>
        <w:tc>
          <w:tcPr>
            <w:tcW w:w="1148" w:type="dxa"/>
            <w:vAlign w:val="top"/>
            <w:textDirection w:val="lrTb"/>
            <w:noWrap w:val="false"/>
          </w:tcPr>
          <w:p>
            <w:pPr>
              <w:pStyle w:val="692"/>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p>
        </w:tc>
        <w:tc>
          <w:tcPr>
            <w:tcW w:w="3135" w:type="dxa"/>
            <w:vAlign w:val="top"/>
            <w:textDirection w:val="lrTb"/>
            <w:noWrap w:val="false"/>
          </w:tcPr>
          <w:p>
            <w:pPr>
              <w:pStyle w:val="692"/>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35</w:t>
            </w:r>
            <w:r>
              <w:rPr>
                <w:rFonts w:ascii="方正魏碑_GBK" w:hAnsi="方正魏碑_GBK" w:eastAsia="方正魏碑_GBK" w:cs="方正魏碑_GBK"/>
                <w:sz w:val="24"/>
                <w:szCs w:val="24"/>
              </w:rPr>
            </w:r>
            <w:r/>
          </w:p>
        </w:tc>
      </w:tr>
    </w:tbl>
    <w:p>
      <w:pPr>
        <w:pStyle w:val="692"/>
        <w:numPr>
          <w:ilvl w:val="0"/>
          <w:numId w:val="5"/>
        </w:numPr>
        <w:ind w:firstLine="480"/>
        <w:spacing w:line="400" w:lineRule="exact"/>
        <w:tabs>
          <w:tab w:val="left" w:pos="312" w:leader="none"/>
        </w:tabs>
        <w:rPr>
          <w:rFonts w:hint="eastAsia" w:ascii="宋体" w:hAnsi="宋体"/>
          <w:sz w:val="24"/>
          <w:szCs w:val="24"/>
        </w:rPr>
      </w:pPr>
      <w:r>
        <w:rPr>
          <w:rFonts w:hint="eastAsia" w:ascii="宋体" w:hAnsi="宋体"/>
          <w:sz w:val="24"/>
          <w:szCs w:val="24"/>
        </w:rPr>
        <w:t xml:space="preserve">采购需求（简介）：</w:t>
      </w:r>
      <w:r>
        <w:rPr>
          <w:rFonts w:ascii="宋体" w:hAnsi="宋体"/>
          <w:sz w:val="24"/>
          <w:szCs w:val="24"/>
        </w:rPr>
        <w:t xml:space="preserve">本项目旨在采购一套功能全面、性能顶尖、具备医疗器械注册相关规范的细胞学AI诊断系统，涵盖细胞学全场景智能分析功能，辅助医疗机构病理科提升诊断效率与准确性，推动病理诊断数智化、标准化建设，满足临床高负荷诊断需求与长期技术扩展需求。</w:t>
      </w:r>
      <w:r>
        <w:rPr>
          <w:rFonts w:hint="eastAsia" w:ascii="宋体" w:hAnsi="宋体"/>
          <w:sz w:val="24"/>
          <w:szCs w:val="24"/>
        </w:rPr>
        <w:t xml:space="preserve">具体需求详见第四章。</w:t>
      </w:r>
      <w:r/>
    </w:p>
    <w:p>
      <w:pPr>
        <w:pStyle w:val="692"/>
        <w:ind w:firstLine="480"/>
        <w:spacing w:line="400" w:lineRule="exact"/>
        <w:rPr>
          <w:rFonts w:hint="eastAsia" w:ascii="宋体" w:hAnsi="宋体"/>
          <w:sz w:val="24"/>
          <w:szCs w:val="24"/>
          <w:u w:val="single"/>
        </w:rPr>
      </w:pPr>
      <w:r>
        <w:rPr>
          <w:rFonts w:hint="eastAsia" w:ascii="宋体" w:hAnsi="宋体"/>
          <w:sz w:val="24"/>
          <w:szCs w:val="24"/>
        </w:rPr>
        <w:t xml:space="preserve">6.合同履行期限：合同签订后90个工作日</w:t>
      </w:r>
      <w:r>
        <w:rPr>
          <w:rFonts w:hint="eastAsia" w:ascii="宋体" w:hAnsi="宋体"/>
          <w:sz w:val="24"/>
          <w:szCs w:val="24"/>
          <w:u w:val="single"/>
        </w:rPr>
      </w:r>
      <w:r/>
    </w:p>
    <w:p>
      <w:pPr>
        <w:pStyle w:val="695"/>
        <w:ind w:firstLine="498"/>
        <w:spacing w:before="145" w:after="145" w:line="400" w:lineRule="exact"/>
      </w:pPr>
      <w:r/>
      <w:bookmarkStart w:id="12" w:name="_Toc35393622"/>
      <w:r/>
      <w:bookmarkStart w:id="13" w:name="_Toc28359080"/>
      <w:r/>
      <w:bookmarkStart w:id="14" w:name="_Toc35393791"/>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pStyle w:val="692"/>
        <w:ind w:firstLine="480"/>
        <w:spacing w:line="400" w:lineRule="exact"/>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2"/>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92"/>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92"/>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92"/>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2"/>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92"/>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92"/>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92"/>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692"/>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r>
      <w:tr>
        <w:trPr/>
        <w:tc>
          <w:tcPr>
            <w:tcW w:w="1148" w:type="dxa"/>
            <w:vAlign w:val="top"/>
            <w:textDirection w:val="lrTb"/>
            <w:noWrap w:val="false"/>
          </w:tcPr>
          <w:p>
            <w:pPr>
              <w:pStyle w:val="692"/>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692"/>
              <w:jc w:val="center"/>
              <w:spacing w:line="400" w:lineRule="exact"/>
              <w:rPr>
                <w:rFonts w:ascii="宋体" w:hAnsi="宋体"/>
              </w:rPr>
            </w:pPr>
            <w:r>
              <w:rPr>
                <w:rFonts w:hint="eastAsia" w:ascii="宋体" w:hAnsi="宋体"/>
              </w:rPr>
              <w:t xml:space="preserve">否</w:t>
            </w:r>
            <w:r>
              <w:rPr>
                <w:rFonts w:ascii="宋体" w:hAnsi="宋体"/>
              </w:rPr>
            </w:r>
            <w:r/>
          </w:p>
        </w:tc>
      </w:tr>
    </w:tbl>
    <w:p>
      <w:pPr>
        <w:pStyle w:val="692"/>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92"/>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692"/>
              <w:jc w:val="center"/>
              <w:spacing w:line="400" w:lineRule="exact"/>
              <w:rPr>
                <w:rFonts w:hint="eastAsia" w:ascii="宋体" w:hAnsi="宋体"/>
              </w:rPr>
            </w:pPr>
            <w:r>
              <w:rPr>
                <w:rFonts w:hint="eastAsia" w:ascii="宋体" w:hAnsi="宋体"/>
              </w:rPr>
              <w:t xml:space="preserve">无</w:t>
            </w:r>
            <w:r/>
          </w:p>
        </w:tc>
      </w:tr>
    </w:tbl>
    <w:p>
      <w:pPr>
        <w:pStyle w:val="692"/>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692"/>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9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692"/>
        <w:ind w:firstLine="480"/>
        <w:spacing w:line="400" w:lineRule="exact"/>
        <w:rPr>
          <w:rFonts w:hint="eastAsia" w:ascii="宋体" w:hAnsi="宋体" w:cs="宋体"/>
          <w:sz w:val="24"/>
          <w:szCs w:val="24"/>
        </w:rPr>
      </w:pPr>
      <w:r>
        <w:rPr>
          <w:rFonts w:hint="eastAsia" w:ascii="宋体" w:hAnsi="宋体" w:cs="宋体"/>
          <w:sz w:val="24"/>
          <w:szCs w:val="24"/>
        </w:rPr>
      </w:r>
      <w:r/>
    </w:p>
    <w:p>
      <w:pPr>
        <w:pStyle w:val="695"/>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92"/>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w:t>
      </w:r>
      <w:r>
        <w:rPr>
          <w:rFonts w:hint="eastAsia" w:ascii="宋体" w:hAnsi="宋体"/>
          <w:bCs/>
          <w:sz w:val="24"/>
          <w:szCs w:val="24"/>
          <w:u w:val="single"/>
        </w:rPr>
        <w:t xml:space="preserve">月26日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92"/>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92"/>
        <w:ind w:firstLine="498"/>
        <w:keepLines/>
        <w:keepNext/>
        <w:spacing w:before="145" w:after="145" w:line="360" w:lineRule="auto"/>
        <w:rPr>
          <w:b/>
          <w:bCs/>
          <w:sz w:val="32"/>
          <w:szCs w:val="32"/>
        </w:rPr>
        <w:outlineLvl w:val="2"/>
      </w:pPr>
      <w:r/>
      <w:bookmarkStart w:id="27" w:name="_Toc35393625"/>
      <w:r/>
      <w:bookmarkStart w:id="28" w:name="_Toc28359084"/>
      <w:r/>
      <w:bookmarkStart w:id="29" w:name="_Toc38985267"/>
      <w:r/>
      <w:bookmarkStart w:id="30" w:name="_Toc28359007"/>
      <w:r/>
      <w:bookmarkStart w:id="31" w:name="_Toc35393794"/>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692"/>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695"/>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pStyle w:val="692"/>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5"/>
        <w:ind w:firstLine="498"/>
        <w:spacing w:before="145" w:after="145" w:line="400" w:lineRule="exact"/>
      </w:pPr>
      <w:r/>
      <w:bookmarkStart w:id="35" w:name="_Toc28359085"/>
      <w:r/>
      <w:bookmarkStart w:id="36" w:name="_Toc35393627"/>
      <w:r/>
      <w:bookmarkStart w:id="37" w:name="_Toc28359008"/>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pStyle w:val="692"/>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2"/>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江苏省中医院</w:t>
      </w:r>
      <w:r>
        <w:rPr>
          <w:rFonts w:ascii="宋体" w:hAnsi="宋体"/>
          <w:sz w:val="24"/>
          <w:szCs w:val="24"/>
        </w:rPr>
      </w:r>
      <w:r/>
    </w:p>
    <w:p>
      <w:pPr>
        <w:pStyle w:val="692"/>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汉中路155号</w:t>
      </w:r>
      <w:r>
        <w:rPr>
          <w:rFonts w:hint="eastAsia" w:ascii="宋体" w:hAnsi="宋体"/>
          <w:sz w:val="24"/>
          <w:szCs w:val="24"/>
        </w:rPr>
      </w:r>
      <w:r/>
    </w:p>
    <w:p>
      <w:pPr>
        <w:pStyle w:val="692"/>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诸明</w:t>
      </w:r>
      <w:r>
        <w:rPr>
          <w:rFonts w:ascii="宋体" w:hAnsi="宋体"/>
          <w:sz w:val="24"/>
          <w:szCs w:val="24"/>
        </w:rPr>
      </w:r>
      <w:r/>
    </w:p>
    <w:p>
      <w:pPr>
        <w:pStyle w:val="692"/>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025-86558915</w:t>
      </w:r>
      <w:bookmarkStart w:id="40" w:name="_Toc28359009"/>
      <w:r/>
      <w:bookmarkStart w:id="41" w:name="_Toc28359086"/>
      <w:r>
        <w:rPr>
          <w:rFonts w:ascii="宋体" w:hAnsi="宋体"/>
          <w:sz w:val="24"/>
          <w:szCs w:val="24"/>
          <w:u w:val="single"/>
        </w:rPr>
      </w:r>
      <w:r/>
    </w:p>
    <w:p>
      <w:pPr>
        <w:pStyle w:val="692"/>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92"/>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方正仿宋_GBK" w:hAnsi="方正仿宋_GBK" w:eastAsia="方正仿宋_GBK" w:cs="方正仿宋_GBK"/>
          <w:sz w:val="28"/>
          <w:szCs w:val="28"/>
          <w:u w:val="single"/>
        </w:rPr>
        <w:t xml:space="preserve">南京市汉中门大街145号省政务中心二期3楼南区</w:t>
      </w:r>
      <w:r>
        <w:rPr>
          <w:rFonts w:ascii="宋体" w:hAnsi="宋体"/>
          <w:sz w:val="24"/>
          <w:szCs w:val="24"/>
        </w:rPr>
      </w:r>
      <w:r/>
    </w:p>
    <w:p>
      <w:pPr>
        <w:pStyle w:val="692"/>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方正仿宋_GBK" w:hAnsi="方正仿宋_GBK" w:eastAsia="方正仿宋_GBK" w:cs="方正仿宋_GBK"/>
          <w:sz w:val="28"/>
          <w:szCs w:val="28"/>
          <w:u w:val="single"/>
        </w:rPr>
        <w:t xml:space="preserve">张文怡、王烨</w:t>
      </w:r>
      <w:r>
        <w:rPr>
          <w:rFonts w:ascii="宋体" w:hAnsi="宋体"/>
          <w:sz w:val="24"/>
          <w:szCs w:val="24"/>
        </w:rPr>
      </w:r>
      <w:r/>
    </w:p>
    <w:p>
      <w:pPr>
        <w:pStyle w:val="692"/>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方正仿宋_GBK" w:hAnsi="方正仿宋_GBK" w:eastAsia="方正仿宋_GBK" w:cs="方正仿宋_GBK"/>
          <w:sz w:val="28"/>
          <w:szCs w:val="28"/>
          <w:u w:val="single"/>
        </w:rPr>
        <w:t xml:space="preserve">025-83668505、025-83668550</w:t>
      </w:r>
      <w:r>
        <w:rPr>
          <w:rFonts w:ascii="宋体" w:hAnsi="宋体"/>
          <w:sz w:val="24"/>
          <w:szCs w:val="24"/>
        </w:rPr>
      </w:r>
      <w:r/>
    </w:p>
    <w:p>
      <w:pPr>
        <w:pStyle w:val="695"/>
        <w:ind w:firstLine="498"/>
        <w:spacing w:before="145" w:after="145" w:line="400" w:lineRule="exact"/>
      </w:pPr>
      <w:r/>
      <w:bookmarkEnd w:id="42"/>
      <w:r/>
      <w:bookmarkEnd w:id="43"/>
      <w:r>
        <w:rPr>
          <w:rFonts w:hint="eastAsia"/>
        </w:rPr>
        <w:t xml:space="preserve">八、其他</w:t>
      </w:r>
      <w:r/>
    </w:p>
    <w:p>
      <w:pPr>
        <w:pStyle w:val="692"/>
        <w:ind w:firstLine="480"/>
        <w:spacing w:line="400" w:lineRule="exact"/>
        <w:tabs>
          <w:tab w:val="left" w:pos="900" w:leader="none"/>
        </w:tabs>
        <w:rPr>
          <w:rFonts w:hint="eastAsia"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692"/>
        <w:ind w:firstLine="480"/>
        <w:spacing w:line="400" w:lineRule="exact"/>
        <w:tabs>
          <w:tab w:val="left" w:pos="900" w:leader="none"/>
        </w:tabs>
        <w:rPr>
          <w:rFonts w:hint="eastAsia" w:ascii="宋体" w:hAnsi="宋体"/>
          <w:sz w:val="24"/>
        </w:rPr>
      </w:pPr>
      <w:r>
        <w:rPr>
          <w:rFonts w:hint="eastAsia" w:ascii="宋体" w:hAnsi="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692"/>
        <w:ind w:firstLine="480"/>
        <w:spacing w:line="400" w:lineRule="exact"/>
        <w:tabs>
          <w:tab w:val="left" w:pos="900" w:leader="none"/>
        </w:tabs>
        <w:rPr>
          <w:rFonts w:hint="eastAsia" w:ascii="宋体" w:hAnsi="宋体"/>
          <w:sz w:val="24"/>
        </w:rPr>
      </w:pPr>
      <w:r>
        <w:rPr>
          <w:rFonts w:hint="eastAsia" w:ascii="宋体" w:hAnsi="宋体"/>
          <w:sz w:val="24"/>
        </w:rPr>
        <w:t xml:space="preserve">2.有关本次招标的事项若存在变动或修改，敬请及时关注江苏省政府采购中心在“江苏政府采购网”发布的更正公告。</w:t>
      </w:r>
      <w:r/>
    </w:p>
    <w:p>
      <w:pPr>
        <w:pStyle w:val="692"/>
        <w:ind w:firstLine="480"/>
        <w:spacing w:line="400" w:lineRule="exact"/>
        <w:tabs>
          <w:tab w:val="left" w:pos="900" w:leader="none"/>
        </w:tabs>
        <w:rPr>
          <w:rFonts w:hint="eastAsia" w:ascii="宋体" w:hAnsi="宋体"/>
          <w:bCs/>
          <w:sz w:val="24"/>
          <w:szCs w:val="24"/>
        </w:rPr>
      </w:pPr>
      <w:r>
        <w:rPr>
          <w:rFonts w:hint="eastAsia" w:ascii="宋体" w:hAnsi="宋体"/>
          <w:sz w:val="24"/>
        </w:rPr>
        <w:t xml:space="preserve">3.本次招标不收取投标保证金。</w:t>
      </w:r>
      <w:r>
        <w:rPr>
          <w:rFonts w:hint="eastAsia" w:ascii="宋体" w:hAnsi="宋体"/>
          <w:bCs/>
          <w:sz w:val="24"/>
          <w:szCs w:val="24"/>
        </w:rPr>
      </w:r>
      <w:r/>
    </w:p>
    <w:p>
      <w:pPr>
        <w:pStyle w:val="69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4"/>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2"/>
        <w:ind w:firstLine="560"/>
        <w:jc w:val="left"/>
        <w:keepNext/>
        <w:spacing w:line="400" w:lineRule="exact"/>
        <w:rPr>
          <w:rFonts w:ascii="方正黑体_GBK" w:hAnsi="方正黑体_GBK" w:eastAsia="方正黑体_GBK" w:cs="方正黑体_GBK"/>
          <w:sz w:val="28"/>
          <w:szCs w:val="28"/>
        </w:rPr>
        <w:outlineLvl w:val="0"/>
      </w:pPr>
      <w:r/>
      <w:bookmarkStart w:id="49" w:name="_Toc16938519"/>
      <w:r/>
      <w:bookmarkStart w:id="50" w:name="_Toc513029203"/>
      <w:r/>
      <w:bookmarkStart w:id="51" w:name="_Toc120614214"/>
      <w:r/>
      <w:bookmarkStart w:id="52" w:name="_Toc20823275"/>
      <w:r>
        <w:rPr>
          <w:rFonts w:hint="eastAsia" w:ascii="方正黑体_GBK" w:hAnsi="方正黑体_GBK" w:eastAsia="方正黑体_GBK" w:cs="方正黑体_GBK"/>
          <w:sz w:val="28"/>
          <w:szCs w:val="28"/>
        </w:rPr>
        <w:t xml:space="preserve">一、总则</w:t>
      </w:r>
      <w:r>
        <w:rPr>
          <w:rFonts w:ascii="方正黑体_GBK" w:hAnsi="方正黑体_GBK" w:eastAsia="方正黑体_GBK" w:cs="方正黑体_GBK"/>
          <w:sz w:val="28"/>
          <w:szCs w:val="28"/>
        </w:rPr>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692"/>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69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6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69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三、投标文件的编制</w:t>
      </w:r>
      <w:r/>
    </w:p>
    <w:p>
      <w:pPr>
        <w:pStyle w:val="692"/>
        <w:ind w:firstLine="560"/>
        <w:keepLines/>
        <w:keepNext/>
        <w:spacing w:line="400" w:lineRule="exact"/>
        <w:rPr>
          <w:rFonts w:hint="eastAsia" w:ascii="方正仿宋_GBK" w:hAnsi="方正仿宋_GBK" w:eastAsia="方正仿宋_GBK" w:cs="方正仿宋_GBK"/>
          <w:b/>
          <w:sz w:val="28"/>
          <w:szCs w:val="28"/>
        </w:rPr>
        <w:outlineLvl w:val="3"/>
      </w:pPr>
      <w:r>
        <w:rPr>
          <w:rFonts w:hint="eastAsia" w:ascii="方正仿宋_GBK" w:hAnsi="方正仿宋_GBK" w:eastAsia="方正仿宋_GBK" w:cs="方正仿宋_GBK"/>
          <w:sz w:val="28"/>
          <w:szCs w:val="28"/>
        </w:rPr>
        <w:t xml:space="preserve">8.投标文件的语言及度量衡单位</w:t>
      </w:r>
      <w:r>
        <w:rPr>
          <w:rFonts w:hint="eastAsia" w:ascii="方正仿宋_GBK" w:hAnsi="方正仿宋_GBK" w:eastAsia="方正仿宋_GBK" w:cs="方正仿宋_GBK"/>
          <w:b/>
          <w:sz w:val="28"/>
          <w:szCs w:val="28"/>
        </w:rPr>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9.投标文件构成</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10.证明投标人及投标标的符合招标文件规定的文件</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11.投标分项报价表</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投标人按照招标文件规定格式填报投标分项报价表。</w:t>
      </w:r>
      <w:r>
        <w:rPr>
          <w:rFonts w:hint="eastAsia" w:ascii="方正仿宋_GBK" w:hAnsi="方正仿宋_GBK" w:eastAsia="方正仿宋_GBK" w:cs="方正仿宋_GBK"/>
          <w:bCs/>
          <w:sz w:val="28"/>
          <w:szCs w:val="28"/>
        </w:rPr>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12.技术要求响应及偏离表、商务要求响应及偏离表</w:t>
      </w:r>
      <w:r/>
    </w:p>
    <w:p>
      <w:pPr>
        <w:pStyle w:val="692"/>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692"/>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13.投标函和开标一览表</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14.投标有效期</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15.投标有效期的延长</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69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四、投标文件的递交</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16.投标文件的递交</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17.投标截止时间</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18.投标文件的拒收</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6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19.投标文件的撤回和修改</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6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69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五、开标与评标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20.开标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21.评标委员会</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23.投标文件的澄清</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24.对投标文件的初审</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25.无效投标条款和废标条款</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25.1无效投标条款</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692"/>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69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六、定标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26.确定中标单位</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26.5有下列情形之一的，视为投标人串通投标，投标无效：</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692"/>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七、授予合同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29.签订合同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31.政府采购履约资金扶持政策</w:t>
      </w:r>
      <w:r/>
    </w:p>
    <w:p>
      <w:pPr>
        <w:pStyle w:val="6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707"/>
        <w:spacing w:line="400" w:lineRule="exact"/>
        <w:rPr>
          <w:rFonts w:hint="eastAsia" w:ascii="宋体" w:hAnsi="宋体"/>
          <w:bCs/>
          <w:sz w:val="24"/>
        </w:rPr>
      </w:pPr>
      <w:r/>
      <w:bookmarkEnd w:id="49"/>
      <w:r/>
      <w:bookmarkEnd w:id="50"/>
      <w:r/>
      <w:bookmarkEnd w:id="51"/>
      <w:r/>
      <w:bookmarkEnd w:id="52"/>
      <w:r/>
      <w:bookmarkStart w:id="53" w:name="_Hlt26954844"/>
      <w:r/>
      <w:bookmarkEnd w:id="53"/>
      <w:r/>
      <w:bookmarkStart w:id="54" w:name="_Hlt26670403"/>
      <w:r/>
      <w:bookmarkEnd w:id="54"/>
      <w:r/>
      <w:bookmarkStart w:id="55" w:name="_Hlt26954842"/>
      <w:r/>
      <w:bookmarkEnd w:id="55"/>
      <w:r/>
      <w:bookmarkStart w:id="56" w:name="_Hlt26668983"/>
      <w:r/>
      <w:bookmarkEnd w:id="56"/>
      <w:r/>
      <w:bookmarkStart w:id="57" w:name="_Hlt26954731"/>
      <w:r/>
      <w:bookmarkEnd w:id="57"/>
      <w:r/>
      <w:bookmarkStart w:id="58" w:name="_Hlt26670425"/>
      <w:r/>
      <w:bookmarkEnd w:id="58"/>
      <w:r/>
      <w:bookmarkStart w:id="59" w:name="_Hlt26670482"/>
      <w:r/>
      <w:bookmarkEnd w:id="59"/>
      <w:r/>
      <w:bookmarkStart w:id="60" w:name="_Hlt26954739"/>
      <w:r/>
      <w:bookmarkEnd w:id="60"/>
      <w:r/>
      <w:bookmarkStart w:id="61" w:name="_Hlt26954850"/>
      <w:r/>
      <w:bookmarkEnd w:id="61"/>
      <w:r/>
      <w:bookmarkStart w:id="62" w:name="_Hlt26670486"/>
      <w:r/>
      <w:bookmarkEnd w:id="62"/>
      <w:r/>
      <w:bookmarkStart w:id="63" w:name="_Hlt26954852"/>
      <w:r/>
      <w:bookmarkEnd w:id="63"/>
      <w:r/>
      <w:bookmarkStart w:id="64" w:name="_Hlt26954734"/>
      <w:r/>
      <w:bookmarkEnd w:id="64"/>
      <w:r/>
      <w:bookmarkStart w:id="65" w:name="_Hlt16619475"/>
      <w:r/>
      <w:bookmarkEnd w:id="65"/>
      <w:r/>
      <w:bookmarkStart w:id="66" w:name="_Hlt26668975"/>
      <w:r/>
      <w:bookmarkEnd w:id="66"/>
      <w:r/>
      <w:bookmarkStart w:id="67" w:name="_Hlt26670360"/>
      <w:r/>
      <w:bookmarkEnd w:id="67"/>
      <w:r/>
      <w:bookmarkStart w:id="68" w:name="_Hlt26954846"/>
      <w:r/>
      <w:bookmarkEnd w:id="68"/>
      <w:r/>
      <w:bookmarkStart w:id="69" w:name="_Hlt26670489"/>
      <w:r/>
      <w:bookmarkEnd w:id="69"/>
      <w:r/>
      <w:bookmarkStart w:id="70" w:name="_Hlt26954848"/>
      <w:r/>
      <w:bookmarkEnd w:id="70"/>
      <w:r/>
      <w:bookmarkStart w:id="71" w:name="_Hlt26954838"/>
      <w:r/>
      <w:bookmarkEnd w:id="71"/>
      <w:r/>
      <w:bookmarkStart w:id="72" w:name="_Toc20823314"/>
      <w:r/>
      <w:bookmarkStart w:id="73" w:name="_Toc16938558"/>
      <w:r/>
      <w:bookmarkStart w:id="74" w:name="_Toc479757207"/>
      <w:r/>
      <w:bookmarkStart w:id="75" w:name="_Toc513029242"/>
      <w:r/>
      <w:bookmarkStart w:id="76" w:name="_Toc120614221"/>
      <w:r>
        <w:rPr>
          <w:rFonts w:hint="eastAsia" w:ascii="宋体" w:hAnsi="宋体"/>
          <w:bCs/>
          <w:sz w:val="24"/>
        </w:rPr>
      </w:r>
      <w:r/>
    </w:p>
    <w:p>
      <w:pPr>
        <w:pStyle w:val="707"/>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693"/>
        <w:rPr>
          <w:rFonts w:hint="eastAsia" w:ascii="黑体" w:eastAsia="黑体"/>
          <w:bCs/>
          <w:sz w:val="44"/>
        </w:rPr>
      </w:pPr>
      <w:r>
        <w:rPr>
          <w:rFonts w:hint="eastAsia" w:ascii="黑体" w:eastAsia="黑体"/>
          <w:bCs/>
          <w:sz w:val="44"/>
        </w:rPr>
        <w:t xml:space="preserve">第三章  合同</w:t>
      </w:r>
      <w:bookmarkEnd w:id="72"/>
      <w:r/>
      <w:bookmarkEnd w:id="73"/>
      <w:r/>
      <w:bookmarkEnd w:id="74"/>
      <w:r/>
      <w:bookmarkEnd w:id="75"/>
      <w:r/>
      <w:bookmarkEnd w:id="76"/>
      <w:r>
        <w:rPr>
          <w:rFonts w:hint="eastAsia" w:ascii="黑体" w:eastAsia="黑体"/>
          <w:bCs/>
          <w:sz w:val="44"/>
        </w:rPr>
        <w:t xml:space="preserve">文本</w:t>
      </w:r>
      <w:r/>
    </w:p>
    <w:p>
      <w:pPr>
        <w:pStyle w:val="692"/>
        <w:spacing w:line="400" w:lineRule="exact"/>
        <w:rPr>
          <w:rFonts w:ascii="宋体" w:hAnsi="宋体"/>
          <w:bCs/>
          <w:sz w:val="24"/>
          <w:szCs w:val="24"/>
        </w:rPr>
      </w:pPr>
      <w:r/>
      <w:bookmarkStart w:id="77" w:name="_Toc513029243"/>
      <w:r/>
      <w:bookmarkStart w:id="78" w:name="_Toc16938559"/>
      <w:r/>
      <w:bookmarkStart w:id="79" w:name="_Toc20823315"/>
      <w:r>
        <w:rPr>
          <w:rFonts w:ascii="宋体" w:hAnsi="宋体"/>
          <w:bCs/>
          <w:sz w:val="24"/>
          <w:szCs w:val="24"/>
        </w:rPr>
      </w:r>
      <w:r/>
    </w:p>
    <w:p>
      <w:pPr>
        <w:pStyle w:val="692"/>
        <w:jc w:val="center"/>
        <w:spacing w:before="145" w:after="145"/>
        <w:rPr>
          <w:rFonts w:hint="eastAsia" w:ascii="宋体" w:hAnsi="宋体"/>
          <w:b/>
          <w:sz w:val="30"/>
        </w:rPr>
        <w:outlineLvl w:val="0"/>
      </w:pPr>
      <w:r>
        <w:rPr>
          <w:rFonts w:hint="eastAsia" w:ascii="宋体" w:hAnsi="宋体"/>
          <w:b/>
          <w:sz w:val="30"/>
        </w:rPr>
      </w:r>
      <w:r/>
    </w:p>
    <w:p>
      <w:pPr>
        <w:pStyle w:val="692"/>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92"/>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692"/>
        <w:spacing w:before="120" w:after="120"/>
        <w:rPr>
          <w:rFonts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             </w:t>
      </w:r>
      <w:r/>
    </w:p>
    <w:p>
      <w:pPr>
        <w:pStyle w:val="692"/>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31"/>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3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3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1"/>
        <w:spacing w:before="120" w:after="120"/>
        <w:rPr>
          <w:rFonts w:hint="eastAsia" w:hAnsi="宋体"/>
          <w:sz w:val="24"/>
          <w:szCs w:val="24"/>
        </w:rPr>
      </w:pPr>
      <w:r>
        <w:rPr>
          <w:rFonts w:hint="eastAsia" w:hAnsi="宋体"/>
          <w:sz w:val="24"/>
          <w:szCs w:val="24"/>
        </w:rPr>
        <w:t xml:space="preserve">1.3 标的数量（规模）：</w:t>
      </w:r>
      <w:r/>
    </w:p>
    <w:p>
      <w:pPr>
        <w:pStyle w:val="731"/>
        <w:spacing w:before="120" w:after="120"/>
        <w:rPr>
          <w:rFonts w:hint="eastAsia" w:hAnsi="宋体"/>
          <w:sz w:val="24"/>
          <w:szCs w:val="24"/>
        </w:rPr>
      </w:pPr>
      <w:r>
        <w:rPr>
          <w:rFonts w:hint="eastAsia" w:hAnsi="宋体"/>
          <w:sz w:val="24"/>
          <w:szCs w:val="24"/>
        </w:rPr>
        <w:t xml:space="preserve">1.4 履行时间（期限）：</w:t>
      </w:r>
      <w:r/>
    </w:p>
    <w:p>
      <w:pPr>
        <w:pStyle w:val="73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1"/>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31"/>
        <w:spacing w:before="120" w:after="120"/>
        <w:rPr>
          <w:rFonts w:hAnsi="宋体"/>
          <w:b/>
          <w:sz w:val="24"/>
          <w:szCs w:val="24"/>
        </w:rPr>
      </w:pPr>
      <w:r>
        <w:rPr>
          <w:rFonts w:hAnsi="宋体"/>
          <w:b/>
          <w:sz w:val="24"/>
          <w:szCs w:val="24"/>
        </w:rPr>
        <w:t xml:space="preserve">二、合同金额</w:t>
      </w:r>
      <w:r/>
    </w:p>
    <w:p>
      <w:pPr>
        <w:pStyle w:val="731"/>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731"/>
        <w:spacing w:before="120" w:after="120"/>
        <w:rPr>
          <w:rFonts w:hAnsi="宋体"/>
          <w:b/>
          <w:sz w:val="24"/>
          <w:szCs w:val="24"/>
        </w:rPr>
      </w:pPr>
      <w:r>
        <w:rPr>
          <w:rFonts w:hAnsi="宋体"/>
          <w:b/>
          <w:sz w:val="24"/>
          <w:szCs w:val="24"/>
        </w:rPr>
        <w:t xml:space="preserve">三、技术资料</w:t>
      </w:r>
      <w:r/>
    </w:p>
    <w:p>
      <w:pPr>
        <w:pStyle w:val="73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1"/>
        <w:ind w:left="412" w:hanging="412"/>
        <w:spacing w:before="120" w:after="120"/>
        <w:rPr>
          <w:rFonts w:hAnsi="宋体"/>
          <w:b/>
          <w:sz w:val="24"/>
          <w:szCs w:val="24"/>
        </w:rPr>
      </w:pPr>
      <w:r>
        <w:rPr>
          <w:rFonts w:hAnsi="宋体"/>
          <w:b/>
          <w:sz w:val="24"/>
          <w:szCs w:val="24"/>
        </w:rPr>
        <w:t xml:space="preserve">四、知识产权</w:t>
      </w:r>
      <w:r/>
    </w:p>
    <w:p>
      <w:pPr>
        <w:pStyle w:val="73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1"/>
        <w:ind w:left="410" w:hanging="410"/>
        <w:spacing w:before="120" w:after="120"/>
        <w:rPr>
          <w:rFonts w:hAnsi="宋体"/>
          <w:b/>
          <w:sz w:val="24"/>
          <w:szCs w:val="24"/>
        </w:rPr>
      </w:pPr>
      <w:r>
        <w:rPr>
          <w:rFonts w:hAnsi="宋体"/>
          <w:b/>
          <w:sz w:val="24"/>
          <w:szCs w:val="24"/>
        </w:rPr>
        <w:t xml:space="preserve">六、履约保证金</w:t>
      </w:r>
      <w:r/>
    </w:p>
    <w:p>
      <w:pPr>
        <w:pStyle w:val="731"/>
        <w:ind w:left="408" w:hanging="408"/>
        <w:spacing w:before="120" w:after="120"/>
        <w:rPr>
          <w:rFonts w:hint="eastAsia" w:hAnsi="宋体"/>
          <w:sz w:val="24"/>
          <w:szCs w:val="24"/>
        </w:rPr>
      </w:pPr>
      <w:r>
        <w:rPr>
          <w:rFonts w:hAnsi="宋体"/>
          <w:sz w:val="24"/>
          <w:szCs w:val="24"/>
        </w:rPr>
        <w:t xml:space="preserve">6.1 乙方交纳</w:t>
      </w:r>
      <w:r>
        <w:rPr>
          <w:rFonts w:hint="eastAsia" w:hAnsi="宋体"/>
          <w:sz w:val="24"/>
          <w:szCs w:val="24"/>
        </w:rPr>
        <w:t xml:space="preserve">合同金额的10%</w:t>
      </w:r>
      <w:r>
        <w:rPr>
          <w:rFonts w:hAnsi="宋体"/>
          <w:sz w:val="24"/>
          <w:szCs w:val="24"/>
        </w:rPr>
        <w:t xml:space="preserve">作为本合同的履约保证金。</w:t>
      </w:r>
      <w:r>
        <w:rPr>
          <w:rFonts w:hint="eastAsia" w:hAnsi="宋体"/>
          <w:sz w:val="24"/>
          <w:szCs w:val="24"/>
        </w:rPr>
        <w:t xml:space="preserve">（不得超过合同金额的10%）</w:t>
      </w:r>
      <w:r/>
    </w:p>
    <w:p>
      <w:pPr>
        <w:pStyle w:val="73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1"/>
        <w:ind w:left="408" w:hanging="408"/>
        <w:spacing w:before="120" w:after="120"/>
        <w:rPr>
          <w:rFonts w:hint="eastAsia" w:hAnsi="宋体"/>
          <w:sz w:val="24"/>
          <w:szCs w:val="24"/>
        </w:rPr>
      </w:pPr>
      <w:r>
        <w:rPr>
          <w:rFonts w:hint="eastAsia" w:hAnsi="宋体"/>
          <w:sz w:val="24"/>
          <w:szCs w:val="24"/>
        </w:rPr>
        <w:t xml:space="preserve">6.2.1履约保证金应在采购合同签订前提交，除银行电汇、网上银行、数字人民币外，投标人还可选用银行保函、担保公司的保证担保或保险公司的保证保险等多种形式向采购人缴纳；</w:t>
      </w:r>
      <w:r/>
    </w:p>
    <w:p>
      <w:pPr>
        <w:pStyle w:val="731"/>
        <w:ind w:left="408" w:hanging="408"/>
        <w:spacing w:before="120" w:after="120"/>
        <w:rPr>
          <w:rFonts w:hint="eastAsia" w:hAnsi="宋体"/>
          <w:sz w:val="24"/>
          <w:szCs w:val="24"/>
        </w:rPr>
      </w:pPr>
      <w:r>
        <w:rPr>
          <w:rFonts w:hint="eastAsia" w:hAnsi="宋体"/>
          <w:sz w:val="24"/>
          <w:szCs w:val="24"/>
        </w:rPr>
        <w:t xml:space="preserve">6.2.2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31"/>
        <w:ind w:left="408" w:hanging="408"/>
        <w:spacing w:before="120" w:after="120"/>
        <w:rPr>
          <w:rFonts w:hint="eastAsia" w:hAnsi="宋体"/>
          <w:sz w:val="24"/>
          <w:szCs w:val="24"/>
        </w:rPr>
      </w:pPr>
      <w:r>
        <w:rPr>
          <w:rFonts w:hint="eastAsia" w:hAnsi="宋体"/>
          <w:sz w:val="24"/>
          <w:szCs w:val="24"/>
        </w:rPr>
        <w:t xml:space="preserve">6.2.3履约保证金退还的条件：采购人在项目通过验收后按照合同条款规定的时间内将履约保证金退还中标人；</w:t>
      </w:r>
      <w:r/>
    </w:p>
    <w:p>
      <w:pPr>
        <w:pStyle w:val="731"/>
        <w:ind w:left="408" w:hanging="408"/>
        <w:spacing w:before="120" w:after="120"/>
        <w:rPr>
          <w:rFonts w:hint="eastAsia" w:hAnsi="宋体"/>
          <w:sz w:val="24"/>
          <w:szCs w:val="24"/>
        </w:rPr>
      </w:pPr>
      <w:r>
        <w:rPr>
          <w:rFonts w:hint="eastAsia" w:hAnsi="宋体"/>
          <w:sz w:val="24"/>
          <w:szCs w:val="24"/>
        </w:rPr>
        <w:t xml:space="preserve">履约保证金退还时间：符合退还条件的5个工作日内退还；</w:t>
      </w:r>
      <w:r/>
    </w:p>
    <w:p>
      <w:pPr>
        <w:pStyle w:val="731"/>
        <w:ind w:left="408" w:hanging="408"/>
        <w:spacing w:before="120" w:after="120"/>
        <w:rPr>
          <w:rFonts w:hint="eastAsia" w:hAnsi="宋体"/>
          <w:sz w:val="24"/>
          <w:szCs w:val="24"/>
        </w:rPr>
      </w:pPr>
      <w:r>
        <w:rPr>
          <w:rFonts w:hint="eastAsia" w:hAnsi="宋体"/>
          <w:sz w:val="24"/>
          <w:szCs w:val="24"/>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731"/>
        <w:ind w:left="408" w:hanging="408"/>
        <w:spacing w:before="120" w:after="120"/>
        <w:rPr>
          <w:rFonts w:hint="eastAsia" w:hAnsi="宋体"/>
          <w:sz w:val="24"/>
          <w:szCs w:val="24"/>
        </w:rPr>
      </w:pPr>
      <w:r>
        <w:rPr>
          <w:rFonts w:hint="eastAsia" w:hAnsi="宋体"/>
          <w:sz w:val="24"/>
          <w:szCs w:val="24"/>
        </w:rPr>
        <w:t xml:space="preserve">6.2.4逾期退还履约保证金的违约责任：除应当退还履约保证金外，还应当按照合同条款规定的比例支付超期资金占用费，但因投标人自身原因导致无法及时退还的除外。</w:t>
      </w:r>
      <w:r/>
    </w:p>
    <w:p>
      <w:pPr>
        <w:pStyle w:val="731"/>
        <w:ind w:left="408" w:hanging="408"/>
        <w:spacing w:before="120" w:after="120"/>
        <w:rPr>
          <w:rFonts w:hint="eastAsia" w:hAnsi="宋体"/>
          <w:sz w:val="24"/>
          <w:szCs w:val="24"/>
        </w:rPr>
      </w:pPr>
      <w:r>
        <w:rPr>
          <w:rFonts w:hint="eastAsia" w:hAnsi="宋体"/>
          <w:sz w:val="24"/>
          <w:szCs w:val="24"/>
        </w:rPr>
        <w:t xml:space="preserve">6.2.5本项目支持和鼓励投标人使用江苏政府采购电子履约保函（保险）代替缴纳履约保证金。关于办理流程、偿付等内容详见江苏省政府采购网《关于在全省政府采购领域推行电子履约保函（保险）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pStyle w:val="692"/>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2"/>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92"/>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692"/>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92"/>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692"/>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预付款支付时间：合同签订并收到发票后10工作日内，预付款支付比例：合同金额的30%。</w:t>
      </w:r>
      <w:r/>
    </w:p>
    <w:p>
      <w:pPr>
        <w:pStyle w:val="692"/>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hint="eastAsia" w:ascii="宋体" w:hAnsi="宋体"/>
          <w:sz w:val="24"/>
          <w:szCs w:val="24"/>
          <w:highlight w:val="white"/>
        </w:rPr>
        <w:t xml:space="preserve">10</w:t>
      </w:r>
      <w:r>
        <w:rPr>
          <w:rFonts w:hint="eastAsia" w:ascii="宋体" w:hAnsi="宋体"/>
          <w:sz w:val="24"/>
          <w:szCs w:val="24"/>
          <w:highlight w:val="white"/>
        </w:rPr>
        <w:t xml:space="preserve">个工作日内</w:t>
      </w:r>
      <w:r>
        <w:rPr>
          <w:rFonts w:hint="eastAsia" w:ascii="宋体" w:hAnsi="宋体"/>
          <w:sz w:val="24"/>
          <w:szCs w:val="24"/>
        </w:rPr>
        <w:t xml:space="preserve">，尾款支付比例：合同金额的70%。</w:t>
      </w:r>
      <w:r/>
    </w:p>
    <w:p>
      <w:pPr>
        <w:pStyle w:val="692"/>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2"/>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3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1"/>
        <w:ind w:left="480" w:hanging="480"/>
        <w:spacing w:before="120" w:after="120" w:line="0" w:lineRule="atLeast"/>
        <w:rPr>
          <w:rFonts w:hAnsi="宋体"/>
          <w:sz w:val="24"/>
          <w:szCs w:val="24"/>
        </w:rPr>
      </w:pPr>
      <w:r>
        <w:rPr>
          <w:rFonts w:hAnsi="宋体"/>
          <w:sz w:val="24"/>
          <w:szCs w:val="24"/>
        </w:rPr>
        <w:t xml:space="preserve">  甲方：                        乙方： </w:t>
      </w:r>
      <w:r/>
    </w:p>
    <w:p>
      <w:pPr>
        <w:pStyle w:val="73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1"/>
        <w:jc w:val="center"/>
        <w:spacing w:before="120" w:after="120" w:line="0" w:lineRule="atLeast"/>
      </w:pPr>
      <w:r>
        <w:rPr>
          <w:rFonts w:hint="eastAsia"/>
        </w:rPr>
        <w:t xml:space="preserve">                                         </w:t>
      </w:r>
      <w:r/>
    </w:p>
    <w:p>
      <w:pPr>
        <w:pStyle w:val="731"/>
        <w:jc w:val="right"/>
        <w:spacing w:before="120" w:after="120" w:line="0" w:lineRule="atLeast"/>
        <w:rPr>
          <w:sz w:val="24"/>
          <w:szCs w:val="24"/>
        </w:rPr>
      </w:pPr>
      <w:r>
        <w:rPr>
          <w:rFonts w:hint="eastAsia"/>
          <w:sz w:val="24"/>
          <w:szCs w:val="24"/>
        </w:rPr>
        <w:t xml:space="preserve"> </w:t>
      </w:r>
      <w:r>
        <w:rPr>
          <w:sz w:val="24"/>
          <w:szCs w:val="24"/>
        </w:rPr>
      </w:r>
      <w:r/>
    </w:p>
    <w:p>
      <w:pPr>
        <w:pStyle w:val="731"/>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77"/>
      <w:r/>
      <w:bookmarkEnd w:id="78"/>
      <w:r/>
      <w:bookmarkEnd w:id="79"/>
      <w:r/>
      <w:bookmarkStart w:id="80" w:name="_Hlt16619369"/>
      <w:r/>
      <w:bookmarkEnd w:id="80"/>
      <w:r/>
      <w:bookmarkStart w:id="81" w:name="_Hlt16619350"/>
      <w:r/>
      <w:bookmarkStart w:id="82" w:name="_Toc120614244"/>
      <w:r/>
      <w:bookmarkStart w:id="83" w:name="_Toc20823346"/>
      <w:r/>
      <w:bookmarkStart w:id="84" w:name="_Toc16938590"/>
      <w:r/>
      <w:bookmarkStart w:id="85" w:name="_Toc462564139"/>
      <w:r/>
      <w:bookmarkStart w:id="86" w:name="_Toc479757211"/>
      <w:r>
        <w:rPr>
          <w:rFonts w:ascii="黑体" w:eastAsia="黑体"/>
          <w:bCs/>
          <w:sz w:val="44"/>
        </w:rPr>
        <w:br w:type="page" w:clear="all"/>
      </w:r>
      <w:r>
        <w:rPr>
          <w:rFonts w:hint="eastAsia" w:ascii="黑体" w:eastAsia="黑体"/>
          <w:bCs/>
          <w:sz w:val="44"/>
        </w:rPr>
        <w:t xml:space="preserve">第</w:t>
      </w:r>
      <w:bookmarkEnd w:id="81"/>
      <w:r>
        <w:rPr>
          <w:rFonts w:hint="eastAsia" w:ascii="黑体" w:eastAsia="黑体"/>
          <w:bCs/>
          <w:sz w:val="44"/>
        </w:rPr>
        <w:t xml:space="preserve">四章 采购需求</w:t>
      </w:r>
      <w:bookmarkEnd w:id="82"/>
      <w:r/>
      <w:bookmarkEnd w:id="83"/>
      <w:r/>
      <w:bookmarkEnd w:id="84"/>
      <w:r>
        <w:rPr>
          <w:rFonts w:hint="eastAsia" w:hAnsi="宋体"/>
          <w:sz w:val="24"/>
          <w:szCs w:val="24"/>
        </w:rPr>
      </w:r>
      <w:r/>
    </w:p>
    <w:p>
      <w:pPr>
        <w:pStyle w:val="692"/>
        <w:spacing w:line="0" w:lineRule="atLeast"/>
        <w:rPr>
          <w:rFonts w:ascii="宋体" w:hAnsi="宋体"/>
          <w:b/>
          <w:sz w:val="24"/>
          <w:szCs w:val="24"/>
        </w:rPr>
      </w:pPr>
      <w:r/>
      <w:bookmarkStart w:id="87" w:name="_Toc26554093"/>
      <w:r/>
      <w:bookmarkStart w:id="88" w:name="_Toc49090575"/>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965"/>
        <w:gridCol w:w="3291"/>
        <w:gridCol w:w="2852"/>
      </w:tblGrid>
      <w:tr>
        <w:trPr>
          <w:cantSplit/>
        </w:trPr>
        <w:tc>
          <w:tcPr>
            <w:tcW w:w="991"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965"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991" w:type="dxa"/>
            <w:vAlign w:val="center"/>
            <w:textDirection w:val="lrTb"/>
            <w:noWrap w:val="false"/>
          </w:tcPr>
          <w:p>
            <w:pPr>
              <w:pStyle w:val="692"/>
              <w:jc w:val="center"/>
              <w:spacing w:line="0" w:lineRule="atLeast"/>
              <w:rPr>
                <w:rFonts w:hint="eastAsia" w:ascii="宋体" w:hAnsi="宋体"/>
                <w:sz w:val="24"/>
                <w:szCs w:val="24"/>
              </w:rPr>
            </w:pPr>
            <w:r>
              <w:rPr>
                <w:rFonts w:hint="eastAsia" w:ascii="宋体" w:hAnsi="宋体"/>
                <w:sz w:val="24"/>
                <w:szCs w:val="24"/>
              </w:rPr>
              <w:t xml:space="preserve">1</w:t>
            </w:r>
            <w:r/>
          </w:p>
        </w:tc>
        <w:tc>
          <w:tcPr>
            <w:tcW w:w="965"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92"/>
              <w:jc w:val="center"/>
              <w:spacing w:line="0" w:lineRule="atLeast"/>
              <w:tabs>
                <w:tab w:val="left" w:pos="2020" w:leader="none"/>
              </w:tabs>
              <w:rPr>
                <w:rFonts w:ascii="宋体" w:hAnsi="宋体"/>
                <w:sz w:val="24"/>
                <w:szCs w:val="24"/>
              </w:rPr>
            </w:pPr>
            <w:r>
              <w:rPr>
                <w:rFonts w:hint="eastAsia" w:ascii="宋体" w:hAnsi="宋体"/>
                <w:sz w:val="24"/>
                <w:szCs w:val="24"/>
              </w:rPr>
              <w:t xml:space="preserve">宫颈细胞学人工智能辅助诊断系统</w:t>
            </w:r>
            <w:r>
              <w:rPr>
                <w:rFonts w:ascii="宋体" w:hAnsi="宋体"/>
                <w:sz w:val="24"/>
                <w:szCs w:val="24"/>
              </w:rPr>
            </w:r>
            <w:r/>
          </w:p>
        </w:tc>
        <w:tc>
          <w:tcPr>
            <w:tcW w:w="2852" w:type="dxa"/>
            <w:vAlign w:val="center"/>
            <w:textDirection w:val="lrTb"/>
            <w:noWrap w:val="false"/>
          </w:tcPr>
          <w:p>
            <w:pPr>
              <w:pStyle w:val="692"/>
              <w:jc w:val="center"/>
              <w:spacing w:line="0" w:lineRule="atLeast"/>
              <w:rPr>
                <w:rFonts w:ascii="宋体" w:hAnsi="宋体"/>
                <w:sz w:val="24"/>
                <w:szCs w:val="24"/>
              </w:rPr>
            </w:pPr>
            <w:r>
              <w:rPr>
                <w:rFonts w:hint="eastAsia" w:ascii="宋体" w:hAnsi="宋体"/>
                <w:sz w:val="24"/>
                <w:szCs w:val="24"/>
              </w:rPr>
              <w:t xml:space="preserve">软件与信息服务业</w:t>
            </w:r>
            <w:r>
              <w:rPr>
                <w:rFonts w:ascii="宋体" w:hAnsi="宋体"/>
                <w:sz w:val="24"/>
                <w:szCs w:val="24"/>
              </w:rPr>
            </w:r>
            <w:r/>
          </w:p>
        </w:tc>
      </w:tr>
    </w:tbl>
    <w:p>
      <w:pPr>
        <w:pStyle w:val="692"/>
        <w:spacing w:line="0" w:lineRule="atLeast"/>
        <w:rPr>
          <w:rFonts w:hint="eastAsia" w:ascii="宋体" w:hAnsi="宋体"/>
          <w:b/>
          <w:sz w:val="24"/>
          <w:szCs w:val="24"/>
        </w:rPr>
      </w:pPr>
      <w:r>
        <w:rPr>
          <w:rFonts w:ascii="宋体" w:hAnsi="宋体"/>
          <w:b/>
          <w:sz w:val="24"/>
          <w:szCs w:val="24"/>
        </w:rPr>
        <w:t xml:space="preserve">项目属性：服务类项目</w:t>
      </w:r>
      <w:r>
        <w:rPr>
          <w:rFonts w:hint="eastAsia" w:ascii="宋体" w:hAnsi="宋体"/>
          <w:b/>
          <w:sz w:val="24"/>
          <w:szCs w:val="24"/>
        </w:rPr>
      </w:r>
      <w:r/>
    </w:p>
    <w:p>
      <w:pPr>
        <w:pStyle w:val="692"/>
        <w:spacing w:line="0" w:lineRule="atLeast"/>
        <w:rPr>
          <w:rFonts w:ascii="宋体" w:hAnsi="宋体"/>
          <w:b/>
          <w:sz w:val="24"/>
          <w:szCs w:val="24"/>
        </w:rPr>
      </w:pPr>
      <w:r>
        <w:rPr>
          <w:rFonts w:hint="eastAsia" w:ascii="宋体" w:hAnsi="宋体"/>
          <w:b/>
          <w:sz w:val="24"/>
          <w:szCs w:val="24"/>
        </w:rPr>
        <w:t xml:space="preserve">本项目不接受进口产品参加投标。</w:t>
      </w:r>
      <w:r>
        <w:rPr>
          <w:rFonts w:ascii="宋体" w:hAnsi="宋体"/>
          <w:b/>
          <w:sz w:val="24"/>
          <w:szCs w:val="24"/>
        </w:rPr>
      </w:r>
      <w:r/>
    </w:p>
    <w:p>
      <w:pPr>
        <w:pStyle w:val="692"/>
        <w:jc w:val="left"/>
        <w:spacing w:line="360" w:lineRule="auto"/>
        <w:rPr>
          <w:sz w:val="24"/>
          <w:szCs w:val="24"/>
        </w:rPr>
      </w:pPr>
      <w:r>
        <w:rPr>
          <w:sz w:val="24"/>
          <w:szCs w:val="24"/>
        </w:rPr>
        <w:t xml:space="preserve">一、项目概况</w:t>
      </w:r>
      <w:r/>
    </w:p>
    <w:p>
      <w:pPr>
        <w:pStyle w:val="692"/>
        <w:ind w:firstLine="480"/>
        <w:jc w:val="left"/>
        <w:spacing w:line="360" w:lineRule="auto"/>
        <w:rPr>
          <w:rFonts w:hint="eastAsia"/>
          <w:sz w:val="24"/>
          <w:szCs w:val="24"/>
        </w:rPr>
      </w:pPr>
      <w:r>
        <w:rPr>
          <w:sz w:val="24"/>
          <w:szCs w:val="24"/>
        </w:rPr>
        <w:t xml:space="preserve">本项目旨在采购一套功能全面、性能顶尖、具备医疗器械注册相关规范的细胞学AI诊断系统，涵盖细胞学全场景智能分析功能，辅助医疗机构病理科提升诊断效率与准确性，推动病理诊断数智化、标准化建设，满足临床高负荷诊断需求与长期技术扩展需求。</w:t>
      </w:r>
      <w:r>
        <w:rPr>
          <w:rFonts w:hint="eastAsia"/>
          <w:sz w:val="24"/>
          <w:szCs w:val="24"/>
        </w:rPr>
      </w:r>
      <w:r/>
    </w:p>
    <w:p>
      <w:pPr>
        <w:pStyle w:val="692"/>
        <w:ind w:firstLine="480"/>
        <w:jc w:val="left"/>
        <w:spacing w:line="360" w:lineRule="auto"/>
        <w:rPr>
          <w:rFonts w:hint="eastAsia"/>
          <w:b/>
          <w:sz w:val="24"/>
          <w:szCs w:val="24"/>
        </w:rPr>
      </w:pPr>
      <w:r>
        <w:rPr>
          <w:rFonts w:hint="eastAsia"/>
          <w:b/>
          <w:sz w:val="24"/>
          <w:szCs w:val="24"/>
        </w:rPr>
        <w:t xml:space="preserve">以下采购要求中打斜体下划线的内容为实质性要求，投标人必须响应且满足要求，否则投标无效。</w:t>
      </w:r>
      <w:r/>
    </w:p>
    <w:p>
      <w:pPr>
        <w:pStyle w:val="692"/>
        <w:jc w:val="left"/>
        <w:spacing w:line="360" w:lineRule="auto"/>
        <w:rPr>
          <w:sz w:val="24"/>
          <w:szCs w:val="24"/>
        </w:rPr>
      </w:pPr>
      <w:r>
        <w:rPr>
          <w:sz w:val="24"/>
          <w:szCs w:val="24"/>
        </w:rPr>
        <w:t xml:space="preserve">二、采购内容</w:t>
      </w:r>
      <w:r/>
    </w:p>
    <w:p>
      <w:pPr>
        <w:pStyle w:val="692"/>
        <w:jc w:val="left"/>
        <w:spacing w:line="360" w:lineRule="auto"/>
        <w:rPr>
          <w:sz w:val="24"/>
          <w:szCs w:val="24"/>
        </w:rPr>
      </w:pPr>
      <w:r>
        <w:rPr>
          <w:sz w:val="24"/>
          <w:szCs w:val="24"/>
        </w:rPr>
        <w:t xml:space="preserve">    </w:t>
      </w:r>
      <w:bookmarkStart w:id="89" w:name="OLE_LINK1"/>
      <w:r>
        <w:rPr>
          <w:sz w:val="24"/>
          <w:szCs w:val="24"/>
        </w:rPr>
        <w:t xml:space="preserve">宫颈细胞学人工智能辅助诊断系统</w:t>
      </w:r>
      <w:bookmarkEnd w:id="89"/>
      <w:r>
        <w:rPr>
          <w:sz w:val="24"/>
          <w:szCs w:val="24"/>
        </w:rPr>
        <w:t xml:space="preserve">1套（含数字病理图像智能管理平台、核心诊断模块、可扩展模块、</w:t>
      </w:r>
      <w:bookmarkStart w:id="90" w:name="OLE_LINK3"/>
      <w:r>
        <w:rPr>
          <w:sz w:val="24"/>
          <w:szCs w:val="24"/>
        </w:rPr>
        <w:t xml:space="preserve">高性能GPU服务器</w:t>
      </w:r>
      <w:bookmarkEnd w:id="90"/>
      <w:r>
        <w:rPr>
          <w:sz w:val="24"/>
          <w:szCs w:val="24"/>
        </w:rPr>
        <w:t xml:space="preserve">）</w:t>
      </w:r>
      <w:r/>
    </w:p>
    <w:p>
      <w:pPr>
        <w:pStyle w:val="692"/>
        <w:jc w:val="left"/>
        <w:spacing w:line="360" w:lineRule="auto"/>
        <w:rPr>
          <w:sz w:val="24"/>
          <w:szCs w:val="24"/>
        </w:rPr>
      </w:pPr>
      <w:r/>
      <w:bookmarkStart w:id="91" w:name="OLE_LINK24"/>
      <w:r/>
      <w:bookmarkStart w:id="92" w:name="OLE_LINK23"/>
      <w:r>
        <w:rPr>
          <w:sz w:val="24"/>
          <w:szCs w:val="24"/>
        </w:rPr>
        <w:t xml:space="preserve">三、技术</w:t>
      </w:r>
      <w:r>
        <w:rPr>
          <w:rFonts w:hint="eastAsia"/>
          <w:sz w:val="24"/>
          <w:szCs w:val="24"/>
        </w:rPr>
        <w:t xml:space="preserve">参数</w:t>
      </w:r>
      <w:r>
        <w:rPr>
          <w:sz w:val="24"/>
          <w:szCs w:val="24"/>
        </w:rPr>
        <w:t xml:space="preserve">要求</w:t>
      </w:r>
      <w:r/>
    </w:p>
    <w:p>
      <w:pPr>
        <w:pStyle w:val="692"/>
        <w:jc w:val="left"/>
        <w:spacing w:line="360" w:lineRule="auto"/>
        <w:rPr>
          <w:sz w:val="24"/>
          <w:szCs w:val="24"/>
        </w:rPr>
      </w:pPr>
      <w:r/>
      <w:bookmarkEnd w:id="91"/>
      <w:r/>
      <w:bookmarkEnd w:id="92"/>
      <w:r>
        <w:rPr>
          <w:sz w:val="24"/>
          <w:szCs w:val="24"/>
        </w:rPr>
        <w:t xml:space="preserve">（一）总体要求</w:t>
      </w:r>
      <w:r/>
    </w:p>
    <w:p>
      <w:pPr>
        <w:pStyle w:val="692"/>
        <w:jc w:val="left"/>
        <w:spacing w:line="360" w:lineRule="auto"/>
        <w:rPr>
          <w:sz w:val="24"/>
          <w:szCs w:val="24"/>
        </w:rPr>
      </w:pPr>
      <w:r>
        <w:rPr>
          <w:sz w:val="24"/>
          <w:szCs w:val="24"/>
        </w:rPr>
        <w:t xml:space="preserve">  </w:t>
      </w:r>
      <w:bookmarkStart w:id="93" w:name="OLE_LINK5"/>
      <w:r>
        <w:rPr>
          <w:sz w:val="24"/>
          <w:szCs w:val="24"/>
        </w:rPr>
        <w:t xml:space="preserve">  </w:t>
      </w:r>
      <w:r>
        <w:rPr>
          <w:rFonts w:hint="eastAsia" w:ascii="宋体" w:hAnsi="宋体" w:cs="Calibri"/>
          <w:b/>
          <w:sz w:val="24"/>
          <w:szCs w:val="24"/>
        </w:rPr>
        <w:t xml:space="preserve">☆</w:t>
      </w:r>
      <w:r>
        <w:rPr>
          <w:sz w:val="24"/>
          <w:szCs w:val="24"/>
          <w:highlight w:val="darkYellow"/>
        </w:rPr>
        <w:t xml:space="preserve">1、</w:t>
      </w:r>
      <w:r>
        <w:rPr>
          <w:sz w:val="24"/>
          <w:szCs w:val="24"/>
        </w:rPr>
        <w:t xml:space="preserve">系统需涵盖细胞学系统+数字病理图像智能管理平台两大核心板块，具备智能辅诊、智能质控、数据统计、报告生成与管理、数据分级存储等全功能，支持多系统无缝对接与高并发数据交互。</w:t>
      </w:r>
      <w:bookmarkEnd w:id="93"/>
      <w:r>
        <w:rPr>
          <w:sz w:val="24"/>
          <w:szCs w:val="24"/>
        </w:rPr>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sz w:val="24"/>
          <w:szCs w:val="24"/>
          <w:highlight w:val="darkYellow"/>
        </w:rPr>
        <w:t xml:space="preserve">2</w:t>
      </w:r>
      <w:r>
        <w:rPr>
          <w:sz w:val="24"/>
          <w:szCs w:val="24"/>
        </w:rPr>
        <w:t xml:space="preserve">、遵循最新版TBS标准，支持膜式、自然沉降式、离心沉降式等所有主流制片方式，对国内外10种及以上品牌扫描仪器（如江丰、生强、滨松、徕卡、蔡司等）的扫描数字液基细胞学制片具有优异泛化性。</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3</w:t>
      </w:r>
      <w:r>
        <w:rPr>
          <w:sz w:val="24"/>
          <w:szCs w:val="24"/>
        </w:rPr>
        <w:t xml:space="preserve">、</w:t>
      </w:r>
      <w:bookmarkStart w:id="94" w:name="OLE_LINK6"/>
      <w:r>
        <w:rPr>
          <w:sz w:val="24"/>
          <w:szCs w:val="24"/>
        </w:rPr>
        <w:t xml:space="preserve">系统性能需满足临床高精准诊断需求，关键指标（敏感性、特异性、检出率等）需提供所投产品在三甲医院完成的、符合药监局要求的临床验证报告（需包含备案及伦理文件）的，可提供相关证明材料作为技术实力佐证。</w:t>
      </w:r>
      <w:bookmarkEnd w:id="94"/>
      <w:r>
        <w:rPr>
          <w:sz w:val="24"/>
          <w:szCs w:val="24"/>
        </w:rPr>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4</w:t>
      </w:r>
      <w:r>
        <w:rPr>
          <w:sz w:val="24"/>
          <w:szCs w:val="24"/>
        </w:rPr>
        <w:t xml:space="preserve">、全系统符合国产化标准：软件需兼容麒麟操作系统（Kylin OS）、统信操作系统（UOS）等国产操作系统 。</w:t>
      </w:r>
      <w:r/>
    </w:p>
    <w:p>
      <w:pPr>
        <w:pStyle w:val="692"/>
        <w:jc w:val="left"/>
        <w:spacing w:line="360" w:lineRule="auto"/>
        <w:rPr>
          <w:sz w:val="24"/>
          <w:szCs w:val="24"/>
        </w:rPr>
      </w:pPr>
      <w:r>
        <w:rPr>
          <w:sz w:val="24"/>
          <w:szCs w:val="24"/>
        </w:rPr>
        <w:t xml:space="preserve">（二）数字病理图像智能管理平台功能要求</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sz w:val="24"/>
          <w:szCs w:val="24"/>
          <w:highlight w:val="darkYellow"/>
        </w:rPr>
        <w:t xml:space="preserve">1</w:t>
      </w:r>
      <w:r>
        <w:rPr>
          <w:sz w:val="24"/>
          <w:szCs w:val="24"/>
        </w:rPr>
        <w:t xml:space="preserve">、</w:t>
      </w:r>
      <w:bookmarkStart w:id="95" w:name="OLE_LINK8"/>
      <w:r>
        <w:rPr>
          <w:sz w:val="24"/>
          <w:szCs w:val="24"/>
        </w:rPr>
        <w:t xml:space="preserve">设备与格式兼容：支持 kfb、mrxs、svs、ndpi、cvs、sdpc、vms、bif、tif/tiff、zyp、tmap 等 11 种及以上病理图像格式，兼容国内外主流数字病理扫描仪（需列出支持的具体品牌及型号清单），扫描完成后自动触发分析，无需人工干预。</w:t>
      </w:r>
      <w:bookmarkEnd w:id="95"/>
      <w:r>
        <w:rPr>
          <w:sz w:val="24"/>
          <w:szCs w:val="24"/>
        </w:rPr>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sz w:val="24"/>
          <w:szCs w:val="24"/>
          <w:highlight w:val="darkYellow"/>
        </w:rPr>
        <w:t xml:space="preserve">2</w:t>
      </w:r>
      <w:r>
        <w:rPr>
          <w:sz w:val="24"/>
          <w:szCs w:val="24"/>
        </w:rPr>
        <w:t xml:space="preserve">、支持OCR自动识别病理切片机打标签或二维码，提取病理号、切片号等信息自动归档；支持 Excel/Txt 文档信息解析，实现病理号/切片号精准匹配。</w:t>
      </w:r>
      <w:r/>
    </w:p>
    <w:p>
      <w:pPr>
        <w:pStyle w:val="692"/>
        <w:ind w:firstLine="48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3</w:t>
      </w:r>
      <w:r>
        <w:rPr>
          <w:sz w:val="24"/>
          <w:szCs w:val="24"/>
        </w:rPr>
        <w:t xml:space="preserve">、支持数字切片手动上传，上传进度可跟踪、暂停。</w:t>
      </w:r>
      <w:r/>
    </w:p>
    <w:p>
      <w:pPr>
        <w:pStyle w:val="692"/>
        <w:jc w:val="left"/>
        <w:spacing w:line="360" w:lineRule="auto"/>
        <w:rPr>
          <w:sz w:val="24"/>
          <w:szCs w:val="24"/>
        </w:rPr>
      </w:pPr>
      <w:r>
        <w:rPr>
          <w:sz w:val="24"/>
          <w:szCs w:val="24"/>
        </w:rPr>
        <w:t xml:space="preserve">    </w:t>
      </w:r>
      <w:r>
        <w:rPr>
          <w:rFonts w:hint="eastAsia"/>
          <w:sz w:val="24"/>
          <w:szCs w:val="24"/>
        </w:rPr>
        <w:t xml:space="preserve">4、</w:t>
      </w:r>
      <w:r>
        <w:rPr>
          <w:sz w:val="24"/>
          <w:szCs w:val="24"/>
        </w:rPr>
        <w:t xml:space="preserve">阅片与交互功能：</w:t>
      </w:r>
      <w:r/>
    </w:p>
    <w:p>
      <w:pPr>
        <w:pStyle w:val="692"/>
        <w:jc w:val="left"/>
        <w:spacing w:line="360" w:lineRule="auto"/>
        <w:rPr>
          <w:sz w:val="24"/>
          <w:szCs w:val="24"/>
        </w:rPr>
      </w:pPr>
      <w:r>
        <w:rPr>
          <w:sz w:val="24"/>
          <w:szCs w:val="24"/>
        </w:rPr>
        <w:t xml:space="preserve">  </w:t>
      </w:r>
      <w:r>
        <w:rPr>
          <w:rFonts w:hint="eastAsia"/>
          <w:sz w:val="24"/>
          <w:szCs w:val="24"/>
        </w:rPr>
        <w:t xml:space="preserve"> </w:t>
      </w:r>
      <w:r>
        <w:rPr>
          <w:rFonts w:hint="eastAsia" w:ascii="宋体" w:hAnsi="宋体" w:cs="Calibri"/>
          <w:b/>
          <w:sz w:val="24"/>
          <w:szCs w:val="24"/>
        </w:rPr>
        <w:t xml:space="preserve">☆</w:t>
      </w:r>
      <w:r>
        <w:rPr>
          <w:rFonts w:hint="eastAsia"/>
          <w:sz w:val="24"/>
          <w:szCs w:val="24"/>
        </w:rPr>
        <w:t xml:space="preserve"> </w:t>
      </w:r>
      <w:r>
        <w:rPr>
          <w:rFonts w:hint="eastAsia"/>
          <w:sz w:val="24"/>
          <w:szCs w:val="24"/>
          <w:highlight w:val="darkYellow"/>
        </w:rPr>
        <w:t xml:space="preserve">4.1</w:t>
      </w:r>
      <w:r>
        <w:rPr>
          <w:sz w:val="24"/>
          <w:szCs w:val="24"/>
        </w:rPr>
        <w:t xml:space="preserve">支持在线无损缩放（缩放倍率1-400×）、多倍率快捷切换（10×/20×/40×/100×）、自由拖拽平移、缩略图导航与浏览轨迹记录、分辨率尺显示；</w:t>
      </w:r>
      <w:r/>
    </w:p>
    <w:p>
      <w:pPr>
        <w:pStyle w:val="692"/>
        <w:jc w:val="left"/>
        <w:spacing w:line="360" w:lineRule="auto"/>
        <w:rPr>
          <w:sz w:val="24"/>
          <w:szCs w:val="24"/>
        </w:rPr>
      </w:pPr>
      <w:r>
        <w:rPr>
          <w:sz w:val="24"/>
          <w:szCs w:val="24"/>
        </w:rPr>
        <w:t xml:space="preserve">  </w:t>
      </w:r>
      <w:r>
        <w:rPr>
          <w:rFonts w:hint="eastAsia"/>
          <w:sz w:val="24"/>
          <w:szCs w:val="24"/>
        </w:rPr>
        <w:t xml:space="preserve"> </w:t>
      </w:r>
      <w:r>
        <w:rPr>
          <w:rFonts w:hint="eastAsia" w:ascii="宋体" w:hAnsi="宋体" w:cs="Calibri"/>
          <w:b/>
          <w:sz w:val="24"/>
          <w:szCs w:val="24"/>
        </w:rPr>
        <w:t xml:space="preserve">☆</w:t>
      </w:r>
      <w:r>
        <w:rPr>
          <w:rFonts w:hint="eastAsia"/>
          <w:sz w:val="24"/>
          <w:szCs w:val="24"/>
        </w:rPr>
        <w:t xml:space="preserve"> </w:t>
      </w:r>
      <w:r>
        <w:rPr>
          <w:rFonts w:hint="eastAsia"/>
          <w:sz w:val="24"/>
          <w:szCs w:val="24"/>
          <w:highlight w:val="darkYellow"/>
        </w:rPr>
        <w:t xml:space="preserve">4.2</w:t>
      </w:r>
      <w:r>
        <w:rPr>
          <w:sz w:val="24"/>
          <w:szCs w:val="24"/>
        </w:rPr>
        <w:t xml:space="preserve">支持病理图像旋转（0°/90°/180°/270°）、左右/上下翻转、截图、多图对比（≥4 张图像同步浏览）；</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rPr>
        <w:t xml:space="preserve"> </w:t>
      </w:r>
      <w:r>
        <w:rPr>
          <w:rFonts w:hint="eastAsia"/>
          <w:sz w:val="24"/>
          <w:szCs w:val="24"/>
          <w:highlight w:val="darkYellow"/>
        </w:rPr>
        <w:t xml:space="preserve">4.3</w:t>
      </w:r>
      <w:r>
        <w:rPr>
          <w:sz w:val="24"/>
          <w:szCs w:val="24"/>
        </w:rPr>
        <w:t xml:space="preserve">提供矩形、自由笔、箭头、文字等标注工具，支持在线直线测量（精度≤1μm）、细胞直径/组织长度量化计算，标注与测量数据可随切片永久保存。</w:t>
      </w:r>
      <w:r/>
    </w:p>
    <w:p>
      <w:pPr>
        <w:pStyle w:val="692"/>
        <w:ind w:firstLine="482"/>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4.4</w:t>
      </w:r>
      <w:r>
        <w:rPr>
          <w:sz w:val="24"/>
          <w:szCs w:val="24"/>
        </w:rPr>
        <w:t xml:space="preserve">查询与批量操作：</w:t>
      </w:r>
      <w:r/>
    </w:p>
    <w:p>
      <w:pPr>
        <w:pStyle w:val="692"/>
        <w:jc w:val="left"/>
        <w:spacing w:line="360" w:lineRule="auto"/>
        <w:rPr>
          <w:sz w:val="24"/>
          <w:szCs w:val="24"/>
        </w:rPr>
      </w:pPr>
      <w:r>
        <w:rPr>
          <w:sz w:val="24"/>
          <w:szCs w:val="24"/>
        </w:rPr>
        <w:t xml:space="preserve">    病例列表支持病理号（精确/区间）、切片名、患者姓名、检查项目、阅片状态、时间范围等多维度组合查询。</w:t>
      </w:r>
      <w:r/>
    </w:p>
    <w:p>
      <w:pPr>
        <w:pStyle w:val="692"/>
        <w:jc w:val="left"/>
        <w:spacing w:line="360" w:lineRule="auto"/>
        <w:rPr>
          <w:sz w:val="24"/>
          <w:szCs w:val="24"/>
        </w:rPr>
      </w:pPr>
      <w:r>
        <w:rPr>
          <w:sz w:val="24"/>
          <w:szCs w:val="24"/>
        </w:rPr>
        <w:t xml:space="preserve">（三）细胞学系统功能要求</w:t>
      </w:r>
      <w:r/>
    </w:p>
    <w:p>
      <w:pPr>
        <w:pStyle w:val="692"/>
        <w:jc w:val="left"/>
        <w:spacing w:line="360" w:lineRule="auto"/>
        <w:rPr>
          <w:sz w:val="24"/>
          <w:szCs w:val="24"/>
        </w:rPr>
      </w:pPr>
      <w:r>
        <w:rPr>
          <w:sz w:val="24"/>
          <w:szCs w:val="24"/>
        </w:rPr>
        <w:t xml:space="preserve">    1. 通用功能</w:t>
      </w:r>
      <w:r/>
    </w:p>
    <w:p>
      <w:pPr>
        <w:pStyle w:val="692"/>
        <w:ind w:firstLine="482"/>
        <w:rPr>
          <w:rFonts w:hint="eastAsia"/>
          <w:sz w:val="24"/>
          <w:szCs w:val="24"/>
        </w:rPr>
      </w:pPr>
      <w:r>
        <w:rPr>
          <w:rFonts w:hint="eastAsia" w:ascii="宋体" w:hAnsi="宋体" w:cs="Calibri"/>
          <w:b/>
          <w:sz w:val="24"/>
          <w:szCs w:val="24"/>
        </w:rPr>
        <w:t xml:space="preserve">☆</w:t>
      </w:r>
      <w:r>
        <w:rPr>
          <w:sz w:val="24"/>
          <w:szCs w:val="24"/>
          <w:highlight w:val="darkYellow"/>
        </w:rPr>
        <w:t xml:space="preserve">1.1</w:t>
      </w:r>
      <w:r>
        <w:rPr>
          <w:sz w:val="24"/>
          <w:szCs w:val="24"/>
        </w:rPr>
        <w:t xml:space="preserve">、支持开放接口（RESTful API /消息接口），可与</w:t>
      </w:r>
      <w:r>
        <w:rPr>
          <w:rFonts w:hint="eastAsia"/>
          <w:sz w:val="24"/>
          <w:szCs w:val="24"/>
        </w:rPr>
        <w:t xml:space="preserve">正在建设的病理数字基座平台</w:t>
      </w:r>
      <w:r>
        <w:rPr>
          <w:sz w:val="24"/>
          <w:szCs w:val="24"/>
        </w:rPr>
        <w:t xml:space="preserve">系统对接，分析结果以 JSON/XML 格式回传，支持断点续传</w:t>
      </w:r>
      <w:r>
        <w:rPr>
          <w:rFonts w:hint="eastAsia"/>
          <w:sz w:val="24"/>
          <w:szCs w:val="24"/>
        </w:rPr>
        <w:t xml:space="preserve">，接口为标准接口，免费开放，确保数据交互的实时性与业务流转的便捷性。</w:t>
      </w:r>
      <w:r/>
    </w:p>
    <w:p>
      <w:pPr>
        <w:pStyle w:val="692"/>
        <w:ind w:firstLine="480"/>
        <w:jc w:val="left"/>
        <w:spacing w:line="360" w:lineRule="auto"/>
        <w:rPr>
          <w:sz w:val="24"/>
          <w:szCs w:val="24"/>
        </w:rPr>
      </w:pPr>
      <w:r>
        <w:rPr>
          <w:rFonts w:hint="eastAsia"/>
          <w:sz w:val="24"/>
          <w:szCs w:val="24"/>
        </w:rPr>
        <w:t xml:space="preserve">数字病理基座平台：</w:t>
      </w:r>
      <w:r>
        <w:rPr>
          <w:sz w:val="24"/>
          <w:szCs w:val="24"/>
        </w:rPr>
      </w:r>
      <w:r/>
    </w:p>
    <w:p>
      <w:pPr>
        <w:pStyle w:val="692"/>
        <w:ind w:firstLine="480"/>
        <w:jc w:val="left"/>
        <w:spacing w:line="360" w:lineRule="auto"/>
        <w:rPr>
          <w:rFonts w:hint="eastAsia"/>
          <w:sz w:val="24"/>
          <w:szCs w:val="24"/>
        </w:rPr>
      </w:pPr>
      <w:r>
        <w:rPr>
          <w:rFonts w:hint="eastAsia"/>
          <w:sz w:val="24"/>
          <w:szCs w:val="24"/>
        </w:rPr>
        <w:t xml:space="preserve">数字病理基座平台是医院病理科的专业数据中心，是病理数字化的核心基础设施。其任务是：实现病理检查数据的全流程管理，实现病理切片从扫描、上传、存储、管理到数字阅片的全流程闭环。并以病理号为核心索引，整合送检信息、诊断报告、免疫组化、分子病理等多源数据，形成患者病理全周期数据视图。作为PIS系统与各病理应用系统之间的数据桥梁，实现标准化数据交换。为病理诊断、科研分析、教学培训、远程会诊提供统一的数据服务和技术底座。</w:t>
      </w:r>
      <w:r/>
    </w:p>
    <w:p>
      <w:pPr>
        <w:pStyle w:val="692"/>
        <w:ind w:firstLine="480"/>
        <w:jc w:val="left"/>
        <w:spacing w:line="360" w:lineRule="auto"/>
        <w:rPr>
          <w:rFonts w:hint="eastAsia"/>
          <w:sz w:val="24"/>
          <w:szCs w:val="24"/>
        </w:rPr>
      </w:pPr>
      <w:r>
        <w:rPr>
          <w:rFonts w:hint="eastAsia"/>
          <w:sz w:val="24"/>
          <w:szCs w:val="24"/>
        </w:rPr>
        <w:t xml:space="preserve">宫颈细胞学人工智能辅助诊断系统是部署在数字病理基座平台之上的上层应用系统，两者之间是基础平台与上层应用的关系。宫颈细胞学AI系统依赖基座平台提供的病理图像数据存储服务、病例信息查询服务以及诊断结果回传服务，基座平台则为AI系统提供标准化的病理图像和病例数据输入，并将AI系统生成的辅助诊断结果接收后转发至PIS系统，两者共同构成完整的宫颈细胞学人工智能辅助诊断解决方案。</w:t>
      </w:r>
      <w:r/>
    </w:p>
    <w:p>
      <w:pPr>
        <w:pStyle w:val="692"/>
        <w:ind w:firstLine="480"/>
        <w:jc w:val="left"/>
        <w:spacing w:line="360" w:lineRule="auto"/>
        <w:rPr>
          <w:rFonts w:hint="eastAsia"/>
          <w:sz w:val="24"/>
          <w:szCs w:val="24"/>
        </w:rPr>
      </w:pPr>
      <w:r>
        <w:rPr>
          <w:rFonts w:hint="eastAsia"/>
          <w:sz w:val="24"/>
          <w:szCs w:val="24"/>
        </w:rPr>
        <w:t xml:space="preserve">在接口要求方面，两者之间通过标准化API接口实现</w:t>
      </w:r>
      <w:r>
        <w:rPr>
          <w:rFonts w:hint="eastAsia"/>
          <w:sz w:val="24"/>
          <w:szCs w:val="24"/>
        </w:rPr>
        <w:t xml:space="preserve">双向数据交换。基座平台向AI系统提供数据分发接口，将病理图像和病例信息以标准化格式推送给AI系统进行分析处理；AI系统则向基座平台提供结果回传接口，将辅助诊断结果返回给基座平台，再由基座平台转发至PIS系统。接口应支持RESTful API或消息队列协议，数据格式采用JSON或XML，并支持大数据量传输时的断点续传功能。所有接口通信须强制启用TLS加密协议，确保数据传输安全。投标人须承诺宫颈细胞学AI系统能够与数字病理基座平台实现无缝对接，对接工作所涉及的全部费用应包含在投标总报价中，不得另行向采购人收费。</w:t>
      </w:r>
      <w:r/>
    </w:p>
    <w:p>
      <w:pPr>
        <w:pStyle w:val="692"/>
        <w:ind w:firstLine="48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1.2</w:t>
      </w:r>
      <w:r>
        <w:rPr>
          <w:sz w:val="24"/>
          <w:szCs w:val="24"/>
        </w:rPr>
        <w:t xml:space="preserve">、质控管理：对扫描模糊、细胞数量少、胶水杂质覆盖的样本自动提示，需提供系统质控界面截图。</w:t>
      </w:r>
      <w:r/>
    </w:p>
    <w:p>
      <w:pPr>
        <w:pStyle w:val="692"/>
        <w:ind w:firstLine="480"/>
        <w:jc w:val="left"/>
        <w:spacing w:line="360" w:lineRule="auto"/>
        <w:rPr>
          <w:sz w:val="24"/>
          <w:szCs w:val="24"/>
        </w:rPr>
      </w:pPr>
      <w:r>
        <w:rPr>
          <w:sz w:val="24"/>
          <w:szCs w:val="24"/>
        </w:rPr>
        <w:t xml:space="preserve">2. 宫颈细胞学智能分析模块</w:t>
      </w:r>
      <w:r/>
    </w:p>
    <w:p>
      <w:pPr>
        <w:pStyle w:val="692"/>
        <w:ind w:firstLine="480"/>
        <w:jc w:val="left"/>
        <w:spacing w:line="360" w:lineRule="auto"/>
        <w:rPr>
          <w:sz w:val="24"/>
          <w:szCs w:val="24"/>
        </w:rPr>
      </w:pPr>
      <w:r>
        <w:rPr>
          <w:sz w:val="24"/>
          <w:szCs w:val="24"/>
        </w:rPr>
        <w:t xml:space="preserve">▲2.1、模型敏感性（含 ASC-US）≥95%，模型特异性≥85%，为确保准确率，避免漏诊风险，需提供软件单独测试（非人机结合）结果。（投标文件中需提供药监局临床实验备案记录和各临床试验机构伦理备案和审批的临床试验报告进行佐证）。</w:t>
      </w:r>
      <w:r/>
    </w:p>
    <w:p>
      <w:pPr>
        <w:pStyle w:val="692"/>
        <w:ind w:firstLine="480"/>
        <w:jc w:val="left"/>
        <w:spacing w:line="360" w:lineRule="auto"/>
        <w:rPr>
          <w:sz w:val="24"/>
          <w:szCs w:val="24"/>
        </w:rPr>
      </w:pPr>
      <w:r>
        <w:rPr>
          <w:sz w:val="24"/>
          <w:szCs w:val="24"/>
        </w:rPr>
        <w:t xml:space="preserve">2.2</w:t>
      </w:r>
      <w:r>
        <w:rPr>
          <w:rFonts w:hint="eastAsia"/>
          <w:sz w:val="24"/>
          <w:szCs w:val="24"/>
        </w:rPr>
        <w:t xml:space="preserve">  TBS标准可疑细胞提示</w:t>
      </w:r>
      <w:r>
        <w:rPr>
          <w:sz w:val="24"/>
          <w:szCs w:val="24"/>
        </w:rPr>
      </w:r>
      <w:r/>
    </w:p>
    <w:p>
      <w:pPr>
        <w:pStyle w:val="692"/>
        <w:ind w:firstLine="482"/>
        <w:jc w:val="left"/>
        <w:spacing w:line="360" w:lineRule="auto"/>
        <w:rPr>
          <w:rFonts w:hint="eastAsia"/>
          <w:sz w:val="24"/>
          <w:szCs w:val="24"/>
        </w:rPr>
      </w:pPr>
      <w:r>
        <w:rPr>
          <w:rFonts w:hint="eastAsia" w:ascii="宋体" w:hAnsi="宋体" w:cs="Calibri"/>
          <w:b/>
          <w:sz w:val="24"/>
          <w:szCs w:val="24"/>
        </w:rPr>
        <w:t xml:space="preserve">☆</w:t>
      </w:r>
      <w:r>
        <w:rPr>
          <w:rFonts w:hint="eastAsia"/>
          <w:sz w:val="24"/>
          <w:szCs w:val="24"/>
          <w:highlight w:val="darkYellow"/>
        </w:rPr>
        <w:t xml:space="preserve">2.2.1</w:t>
      </w:r>
      <w:r>
        <w:rPr>
          <w:sz w:val="24"/>
          <w:szCs w:val="24"/>
        </w:rPr>
        <w:t xml:space="preserve">遵循最新版TBS标准，支持 HSIL、ASC-H、LSIL、ASC-US、AGC</w:t>
      </w:r>
      <w:r>
        <w:rPr>
          <w:rFonts w:hint="eastAsia"/>
          <w:sz w:val="24"/>
          <w:szCs w:val="24"/>
        </w:rPr>
        <w:t xml:space="preserve">等宫颈细胞学病变分级提示。</w:t>
      </w:r>
      <w:r/>
    </w:p>
    <w:p>
      <w:pPr>
        <w:pStyle w:val="692"/>
        <w:ind w:firstLine="482"/>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2.2.2</w:t>
      </w:r>
      <w:r>
        <w:rPr>
          <w:rFonts w:hint="eastAsia"/>
          <w:sz w:val="24"/>
          <w:szCs w:val="24"/>
        </w:rPr>
        <w:t xml:space="preserve"> </w:t>
      </w:r>
      <w:r>
        <w:rPr>
          <w:sz w:val="24"/>
          <w:szCs w:val="24"/>
        </w:rPr>
        <w:t xml:space="preserve">滴虫、念珠菌、 线索细胞、放线菌、疱疹病毒等可疑细胞级提示。  </w:t>
      </w:r>
      <w:r/>
    </w:p>
    <w:p>
      <w:pPr>
        <w:pStyle w:val="692"/>
        <w:ind w:firstLine="48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2.3</w:t>
      </w:r>
      <w:r>
        <w:rPr>
          <w:sz w:val="24"/>
          <w:szCs w:val="24"/>
        </w:rPr>
        <w:t xml:space="preserve">、使用深度学习辅助诊断，可作为执业病理医师进行辅助诊断工具。（注册证需明确描述具备深度学习辅助诊断功能，投标文件中提供注册证对应功能描述截图佐证）。</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2.4</w:t>
      </w:r>
      <w:r>
        <w:rPr>
          <w:sz w:val="24"/>
          <w:szCs w:val="24"/>
        </w:rPr>
        <w:t xml:space="preserve">、全切片分析模式，按疑似病变置信度从高到低排序展示疑似区域，可按临床要求设置展示区域数量，点击区域一键定位全场图复核；</w:t>
      </w:r>
      <w:r/>
    </w:p>
    <w:p>
      <w:pPr>
        <w:pStyle w:val="69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（三）</w:t>
      </w:r>
      <w:r>
        <w:rPr>
          <w:sz w:val="24"/>
          <w:szCs w:val="24"/>
        </w:rPr>
        <w:t xml:space="preserve">系统可拓展辅助诊断包含但不限于：消化道（含胃、结直肠、食管）、乳腺、肺、前列腺等组织学诊断模块。（需提供系统截图）</w:t>
      </w:r>
      <w:r/>
    </w:p>
    <w:p>
      <w:pPr>
        <w:pStyle w:val="692"/>
        <w:jc w:val="left"/>
        <w:spacing w:line="360" w:lineRule="auto"/>
        <w:rPr>
          <w:sz w:val="24"/>
          <w:szCs w:val="24"/>
        </w:rPr>
      </w:pPr>
      <w:r>
        <w:rPr>
          <w:sz w:val="24"/>
          <w:szCs w:val="24"/>
        </w:rPr>
        <w:t xml:space="preserve">（四）报告生成与管理要求</w:t>
      </w:r>
      <w:r/>
    </w:p>
    <w:p>
      <w:pPr>
        <w:pStyle w:val="692"/>
        <w:ind w:firstLine="480"/>
        <w:jc w:val="left"/>
        <w:spacing w:line="360" w:lineRule="auto"/>
        <w:rPr>
          <w:sz w:val="24"/>
          <w:szCs w:val="24"/>
        </w:rPr>
      </w:pPr>
      <w:r>
        <w:rPr>
          <w:rFonts w:hint="eastAsia"/>
          <w:sz w:val="24"/>
          <w:szCs w:val="24"/>
        </w:rPr>
        <w:t xml:space="preserve">4.1 报告模板管理</w:t>
      </w:r>
      <w:r>
        <w:rPr>
          <w:sz w:val="24"/>
          <w:szCs w:val="24"/>
        </w:rPr>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4.1</w:t>
      </w:r>
      <w:r>
        <w:rPr>
          <w:rFonts w:hint="eastAsia"/>
          <w:sz w:val="24"/>
          <w:szCs w:val="24"/>
          <w:highlight w:val="darkYellow"/>
        </w:rPr>
        <w:t xml:space="preserve">.1</w:t>
      </w:r>
      <w:r>
        <w:rPr>
          <w:sz w:val="24"/>
          <w:szCs w:val="24"/>
        </w:rPr>
        <w:t xml:space="preserve">、可与数字病理基座平台系统对接，支持结构化报告模板</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4.1.2</w:t>
      </w:r>
      <w:r>
        <w:rPr>
          <w:rFonts w:hint="eastAsia"/>
          <w:sz w:val="24"/>
          <w:szCs w:val="24"/>
        </w:rPr>
        <w:t xml:space="preserve"> </w:t>
      </w:r>
      <w:r>
        <w:rPr>
          <w:sz w:val="24"/>
          <w:szCs w:val="24"/>
        </w:rPr>
        <w:t xml:space="preserve">模板可自定义、配置（字段显示 / 隐藏）、激活/停用、删除，支持一键复制已有模板；</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sz w:val="24"/>
          <w:szCs w:val="24"/>
          <w:highlight w:val="darkYellow"/>
        </w:rPr>
        <w:t xml:space="preserve">4.2</w:t>
      </w:r>
      <w:r>
        <w:rPr>
          <w:sz w:val="24"/>
          <w:szCs w:val="24"/>
        </w:rPr>
        <w:t xml:space="preserve">、报告内容可智能填入 AI 分析结果，支持报告常用语管理，支持图片插入（病灶截图 / 标注图）。</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4.3</w:t>
      </w:r>
      <w:r>
        <w:rPr>
          <w:sz w:val="24"/>
          <w:szCs w:val="24"/>
        </w:rPr>
        <w:t xml:space="preserve">、支持报告预览、保存、导出（PDF），可一键发送至数字病理基座平台系统，报告修改记录全程留痕。</w:t>
      </w:r>
      <w:r/>
    </w:p>
    <w:p>
      <w:pPr>
        <w:pStyle w:val="692"/>
        <w:jc w:val="left"/>
        <w:spacing w:line="360" w:lineRule="auto"/>
        <w:rPr>
          <w:sz w:val="24"/>
          <w:szCs w:val="24"/>
        </w:rPr>
      </w:pPr>
      <w:r>
        <w:rPr>
          <w:sz w:val="24"/>
          <w:szCs w:val="24"/>
        </w:rPr>
        <w:t xml:space="preserve">（五）高性能GPU服务器</w:t>
      </w:r>
      <w:r/>
    </w:p>
    <w:tbl>
      <w:tblPr>
        <w:tblW w:w="9270" w:type="dxa"/>
        <w:tblInd w:w="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5"/>
        <w:gridCol w:w="1275"/>
        <w:gridCol w:w="1560"/>
        <w:gridCol w:w="5657"/>
        <w:gridCol w:w="13"/>
      </w:tblGrid>
      <w:tr>
        <w:trPr>
          <w:gridAfter w:val="1"/>
          <w:trHeight w:val="492"/>
        </w:trPr>
        <w:tc>
          <w:tcPr>
            <w:tcW w:w="765" w:type="dxa"/>
            <w:vAlign w:val="center"/>
            <w:textDirection w:val="lrTb"/>
            <w:noWrap w:val="false"/>
          </w:tcPr>
          <w:p>
            <w:pPr>
              <w:pStyle w:val="692"/>
              <w:jc w:val="center"/>
              <w:rPr>
                <w:rFonts w:ascii="黑体" w:hAnsi="黑体" w:eastAsia="黑体" w:cs="黑体"/>
                <w:b/>
                <w:lang w:eastAsia="en-US"/>
              </w:rPr>
            </w:pPr>
            <w:r>
              <w:rPr>
                <w:rFonts w:ascii="黑体" w:hAnsi="黑体" w:eastAsia="黑体" w:cs="黑体"/>
                <w:b/>
                <w:lang w:eastAsia="en-US"/>
              </w:rPr>
              <w:t xml:space="preserve">序号</w:t>
            </w:r>
            <w:r/>
          </w:p>
        </w:tc>
        <w:tc>
          <w:tcPr>
            <w:tcW w:w="1275" w:type="dxa"/>
            <w:vAlign w:val="center"/>
            <w:textDirection w:val="lrTb"/>
            <w:noWrap w:val="false"/>
          </w:tcPr>
          <w:p>
            <w:pPr>
              <w:pStyle w:val="692"/>
              <w:ind w:firstLine="21"/>
              <w:jc w:val="center"/>
              <w:rPr>
                <w:rFonts w:ascii="黑体" w:hAnsi="黑体" w:eastAsia="黑体" w:cs="黑体"/>
                <w:b/>
                <w:lang w:eastAsia="en-US"/>
              </w:rPr>
            </w:pPr>
            <w:r>
              <w:rPr>
                <w:rFonts w:ascii="黑体" w:hAnsi="黑体" w:eastAsia="黑体" w:cs="黑体"/>
                <w:b/>
                <w:lang w:eastAsia="en-US"/>
              </w:rPr>
              <w:t xml:space="preserve">一级指标</w:t>
            </w:r>
            <w:r>
              <w:rPr>
                <w:rFonts w:ascii="黑体" w:hAnsi="黑体" w:eastAsia="黑体" w:cs="黑体"/>
                <w:b/>
                <w:position w:val="9"/>
                <w:lang w:eastAsia="en-US"/>
              </w:rPr>
              <w:t xml:space="preserve">1</w:t>
            </w:r>
            <w:r>
              <w:rPr>
                <w:rFonts w:ascii="黑体" w:hAnsi="黑体" w:eastAsia="黑体" w:cs="黑体"/>
                <w:b/>
                <w:lang w:eastAsia="en-US"/>
              </w:rPr>
            </w:r>
            <w:r/>
          </w:p>
        </w:tc>
        <w:tc>
          <w:tcPr>
            <w:tcW w:w="1560" w:type="dxa"/>
            <w:vAlign w:val="center"/>
            <w:textDirection w:val="lrTb"/>
            <w:noWrap w:val="false"/>
          </w:tcPr>
          <w:p>
            <w:pPr>
              <w:pStyle w:val="692"/>
              <w:jc w:val="center"/>
              <w:rPr>
                <w:rFonts w:ascii="黑体" w:hAnsi="黑体" w:eastAsia="黑体" w:cs="黑体"/>
                <w:b/>
                <w:lang w:eastAsia="en-US"/>
              </w:rPr>
            </w:pPr>
            <w:r>
              <w:rPr>
                <w:rFonts w:ascii="黑体" w:hAnsi="黑体" w:eastAsia="黑体" w:cs="黑体"/>
                <w:b/>
                <w:lang w:eastAsia="en-US"/>
              </w:rPr>
              <w:t xml:space="preserve">二级指标 </w:t>
            </w:r>
            <w:r>
              <w:rPr>
                <w:rFonts w:ascii="黑体" w:hAnsi="黑体" w:eastAsia="黑体" w:cs="黑体"/>
                <w:b/>
                <w:position w:val="9"/>
                <w:lang w:eastAsia="en-US"/>
              </w:rPr>
              <w:t xml:space="preserve">1</w:t>
            </w:r>
            <w:r>
              <w:rPr>
                <w:rFonts w:ascii="黑体" w:hAnsi="黑体" w:eastAsia="黑体" w:cs="黑体"/>
                <w:b/>
                <w:lang w:eastAsia="en-US"/>
              </w:rPr>
            </w:r>
            <w:r/>
          </w:p>
        </w:tc>
        <w:tc>
          <w:tcPr>
            <w:tcW w:w="5657" w:type="dxa"/>
            <w:vAlign w:val="center"/>
            <w:textDirection w:val="lrTb"/>
            <w:noWrap w:val="false"/>
          </w:tcPr>
          <w:p>
            <w:pPr>
              <w:pStyle w:val="692"/>
              <w:jc w:val="center"/>
              <w:rPr>
                <w:rFonts w:ascii="黑体" w:hAnsi="黑体" w:eastAsia="黑体" w:cs="黑体"/>
                <w:b/>
                <w:lang w:eastAsia="en-US"/>
              </w:rPr>
            </w:pPr>
            <w:r>
              <w:rPr>
                <w:rFonts w:ascii="黑体" w:hAnsi="黑体" w:eastAsia="黑体" w:cs="黑体"/>
                <w:b/>
                <w:lang w:eastAsia="en-US"/>
              </w:rPr>
              <w:t xml:space="preserve">指标要求</w:t>
            </w:r>
            <w:r/>
          </w:p>
        </w:tc>
      </w:tr>
      <w:tr>
        <w:trPr>
          <w:gridAfter w:val="1"/>
          <w:trHeight w:val="71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1</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CPU规格</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CPU 信息</w:t>
            </w:r>
            <w:r/>
          </w:p>
        </w:tc>
        <w:tc>
          <w:tcPr>
            <w:tcW w:w="5657" w:type="dxa"/>
            <w:vAlign w:val="top"/>
            <w:textDirection w:val="lrTb"/>
            <w:noWrap w:val="false"/>
          </w:tcPr>
          <w:p>
            <w:pPr>
              <w:pStyle w:val="692"/>
              <w:rPr>
                <w:rFonts w:ascii="宋体" w:hAnsi="宋体" w:cs="黑体"/>
                <w:i/>
                <w:iCs/>
                <w:u w:val="single"/>
              </w:rPr>
            </w:pPr>
            <w:r>
              <w:rPr>
                <w:rFonts w:ascii="宋体" w:hAnsi="宋体" w:cs="黑体"/>
                <w:i/>
                <w:iCs/>
                <w:u w:val="single"/>
              </w:rPr>
              <w:t xml:space="preserve">（1）最低要求：配置2颗国产处理器，单颗处理器物理核心数≥32核，总核心数≥64核，主频≥2.5GHz，三级缓存≥64MB。</w:t>
            </w:r>
            <w:r/>
          </w:p>
        </w:tc>
      </w:tr>
      <w:tr>
        <w:trPr>
          <w:gridAfter w:val="1"/>
          <w:trHeight w:val="717"/>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2</w:t>
            </w:r>
            <w:r/>
          </w:p>
        </w:tc>
        <w:tc>
          <w:tcPr>
            <w:tcBorders>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主板支持的CPU 和内存情况</w:t>
            </w:r>
            <w:r/>
          </w:p>
        </w:tc>
        <w:tc>
          <w:tcPr>
            <w:tcW w:w="5657" w:type="dxa"/>
            <w:vAlign w:val="top"/>
            <w:textDirection w:val="lrTb"/>
            <w:noWrap w:val="false"/>
          </w:tcPr>
          <w:p>
            <w:pPr>
              <w:pStyle w:val="692"/>
              <w:rPr>
                <w:rFonts w:ascii="宋体" w:hAnsi="宋体" w:cs="黑体"/>
                <w:i/>
                <w:iCs/>
                <w:u w:val="single"/>
              </w:rPr>
            </w:pPr>
            <w:r>
              <w:rPr>
                <w:rFonts w:ascii="宋体" w:hAnsi="宋体" w:cs="黑体"/>
                <w:i/>
                <w:iCs/>
                <w:u w:val="single"/>
              </w:rPr>
              <w:t xml:space="preserve">（1）内存插槽数量：≥16个，支持内存类型：DDR4 RDIMM ECC（或更优），支持内存速率：≥2933MT/s，支持单条内存容量：≥32GB，支持最大内存容量：≥512GB</w:t>
            </w:r>
            <w:r/>
          </w:p>
        </w:tc>
      </w:tr>
      <w:tr>
        <w:trPr>
          <w:gridAfter w:val="1"/>
          <w:trHeight w:val="72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3</w:t>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主板规格</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主板内存槽数量</w:t>
            </w:r>
            <w:r/>
          </w:p>
        </w:tc>
        <w:tc>
          <w:tcPr>
            <w:tcW w:w="5657"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支持不少于16个DDR4 RDIMM ECC内存插槽，内存速率≥2933MT/s。</w:t>
            </w:r>
            <w:r/>
          </w:p>
        </w:tc>
      </w:tr>
      <w:tr>
        <w:trPr>
          <w:gridAfter w:val="1"/>
          <w:trHeight w:val="51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4</w:t>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主板存储接口</w:t>
            </w:r>
            <w:r/>
          </w:p>
        </w:tc>
        <w:tc>
          <w:tcPr>
            <w:tcW w:w="5657" w:type="dxa"/>
            <w:vAlign w:val="top"/>
            <w:textDirection w:val="lrTb"/>
            <w:noWrap w:val="false"/>
          </w:tcPr>
          <w:p>
            <w:pPr>
              <w:pStyle w:val="692"/>
              <w:rPr>
                <w:rFonts w:ascii="宋体" w:hAnsi="宋体" w:cs="黑体"/>
                <w:i/>
                <w:iCs/>
                <w:u w:val="single"/>
              </w:rPr>
            </w:pPr>
            <w:r>
              <w:rPr>
                <w:rFonts w:ascii="宋体" w:hAnsi="宋体" w:cs="黑体"/>
                <w:i/>
                <w:iCs/>
                <w:spacing w:val="-10"/>
                <w:u w:val="single"/>
              </w:rPr>
              <w:t xml:space="preserve">至少支持 </w:t>
            </w:r>
            <w:r>
              <w:rPr>
                <w:rFonts w:ascii="宋体" w:hAnsi="宋体" w:cs="黑体"/>
                <w:i/>
                <w:iCs/>
                <w:u w:val="single"/>
              </w:rPr>
              <w:t xml:space="preserve">SATA、SAS、M.2、U.2 等存储接口中的 2 种及以上存储接口类型</w:t>
            </w:r>
            <w:r/>
          </w:p>
        </w:tc>
      </w:tr>
      <w:tr>
        <w:trPr>
          <w:gridAfter w:val="1"/>
          <w:trHeight w:val="95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5</w:t>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PCIe 插槽接口</w:t>
            </w:r>
            <w:r/>
          </w:p>
        </w:tc>
        <w:tc>
          <w:tcPr>
            <w:tcW w:w="5657" w:type="dxa"/>
            <w:vAlign w:val="top"/>
            <w:textDirection w:val="lrTb"/>
            <w:noWrap w:val="false"/>
          </w:tcPr>
          <w:p>
            <w:pPr>
              <w:pStyle w:val="692"/>
              <w:rPr>
                <w:rFonts w:ascii="宋体" w:hAnsi="宋体" w:cs="黑体"/>
                <w:i/>
                <w:iCs/>
                <w:u w:val="single"/>
              </w:rPr>
            </w:pPr>
            <w:r>
              <w:rPr>
                <w:rFonts w:ascii="宋体" w:hAnsi="宋体" w:cs="黑体"/>
                <w:i/>
                <w:iCs/>
                <w:u w:val="single"/>
              </w:rPr>
              <w:t xml:space="preserve">服务器PCIe插槽接口应符合PCIe 4.0或以上高速串行计算机扩展总线标准，PCIe的接口速率与位宽需保证向下兼容。</w:t>
            </w:r>
            <w:r/>
          </w:p>
        </w:tc>
      </w:tr>
      <w:tr>
        <w:trPr>
          <w:gridAfter w:val="1"/>
          <w:trHeight w:val="983"/>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6</w:t>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主板PCIe 插槽数量及规格</w:t>
            </w:r>
            <w:r/>
          </w:p>
        </w:tc>
        <w:tc>
          <w:tcPr>
            <w:tcW w:w="5657" w:type="dxa"/>
            <w:vAlign w:val="top"/>
            <w:textDirection w:val="lrTb"/>
            <w:noWrap w:val="false"/>
          </w:tcPr>
          <w:p>
            <w:pPr>
              <w:pStyle w:val="692"/>
              <w:rPr>
                <w:rFonts w:ascii="宋体" w:hAnsi="宋体" w:cs="黑体"/>
                <w:i/>
                <w:iCs/>
                <w:u w:val="single"/>
              </w:rPr>
            </w:pPr>
            <w:r>
              <w:rPr>
                <w:rFonts w:ascii="宋体" w:hAnsi="宋体" w:cs="黑体"/>
                <w:i/>
                <w:iCs/>
                <w:u w:val="single"/>
              </w:rPr>
              <w:t xml:space="preserve">（1）最低要求：支持PCIe 4.0及以上协议；标准PCIe插槽数量≥8个，其中至少1个为x16规格；另需提供RAID扣卡专用槽位（或等效扩展接口）及灵活IO网卡槽位（或等效网络扩展能力）。</w:t>
            </w:r>
            <w:r/>
          </w:p>
        </w:tc>
      </w:tr>
      <w:tr>
        <w:trPr>
          <w:gridAfter w:val="1"/>
          <w:trHeight w:val="480"/>
        </w:trPr>
        <w:tc>
          <w:tcPr>
            <w:tcBorders>
              <w:top w:val="none" w:color="000000" w:sz="4" w:space="0"/>
              <w:bottom w:val="non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8</w:t>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r>
            <w:r/>
          </w:p>
        </w:tc>
        <w:tc>
          <w:tcPr>
            <w:tcBorders>
              <w:top w:val="none" w:color="000000" w:sz="4" w:space="0"/>
              <w:bottom w:val="none" w:color="000000" w:sz="4" w:space="0"/>
            </w:tcBorders>
            <w:tcW w:w="1560" w:type="dxa"/>
            <w:vAlign w:val="top"/>
            <w:textDirection w:val="lrTb"/>
            <w:noWrap w:val="false"/>
          </w:tcPr>
          <w:p>
            <w:pPr>
              <w:pStyle w:val="692"/>
              <w:rPr>
                <w:rFonts w:ascii="宋体" w:hAnsi="宋体" w:cs="黑体"/>
              </w:rPr>
            </w:pPr>
            <w:r>
              <w:rPr>
                <w:rFonts w:ascii="宋体" w:hAnsi="宋体" w:cs="黑体"/>
              </w:rPr>
              <w:t xml:space="preserve">板载网络接口</w:t>
            </w:r>
            <w:r/>
          </w:p>
        </w:tc>
        <w:tc>
          <w:tcPr>
            <w:tcBorders>
              <w:top w:val="none" w:color="000000" w:sz="4" w:space="0"/>
              <w:bottom w:val="none" w:color="000000" w:sz="4" w:space="0"/>
            </w:tcBorders>
            <w:tcW w:w="5657" w:type="dxa"/>
            <w:vAlign w:val="top"/>
            <w:textDirection w:val="lrTb"/>
            <w:noWrap w:val="false"/>
          </w:tcPr>
          <w:p>
            <w:pPr>
              <w:pStyle w:val="692"/>
              <w:rPr>
                <w:rFonts w:ascii="宋体" w:hAnsi="宋体" w:cs="黑体"/>
              </w:rPr>
            </w:pPr>
            <w:r>
              <w:rPr>
                <w:rFonts w:ascii="宋体" w:hAnsi="宋体" w:cs="黑体"/>
              </w:rPr>
              <w:t xml:space="preserve">≥4个千兆电口+≥2个万兆SFP+光口+1个BMC管理口</w:t>
            </w:r>
            <w:r/>
          </w:p>
        </w:tc>
      </w:tr>
      <w:tr>
        <w:trPr>
          <w:gridAfter w:val="1"/>
          <w:trHeight w:val="249"/>
        </w:trPr>
        <w:tc>
          <w:tcPr>
            <w:tcBorders>
              <w:bottom w:val="none" w:color="000000" w:sz="4" w:space="0"/>
            </w:tcBorders>
            <w:tcW w:w="765" w:type="dxa"/>
            <w:vAlign w:val="top"/>
            <w:textDirection w:val="lrTb"/>
            <w:noWrap w:val="false"/>
          </w:tcPr>
          <w:p>
            <w:pPr>
              <w:pStyle w:val="692"/>
              <w:rPr>
                <w:rFonts w:ascii="宋体" w:hAnsi="宋体" w:cs="黑体"/>
              </w:rPr>
            </w:pPr>
            <w:r>
              <w:rPr>
                <w:rFonts w:ascii="宋体" w:hAnsi="宋体" w:cs="黑体"/>
              </w:rPr>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rPr>
            </w:pPr>
            <w:r>
              <w:rPr>
                <w:rFonts w:ascii="宋体" w:hAnsi="宋体" w:cs="黑体"/>
              </w:rPr>
            </w:r>
            <w:r/>
          </w:p>
        </w:tc>
        <w:tc>
          <w:tcPr>
            <w:tcBorders>
              <w:bottom w:val="none" w:color="000000" w:sz="4" w:space="0"/>
            </w:tcBorders>
            <w:tcW w:w="1560" w:type="dxa"/>
            <w:vAlign w:val="top"/>
            <w:textDirection w:val="lrTb"/>
            <w:noWrap w:val="false"/>
          </w:tcPr>
          <w:p>
            <w:pPr>
              <w:pStyle w:val="692"/>
              <w:rPr>
                <w:rFonts w:ascii="宋体" w:hAnsi="宋体" w:cs="黑体"/>
              </w:rPr>
            </w:pPr>
            <w:r>
              <w:rPr>
                <w:rFonts w:ascii="宋体" w:hAnsi="宋体" w:cs="黑体"/>
              </w:rPr>
            </w:r>
            <w:r/>
          </w:p>
        </w:tc>
        <w:tc>
          <w:tcPr>
            <w:tcBorders>
              <w:bottom w:val="none" w:color="000000" w:sz="4" w:space="0"/>
            </w:tcBorders>
            <w:tcW w:w="5657" w:type="dxa"/>
            <w:vAlign w:val="top"/>
            <w:textDirection w:val="lrTb"/>
            <w:noWrap w:val="false"/>
          </w:tcPr>
          <w:p>
            <w:pPr>
              <w:pStyle w:val="692"/>
              <w:rPr>
                <w:rFonts w:ascii="宋体" w:hAnsi="宋体" w:cs="黑体"/>
              </w:rPr>
            </w:pPr>
            <w:r>
              <w:rPr>
                <w:rFonts w:ascii="宋体" w:hAnsi="宋体" w:cs="黑体"/>
              </w:rPr>
            </w:r>
            <w:r/>
          </w:p>
        </w:tc>
      </w:tr>
      <w:tr>
        <w:trPr>
          <w:gridAfter w:val="1"/>
          <w:trHeight w:val="480"/>
        </w:trPr>
        <w:tc>
          <w:tcPr>
            <w:tcBorders>
              <w:top w:val="none" w:color="000000" w:sz="4" w:space="0"/>
              <w:bottom w:val="non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9</w:t>
            </w:r>
            <w:r/>
          </w:p>
        </w:tc>
        <w:tc>
          <w:tcPr>
            <w:tcBorders>
              <w:top w:val="none" w:color="000000" w:sz="4" w:space="0"/>
              <w:bottom w:val="non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r>
            <w:r/>
          </w:p>
        </w:tc>
        <w:tc>
          <w:tcPr>
            <w:tcBorders>
              <w:top w:val="none" w:color="000000" w:sz="4" w:space="0"/>
              <w:bottom w:val="none" w:color="000000" w:sz="4" w:space="0"/>
            </w:tcBorders>
            <w:tcW w:w="1560" w:type="dxa"/>
            <w:vAlign w:val="top"/>
            <w:textDirection w:val="lrTb"/>
            <w:noWrap w:val="false"/>
          </w:tcPr>
          <w:p>
            <w:pPr>
              <w:pStyle w:val="692"/>
              <w:rPr>
                <w:rFonts w:ascii="宋体" w:hAnsi="宋体" w:cs="黑体"/>
              </w:rPr>
            </w:pPr>
            <w:r>
              <w:rPr>
                <w:rFonts w:ascii="宋体" w:hAnsi="宋体" w:cs="黑体"/>
              </w:rPr>
              <w:t xml:space="preserve">主板OCP 插槽数量</w:t>
            </w:r>
            <w:r/>
          </w:p>
        </w:tc>
        <w:tc>
          <w:tcPr>
            <w:tcBorders>
              <w:top w:val="none" w:color="000000" w:sz="4" w:space="0"/>
              <w:bottom w:val="none" w:color="000000" w:sz="4" w:space="0"/>
            </w:tcBorders>
            <w:tcW w:w="5657" w:type="dxa"/>
            <w:vAlign w:val="top"/>
            <w:textDirection w:val="lrTb"/>
            <w:noWrap w:val="false"/>
          </w:tcPr>
          <w:p>
            <w:pPr>
              <w:pStyle w:val="692"/>
              <w:rPr>
                <w:rFonts w:ascii="宋体" w:hAnsi="宋体" w:cs="黑体"/>
                <w:lang w:eastAsia="en-US"/>
              </w:rPr>
            </w:pPr>
            <w:r>
              <w:rPr>
                <w:rFonts w:ascii="宋体" w:hAnsi="宋体" w:cs="黑体"/>
                <w:lang w:eastAsia="en-US"/>
              </w:rPr>
              <w:t xml:space="preserve">≥</w:t>
            </w:r>
            <w:r>
              <w:rPr>
                <w:rFonts w:ascii="宋体" w:hAnsi="宋体" w:cs="黑体"/>
              </w:rPr>
              <w:t xml:space="preserve">2张OCP3,0卡</w:t>
            </w:r>
            <w:r>
              <w:rPr>
                <w:rFonts w:ascii="宋体" w:hAnsi="宋体" w:cs="黑体"/>
                <w:lang w:eastAsia="en-US"/>
              </w:rPr>
            </w:r>
            <w:r/>
          </w:p>
        </w:tc>
      </w:tr>
      <w:tr>
        <w:trPr>
          <w:cantSplit/>
          <w:trHeight w:val="23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内存规格</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内存数量</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2"/>
                <w:u w:val="single"/>
              </w:rPr>
              <w:t xml:space="preserve">插槽≥16个</w:t>
            </w:r>
            <w:r>
              <w:rPr>
                <w:rFonts w:ascii="宋体" w:hAnsi="宋体" w:cs="黑体"/>
                <w:i/>
                <w:iCs/>
                <w:u w:val="single"/>
              </w:rPr>
            </w:r>
            <w:r/>
          </w:p>
        </w:tc>
      </w:tr>
      <w:tr>
        <w:trPr>
          <w:cantSplit/>
          <w:trHeight w:val="96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内存规格</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lang w:eastAsia="en-US"/>
              </w:rPr>
            </w:pPr>
            <w:r>
              <w:rPr>
                <w:rFonts w:ascii="宋体" w:hAnsi="宋体" w:cs="黑体"/>
                <w:i/>
                <w:iCs/>
                <w:u w:val="single"/>
                <w:lang w:eastAsia="en-US"/>
              </w:rPr>
              <w:t xml:space="preserve">≥DDR4 RDIMM ECC</w:t>
            </w:r>
            <w:r/>
          </w:p>
        </w:tc>
      </w:tr>
      <w:tr>
        <w:trPr>
          <w:cantSplit/>
          <w:trHeight w:val="495"/>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内存通道</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2"/>
                <w:u w:val="single"/>
              </w:rPr>
              <w:t xml:space="preserve">每颗CPU支持的内存通道数≥8个（双路服务器总计≥16通道）</w:t>
            </w:r>
            <w:r>
              <w:rPr>
                <w:rFonts w:ascii="宋体" w:hAnsi="宋体" w:cs="黑体"/>
                <w:i/>
                <w:iCs/>
                <w:u w:val="single"/>
              </w:rPr>
            </w:r>
            <w:r/>
          </w:p>
        </w:tc>
      </w:tr>
      <w:tr>
        <w:trPr>
          <w:cantSplit/>
          <w:trHeight w:val="47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13</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存储规格</w:t>
            </w:r>
            <w:r/>
          </w:p>
        </w:tc>
        <w:tc>
          <w:tcPr>
            <w:tcW w:w="1560" w:type="dxa"/>
            <w:vAlign w:val="top"/>
            <w:textDirection w:val="lrTb"/>
            <w:noWrap w:val="false"/>
          </w:tcPr>
          <w:p>
            <w:pPr>
              <w:pStyle w:val="692"/>
              <w:rPr>
                <w:rFonts w:ascii="宋体" w:hAnsi="宋体" w:cs="黑体"/>
              </w:rPr>
            </w:pPr>
            <w:r>
              <w:rPr>
                <w:rFonts w:ascii="宋体" w:hAnsi="宋体" w:cs="黑体"/>
              </w:rPr>
              <w:t xml:space="preserve">硬盘类型</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系统盘类型</w:t>
              <w:tab/>
              <w:t xml:space="preserve">M.2 NVMe SSD（优先）/ SATA SSD（备选）</w:t>
            </w:r>
            <w:r/>
          </w:p>
          <w:p>
            <w:pPr>
              <w:pStyle w:val="692"/>
              <w:rPr>
                <w:rFonts w:ascii="宋体" w:hAnsi="宋体" w:cs="黑体"/>
                <w:lang w:eastAsia="en-US"/>
              </w:rPr>
            </w:pPr>
            <w:r>
              <w:rPr>
                <w:rFonts w:ascii="宋体" w:hAnsi="宋体" w:cs="黑体"/>
              </w:rPr>
              <w:t xml:space="preserve">数据盘类型</w:t>
              <w:tab/>
              <w:t xml:space="preserve">SAS HDD（优先）/ SATA HDD（备选）</w:t>
            </w:r>
            <w:r>
              <w:rPr>
                <w:rFonts w:ascii="宋体" w:hAnsi="宋体" w:cs="黑体"/>
                <w:lang w:eastAsia="en-US"/>
              </w:rPr>
            </w:r>
            <w:r/>
          </w:p>
        </w:tc>
      </w:tr>
      <w:tr>
        <w:trPr>
          <w:cantSplit/>
          <w:trHeight w:val="50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14</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硬磁盘实配容量</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rPr>
              <w:t xml:space="preserve">系统盘≥480GB SSD；数据盘≥10TB HDD（RAID 1后可用容量）</w:t>
            </w:r>
            <w:r>
              <w:rPr>
                <w:rFonts w:ascii="宋体" w:hAnsi="宋体" w:cs="黑体"/>
                <w:i/>
                <w:iCs/>
                <w:u w:val="single"/>
                <w:lang w:eastAsia="en-US"/>
              </w:rPr>
            </w:r>
            <w:r/>
          </w:p>
        </w:tc>
      </w:tr>
      <w:tr>
        <w:trPr>
          <w:cantSplit/>
          <w:trHeight w:val="568"/>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16</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硬盘实配数量</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≥系统盘2块SSD（RAID 1）+数据盘2块HDD（RAID 1）</w:t>
            </w:r>
            <w:r/>
          </w:p>
        </w:tc>
      </w:tr>
      <w:tr>
        <w:trPr>
          <w:cantSplit/>
          <w:trHeight w:val="832"/>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17</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hint="eastAsia" w:ascii="宋体" w:hAnsi="宋体" w:cs="黑体"/>
                <w:i/>
                <w:iCs/>
                <w:u w:val="single"/>
              </w:rPr>
            </w:pPr>
            <w:r>
              <w:rPr>
                <w:rFonts w:ascii="宋体" w:hAnsi="宋体" w:cs="黑体"/>
                <w:i/>
                <w:iCs/>
                <w:u w:val="single"/>
              </w:rPr>
              <w:t xml:space="preserve">硬盘插槽数量及规格</w:t>
            </w:r>
            <w:r>
              <w:rPr>
                <w:rFonts w:hint="eastAsia" w:ascii="宋体" w:hAnsi="宋体" w:cs="黑体"/>
                <w:i/>
                <w:iCs/>
                <w:u w:val="single"/>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lang w:eastAsia="en-US"/>
              </w:rPr>
              <w:t xml:space="preserve">前端≥</w:t>
            </w:r>
            <w:r>
              <w:rPr>
                <w:rFonts w:ascii="宋体" w:hAnsi="宋体" w:cs="黑体"/>
                <w:i/>
                <w:iCs/>
                <w:u w:val="single"/>
              </w:rPr>
              <w:t xml:space="preserve">1</w:t>
            </w:r>
            <w:r>
              <w:rPr>
                <w:rFonts w:ascii="宋体" w:hAnsi="宋体" w:cs="黑体"/>
                <w:i/>
                <w:iCs/>
                <w:u w:val="single"/>
                <w:lang w:eastAsia="en-US"/>
              </w:rPr>
              <w:t xml:space="preserve">2个3.5英寸SAS/SATA/SSD硬盘槽位；后端16个3.5英寸SAS/SATA/SSD硬盘槽位；≥4个2.5英寸NVMe SSD专用槽位</w:t>
            </w:r>
            <w:r>
              <w:rPr>
                <w:rFonts w:ascii="宋体" w:hAnsi="宋体" w:cs="黑体"/>
                <w:i/>
                <w:iCs/>
                <w:u w:val="single"/>
              </w:rPr>
              <w:t xml:space="preserve">；最大支持27个2.5英寸SAS/SATA硬盘或16个2.5英寸NVMe SSD</w:t>
            </w:r>
            <w:r/>
          </w:p>
        </w:tc>
      </w:tr>
      <w:tr>
        <w:trPr>
          <w:trHeight w:val="47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19</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RAID卡规格（若支持RAID</w:t>
            </w:r>
            <w:r/>
          </w:p>
          <w:p>
            <w:pPr>
              <w:pStyle w:val="692"/>
              <w:rPr>
                <w:rFonts w:ascii="宋体" w:hAnsi="宋体" w:cs="黑体"/>
                <w:lang w:eastAsia="en-US"/>
              </w:rPr>
            </w:pPr>
            <w:r>
              <w:rPr>
                <w:rFonts w:ascii="宋体" w:hAnsi="宋体" w:cs="黑体"/>
                <w:lang w:eastAsia="en-US"/>
              </w:rPr>
              <w:t xml:space="preserve">卡）</w:t>
            </w:r>
            <w:r/>
          </w:p>
        </w:tc>
        <w:tc>
          <w:tcPr>
            <w:tcW w:w="1560" w:type="dxa"/>
            <w:vAlign w:val="top"/>
            <w:textDirection w:val="lrTb"/>
            <w:noWrap w:val="false"/>
          </w:tcPr>
          <w:p>
            <w:pPr>
              <w:pStyle w:val="692"/>
              <w:rPr>
                <w:rFonts w:ascii="宋体" w:hAnsi="宋体" w:cs="黑体"/>
                <w:lang w:eastAsia="en-US"/>
              </w:rPr>
            </w:pPr>
            <w:r>
              <w:rPr>
                <w:rFonts w:hint="eastAsia" w:ascii="宋体" w:hAnsi="宋体" w:cs="Calibri"/>
                <w:b/>
                <w:sz w:val="24"/>
                <w:szCs w:val="24"/>
              </w:rPr>
              <w:t xml:space="preserve">☆</w:t>
            </w:r>
            <w:r>
              <w:rPr>
                <w:rFonts w:ascii="宋体" w:hAnsi="宋体" w:cs="黑体"/>
                <w:highlight w:val="darkYellow"/>
                <w:lang w:eastAsia="en-US"/>
              </w:rPr>
              <w:t xml:space="preserve">RAID 卡支持的 SAS接口数</w:t>
            </w:r>
            <w:r>
              <w:rPr>
                <w:rFonts w:ascii="宋体" w:hAnsi="宋体" w:cs="黑体"/>
                <w:lang w:eastAsia="en-US"/>
              </w:rPr>
            </w:r>
            <w:r/>
          </w:p>
        </w:tc>
        <w:tc>
          <w:tcPr>
            <w:gridSpan w:val="2"/>
            <w:tcW w:w="5670" w:type="dxa"/>
            <w:vAlign w:val="top"/>
            <w:textDirection w:val="lrTb"/>
            <w:noWrap w:val="false"/>
          </w:tcPr>
          <w:p>
            <w:pPr>
              <w:pStyle w:val="692"/>
              <w:widowControl/>
              <w:rPr>
                <w:rFonts w:ascii="宋体" w:hAnsi="宋体"/>
              </w:rPr>
            </w:pPr>
            <w:r>
              <w:rPr>
                <w:rFonts w:ascii="宋体" w:hAnsi="宋体"/>
              </w:rPr>
              <w:t xml:space="preserve">RAID卡支持的SAS接口数量≥8，支持RAID 0, 1, 5, 6, 10, 50, 60</w:t>
            </w:r>
            <w:r/>
          </w:p>
          <w:p>
            <w:pPr>
              <w:pStyle w:val="692"/>
              <w:rPr>
                <w:rFonts w:ascii="宋体" w:hAnsi="宋体" w:cs="黑体"/>
              </w:rPr>
            </w:pPr>
            <w:r>
              <w:rPr>
                <w:rFonts w:ascii="宋体" w:hAnsi="宋体" w:cs="黑体"/>
              </w:rPr>
            </w:r>
            <w:r/>
          </w:p>
        </w:tc>
      </w:tr>
      <w:tr>
        <w:trPr>
          <w:trHeight w:val="65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22</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网络规格</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网口速率和数量</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≥4个千兆电口+≥2个万兆SFP+光口+1个BMC管理口</w:t>
            </w:r>
            <w:r/>
          </w:p>
        </w:tc>
      </w:tr>
      <w:tr>
        <w:trPr>
          <w:cantSplit/>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27</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外部接口规格</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显示接口</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显示接口类型应不少于 1 种，如：</w:t>
            </w:r>
            <w:r/>
          </w:p>
          <w:p>
            <w:pPr>
              <w:pStyle w:val="692"/>
              <w:rPr>
                <w:rFonts w:ascii="宋体" w:hAnsi="宋体" w:cs="黑体"/>
                <w:i/>
                <w:iCs/>
                <w:u w:val="single"/>
                <w:lang w:eastAsia="en-US"/>
              </w:rPr>
            </w:pPr>
            <w:r>
              <w:rPr>
                <w:rFonts w:ascii="宋体" w:hAnsi="宋体" w:cs="黑体"/>
                <w:i/>
                <w:iCs/>
                <w:u w:val="single"/>
                <w:lang w:eastAsia="en-US"/>
              </w:rPr>
              <w:t xml:space="preserve">VGA、DP、HDMI 等</w:t>
            </w:r>
            <w:r/>
          </w:p>
        </w:tc>
      </w:tr>
      <w:tr>
        <w:trPr>
          <w:cantSplit/>
          <w:trHeight w:val="521"/>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28</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USB 接口</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配备USB 接口，如USB2.0、USB3.0 等</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32</w:t>
            </w:r>
            <w:r/>
          </w:p>
        </w:tc>
        <w:tc>
          <w:tcPr>
            <w:tcBorders>
              <w:top w:val="none" w:color="000000" w:sz="4" w:space="0"/>
            </w:tcBorders>
            <w:tcW w:w="1275" w:type="dxa"/>
            <w:vAlign w:val="center"/>
            <w:vMerge w:val="restart"/>
            <w:textDirection w:val="lrTb"/>
            <w:noWrap w:val="false"/>
          </w:tcPr>
          <w:p>
            <w:pPr>
              <w:pStyle w:val="692"/>
              <w:rPr>
                <w:rFonts w:ascii="宋体" w:hAnsi="宋体"/>
              </w:rPr>
            </w:pPr>
            <w:r>
              <w:rPr>
                <w:rFonts w:ascii="宋体" w:hAnsi="宋体"/>
              </w:rPr>
              <w:t xml:space="preserve">电源规格</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电源模块数量</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≥2</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33</w:t>
            </w:r>
            <w:r/>
          </w:p>
        </w:tc>
        <w:tc>
          <w:tcPr>
            <w:tcW w:w="1275" w:type="dxa"/>
            <w:vAlign w:val="top"/>
            <w:vMerge w:val="continue"/>
            <w:textDirection w:val="lrTb"/>
            <w:noWrap w:val="false"/>
          </w:tcPr>
          <w:p>
            <w:pPr>
              <w:pStyle w:val="692"/>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电源功率</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≥900W（推荐2000W×2，1+1冗余，80PLUS白金认证）</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35</w:t>
            </w:r>
            <w:r/>
          </w:p>
        </w:tc>
        <w:tc>
          <w:tcPr>
            <w:tcBorders>
              <w:top w:val="none" w:color="000000" w:sz="4" w:space="0"/>
            </w:tcBorders>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整机规格</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i/>
                <w:iCs/>
                <w:u w:val="single"/>
              </w:rPr>
            </w:pPr>
            <w:r>
              <w:rPr>
                <w:rFonts w:ascii="宋体" w:hAnsi="宋体"/>
                <w:i/>
                <w:iCs/>
                <w:u w:val="single"/>
              </w:rPr>
            </w:r>
            <w:r/>
          </w:p>
          <w:p>
            <w:pPr>
              <w:pStyle w:val="692"/>
              <w:rPr>
                <w:rFonts w:ascii="宋体" w:hAnsi="宋体"/>
                <w:i/>
                <w:iCs/>
                <w:u w:val="single"/>
              </w:rPr>
            </w:pPr>
            <w:r>
              <w:rPr>
                <w:rFonts w:ascii="宋体" w:hAnsi="宋体"/>
                <w:i/>
                <w:iCs/>
                <w:u w:val="single"/>
              </w:rPr>
            </w:r>
            <w:r/>
          </w:p>
          <w:p>
            <w:pPr>
              <w:pStyle w:val="692"/>
              <w:rPr>
                <w:rFonts w:ascii="宋体" w:hAnsi="宋体"/>
                <w:i/>
                <w:iCs/>
                <w:u w:val="single"/>
              </w:rPr>
            </w:pPr>
            <w:r>
              <w:rPr>
                <w:rFonts w:ascii="宋体" w:hAnsi="宋体"/>
                <w:i/>
                <w:iCs/>
                <w:u w:val="single"/>
              </w:rPr>
            </w:r>
            <w:r/>
          </w:p>
          <w:p>
            <w:pPr>
              <w:pStyle w:val="692"/>
              <w:rPr>
                <w:rFonts w:ascii="宋体" w:hAnsi="宋体"/>
                <w:i/>
                <w:iCs/>
                <w:u w:val="single"/>
              </w:rPr>
            </w:pPr>
            <w:r>
              <w:rPr>
                <w:rFonts w:ascii="宋体" w:hAnsi="宋体"/>
                <w:i/>
                <w:iCs/>
                <w:u w:val="single"/>
              </w:rPr>
            </w:r>
            <w:r/>
          </w:p>
          <w:p>
            <w:pPr>
              <w:pStyle w:val="692"/>
              <w:rPr>
                <w:rFonts w:ascii="宋体" w:hAnsi="宋体"/>
                <w:i/>
                <w:iCs/>
                <w:u w:val="single"/>
              </w:rPr>
            </w:pPr>
            <w:r>
              <w:rPr>
                <w:rFonts w:ascii="宋体" w:hAnsi="宋体"/>
                <w:i/>
                <w:iCs/>
                <w:u w:val="single"/>
              </w:rPr>
            </w:r>
            <w:r/>
          </w:p>
          <w:p>
            <w:pPr>
              <w:pStyle w:val="692"/>
              <w:rPr>
                <w:rFonts w:ascii="宋体" w:hAnsi="宋体"/>
                <w:i/>
                <w:iCs/>
                <w:u w:val="single"/>
              </w:rPr>
            </w:pPr>
            <w:r>
              <w:rPr>
                <w:rFonts w:ascii="宋体" w:hAnsi="宋体"/>
                <w:i/>
                <w:iCs/>
                <w:u w:val="single"/>
              </w:rPr>
              <w:t xml:space="preserve">外观和结构</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jc w:val="left"/>
              <w:spacing w:after="160" w:line="278" w:lineRule="auto"/>
              <w:tabs>
                <w:tab w:val="left" w:pos="289" w:leader="none"/>
              </w:tabs>
              <w:rPr>
                <w:rFonts w:ascii="宋体" w:hAnsi="宋体" w:cs="黑体"/>
                <w:i/>
                <w:iCs/>
                <w:u w:val="single"/>
              </w:rPr>
            </w:pPr>
            <w:r>
              <w:rPr>
                <w:rFonts w:ascii="宋体" w:hAnsi="宋体" w:cs="黑体"/>
                <w:i/>
                <w:iCs/>
                <w:u w:val="single"/>
              </w:rPr>
              <w:t xml:space="preserve">服务器的零部件应紧固无松动， 可插拔部件应可靠连接，开关、按钮和其它控制部件应灵活可靠，布局应方便使用；</w:t>
            </w:r>
            <w:r/>
          </w:p>
          <w:p>
            <w:pPr>
              <w:pStyle w:val="692"/>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产品表面不应有明显的凹痕、划伤、裂缝、变形和污染等。表面涂层均匀，不应起泡、龟裂、脱落和磨损，金属零部件无锈蚀及其它机械损伤；</w:t>
            </w:r>
            <w:r/>
          </w:p>
          <w:p>
            <w:pPr>
              <w:pStyle w:val="692"/>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产品表面说明功能的文字、符号和标志应清晰、端正且牢固；</w:t>
            </w:r>
            <w:r/>
          </w:p>
          <w:p>
            <w:pPr>
              <w:pStyle w:val="692"/>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应在服务器的显著位置提供运行状态的指示功能，并在随机文件中明确具体含义；</w:t>
            </w:r>
            <w:r/>
          </w:p>
          <w:p>
            <w:pPr>
              <w:pStyle w:val="692"/>
              <w:ind w:left="108"/>
              <w:jc w:val="left"/>
              <w:spacing w:after="160" w:line="278" w:lineRule="auto"/>
              <w:tabs>
                <w:tab w:val="left" w:pos="378" w:leader="none"/>
              </w:tabs>
              <w:rPr>
                <w:rFonts w:hint="eastAsia" w:ascii="宋体" w:hAnsi="宋体" w:cs="黑体"/>
                <w:i/>
                <w:iCs/>
                <w:u w:val="single"/>
              </w:rPr>
            </w:pPr>
            <w:r>
              <w:rPr>
                <w:rFonts w:ascii="宋体" w:hAnsi="宋体" w:cs="黑体"/>
                <w:i/>
                <w:iCs/>
                <w:u w:val="single"/>
              </w:rPr>
              <w:t xml:space="preserve">机架、机箱的尺寸应符合通用机柜的安装要求，插入总线插座的电路板接口外形尺寸应符合有关总线标准的规定，将机箱固定在机柜上，机箱底面最大下垂变形不得干涉相邻机体；高密度服务器应给出CPU 个数与机柜高度；</w:t>
            </w:r>
            <w:r>
              <w:rPr>
                <w:rFonts w:hint="eastAsia"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36</w:t>
            </w:r>
            <w:r/>
          </w:p>
        </w:tc>
        <w:tc>
          <w:tcPr>
            <w:tcW w:w="1275" w:type="dxa"/>
            <w:vAlign w:val="top"/>
            <w:vMerge w:val="continue"/>
            <w:textDirection w:val="lrTb"/>
            <w:noWrap w:val="false"/>
          </w:tcPr>
          <w:p>
            <w:pPr>
              <w:pStyle w:val="692"/>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i/>
                <w:iCs/>
                <w:u w:val="single"/>
              </w:rPr>
            </w:pPr>
            <w:r>
              <w:rPr>
                <w:rFonts w:ascii="宋体" w:hAnsi="宋体"/>
                <w:i/>
                <w:iCs/>
                <w:u w:val="single"/>
              </w:rPr>
              <w:t xml:space="preserve">尺寸（高×宽×深）</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tabs>
                <w:tab w:val="left" w:pos="289" w:leader="none"/>
              </w:tabs>
              <w:rPr>
                <w:rFonts w:ascii="宋体" w:hAnsi="宋体" w:cs="黑体"/>
                <w:i/>
                <w:iCs/>
                <w:u w:val="single"/>
              </w:rPr>
            </w:pPr>
            <w:r>
              <w:rPr>
                <w:rFonts w:ascii="宋体" w:hAnsi="宋体" w:cs="黑体"/>
                <w:i/>
                <w:iCs/>
                <w:u w:val="single"/>
              </w:rPr>
              <w:t xml:space="preserve">2U存储型服务器（约175mm×447mm×790mm）</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38</w:t>
            </w:r>
            <w:r/>
          </w:p>
        </w:tc>
        <w:tc>
          <w:tcPr>
            <w:tcW w:w="1275" w:type="dxa"/>
            <w:vAlign w:val="top"/>
            <w:vMerge w:val="continue"/>
            <w:textDirection w:val="lrTb"/>
            <w:noWrap w:val="false"/>
          </w:tcPr>
          <w:p>
            <w:pPr>
              <w:pStyle w:val="692"/>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rPr>
            </w:pPr>
            <w:r>
              <w:rPr>
                <w:rFonts w:ascii="宋体" w:hAnsi="宋体"/>
              </w:rPr>
              <w:t xml:space="preserve">CPU 个数与机柜高度单位(U) 比</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tabs>
                <w:tab w:val="left" w:pos="289" w:leader="none"/>
              </w:tabs>
              <w:rPr>
                <w:rFonts w:ascii="宋体" w:hAnsi="宋体" w:cs="黑体"/>
              </w:rPr>
            </w:pPr>
            <w:r>
              <w:rPr>
                <w:rFonts w:ascii="宋体" w:hAnsi="宋体" w:cs="黑体"/>
              </w:rPr>
            </w:r>
            <w:r/>
          </w:p>
          <w:p>
            <w:pPr>
              <w:pStyle w:val="692"/>
              <w:tabs>
                <w:tab w:val="left" w:pos="289" w:leader="none"/>
              </w:tabs>
              <w:rPr>
                <w:rFonts w:ascii="宋体" w:hAnsi="宋体" w:cs="黑体"/>
              </w:rPr>
            </w:pPr>
            <w:r>
              <w:rPr>
                <w:rFonts w:ascii="宋体" w:hAnsi="宋体" w:cs="黑体"/>
              </w:rPr>
              <w:t xml:space="preserve">2颗处理器/2U机箱</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39</w:t>
            </w:r>
            <w:r/>
          </w:p>
        </w:tc>
        <w:tc>
          <w:tcPr>
            <w:tcW w:w="1275" w:type="dxa"/>
            <w:vAlign w:val="top"/>
            <w:vMerge w:val="continue"/>
            <w:textDirection w:val="lrTb"/>
            <w:noWrap w:val="false"/>
          </w:tcPr>
          <w:p>
            <w:pPr>
              <w:pStyle w:val="692"/>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i/>
                <w:iCs/>
                <w:u w:val="single"/>
              </w:rPr>
            </w:pPr>
            <w:r>
              <w:rPr>
                <w:rFonts w:ascii="宋体" w:hAnsi="宋体"/>
                <w:i/>
                <w:iCs/>
                <w:u w:val="single"/>
              </w:rPr>
              <w:t xml:space="preserve">环境适应性</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tabs>
                <w:tab w:val="left" w:pos="289" w:leader="none"/>
              </w:tabs>
              <w:rPr>
                <w:rFonts w:ascii="宋体" w:hAnsi="宋体" w:cs="黑体"/>
                <w:i/>
                <w:iCs/>
                <w:u w:val="single"/>
              </w:rPr>
            </w:pPr>
            <w:r>
              <w:rPr>
                <w:rFonts w:ascii="宋体" w:hAnsi="宋体" w:cs="黑体"/>
                <w:i/>
                <w:iCs/>
                <w:u w:val="single"/>
              </w:rPr>
              <w:t xml:space="preserve">气候环境适应性应符合GB/T</w:t>
            </w:r>
            <w:r/>
          </w:p>
          <w:p>
            <w:pPr>
              <w:pStyle w:val="692"/>
              <w:tabs>
                <w:tab w:val="left" w:pos="289" w:leader="none"/>
              </w:tabs>
              <w:rPr>
                <w:rFonts w:ascii="宋体" w:hAnsi="宋体" w:cs="黑体"/>
                <w:i/>
                <w:iCs/>
                <w:u w:val="single"/>
              </w:rPr>
            </w:pPr>
            <w:r>
              <w:rPr>
                <w:rFonts w:ascii="宋体" w:hAnsi="宋体" w:cs="黑体"/>
                <w:i/>
                <w:iCs/>
                <w:u w:val="single"/>
              </w:rPr>
              <w:t xml:space="preserve">9813.3 的有关规定，工作温度 10～</w:t>
            </w:r>
            <w:r/>
          </w:p>
          <w:p>
            <w:pPr>
              <w:pStyle w:val="692"/>
              <w:tabs>
                <w:tab w:val="left" w:pos="289" w:leader="none"/>
              </w:tabs>
              <w:rPr>
                <w:rFonts w:ascii="宋体" w:hAnsi="宋体" w:cs="黑体"/>
                <w:i/>
                <w:iCs/>
                <w:u w:val="single"/>
              </w:rPr>
            </w:pPr>
            <w:r>
              <w:rPr>
                <w:rFonts w:ascii="宋体" w:hAnsi="宋体" w:cs="黑体"/>
                <w:i/>
                <w:iCs/>
                <w:u w:val="single"/>
              </w:rPr>
              <w:t xml:space="preserve">35℃，贮存运输温度-40～55℃；工作相对湿度 35%～80%，贮存运输相对湿度 20％～93%（40℃）；大气压86～106kPa</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41</w:t>
            </w:r>
            <w:r/>
          </w:p>
        </w:tc>
        <w:tc>
          <w:tcPr>
            <w:tcW w:w="1275" w:type="dxa"/>
            <w:vAlign w:val="top"/>
            <w:vMerge w:val="continue"/>
            <w:textDirection w:val="lrTb"/>
            <w:noWrap w:val="false"/>
          </w:tcPr>
          <w:p>
            <w:pPr>
              <w:pStyle w:val="692"/>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692"/>
              <w:rPr>
                <w:rFonts w:hint="eastAsia" w:ascii="宋体" w:hAnsi="宋体"/>
                <w:i/>
                <w:iCs/>
                <w:u w:val="single"/>
              </w:rPr>
            </w:pPr>
            <w:r>
              <w:rPr>
                <w:rFonts w:ascii="宋体" w:hAnsi="宋体"/>
                <w:i/>
                <w:iCs/>
                <w:u w:val="single"/>
              </w:rPr>
              <w:t xml:space="preserve">机械环境适应性</w:t>
            </w:r>
            <w:r>
              <w:rPr>
                <w:rFonts w:hint="eastAsia" w:ascii="宋体" w:hAnsi="宋体"/>
                <w:i/>
                <w:iCs/>
                <w:u w:val="single"/>
              </w:rPr>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tabs>
                <w:tab w:val="left" w:pos="289" w:leader="none"/>
              </w:tabs>
              <w:rPr>
                <w:rFonts w:ascii="宋体" w:hAnsi="宋体" w:cs="黑体"/>
                <w:i/>
                <w:iCs/>
                <w:u w:val="single"/>
              </w:rPr>
            </w:pPr>
            <w:r>
              <w:rPr>
                <w:rFonts w:ascii="宋体" w:hAnsi="宋体" w:cs="黑体"/>
                <w:i/>
                <w:iCs/>
                <w:u w:val="single"/>
              </w:rPr>
              <w:t xml:space="preserve">机械环境适应性应符合GB/T9813.3 的有关规定</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42</w:t>
            </w:r>
            <w:r/>
          </w:p>
        </w:tc>
        <w:tc>
          <w:tcPr>
            <w:tcBorders>
              <w:bottom w:val="single" w:color="000000" w:sz="4" w:space="0"/>
            </w:tcBorders>
            <w:tcW w:w="1275" w:type="dxa"/>
            <w:vAlign w:val="top"/>
            <w:vMerge w:val="continue"/>
            <w:textDirection w:val="lrTb"/>
            <w:noWrap w:val="false"/>
          </w:tcPr>
          <w:p>
            <w:pPr>
              <w:pStyle w:val="692"/>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i/>
                <w:iCs/>
                <w:u w:val="single"/>
              </w:rPr>
            </w:pPr>
            <w:r>
              <w:rPr>
                <w:rFonts w:ascii="宋体" w:hAnsi="宋体"/>
                <w:i/>
                <w:iCs/>
                <w:u w:val="single"/>
              </w:rPr>
              <w:t xml:space="preserve">噪声</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tabs>
                <w:tab w:val="left" w:pos="289" w:leader="none"/>
              </w:tabs>
              <w:rPr>
                <w:rFonts w:ascii="宋体" w:hAnsi="宋体" w:cs="黑体"/>
                <w:i/>
                <w:iCs/>
                <w:u w:val="single"/>
              </w:rPr>
            </w:pPr>
            <w:r>
              <w:rPr>
                <w:rFonts w:ascii="宋体" w:hAnsi="宋体" w:cs="黑体"/>
                <w:i/>
                <w:iCs/>
                <w:u w:val="single"/>
              </w:rPr>
              <w:t xml:space="preserve">符合GB/T 9813.3 的有关规定，在产品说明中给出具体测试值塔式服务器噪声在空闲状态下不大于 50dB</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rPr>
            </w:pPr>
            <w:r>
              <w:rPr>
                <w:rFonts w:ascii="宋体" w:hAnsi="宋体" w:cs="黑体"/>
              </w:rPr>
              <w:t xml:space="preserve">43</w:t>
            </w:r>
            <w:r/>
          </w:p>
        </w:tc>
        <w:tc>
          <w:tcPr>
            <w:tcBorders>
              <w:bottom w:val="single" w:color="000000" w:sz="4" w:space="0"/>
            </w:tcBorders>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ind w:hanging="22"/>
              <w:rPr>
                <w:rFonts w:ascii="宋体" w:hAnsi="宋体" w:cs="黑体"/>
                <w:lang w:eastAsia="en-US"/>
              </w:rPr>
            </w:pPr>
            <w:r>
              <w:rPr>
                <w:rFonts w:ascii="宋体" w:hAnsi="宋体" w:cs="黑体"/>
                <w:lang w:eastAsia="en-US"/>
              </w:rPr>
            </w:r>
            <w:r/>
          </w:p>
          <w:p>
            <w:pPr>
              <w:pStyle w:val="692"/>
              <w:ind w:hanging="22"/>
              <w:rPr>
                <w:rFonts w:ascii="宋体" w:hAnsi="宋体" w:cs="黑体"/>
                <w:lang w:eastAsia="en-US"/>
              </w:rPr>
            </w:pPr>
            <w:r>
              <w:rPr>
                <w:rFonts w:ascii="宋体" w:hAnsi="宋体" w:cs="黑体"/>
                <w:lang w:eastAsia="en-US"/>
              </w:rPr>
              <w:t xml:space="preserve">AI</w:t>
            </w:r>
            <w:r>
              <w:rPr>
                <w:rFonts w:ascii="宋体" w:hAnsi="宋体" w:cs="黑体"/>
                <w:spacing w:val="-31"/>
                <w:lang w:eastAsia="en-US"/>
              </w:rPr>
              <w:t xml:space="preserve"> 计</w:t>
            </w:r>
            <w:r>
              <w:rPr>
                <w:rFonts w:ascii="宋体" w:hAnsi="宋体" w:cs="黑体"/>
                <w:lang w:eastAsia="en-US"/>
              </w:rPr>
              <w:t xml:space="preserve">算单元规格</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AI 计算单元</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i/>
                <w:iCs/>
                <w:u w:val="single"/>
              </w:rPr>
            </w:pPr>
            <w:r>
              <w:rPr>
                <w:rFonts w:ascii="宋体" w:hAnsi="宋体"/>
                <w:i/>
                <w:iCs/>
                <w:u w:val="single"/>
              </w:rPr>
              <w:t xml:space="preserve">采用昇腾Atlas 300I Duo AI推理卡（或同等级国产AI推理卡），单卡提供280 TOPS INT8算力、140 TFLOPS FP16，配置2-4张</w:t>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rPr>
            </w:pPr>
            <w:r>
              <w:rPr>
                <w:rFonts w:ascii="宋体" w:hAnsi="宋体" w:cs="黑体"/>
              </w:rPr>
              <w:t xml:space="preserve">44</w:t>
            </w:r>
            <w:r/>
          </w:p>
        </w:tc>
        <w:tc>
          <w:tcPr>
            <w:tcBorders>
              <w:bottom w:val="singl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一键式迁移</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i/>
                <w:iCs/>
                <w:u w:val="single"/>
              </w:rPr>
            </w:pPr>
            <w:r>
              <w:rPr>
                <w:rFonts w:ascii="宋体" w:hAnsi="宋体"/>
                <w:i/>
                <w:iCs/>
                <w:u w:val="single"/>
              </w:rPr>
              <w:t xml:space="preserve">提供AI辅助工具、提供切片文件同步工具</w:t>
            </w:r>
            <w:r/>
          </w:p>
        </w:tc>
      </w:tr>
      <w:tr>
        <w:trPr>
          <w:cantSplit/>
          <w:trHeight w:val="47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45</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机柜规格</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机柜尺寸</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2U存储型服务器（约175mm×447mm×790mm）</w:t>
            </w:r>
            <w:r/>
          </w:p>
        </w:tc>
      </w:tr>
      <w:tr>
        <w:trPr>
          <w:cantSplit/>
          <w:trHeight w:val="72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46</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机柜管理板</w:t>
            </w:r>
            <w:r/>
          </w:p>
        </w:tc>
        <w:tc>
          <w:tcPr>
            <w:gridSpan w:val="2"/>
            <w:tcW w:w="5670"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配备机柜管理板</w:t>
            </w:r>
            <w:r/>
          </w:p>
        </w:tc>
      </w:tr>
      <w:tr>
        <w:trPr>
          <w:cantSplit/>
          <w:trHeight w:val="76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47</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机柜电源规格</w:t>
            </w:r>
            <w:r/>
          </w:p>
        </w:tc>
        <w:tc>
          <w:tcPr>
            <w:gridSpan w:val="2"/>
            <w:tcW w:w="5670" w:type="dxa"/>
            <w:vAlign w:val="top"/>
            <w:textDirection w:val="lrTb"/>
            <w:noWrap w:val="false"/>
          </w:tcPr>
          <w:p>
            <w:pPr>
              <w:pStyle w:val="692"/>
              <w:numPr>
                <w:ilvl w:val="0"/>
                <w:numId w:val="6"/>
              </w:numPr>
              <w:jc w:val="left"/>
              <w:spacing w:after="160" w:line="278" w:lineRule="auto"/>
              <w:tabs>
                <w:tab w:val="left" w:pos="378" w:leader="none"/>
              </w:tabs>
              <w:rPr>
                <w:rFonts w:ascii="宋体" w:hAnsi="宋体" w:cs="黑体"/>
              </w:rPr>
            </w:pPr>
            <w:r>
              <w:rPr>
                <w:rFonts w:ascii="宋体" w:hAnsi="宋体" w:cs="黑体"/>
                <w:spacing w:val="-4"/>
              </w:rPr>
              <w:t xml:space="preserve">机柜电源支持集中供电，电源输</w:t>
            </w:r>
            <w:r>
              <w:rPr>
                <w:rFonts w:ascii="宋体" w:hAnsi="宋体" w:cs="黑体"/>
                <w:spacing w:val="-10"/>
              </w:rPr>
              <w:t xml:space="preserve">入不少于 </w:t>
            </w:r>
            <w:r>
              <w:rPr>
                <w:rFonts w:ascii="宋体" w:hAnsi="宋体" w:cs="黑体"/>
              </w:rPr>
              <w:t xml:space="preserve">2</w:t>
            </w:r>
            <w:r>
              <w:rPr>
                <w:rFonts w:ascii="宋体" w:hAnsi="宋体" w:cs="黑体"/>
                <w:spacing w:val="-7"/>
              </w:rPr>
              <w:t xml:space="preserve"> 路且支持自动切换；</w:t>
            </w:r>
            <w:r>
              <w:rPr>
                <w:rFonts w:ascii="宋体" w:hAnsi="宋体" w:cs="黑体"/>
                <w:spacing w:val="-6"/>
              </w:rPr>
              <w:t xml:space="preserve">机柜电源模块支持 </w:t>
            </w:r>
            <w:r>
              <w:rPr>
                <w:rFonts w:ascii="宋体" w:hAnsi="宋体" w:cs="黑体"/>
              </w:rPr>
              <w:t xml:space="preserve">N+1</w:t>
            </w:r>
            <w:r>
              <w:rPr>
                <w:rFonts w:ascii="宋体" w:hAnsi="宋体" w:cs="黑体"/>
                <w:spacing w:val="-16"/>
              </w:rPr>
              <w:t xml:space="preserve"> 冗余配</w:t>
            </w:r>
            <w:r>
              <w:rPr>
                <w:rFonts w:ascii="宋体" w:hAnsi="宋体" w:cs="黑体"/>
              </w:rPr>
              <w:t xml:space="preserve">置，电源模块可独立更换</w:t>
            </w:r>
            <w:r/>
          </w:p>
        </w:tc>
      </w:tr>
      <w:tr>
        <w:trPr>
          <w:trHeight w:val="234"/>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48</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主板功能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主板外部接口种类</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支持USB、显示、管理等接口，如：</w:t>
            </w:r>
            <w:r>
              <w:rPr>
                <w:rFonts w:ascii="宋体" w:hAnsi="宋体" w:cs="黑体"/>
                <w:i/>
                <w:iCs/>
                <w:u w:val="single"/>
                <w:lang w:eastAsia="en-US"/>
              </w:rPr>
              <w:t xml:space="preserve">VGA</w:t>
            </w:r>
            <w:r>
              <w:rPr>
                <w:rFonts w:ascii="宋体" w:hAnsi="宋体" w:cs="黑体"/>
                <w:i/>
                <w:iCs/>
                <w:spacing w:val="-41"/>
                <w:u w:val="single"/>
                <w:lang w:eastAsia="en-US"/>
              </w:rPr>
              <w:t xml:space="preserve">、</w:t>
            </w:r>
            <w:r>
              <w:rPr>
                <w:rFonts w:ascii="宋体" w:hAnsi="宋体" w:cs="黑体"/>
                <w:i/>
                <w:iCs/>
                <w:u w:val="single"/>
                <w:lang w:eastAsia="en-US"/>
              </w:rPr>
              <w:t xml:space="preserve">DP</w:t>
            </w:r>
            <w:r>
              <w:rPr>
                <w:rFonts w:ascii="宋体" w:hAnsi="宋体" w:cs="黑体"/>
                <w:i/>
                <w:iCs/>
                <w:spacing w:val="-39"/>
                <w:u w:val="single"/>
                <w:lang w:eastAsia="en-US"/>
              </w:rPr>
              <w:t xml:space="preserve">、</w:t>
            </w:r>
            <w:r>
              <w:rPr>
                <w:rFonts w:ascii="宋体" w:hAnsi="宋体" w:cs="黑体"/>
                <w:i/>
                <w:iCs/>
                <w:u w:val="single"/>
                <w:lang w:eastAsia="en-US"/>
              </w:rPr>
              <w:t xml:space="preserve">HDMI</w:t>
            </w:r>
            <w:r>
              <w:rPr>
                <w:rFonts w:ascii="宋体" w:hAnsi="宋体" w:cs="黑体"/>
                <w:i/>
                <w:iCs/>
                <w:spacing w:val="-41"/>
                <w:u w:val="single"/>
                <w:lang w:eastAsia="en-US"/>
              </w:rPr>
              <w:t xml:space="preserve">、</w:t>
            </w:r>
            <w:r>
              <w:rPr>
                <w:rFonts w:ascii="宋体" w:hAnsi="宋体" w:cs="黑体"/>
                <w:i/>
                <w:iCs/>
                <w:u w:val="single"/>
                <w:lang w:eastAsia="en-US"/>
              </w:rPr>
              <w:t xml:space="preserve">USB3.0</w:t>
            </w:r>
            <w:r>
              <w:rPr>
                <w:rFonts w:ascii="宋体" w:hAnsi="宋体" w:cs="黑体"/>
                <w:i/>
                <w:iCs/>
                <w:spacing w:val="-39"/>
                <w:u w:val="single"/>
                <w:lang w:eastAsia="en-US"/>
              </w:rPr>
              <w:t xml:space="preserve">、</w:t>
            </w:r>
            <w:r>
              <w:rPr>
                <w:rFonts w:ascii="宋体" w:hAnsi="宋体" w:cs="黑体"/>
                <w:i/>
                <w:iCs/>
                <w:u w:val="single"/>
                <w:lang w:eastAsia="en-US"/>
              </w:rPr>
              <w:t xml:space="preserve">PS/2</w:t>
            </w:r>
            <w:r>
              <w:rPr>
                <w:rFonts w:ascii="宋体" w:hAnsi="宋体" w:cs="黑体"/>
                <w:i/>
                <w:iCs/>
                <w:spacing w:val="-14"/>
                <w:u w:val="single"/>
                <w:lang w:eastAsia="en-US"/>
              </w:rPr>
              <w:t xml:space="preserve"> 接口、</w:t>
            </w:r>
            <w:r>
              <w:rPr>
                <w:rFonts w:ascii="宋体" w:hAnsi="宋体" w:cs="黑体"/>
                <w:i/>
                <w:iCs/>
                <w:u w:val="single"/>
                <w:lang w:eastAsia="en-US"/>
              </w:rPr>
              <w:t xml:space="preserve">BMC 管理端口</w:t>
            </w:r>
            <w:r>
              <w:rPr>
                <w:rFonts w:ascii="宋体" w:hAnsi="宋体" w:cs="黑体"/>
                <w:i/>
                <w:iCs/>
                <w:u w:val="single"/>
              </w:rPr>
            </w:r>
            <w:r/>
          </w:p>
        </w:tc>
      </w:tr>
      <w:tr>
        <w:trPr>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51</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网络功能</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网络功能</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支持网络连接、网络访问、数据交换和网络管控功能</w:t>
            </w:r>
            <w:r/>
          </w:p>
        </w:tc>
      </w:tr>
      <w:tr>
        <w:trPr>
          <w:cantSplit/>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52</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CPU功能</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计算处理</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支持通用计算及虚拟化功能。处理器需集成整型计算单元、浮点计算单元、内存控制器、I/O 模块等，处理器与存储部件、网络部件、I/O 部件等组成计算系统，提供数据处理、网络接入等计算相关功能</w:t>
            </w:r>
            <w:r/>
          </w:p>
        </w:tc>
      </w:tr>
      <w:tr>
        <w:trPr>
          <w:cantSplit/>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53</w:t>
            </w:r>
            <w:r/>
          </w:p>
        </w:tc>
        <w:tc>
          <w:tcPr>
            <w:tcBorders>
              <w:left w:val="single" w:color="000000" w:sz="4" w:space="0"/>
              <w:bottom w:val="single" w:color="000000" w:sz="4" w:space="0"/>
              <w:right w:val="single" w:color="000000" w:sz="4" w:space="0"/>
            </w:tcBorders>
            <w:tcW w:w="1275" w:type="dxa"/>
            <w:vAlign w:val="top"/>
            <w:vMerge w:val="continue"/>
            <w:textDirection w:val="lrTb"/>
            <w:noWrap w:val="false"/>
          </w:tcPr>
          <w:p>
            <w:pPr>
              <w:pStyle w:val="692"/>
              <w:rPr>
                <w:rFonts w:ascii="宋体" w:hAnsi="宋体" w:cs="黑体"/>
                <w:lang w:eastAsia="en-US"/>
              </w:rPr>
            </w:pPr>
            <w:r>
              <w:rPr>
                <w:rFonts w:ascii="宋体" w:hAnsi="宋体" w:cs="黑体"/>
                <w:lang w:eastAsia="en-US"/>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密码算法实现</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CPU 芯片应符合GM/T 0008 的相关规定，或芯片密码模块应符合GB/T</w:t>
            </w:r>
            <w:r/>
          </w:p>
          <w:p>
            <w:pPr>
              <w:pStyle w:val="692"/>
              <w:rPr>
                <w:rFonts w:ascii="宋体" w:hAnsi="宋体" w:cs="黑体"/>
                <w:i/>
                <w:iCs/>
                <w:u w:val="single"/>
              </w:rPr>
            </w:pPr>
            <w:r>
              <w:rPr>
                <w:rFonts w:ascii="宋体" w:hAnsi="宋体" w:cs="黑体"/>
                <w:i/>
                <w:iCs/>
                <w:u w:val="single"/>
              </w:rPr>
              <w:t xml:space="preserve">37092 或 GM/T 0028 的相关规定</w:t>
            </w:r>
            <w:r/>
          </w:p>
        </w:tc>
      </w:tr>
      <w:tr>
        <w:trPr>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57</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RAID卡功 能（若支持RAID</w:t>
            </w:r>
            <w:r/>
          </w:p>
          <w:p>
            <w:pPr>
              <w:pStyle w:val="692"/>
              <w:rPr>
                <w:rFonts w:ascii="宋体" w:hAnsi="宋体" w:cs="黑体"/>
                <w:lang w:eastAsia="en-US"/>
              </w:rPr>
            </w:pPr>
            <w:r>
              <w:rPr>
                <w:rFonts w:ascii="宋体" w:hAnsi="宋体" w:cs="黑体"/>
                <w:lang w:eastAsia="en-US"/>
              </w:rPr>
              <w:t xml:space="preserve">卡）</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rPr>
            </w:pPr>
            <w:r>
              <w:rPr>
                <w:rFonts w:ascii="宋体" w:hAnsi="宋体" w:cs="黑体"/>
              </w:rPr>
              <w:t xml:space="preserve">RAID 卡RAID 级别支持</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rPr>
            </w:pPr>
            <w:r>
              <w:rPr>
                <w:rFonts w:ascii="宋体" w:hAnsi="宋体" w:cs="黑体"/>
              </w:rPr>
              <w:t xml:space="preserve">RAID 模式支持 RAID 0/1/10/5，存储型支持RAID 0/1/5/6/10/50/60</w:t>
            </w:r>
            <w:r/>
          </w:p>
          <w:p>
            <w:pPr>
              <w:pStyle w:val="692"/>
              <w:rPr>
                <w:rFonts w:ascii="宋体" w:hAnsi="宋体" w:cs="黑体"/>
              </w:rPr>
            </w:pPr>
            <w:r>
              <w:rPr>
                <w:rFonts w:ascii="宋体" w:hAnsi="宋体" w:cs="黑体"/>
              </w:rPr>
              <w:t xml:space="preserve">缓存≥4GB</w:t>
            </w:r>
            <w:r/>
          </w:p>
        </w:tc>
      </w:tr>
      <w:tr>
        <w:trPr>
          <w:cantSplit/>
          <w:trHeight w:val="47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60</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电源功能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电源热插拔</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整机电源模块应具备热插拔功能</w:t>
            </w:r>
            <w:r/>
          </w:p>
        </w:tc>
      </w:tr>
      <w:tr>
        <w:trPr>
          <w:cantSplit/>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61</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电源过流保护</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支持过流及短路保护的功能</w:t>
            </w:r>
            <w:r/>
          </w:p>
        </w:tc>
      </w:tr>
      <w:tr>
        <w:trPr>
          <w:trHeight w:val="47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62</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整机功能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散热方式</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支持风冷或液冷等散热方式</w:t>
            </w:r>
            <w:r/>
          </w:p>
        </w:tc>
      </w:tr>
      <w:tr>
        <w:trPr>
          <w:trHeight w:val="126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64</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管理系统功能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BMC 固件基础功能</w:t>
            </w:r>
            <w:r/>
          </w:p>
        </w:tc>
        <w:tc>
          <w:tcPr>
            <w:gridSpan w:val="2"/>
            <w:tcW w:w="5670" w:type="dxa"/>
            <w:vAlign w:val="top"/>
            <w:textDirection w:val="lrTb"/>
            <w:noWrap w:val="false"/>
          </w:tcPr>
          <w:p>
            <w:pPr>
              <w:pStyle w:val="692"/>
              <w:numPr>
                <w:ilvl w:val="0"/>
                <w:numId w:val="7"/>
              </w:numPr>
              <w:jc w:val="left"/>
              <w:spacing w:after="160" w:line="278" w:lineRule="auto"/>
              <w:tabs>
                <w:tab w:val="left" w:pos="421" w:leader="none"/>
              </w:tabs>
              <w:rPr>
                <w:rFonts w:ascii="宋体" w:hAnsi="宋体" w:cs="黑体"/>
                <w:i/>
                <w:iCs/>
                <w:u w:val="single"/>
              </w:rPr>
            </w:pPr>
            <w:r>
              <w:rPr>
                <w:rFonts w:ascii="宋体" w:hAnsi="宋体" w:cs="黑体"/>
                <w:i/>
                <w:iCs/>
                <w:spacing w:val="21"/>
                <w:u w:val="single"/>
              </w:rPr>
              <w:t xml:space="preserve">支持</w:t>
            </w:r>
            <w:r>
              <w:rPr>
                <w:rFonts w:ascii="宋体" w:hAnsi="宋体" w:cs="黑体"/>
                <w:i/>
                <w:iCs/>
                <w:u w:val="single"/>
              </w:rPr>
              <w:t xml:space="preserve">DHCP</w:t>
            </w:r>
            <w:r>
              <w:rPr>
                <w:rFonts w:ascii="宋体" w:hAnsi="宋体" w:cs="黑体"/>
                <w:i/>
                <w:iCs/>
                <w:spacing w:val="-7"/>
                <w:u w:val="single"/>
              </w:rPr>
              <w:t xml:space="preserve"> 设置网络功能；</w:t>
            </w:r>
            <w:r>
              <w:rPr>
                <w:rFonts w:ascii="宋体" w:hAnsi="宋体" w:cs="黑体"/>
                <w:i/>
                <w:iCs/>
                <w:u w:val="single"/>
              </w:rPr>
            </w:r>
            <w:r/>
          </w:p>
          <w:p>
            <w:pPr>
              <w:pStyle w:val="692"/>
              <w:numPr>
                <w:ilvl w:val="0"/>
                <w:numId w:val="7"/>
              </w:numPr>
              <w:ind w:hanging="180"/>
              <w:jc w:val="left"/>
              <w:spacing w:after="160" w:line="278" w:lineRule="auto"/>
              <w:tabs>
                <w:tab w:val="left" w:pos="289" w:leader="none"/>
              </w:tabs>
              <w:rPr>
                <w:rFonts w:ascii="宋体" w:hAnsi="宋体" w:cs="黑体"/>
                <w:i/>
                <w:iCs/>
                <w:u w:val="single"/>
              </w:rPr>
            </w:pPr>
            <w:r>
              <w:rPr>
                <w:rFonts w:ascii="宋体" w:hAnsi="宋体" w:cs="黑体"/>
                <w:i/>
                <w:iCs/>
                <w:spacing w:val="10"/>
                <w:u w:val="single"/>
              </w:rPr>
              <w:t xml:space="preserve">支持静态</w:t>
            </w:r>
            <w:r>
              <w:rPr>
                <w:rFonts w:ascii="宋体" w:hAnsi="宋体" w:cs="黑体"/>
                <w:i/>
                <w:iCs/>
                <w:u w:val="single"/>
              </w:rPr>
              <w:t xml:space="preserve">IP</w:t>
            </w:r>
            <w:r>
              <w:rPr>
                <w:rFonts w:ascii="宋体" w:hAnsi="宋体" w:cs="黑体"/>
                <w:i/>
                <w:iCs/>
                <w:spacing w:val="-7"/>
                <w:u w:val="single"/>
              </w:rPr>
              <w:t xml:space="preserve"> 设置网络功能；</w:t>
            </w:r>
            <w:r>
              <w:rPr>
                <w:rFonts w:ascii="宋体" w:hAnsi="宋体" w:cs="黑体"/>
                <w:i/>
                <w:iCs/>
                <w:u w:val="single"/>
              </w:rPr>
            </w:r>
            <w:r/>
          </w:p>
          <w:p>
            <w:pPr>
              <w:pStyle w:val="692"/>
              <w:numPr>
                <w:ilvl w:val="0"/>
                <w:numId w:val="7"/>
              </w:numPr>
              <w:jc w:val="left"/>
              <w:spacing w:after="160" w:line="278" w:lineRule="auto"/>
              <w:tabs>
                <w:tab w:val="left" w:pos="289" w:leader="none"/>
              </w:tabs>
              <w:rPr>
                <w:rFonts w:ascii="宋体" w:hAnsi="宋体" w:cs="黑体"/>
                <w:i/>
                <w:iCs/>
                <w:u w:val="single"/>
              </w:rPr>
            </w:pPr>
            <w:r>
              <w:rPr>
                <w:rFonts w:ascii="宋体" w:hAnsi="宋体" w:cs="黑体"/>
                <w:i/>
                <w:iCs/>
                <w:spacing w:val="-2"/>
                <w:u w:val="single"/>
              </w:rPr>
              <w:t xml:space="preserve">支持设备日志记录，包括但不限于登录日志、操作日志和报警日志</w:t>
            </w:r>
            <w:r>
              <w:rPr>
                <w:rFonts w:ascii="宋体" w:hAnsi="宋体" w:cs="黑体"/>
                <w:i/>
                <w:iCs/>
                <w:u w:val="single"/>
              </w:rPr>
              <w:t xml:space="preserve">等功能；</w:t>
            </w:r>
            <w:r/>
          </w:p>
          <w:p>
            <w:pPr>
              <w:pStyle w:val="692"/>
              <w:numPr>
                <w:ilvl w:val="0"/>
                <w:numId w:val="7"/>
              </w:numPr>
              <w:jc w:val="left"/>
              <w:spacing w:after="160" w:line="278" w:lineRule="auto"/>
              <w:tabs>
                <w:tab w:val="left" w:pos="289" w:leader="none"/>
              </w:tabs>
              <w:rPr>
                <w:rFonts w:ascii="宋体" w:hAnsi="宋体" w:cs="黑体"/>
                <w:i/>
                <w:iCs/>
                <w:u w:val="single"/>
              </w:rPr>
            </w:pPr>
            <w:r>
              <w:rPr>
                <w:rFonts w:ascii="宋体" w:hAnsi="宋体" w:cs="黑体"/>
                <w:i/>
                <w:iCs/>
                <w:spacing w:val="-2"/>
                <w:u w:val="single"/>
              </w:rPr>
              <w:t xml:space="preserve">支持日志信息导出和记录删除功</w:t>
            </w:r>
            <w:r>
              <w:rPr>
                <w:rFonts w:ascii="宋体" w:hAnsi="宋体" w:cs="黑体"/>
                <w:i/>
                <w:iCs/>
                <w:u w:val="single"/>
              </w:rPr>
              <w:t xml:space="preserve">能；</w:t>
            </w:r>
            <w:r/>
          </w:p>
          <w:p>
            <w:pPr>
              <w:pStyle w:val="692"/>
              <w:numPr>
                <w:ilvl w:val="0"/>
                <w:numId w:val="7"/>
              </w:numPr>
              <w:jc w:val="left"/>
              <w:spacing w:after="160" w:line="278" w:lineRule="auto"/>
              <w:tabs>
                <w:tab w:val="left" w:pos="289" w:leader="none"/>
              </w:tabs>
              <w:rPr>
                <w:rFonts w:ascii="宋体" w:hAnsi="宋体" w:cs="黑体"/>
                <w:i/>
                <w:iCs/>
                <w:u w:val="single"/>
              </w:rPr>
            </w:pPr>
            <w:r>
              <w:rPr>
                <w:rFonts w:ascii="宋体" w:hAnsi="宋体" w:cs="黑体"/>
                <w:i/>
                <w:iCs/>
                <w:spacing w:val="-2"/>
                <w:u w:val="single"/>
              </w:rPr>
              <w:t xml:space="preserve">支持通过管理接口向外输出准确</w:t>
            </w:r>
            <w:r>
              <w:rPr>
                <w:rFonts w:ascii="宋体" w:hAnsi="宋体" w:cs="黑体"/>
                <w:i/>
                <w:iCs/>
                <w:u w:val="single"/>
              </w:rPr>
              <w:t xml:space="preserve">的报警信息功能；</w:t>
            </w:r>
            <w:r/>
          </w:p>
          <w:p>
            <w:pPr>
              <w:pStyle w:val="692"/>
              <w:numPr>
                <w:ilvl w:val="0"/>
                <w:numId w:val="7"/>
              </w:numPr>
              <w:jc w:val="left"/>
              <w:spacing w:after="160" w:line="278" w:lineRule="auto"/>
              <w:tabs>
                <w:tab w:val="left" w:pos="289" w:leader="none"/>
              </w:tabs>
              <w:rPr>
                <w:rFonts w:ascii="宋体" w:hAnsi="宋体" w:cs="黑体"/>
                <w:i/>
                <w:iCs/>
                <w:u w:val="single"/>
              </w:rPr>
            </w:pPr>
            <w:r>
              <w:rPr>
                <w:rFonts w:ascii="宋体" w:hAnsi="宋体" w:cs="黑体"/>
                <w:i/>
                <w:iCs/>
                <w:spacing w:val="14"/>
                <w:u w:val="single"/>
              </w:rPr>
              <w:t xml:space="preserve">设备的</w:t>
            </w:r>
            <w:r>
              <w:rPr>
                <w:rFonts w:ascii="宋体" w:hAnsi="宋体" w:cs="黑体"/>
                <w:i/>
                <w:iCs/>
                <w:u w:val="single"/>
              </w:rPr>
              <w:t xml:space="preserve">BMC</w:t>
            </w:r>
            <w:r>
              <w:rPr>
                <w:rFonts w:ascii="宋体" w:hAnsi="宋体" w:cs="黑体"/>
                <w:i/>
                <w:iCs/>
                <w:spacing w:val="-8"/>
                <w:u w:val="single"/>
              </w:rPr>
              <w:t xml:space="preserve"> 管理软件应能够按报</w:t>
            </w:r>
            <w:r>
              <w:rPr>
                <w:rFonts w:ascii="宋体" w:hAnsi="宋体" w:cs="黑体"/>
                <w:i/>
                <w:iCs/>
                <w:u w:val="single"/>
              </w:rPr>
              <w:t xml:space="preserve">警的严重程度进行区分；</w:t>
            </w:r>
            <w:r/>
          </w:p>
          <w:p>
            <w:pPr>
              <w:pStyle w:val="692"/>
              <w:numPr>
                <w:ilvl w:val="0"/>
                <w:numId w:val="7"/>
              </w:numPr>
              <w:jc w:val="left"/>
              <w:spacing w:after="160" w:line="278" w:lineRule="auto"/>
              <w:tabs>
                <w:tab w:val="left" w:pos="289" w:leader="none"/>
              </w:tabs>
              <w:rPr>
                <w:rFonts w:ascii="宋体" w:hAnsi="宋体" w:cs="黑体"/>
                <w:i/>
                <w:iCs/>
                <w:u w:val="single"/>
                <w:lang w:eastAsia="en-US"/>
              </w:rPr>
            </w:pPr>
            <w:r>
              <w:rPr>
                <w:rFonts w:ascii="宋体" w:hAnsi="宋体" w:cs="黑体"/>
                <w:i/>
                <w:iCs/>
                <w:spacing w:val="21"/>
                <w:u w:val="single"/>
                <w:lang w:eastAsia="en-US"/>
              </w:rPr>
              <w:t xml:space="preserve">支持</w:t>
            </w:r>
            <w:r>
              <w:rPr>
                <w:rFonts w:ascii="宋体" w:hAnsi="宋体" w:cs="黑体"/>
                <w:i/>
                <w:iCs/>
                <w:u w:val="single"/>
                <w:lang w:eastAsia="en-US"/>
              </w:rPr>
              <w:t xml:space="preserve">IPMI2.0、SNMP</w:t>
            </w:r>
            <w:r>
              <w:rPr>
                <w:rFonts w:ascii="宋体" w:hAnsi="宋体" w:cs="黑体"/>
                <w:i/>
                <w:iCs/>
                <w:spacing w:val="-5"/>
                <w:u w:val="single"/>
                <w:lang w:eastAsia="en-US"/>
              </w:rPr>
              <w:t xml:space="preserve"> 或</w:t>
            </w:r>
            <w:r>
              <w:rPr>
                <w:rFonts w:ascii="宋体" w:hAnsi="宋体" w:cs="黑体"/>
                <w:i/>
                <w:iCs/>
                <w:u w:val="single"/>
                <w:lang w:eastAsia="en-US"/>
              </w:rPr>
              <w:t xml:space="preserve">Redfish 等接口功能；</w:t>
            </w:r>
            <w:r/>
          </w:p>
          <w:p>
            <w:pPr>
              <w:pStyle w:val="692"/>
              <w:numPr>
                <w:ilvl w:val="0"/>
                <w:numId w:val="7"/>
              </w:numPr>
              <w:jc w:val="left"/>
              <w:spacing w:after="160" w:line="278" w:lineRule="auto"/>
              <w:tabs>
                <w:tab w:val="left" w:pos="289" w:leader="none"/>
              </w:tabs>
              <w:rPr>
                <w:rFonts w:ascii="宋体" w:hAnsi="宋体" w:cs="黑体"/>
                <w:i/>
                <w:iCs/>
                <w:u w:val="single"/>
              </w:rPr>
            </w:pPr>
            <w:r>
              <w:rPr>
                <w:rFonts w:ascii="宋体" w:hAnsi="宋体" w:cs="黑体"/>
                <w:i/>
                <w:iCs/>
                <w:spacing w:val="-6"/>
                <w:u w:val="single"/>
              </w:rPr>
              <w:t xml:space="preserve">支持键盘、鼠标和视频的重定向、</w:t>
            </w:r>
            <w:r>
              <w:rPr>
                <w:rFonts w:ascii="宋体" w:hAnsi="宋体" w:cs="黑体"/>
                <w:i/>
                <w:iCs/>
                <w:u w:val="single"/>
              </w:rPr>
              <w:t xml:space="preserve">文本控制台的重定向、远程虚拟媒</w:t>
            </w:r>
            <w:r>
              <w:rPr>
                <w:rFonts w:ascii="宋体" w:hAnsi="宋体" w:cs="黑体"/>
                <w:i/>
                <w:iCs/>
                <w:spacing w:val="-6"/>
                <w:u w:val="single"/>
              </w:rPr>
              <w:t xml:space="preserve">体、高可靠的硬件监控和管理功能；</w:t>
            </w:r>
            <w:r>
              <w:rPr>
                <w:rFonts w:ascii="宋体" w:hAnsi="宋体" w:cs="黑体"/>
                <w:i/>
                <w:iCs/>
                <w:u w:val="single"/>
              </w:rPr>
            </w:r>
            <w:r/>
          </w:p>
          <w:p>
            <w:pPr>
              <w:pStyle w:val="692"/>
              <w:numPr>
                <w:ilvl w:val="0"/>
                <w:numId w:val="7"/>
              </w:numPr>
              <w:jc w:val="left"/>
              <w:spacing w:after="160" w:line="278" w:lineRule="auto"/>
              <w:tabs>
                <w:tab w:val="left" w:pos="289" w:leader="none"/>
              </w:tabs>
              <w:rPr>
                <w:rFonts w:ascii="宋体" w:hAnsi="宋体" w:cs="黑体"/>
                <w:i/>
                <w:iCs/>
                <w:u w:val="single"/>
              </w:rPr>
            </w:pPr>
            <w:r>
              <w:rPr>
                <w:rFonts w:ascii="宋体" w:hAnsi="宋体" w:cs="黑体"/>
                <w:i/>
                <w:iCs/>
                <w:spacing w:val="-2"/>
                <w:u w:val="single"/>
              </w:rPr>
              <w:t xml:space="preserve">支持基于网络开启、关闭和重启设备的功能，并查询当前设备开机</w:t>
            </w:r>
            <w:r>
              <w:rPr>
                <w:rFonts w:ascii="宋体" w:hAnsi="宋体" w:cs="黑体"/>
                <w:i/>
                <w:iCs/>
                <w:u w:val="single"/>
              </w:rPr>
              <w:t xml:space="preserve">运行状态；</w:t>
            </w:r>
            <w:r/>
          </w:p>
          <w:p>
            <w:pPr>
              <w:pStyle w:val="692"/>
              <w:numPr>
                <w:ilvl w:val="0"/>
                <w:numId w:val="7"/>
              </w:numPr>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支持故障提示功能，并可通过接</w:t>
            </w:r>
            <w:r>
              <w:rPr>
                <w:rFonts w:ascii="宋体" w:hAnsi="宋体" w:cs="黑体"/>
                <w:i/>
                <w:iCs/>
                <w:u w:val="single"/>
              </w:rPr>
              <w:t xml:space="preserve">口读取服务器故障信息；</w:t>
            </w:r>
            <w:r/>
          </w:p>
          <w:p>
            <w:pPr>
              <w:pStyle w:val="692"/>
              <w:numPr>
                <w:ilvl w:val="0"/>
                <w:numId w:val="7"/>
              </w:numPr>
              <w:jc w:val="left"/>
              <w:spacing w:after="160" w:line="278" w:lineRule="auto"/>
              <w:tabs>
                <w:tab w:val="left" w:pos="378" w:leader="none"/>
              </w:tabs>
              <w:rPr>
                <w:rFonts w:ascii="宋体" w:hAnsi="宋体" w:cs="黑体"/>
                <w:i/>
                <w:iCs/>
                <w:u w:val="single"/>
                <w:lang w:eastAsia="en-US"/>
              </w:rPr>
            </w:pPr>
            <w:r>
              <w:rPr>
                <w:rFonts w:ascii="宋体" w:hAnsi="宋体" w:cs="黑体"/>
                <w:i/>
                <w:iCs/>
                <w:spacing w:val="-2"/>
                <w:u w:val="single"/>
                <w:lang w:eastAsia="en-US"/>
              </w:rPr>
              <w:t xml:space="preserve">支持基于网络的固件更新功能， </w:t>
            </w:r>
            <w:r>
              <w:rPr>
                <w:rFonts w:ascii="宋体" w:hAnsi="宋体" w:cs="黑体"/>
                <w:i/>
                <w:iCs/>
                <w:spacing w:val="21"/>
                <w:u w:val="single"/>
                <w:lang w:eastAsia="en-US"/>
              </w:rPr>
              <w:t xml:space="preserve">包括</w:t>
            </w:r>
            <w:r>
              <w:rPr>
                <w:rFonts w:ascii="宋体" w:hAnsi="宋体" w:cs="黑体"/>
                <w:i/>
                <w:iCs/>
                <w:u w:val="single"/>
                <w:lang w:eastAsia="en-US"/>
              </w:rPr>
              <w:t xml:space="preserve">BMC 和BIOS</w:t>
            </w:r>
            <w:r>
              <w:rPr>
                <w:rFonts w:ascii="宋体" w:hAnsi="宋体" w:cs="黑体"/>
                <w:i/>
                <w:iCs/>
                <w:spacing w:val="-15"/>
                <w:u w:val="single"/>
                <w:lang w:eastAsia="en-US"/>
              </w:rPr>
              <w:t xml:space="preserve"> 等；</w:t>
            </w:r>
            <w:r>
              <w:rPr>
                <w:rFonts w:ascii="宋体" w:hAnsi="宋体" w:cs="黑体"/>
                <w:i/>
                <w:iCs/>
                <w:u w:val="single"/>
                <w:lang w:eastAsia="en-US"/>
              </w:rPr>
            </w:r>
            <w:r/>
          </w:p>
          <w:p>
            <w:pPr>
              <w:pStyle w:val="692"/>
              <w:numPr>
                <w:ilvl w:val="0"/>
                <w:numId w:val="7"/>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支持基于网络安装操作系统的</w:t>
            </w:r>
            <w:r>
              <w:rPr>
                <w:rFonts w:ascii="宋体" w:hAnsi="宋体" w:cs="黑体"/>
                <w:i/>
                <w:iCs/>
                <w:spacing w:val="-2"/>
                <w:u w:val="single"/>
              </w:rPr>
              <w:t xml:space="preserve">功能，并可通过网络控制台访问设</w:t>
            </w:r>
            <w:r>
              <w:rPr>
                <w:rFonts w:ascii="宋体" w:hAnsi="宋体" w:cs="黑体"/>
                <w:i/>
                <w:iCs/>
                <w:u w:val="single"/>
              </w:rPr>
              <w:t xml:space="preserve">备；</w:t>
            </w:r>
            <w:r/>
          </w:p>
          <w:p>
            <w:pPr>
              <w:pStyle w:val="692"/>
              <w:numPr>
                <w:ilvl w:val="0"/>
                <w:numId w:val="7"/>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支持通过本地的硬盘或光驱等</w:t>
            </w:r>
            <w:r>
              <w:rPr>
                <w:rFonts w:ascii="宋体" w:hAnsi="宋体" w:cs="黑体"/>
                <w:i/>
                <w:iCs/>
                <w:spacing w:val="-2"/>
                <w:u w:val="single"/>
              </w:rPr>
              <w:t xml:space="preserve">存储设备，基于网络完成设备的操</w:t>
            </w:r>
            <w:r>
              <w:rPr>
                <w:rFonts w:ascii="宋体" w:hAnsi="宋体" w:cs="黑体"/>
                <w:i/>
                <w:iCs/>
                <w:u w:val="single"/>
              </w:rPr>
              <w:t xml:space="preserve">作系统安装功能；</w:t>
            </w:r>
            <w:r/>
          </w:p>
          <w:p>
            <w:pPr>
              <w:pStyle w:val="692"/>
              <w:numPr>
                <w:ilvl w:val="0"/>
                <w:numId w:val="7"/>
              </w:numPr>
              <w:jc w:val="left"/>
              <w:spacing w:after="160" w:line="278" w:lineRule="auto"/>
              <w:tabs>
                <w:tab w:val="left" w:pos="378" w:leader="none"/>
              </w:tabs>
              <w:rPr>
                <w:rFonts w:ascii="宋体" w:hAnsi="宋体" w:cs="黑体"/>
                <w:i/>
                <w:iCs/>
                <w:u w:val="single"/>
              </w:rPr>
            </w:pPr>
            <w:r>
              <w:rPr>
                <w:rFonts w:ascii="宋体" w:hAnsi="宋体" w:cs="黑体"/>
                <w:i/>
                <w:iCs/>
                <w:spacing w:val="-2"/>
                <w:u w:val="single"/>
              </w:rPr>
              <w:t xml:space="preserve">支持通过浏览器打开管理界面</w:t>
            </w:r>
            <w:r>
              <w:rPr>
                <w:rFonts w:ascii="宋体" w:hAnsi="宋体" w:cs="黑体"/>
                <w:i/>
                <w:iCs/>
                <w:u w:val="single"/>
              </w:rPr>
              <w:t xml:space="preserve">并登录功能；</w:t>
            </w:r>
            <w:r/>
          </w:p>
          <w:p>
            <w:pPr>
              <w:pStyle w:val="692"/>
              <w:numPr>
                <w:ilvl w:val="0"/>
                <w:numId w:val="7"/>
              </w:numPr>
              <w:ind w:hanging="269"/>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支持设置口令策略功能；</w:t>
            </w:r>
            <w:r/>
          </w:p>
          <w:p>
            <w:pPr>
              <w:pStyle w:val="692"/>
              <w:numPr>
                <w:ilvl w:val="0"/>
                <w:numId w:val="7"/>
              </w:numPr>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支持访问权限设置功能，并通过</w:t>
            </w:r>
            <w:r>
              <w:rPr>
                <w:rFonts w:ascii="宋体" w:hAnsi="宋体" w:cs="黑体"/>
                <w:i/>
                <w:iCs/>
                <w:u w:val="single"/>
              </w:rPr>
              <w:t xml:space="preserve">日志记录访问事件；</w:t>
            </w:r>
            <w:r/>
          </w:p>
          <w:p>
            <w:pPr>
              <w:pStyle w:val="692"/>
              <w:numPr>
                <w:ilvl w:val="0"/>
                <w:numId w:val="7"/>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支持对出厂默认的用户名及口</w:t>
            </w:r>
            <w:r>
              <w:rPr>
                <w:rFonts w:ascii="宋体" w:hAnsi="宋体" w:cs="黑体"/>
                <w:i/>
                <w:iCs/>
                <w:spacing w:val="-2"/>
                <w:u w:val="single"/>
              </w:rPr>
              <w:t xml:space="preserve">令进行安全保护功能，并提供默认</w:t>
            </w:r>
            <w:r>
              <w:rPr>
                <w:rFonts w:ascii="宋体" w:hAnsi="宋体" w:cs="黑体"/>
                <w:i/>
                <w:iCs/>
                <w:u w:val="single"/>
              </w:rPr>
              <w:t xml:space="preserve">口令修改提示；</w:t>
            </w:r>
            <w:r/>
          </w:p>
          <w:p>
            <w:pPr>
              <w:pStyle w:val="692"/>
              <w:numPr>
                <w:ilvl w:val="0"/>
                <w:numId w:val="7"/>
              </w:numPr>
              <w:jc w:val="left"/>
              <w:spacing w:after="160" w:line="278" w:lineRule="auto"/>
              <w:tabs>
                <w:tab w:val="left" w:pos="380" w:leader="none"/>
              </w:tabs>
              <w:rPr>
                <w:rFonts w:ascii="宋体" w:hAnsi="宋体" w:cs="黑体"/>
                <w:i/>
                <w:iCs/>
                <w:u w:val="single"/>
              </w:rPr>
            </w:pPr>
            <w:r>
              <w:rPr>
                <w:rFonts w:ascii="宋体" w:hAnsi="宋体" w:cs="黑体"/>
                <w:i/>
                <w:iCs/>
                <w:spacing w:val="-2"/>
                <w:u w:val="single"/>
              </w:rPr>
              <w:t xml:space="preserve">支持读取设备主板的工作环境</w:t>
            </w:r>
            <w:r>
              <w:rPr>
                <w:rFonts w:ascii="宋体" w:hAnsi="宋体" w:cs="黑体"/>
                <w:i/>
                <w:iCs/>
                <w:u w:val="single"/>
              </w:rPr>
              <w:t xml:space="preserve">温度功能；</w:t>
            </w:r>
            <w:r/>
          </w:p>
          <w:p>
            <w:pPr>
              <w:pStyle w:val="692"/>
              <w:numPr>
                <w:ilvl w:val="0"/>
                <w:numId w:val="7"/>
              </w:numPr>
              <w:jc w:val="left"/>
              <w:spacing w:after="160" w:line="278" w:lineRule="auto"/>
              <w:tabs>
                <w:tab w:val="left" w:pos="380" w:leader="none"/>
              </w:tabs>
              <w:rPr>
                <w:rFonts w:ascii="宋体" w:hAnsi="宋体" w:cs="黑体"/>
                <w:i/>
                <w:iCs/>
                <w:u w:val="single"/>
              </w:rPr>
            </w:pPr>
            <w:r>
              <w:rPr>
                <w:rFonts w:ascii="宋体" w:hAnsi="宋体" w:cs="黑体"/>
                <w:i/>
                <w:iCs/>
                <w:spacing w:val="4"/>
                <w:u w:val="single"/>
              </w:rPr>
              <w:t xml:space="preserve">支持读取服务器</w:t>
            </w:r>
            <w:r>
              <w:rPr>
                <w:rFonts w:ascii="宋体" w:hAnsi="宋体" w:cs="黑体"/>
                <w:i/>
                <w:iCs/>
                <w:u w:val="single"/>
              </w:rPr>
              <w:t xml:space="preserve">CPU</w:t>
            </w:r>
            <w:r>
              <w:rPr>
                <w:rFonts w:ascii="宋体" w:hAnsi="宋体" w:cs="黑体"/>
                <w:i/>
                <w:iCs/>
                <w:spacing w:val="-13"/>
                <w:u w:val="single"/>
              </w:rPr>
              <w:t xml:space="preserve"> 等核心器件</w:t>
            </w:r>
            <w:r>
              <w:rPr>
                <w:rFonts w:ascii="宋体" w:hAnsi="宋体" w:cs="黑体"/>
                <w:i/>
                <w:iCs/>
                <w:u w:val="single"/>
              </w:rPr>
              <w:t xml:space="preserve">的温度功能；</w:t>
            </w:r>
            <w:r/>
          </w:p>
          <w:p>
            <w:pPr>
              <w:pStyle w:val="692"/>
              <w:numPr>
                <w:ilvl w:val="0"/>
                <w:numId w:val="7"/>
              </w:numPr>
              <w:jc w:val="left"/>
              <w:spacing w:after="160" w:line="278" w:lineRule="auto"/>
              <w:tabs>
                <w:tab w:val="left" w:pos="380" w:leader="none"/>
              </w:tabs>
              <w:rPr>
                <w:rFonts w:ascii="宋体" w:hAnsi="宋体" w:cs="黑体"/>
                <w:i/>
                <w:iCs/>
                <w:u w:val="single"/>
              </w:rPr>
            </w:pPr>
            <w:r>
              <w:rPr>
                <w:rFonts w:ascii="宋体" w:hAnsi="宋体" w:cs="黑体"/>
                <w:i/>
                <w:iCs/>
                <w:spacing w:val="-4"/>
                <w:u w:val="single"/>
              </w:rPr>
              <w:t xml:space="preserve">支持通过外部管理工具进行 </w:t>
            </w:r>
            <w:r>
              <w:rPr>
                <w:rFonts w:ascii="宋体" w:hAnsi="宋体" w:cs="黑体"/>
                <w:i/>
                <w:iCs/>
                <w:u w:val="single"/>
              </w:rPr>
              <w:t xml:space="preserve">BMC参数设置的功能，并可基于网络通过外部管理工具对BMC 进行管理；</w:t>
            </w:r>
            <w:r/>
          </w:p>
          <w:p>
            <w:pPr>
              <w:pStyle w:val="692"/>
              <w:numPr>
                <w:ilvl w:val="0"/>
                <w:numId w:val="8"/>
              </w:numPr>
              <w:jc w:val="left"/>
              <w:spacing w:after="160" w:line="278" w:lineRule="auto"/>
              <w:tabs>
                <w:tab w:val="left" w:pos="380" w:leader="none"/>
              </w:tabs>
              <w:rPr>
                <w:rFonts w:ascii="宋体" w:hAnsi="宋体" w:cs="黑体"/>
                <w:i/>
                <w:iCs/>
                <w:u w:val="single"/>
              </w:rPr>
            </w:pPr>
            <w:r>
              <w:rPr>
                <w:rFonts w:ascii="宋体" w:hAnsi="宋体" w:cs="黑体"/>
                <w:i/>
                <w:iCs/>
                <w:spacing w:val="-3"/>
                <w:u w:val="single"/>
              </w:rPr>
              <w:t xml:space="preserve">应支持固件版本查询、固件升级</w:t>
            </w:r>
            <w:r>
              <w:rPr>
                <w:rFonts w:ascii="宋体" w:hAnsi="宋体" w:cs="黑体"/>
                <w:i/>
                <w:iCs/>
                <w:u w:val="single"/>
              </w:rPr>
            </w:r>
            <w:r/>
          </w:p>
          <w:p>
            <w:pPr>
              <w:pStyle w:val="692"/>
              <w:numPr>
                <w:ilvl w:val="0"/>
                <w:numId w:val="8"/>
              </w:numPr>
              <w:jc w:val="left"/>
              <w:spacing w:after="160" w:line="278" w:lineRule="auto"/>
              <w:tabs>
                <w:tab w:val="left" w:pos="380" w:leader="none"/>
              </w:tabs>
              <w:rPr>
                <w:rFonts w:ascii="宋体" w:hAnsi="宋体" w:cs="黑体"/>
                <w:i/>
                <w:iCs/>
                <w:u w:val="single"/>
              </w:rPr>
            </w:pPr>
            <w:r>
              <w:rPr>
                <w:rFonts w:ascii="宋体" w:hAnsi="宋体" w:cs="黑体"/>
                <w:i/>
                <w:iCs/>
                <w:spacing w:val="-2"/>
                <w:u w:val="single"/>
              </w:rPr>
              <w:t xml:space="preserve">支持基于网络实现开关机和复</w:t>
            </w:r>
            <w:r>
              <w:rPr>
                <w:rFonts w:ascii="宋体" w:hAnsi="宋体" w:cs="黑体"/>
                <w:i/>
                <w:iCs/>
                <w:u w:val="single"/>
              </w:rPr>
              <w:t xml:space="preserve">位控制的功能；</w:t>
            </w:r>
            <w:r/>
          </w:p>
          <w:p>
            <w:pPr>
              <w:pStyle w:val="692"/>
              <w:numPr>
                <w:ilvl w:val="0"/>
                <w:numId w:val="8"/>
              </w:numPr>
              <w:jc w:val="left"/>
              <w:spacing w:after="160" w:line="278" w:lineRule="auto"/>
              <w:tabs>
                <w:tab w:val="left" w:pos="380" w:leader="none"/>
              </w:tabs>
              <w:rPr>
                <w:rFonts w:ascii="宋体" w:hAnsi="宋体" w:cs="黑体"/>
                <w:i/>
                <w:iCs/>
                <w:u w:val="single"/>
              </w:rPr>
            </w:pPr>
            <w:r>
              <w:rPr>
                <w:rFonts w:ascii="宋体" w:hAnsi="宋体" w:cs="黑体"/>
                <w:i/>
                <w:iCs/>
                <w:u w:val="single"/>
              </w:rPr>
              <w:t xml:space="preserve">BMC</w:t>
            </w:r>
            <w:r>
              <w:rPr>
                <w:rFonts w:ascii="宋体" w:hAnsi="宋体" w:cs="黑体"/>
                <w:i/>
                <w:iCs/>
                <w:spacing w:val="-11"/>
                <w:u w:val="single"/>
              </w:rPr>
              <w:t xml:space="preserve"> 启动时间应不超过 </w:t>
            </w:r>
            <w:r>
              <w:rPr>
                <w:rFonts w:ascii="宋体" w:hAnsi="宋体" w:cs="黑体"/>
                <w:i/>
                <w:iCs/>
                <w:spacing w:val="-6"/>
                <w:u w:val="single"/>
              </w:rPr>
              <w:t xml:space="preserve">180s</w:t>
            </w:r>
            <w:r>
              <w:rPr>
                <w:rFonts w:ascii="宋体" w:hAnsi="宋体" w:cs="黑体"/>
                <w:i/>
                <w:iCs/>
                <w:spacing w:val="-9"/>
                <w:u w:val="single"/>
              </w:rPr>
              <w:t xml:space="preserve">，实</w:t>
            </w:r>
            <w:r>
              <w:rPr>
                <w:rFonts w:ascii="宋体" w:hAnsi="宋体" w:cs="黑体"/>
                <w:i/>
                <w:iCs/>
                <w:u w:val="single"/>
              </w:rPr>
              <w:t xml:space="preserve">现功能包括网络、IPMI、散热、传感器服务可用；</w:t>
            </w:r>
            <w:r/>
          </w:p>
          <w:p>
            <w:pPr>
              <w:pStyle w:val="692"/>
              <w:numPr>
                <w:ilvl w:val="0"/>
                <w:numId w:val="8"/>
              </w:numPr>
              <w:jc w:val="left"/>
              <w:spacing w:after="160" w:line="278" w:lineRule="auto"/>
              <w:tabs>
                <w:tab w:val="left" w:pos="380" w:leader="none"/>
              </w:tabs>
              <w:rPr>
                <w:rFonts w:ascii="宋体" w:hAnsi="宋体" w:cs="黑体"/>
                <w:i/>
                <w:iCs/>
                <w:u w:val="single"/>
              </w:rPr>
            </w:pPr>
            <w:r>
              <w:rPr>
                <w:rFonts w:ascii="宋体" w:hAnsi="宋体" w:cs="黑体"/>
                <w:i/>
                <w:iCs/>
                <w:spacing w:val="16"/>
                <w:u w:val="single"/>
              </w:rPr>
              <w:t xml:space="preserve">支持</w:t>
            </w:r>
            <w:r>
              <w:rPr>
                <w:rFonts w:ascii="宋体" w:hAnsi="宋体" w:cs="黑体"/>
                <w:i/>
                <w:iCs/>
                <w:u w:val="single"/>
              </w:rPr>
              <w:t xml:space="preserve">BMC</w:t>
            </w:r>
            <w:r>
              <w:rPr>
                <w:rFonts w:ascii="宋体" w:hAnsi="宋体" w:cs="黑体"/>
                <w:i/>
                <w:iCs/>
                <w:spacing w:val="-8"/>
                <w:u w:val="single"/>
              </w:rPr>
              <w:t xml:space="preserve"> 固件设置的恢复出厂功</w:t>
            </w:r>
            <w:r>
              <w:rPr>
                <w:rFonts w:ascii="宋体" w:hAnsi="宋体" w:cs="黑体"/>
                <w:i/>
                <w:iCs/>
                <w:u w:val="single"/>
              </w:rPr>
              <w:t xml:space="preserve">能</w:t>
            </w:r>
            <w:r/>
          </w:p>
        </w:tc>
      </w:tr>
      <w:tr>
        <w:trPr>
          <w:cantSplit/>
          <w:trHeight w:val="4075"/>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66</w:t>
            </w:r>
            <w:r/>
          </w:p>
        </w:tc>
        <w:tc>
          <w:tcPr>
            <w:tcBorders>
              <w:top w:val="none" w:color="000000" w:sz="4" w:space="0"/>
            </w:tcBorders>
            <w:tcW w:w="1275" w:type="dxa"/>
            <w:vAlign w:val="top"/>
            <w:vMerge w:val="restart"/>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BIOS 固件基础功能</w:t>
            </w:r>
            <w:r/>
          </w:p>
        </w:tc>
        <w:tc>
          <w:tcPr>
            <w:gridSpan w:val="2"/>
            <w:tcW w:w="5670" w:type="dxa"/>
            <w:vAlign w:val="top"/>
            <w:textDirection w:val="lrTb"/>
            <w:noWrap w:val="false"/>
          </w:tcPr>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2"/>
                <w:u w:val="single"/>
              </w:rPr>
              <w:t xml:space="preserve">支持查看固件版本、内存信息、</w:t>
            </w:r>
            <w:r>
              <w:rPr>
                <w:rFonts w:ascii="宋体" w:hAnsi="宋体" w:cs="黑体"/>
                <w:i/>
                <w:iCs/>
                <w:u w:val="single"/>
              </w:rPr>
              <w:t xml:space="preserve">主板信息、处理器信息和系统时间信息功能；</w:t>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1"/>
                <w:u w:val="single"/>
              </w:rPr>
              <w:t xml:space="preserve">支持上电初始化界面显示 </w:t>
            </w:r>
            <w:r>
              <w:rPr>
                <w:rFonts w:ascii="宋体" w:hAnsi="宋体" w:cs="黑体"/>
                <w:i/>
                <w:iCs/>
                <w:u w:val="single"/>
              </w:rPr>
              <w:t xml:space="preserve">CPU </w:t>
            </w:r>
            <w:r>
              <w:rPr>
                <w:rFonts w:ascii="宋体" w:hAnsi="宋体" w:cs="黑体"/>
                <w:i/>
                <w:iCs/>
                <w:spacing w:val="-4"/>
                <w:u w:val="single"/>
              </w:rPr>
              <w:t xml:space="preserve">信息、内存信息、固件版本和部分快捷键信息功能；</w:t>
            </w:r>
            <w:r>
              <w:rPr>
                <w:rFonts w:ascii="宋体" w:hAnsi="宋体" w:cs="黑体"/>
                <w:i/>
                <w:iCs/>
                <w:u w:val="single"/>
              </w:rPr>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u w:val="single"/>
              </w:rPr>
              <w:t xml:space="preserve">支持设置界面中英文显示切换</w:t>
            </w:r>
            <w:r>
              <w:rPr>
                <w:rFonts w:ascii="宋体" w:hAnsi="宋体" w:cs="黑体"/>
                <w:i/>
                <w:iCs/>
                <w:spacing w:val="-6"/>
                <w:u w:val="single"/>
              </w:rPr>
              <w:t xml:space="preserve">功能；</w:t>
            </w:r>
            <w:r>
              <w:rPr>
                <w:rFonts w:ascii="宋体" w:hAnsi="宋体" w:cs="黑体"/>
                <w:i/>
                <w:iCs/>
                <w:u w:val="single"/>
              </w:rPr>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9"/>
                <w:u w:val="single"/>
              </w:rPr>
              <w:t xml:space="preserve">支持查看 </w:t>
            </w:r>
            <w:r>
              <w:rPr>
                <w:rFonts w:ascii="宋体" w:hAnsi="宋体" w:cs="黑体"/>
                <w:i/>
                <w:iCs/>
                <w:u w:val="single"/>
              </w:rPr>
              <w:t xml:space="preserve">PCIe</w:t>
            </w:r>
            <w:r>
              <w:rPr>
                <w:rFonts w:ascii="宋体" w:hAnsi="宋体" w:cs="黑体"/>
                <w:i/>
                <w:iCs/>
                <w:spacing w:val="-9"/>
                <w:u w:val="single"/>
              </w:rPr>
              <w:t xml:space="preserve"> 设备信息，</w:t>
            </w:r>
            <w:r>
              <w:rPr>
                <w:rFonts w:ascii="宋体" w:hAnsi="宋体" w:cs="黑体"/>
                <w:i/>
                <w:iCs/>
                <w:spacing w:val="-4"/>
                <w:u w:val="single"/>
              </w:rPr>
              <w:t xml:space="preserve">SATA </w:t>
            </w:r>
            <w:r>
              <w:rPr>
                <w:rFonts w:ascii="宋体" w:hAnsi="宋体" w:cs="黑体"/>
                <w:i/>
                <w:iCs/>
                <w:u w:val="single"/>
              </w:rPr>
              <w:t xml:space="preserve">设备信息功能；</w:t>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2"/>
                <w:u w:val="single"/>
              </w:rPr>
              <w:t xml:space="preserve">支持操作系统安装和引导功能， </w:t>
            </w:r>
            <w:r>
              <w:rPr>
                <w:rFonts w:ascii="宋体" w:hAnsi="宋体" w:cs="黑体"/>
                <w:i/>
                <w:iCs/>
                <w:u w:val="single"/>
              </w:rPr>
              <w:t xml:space="preserve">应并向操作系统提供计算机主板信息和服务接口；</w:t>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3"/>
                <w:u w:val="single"/>
              </w:rPr>
              <w:t xml:space="preserve">支持设置启动顺序，并按照设置</w:t>
            </w:r>
            <w:r>
              <w:rPr>
                <w:rFonts w:ascii="宋体" w:hAnsi="宋体" w:cs="黑体"/>
                <w:i/>
                <w:iCs/>
                <w:u w:val="single"/>
              </w:rPr>
              <w:t xml:space="preserve">的启动顺序启动功能；</w:t>
            </w:r>
            <w:r/>
          </w:p>
          <w:p>
            <w:pPr>
              <w:pStyle w:val="692"/>
              <w:numPr>
                <w:ilvl w:val="0"/>
                <w:numId w:val="9"/>
              </w:numPr>
              <w:jc w:val="left"/>
              <w:spacing w:after="160" w:line="278" w:lineRule="auto"/>
              <w:tabs>
                <w:tab w:val="left" w:pos="379" w:leader="none"/>
              </w:tabs>
              <w:rPr>
                <w:rFonts w:ascii="宋体" w:hAnsi="宋体" w:cs="黑体"/>
                <w:i/>
                <w:iCs/>
                <w:u w:val="single"/>
                <w:lang w:eastAsia="en-US"/>
              </w:rPr>
            </w:pPr>
            <w:r>
              <w:rPr>
                <w:rFonts w:ascii="宋体" w:hAnsi="宋体" w:cs="黑体"/>
                <w:i/>
                <w:iCs/>
                <w:u w:val="single"/>
                <w:lang w:eastAsia="en-US"/>
              </w:rPr>
              <w:t xml:space="preserve">支持安全启动功能；</w:t>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4"/>
                <w:u w:val="single"/>
              </w:rPr>
              <w:t xml:space="preserve">支持设置口令、修改口令、验证</w:t>
            </w:r>
            <w:r>
              <w:rPr>
                <w:rFonts w:ascii="宋体" w:hAnsi="宋体" w:cs="黑体"/>
                <w:i/>
                <w:iCs/>
                <w:u w:val="single"/>
              </w:rPr>
              <w:t xml:space="preserve">口令功能；</w:t>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u w:val="single"/>
              </w:rPr>
              <w:t xml:space="preserve">支持板载显示控制或独立显卡</w:t>
            </w:r>
            <w:r>
              <w:rPr>
                <w:rFonts w:ascii="宋体" w:hAnsi="宋体" w:cs="黑体"/>
                <w:i/>
                <w:iCs/>
                <w:spacing w:val="-4"/>
                <w:u w:val="single"/>
              </w:rPr>
              <w:t xml:space="preserve">的显示控制功能；</w:t>
            </w:r>
            <w:r>
              <w:rPr>
                <w:rFonts w:ascii="宋体" w:hAnsi="宋体" w:cs="黑体"/>
                <w:i/>
                <w:iCs/>
                <w:u w:val="single"/>
              </w:rPr>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spacing w:val="-16"/>
                <w:u w:val="single"/>
              </w:rPr>
              <w:t xml:space="preserve">支持 </w:t>
            </w:r>
            <w:r>
              <w:rPr>
                <w:rFonts w:ascii="宋体" w:hAnsi="宋体" w:cs="黑体"/>
                <w:i/>
                <w:iCs/>
                <w:u w:val="single"/>
              </w:rPr>
              <w:t xml:space="preserve">RAID</w:t>
            </w:r>
            <w:r>
              <w:rPr>
                <w:rFonts w:ascii="宋体" w:hAnsi="宋体" w:cs="黑体"/>
                <w:i/>
                <w:iCs/>
                <w:spacing w:val="-7"/>
                <w:u w:val="single"/>
              </w:rPr>
              <w:t xml:space="preserve"> 识别和启动功能；</w:t>
            </w:r>
            <w:r>
              <w:rPr>
                <w:rFonts w:ascii="宋体" w:hAnsi="宋体" w:cs="黑体"/>
                <w:i/>
                <w:iCs/>
                <w:u w:val="single"/>
              </w:rPr>
            </w:r>
            <w:r/>
          </w:p>
          <w:p>
            <w:pPr>
              <w:pStyle w:val="692"/>
              <w:numPr>
                <w:ilvl w:val="0"/>
                <w:numId w:val="9"/>
              </w:numPr>
              <w:jc w:val="left"/>
              <w:spacing w:after="160" w:line="278" w:lineRule="auto"/>
              <w:tabs>
                <w:tab w:val="left" w:pos="379" w:leader="none"/>
              </w:tabs>
              <w:rPr>
                <w:rFonts w:ascii="宋体" w:hAnsi="宋体" w:cs="黑体"/>
                <w:i/>
                <w:iCs/>
                <w:u w:val="single"/>
                <w:lang w:eastAsia="en-US"/>
              </w:rPr>
            </w:pPr>
            <w:r>
              <w:rPr>
                <w:rFonts w:ascii="宋体" w:hAnsi="宋体" w:cs="黑体"/>
                <w:i/>
                <w:iCs/>
                <w:u w:val="single"/>
                <w:lang w:eastAsia="en-US"/>
              </w:rPr>
              <w:t xml:space="preserve">支持串口重定向功能；</w:t>
            </w:r>
            <w:r/>
          </w:p>
          <w:p>
            <w:pPr>
              <w:pStyle w:val="692"/>
              <w:numPr>
                <w:ilvl w:val="0"/>
                <w:numId w:val="9"/>
              </w:numPr>
              <w:jc w:val="left"/>
              <w:spacing w:after="160" w:line="278" w:lineRule="auto"/>
              <w:tabs>
                <w:tab w:val="left" w:pos="379" w:leader="none"/>
              </w:tabs>
              <w:rPr>
                <w:rFonts w:ascii="宋体" w:hAnsi="宋体" w:cs="黑体"/>
                <w:i/>
                <w:iCs/>
                <w:u w:val="single"/>
                <w:lang w:eastAsia="en-US"/>
              </w:rPr>
            </w:pPr>
            <w:r>
              <w:rPr>
                <w:rFonts w:ascii="宋体" w:hAnsi="宋体" w:cs="黑体"/>
                <w:i/>
                <w:iCs/>
                <w:u w:val="single"/>
                <w:lang w:eastAsia="en-US"/>
              </w:rPr>
              <w:t xml:space="preserve">支持固件更新功能；</w:t>
            </w:r>
            <w:r/>
          </w:p>
          <w:p>
            <w:pPr>
              <w:pStyle w:val="692"/>
              <w:numPr>
                <w:ilvl w:val="0"/>
                <w:numId w:val="9"/>
              </w:numPr>
              <w:jc w:val="left"/>
              <w:spacing w:after="160" w:line="278" w:lineRule="auto"/>
              <w:tabs>
                <w:tab w:val="left" w:pos="379" w:leader="none"/>
              </w:tabs>
              <w:rPr>
                <w:rFonts w:ascii="宋体" w:hAnsi="宋体" w:cs="黑体"/>
                <w:i/>
                <w:iCs/>
                <w:u w:val="single"/>
                <w:lang w:eastAsia="en-US"/>
              </w:rPr>
            </w:pPr>
            <w:r>
              <w:rPr>
                <w:rFonts w:ascii="宋体" w:hAnsi="宋体" w:cs="黑体"/>
                <w:i/>
                <w:iCs/>
                <w:spacing w:val="-16"/>
                <w:u w:val="single"/>
                <w:lang w:eastAsia="en-US"/>
              </w:rPr>
              <w:t xml:space="preserve">支持 </w:t>
            </w:r>
            <w:r>
              <w:rPr>
                <w:rFonts w:ascii="宋体" w:hAnsi="宋体" w:cs="黑体"/>
                <w:i/>
                <w:iCs/>
                <w:u w:val="single"/>
                <w:lang w:eastAsia="en-US"/>
              </w:rPr>
              <w:t xml:space="preserve">BIOS</w:t>
            </w:r>
            <w:r>
              <w:rPr>
                <w:rFonts w:ascii="宋体" w:hAnsi="宋体" w:cs="黑体"/>
                <w:i/>
                <w:iCs/>
                <w:spacing w:val="-8"/>
                <w:u w:val="single"/>
                <w:lang w:eastAsia="en-US"/>
              </w:rPr>
              <w:t xml:space="preserve"> 固件设置的恢复出厂</w:t>
            </w:r>
            <w:r>
              <w:rPr>
                <w:rFonts w:ascii="宋体" w:hAnsi="宋体" w:cs="黑体"/>
                <w:i/>
                <w:iCs/>
                <w:u w:val="single"/>
                <w:lang w:eastAsia="en-US"/>
              </w:rPr>
              <w:t xml:space="preserve">功能；</w:t>
            </w:r>
            <w:r/>
          </w:p>
          <w:p>
            <w:pPr>
              <w:pStyle w:val="692"/>
              <w:numPr>
                <w:ilvl w:val="0"/>
                <w:numId w:val="9"/>
              </w:numPr>
              <w:jc w:val="left"/>
              <w:spacing w:after="160" w:line="278" w:lineRule="auto"/>
              <w:tabs>
                <w:tab w:val="left" w:pos="379" w:leader="none"/>
              </w:tabs>
              <w:rPr>
                <w:rFonts w:ascii="宋体" w:hAnsi="宋体" w:cs="黑体"/>
                <w:i/>
                <w:iCs/>
                <w:u w:val="single"/>
              </w:rPr>
            </w:pPr>
            <w:r>
              <w:rPr>
                <w:rFonts w:ascii="宋体" w:hAnsi="宋体" w:cs="黑体"/>
                <w:i/>
                <w:iCs/>
                <w:u w:val="single"/>
              </w:rPr>
              <w:t xml:space="preserve">支持网络引导启用和关闭功能</w:t>
            </w:r>
            <w:r/>
          </w:p>
        </w:tc>
      </w:tr>
      <w:tr>
        <w:trPr>
          <w:cantSplit/>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67</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远程控制</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支持远程关机和重新启动功能</w:t>
            </w:r>
            <w:r/>
          </w:p>
        </w:tc>
      </w:tr>
      <w:tr>
        <w:trPr>
          <w:cantSplit/>
          <w:trHeight w:val="717"/>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68</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操作系统及驱动功能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操作系统及驱动的升级</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5"/>
                <w:u w:val="single"/>
              </w:rPr>
              <w:t xml:space="preserve">支持通过网络、闪存盘对操作系统、</w:t>
            </w:r>
            <w:r>
              <w:rPr>
                <w:rFonts w:ascii="宋体" w:hAnsi="宋体" w:cs="黑体"/>
                <w:i/>
                <w:iCs/>
                <w:u w:val="single"/>
              </w:rPr>
              <w:t xml:space="preserve">驱动进行升级</w:t>
            </w:r>
            <w:r/>
          </w:p>
        </w:tc>
      </w:tr>
      <w:tr>
        <w:trPr>
          <w:cantSplit/>
          <w:trHeight w:val="715"/>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69</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spacing w:val="-5"/>
              </w:rPr>
              <w:t xml:space="preserve">操作系统及驱动的</w:t>
            </w:r>
            <w:r>
              <w:rPr>
                <w:rFonts w:ascii="宋体" w:hAnsi="宋体" w:cs="黑体"/>
              </w:rPr>
              <w:t xml:space="preserve">备份还原</w:t>
            </w:r>
            <w:r/>
          </w:p>
        </w:tc>
        <w:tc>
          <w:tcPr>
            <w:gridSpan w:val="2"/>
            <w:tcW w:w="5670"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t xml:space="preserve">支持操作系统备份及还原功能</w:t>
            </w:r>
            <w:r/>
          </w:p>
        </w:tc>
      </w:tr>
      <w:tr>
        <w:trPr>
          <w:cantSplit/>
          <w:trHeight w:val="1164"/>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70</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操作系统功能</w:t>
            </w:r>
            <w:r/>
          </w:p>
        </w:tc>
        <w:tc>
          <w:tcPr>
            <w:gridSpan w:val="2"/>
            <w:tcW w:w="5670" w:type="dxa"/>
            <w:vAlign w:val="top"/>
            <w:textDirection w:val="lrTb"/>
            <w:noWrap w:val="false"/>
          </w:tcPr>
          <w:p>
            <w:pPr>
              <w:pStyle w:val="692"/>
              <w:numPr>
                <w:ilvl w:val="0"/>
                <w:numId w:val="10"/>
              </w:numPr>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支持访问控制、安全审计、网络</w:t>
            </w:r>
            <w:r>
              <w:rPr>
                <w:rFonts w:ascii="宋体" w:hAnsi="宋体" w:cs="黑体"/>
                <w:i/>
                <w:iCs/>
                <w:u w:val="single"/>
              </w:rPr>
              <w:t xml:space="preserve">接入鉴别等功能；操作系统其他功能应满足操作系统政府采购需求标准中加*的指标要求</w:t>
            </w:r>
            <w:r/>
          </w:p>
        </w:tc>
      </w:tr>
      <w:tr>
        <w:trPr>
          <w:trHeight w:val="96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71</w:t>
            </w:r>
            <w:r/>
          </w:p>
        </w:tc>
        <w:tc>
          <w:tcPr>
            <w:tcW w:w="1275" w:type="dxa"/>
            <w:vAlign w:val="top"/>
            <w:textDirection w:val="lrTb"/>
            <w:noWrap w:val="false"/>
          </w:tcPr>
          <w:p>
            <w:pPr>
              <w:pStyle w:val="692"/>
              <w:ind w:hanging="46"/>
              <w:rPr>
                <w:rFonts w:ascii="宋体" w:hAnsi="宋体" w:cs="黑体"/>
                <w:lang w:eastAsia="en-US"/>
              </w:rPr>
            </w:pPr>
            <w:r>
              <w:rPr>
                <w:rFonts w:ascii="宋体" w:hAnsi="宋体" w:cs="黑体"/>
                <w:lang w:eastAsia="en-US"/>
              </w:rPr>
              <w:t xml:space="preserve">中文信息处理功能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中文信息处理</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符合GB 18030 </w:t>
            </w:r>
            <w:r>
              <w:rPr>
                <w:rFonts w:hint="eastAsia" w:ascii="宋体" w:hAnsi="宋体" w:cs="黑体"/>
                <w:i/>
                <w:iCs/>
                <w:u w:val="single"/>
              </w:rPr>
              <w:t xml:space="preserve">最新版</w:t>
            </w:r>
            <w:r>
              <w:rPr>
                <w:rFonts w:ascii="宋体" w:hAnsi="宋体" w:cs="黑体"/>
                <w:i/>
                <w:iCs/>
                <w:u w:val="single"/>
              </w:rPr>
              <w:t xml:space="preserve">的有关规定</w:t>
            </w:r>
            <w:r/>
          </w:p>
        </w:tc>
      </w:tr>
      <w:tr>
        <w:trPr>
          <w:trHeight w:val="112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75</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关键部件安全要求</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关键部件安全要求</w:t>
            </w:r>
            <w:r>
              <w:rPr>
                <w:rFonts w:ascii="宋体" w:hAnsi="宋体" w:cs="黑体"/>
                <w:i/>
                <w:iCs/>
                <w:position w:val="9"/>
                <w:u w:val="single"/>
              </w:rPr>
              <w:t xml:space="preserve">3</w:t>
            </w:r>
            <w:r>
              <w:rPr>
                <w:rFonts w:ascii="宋体" w:hAnsi="宋体" w:cs="黑体"/>
                <w:i/>
                <w:iCs/>
                <w:u w:val="single"/>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CPU 和操作系统等关键部件应当符合安全可靠测评要求</w:t>
            </w:r>
            <w:r/>
          </w:p>
        </w:tc>
      </w:tr>
      <w:tr>
        <w:trPr>
          <w:trHeight w:val="72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76</w:t>
            </w:r>
            <w:r/>
          </w:p>
        </w:tc>
        <w:tc>
          <w:tcPr>
            <w:tcW w:w="1275" w:type="dxa"/>
            <w:vAlign w:val="top"/>
            <w:textDirection w:val="lrTb"/>
            <w:noWrap w:val="false"/>
          </w:tcPr>
          <w:p>
            <w:pPr>
              <w:pStyle w:val="692"/>
              <w:ind w:hanging="46"/>
              <w:rPr>
                <w:rFonts w:ascii="宋体" w:hAnsi="宋体" w:cs="黑体"/>
                <w:lang w:eastAsia="en-US"/>
              </w:rPr>
            </w:pPr>
            <w:r>
              <w:rPr>
                <w:rFonts w:ascii="宋体" w:hAnsi="宋体" w:cs="黑体"/>
                <w:lang w:eastAsia="en-US"/>
              </w:rPr>
              <w:t xml:space="preserve">固件安全要求</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故障检测</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支持故障检测功能，可以检测到具体的FRU（内存、硬盘等）的故障并发出告警</w:t>
            </w:r>
            <w:r/>
          </w:p>
        </w:tc>
      </w:tr>
      <w:tr>
        <w:trPr>
          <w:cantSplit/>
          <w:trHeight w:val="71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89</w:t>
            </w:r>
            <w:r/>
          </w:p>
        </w:tc>
        <w:tc>
          <w:tcPr>
            <w:tcBorders>
              <w:top w:val="none" w:color="000000" w:sz="4" w:space="0"/>
            </w:tcBorders>
            <w:tcW w:w="1275" w:type="dxa"/>
            <w:vAlign w:val="top"/>
            <w:vMerge w:val="restart"/>
            <w:textDirection w:val="lrTb"/>
            <w:noWrap w:val="false"/>
          </w:tcPr>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r>
            <w:r/>
          </w:p>
          <w:p>
            <w:pPr>
              <w:pStyle w:val="692"/>
              <w:rPr>
                <w:rFonts w:ascii="宋体" w:hAnsi="宋体"/>
              </w:rPr>
            </w:pPr>
            <w:r>
              <w:rPr>
                <w:rFonts w:ascii="宋体" w:hAnsi="宋体"/>
              </w:rPr>
              <w:t xml:space="preserve">系统安全要求</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弱口令字典检查</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支持弱口令字典检查功能，出现在弱口令字典中的字符串不能被设置为用户口令</w:t>
            </w:r>
            <w:r/>
          </w:p>
        </w:tc>
      </w:tr>
      <w:tr>
        <w:trPr>
          <w:cantSplit/>
          <w:trHeight w:val="71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90</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白名单访问控制</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支持基于时间、IP</w:t>
            </w:r>
            <w:r>
              <w:rPr>
                <w:rFonts w:ascii="宋体" w:hAnsi="宋体" w:cs="黑体"/>
                <w:i/>
                <w:iCs/>
                <w:spacing w:val="-32"/>
                <w:u w:val="single"/>
              </w:rPr>
              <w:t xml:space="preserve"> 或 </w:t>
            </w:r>
            <w:r>
              <w:rPr>
                <w:rFonts w:ascii="宋体" w:hAnsi="宋体" w:cs="黑体"/>
                <w:i/>
                <w:iCs/>
                <w:u w:val="single"/>
              </w:rPr>
              <w:t xml:space="preserve">MAC</w:t>
            </w:r>
            <w:r>
              <w:rPr>
                <w:rFonts w:ascii="宋体" w:hAnsi="宋体" w:cs="黑体"/>
                <w:i/>
                <w:iCs/>
                <w:spacing w:val="-13"/>
                <w:u w:val="single"/>
              </w:rPr>
              <w:t xml:space="preserve"> 白名单访</w:t>
            </w:r>
            <w:r>
              <w:rPr>
                <w:rFonts w:ascii="宋体" w:hAnsi="宋体" w:cs="黑体"/>
                <w:i/>
                <w:iCs/>
                <w:u w:val="single"/>
              </w:rPr>
              <w:t xml:space="preserve">问控制</w:t>
            </w:r>
            <w:r/>
          </w:p>
        </w:tc>
      </w:tr>
      <w:tr>
        <w:trPr>
          <w:cantSplit/>
          <w:trHeight w:val="957"/>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92</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二次鉴别</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4"/>
                <w:u w:val="single"/>
              </w:rPr>
              <w:t xml:space="preserve">支持二次鉴别功能。对于用户配置、</w:t>
            </w:r>
            <w:r>
              <w:rPr>
                <w:rFonts w:ascii="宋体" w:hAnsi="宋体" w:cs="黑体"/>
                <w:i/>
                <w:iCs/>
                <w:u w:val="single"/>
              </w:rPr>
              <w:t xml:space="preserve">权限配置、公钥导入等重要的管理操作，已登录用户应通过二次鉴别</w:t>
            </w:r>
            <w:r/>
          </w:p>
          <w:p>
            <w:pPr>
              <w:pStyle w:val="692"/>
              <w:rPr>
                <w:rFonts w:ascii="宋体" w:hAnsi="宋体" w:cs="黑体"/>
                <w:i/>
                <w:iCs/>
                <w:u w:val="single"/>
                <w:lang w:eastAsia="en-US"/>
              </w:rPr>
            </w:pPr>
            <w:r>
              <w:rPr>
                <w:rFonts w:ascii="宋体" w:hAnsi="宋体" w:cs="黑体"/>
                <w:i/>
                <w:iCs/>
                <w:u w:val="single"/>
                <w:lang w:eastAsia="en-US"/>
              </w:rPr>
              <w:t xml:space="preserve">后，才能执行操作</w:t>
            </w:r>
            <w:r/>
          </w:p>
        </w:tc>
      </w:tr>
      <w:tr>
        <w:trPr>
          <w:cantSplit/>
          <w:trHeight w:val="95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94</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hint="eastAsia" w:ascii="宋体" w:hAnsi="宋体" w:cs="黑体"/>
                <w:i/>
                <w:iCs/>
                <w:u w:val="single"/>
              </w:rPr>
            </w:pPr>
            <w:r>
              <w:rPr>
                <w:rFonts w:ascii="宋体" w:hAnsi="宋体" w:cs="黑体"/>
                <w:i/>
                <w:iCs/>
                <w:u w:val="single"/>
              </w:rPr>
              <w:t xml:space="preserve">密码证书安全加密存储</w:t>
            </w:r>
            <w:r>
              <w:rPr>
                <w:rFonts w:hint="eastAsia" w:ascii="宋体" w:hAnsi="宋体" w:cs="黑体"/>
                <w:i/>
                <w:iCs/>
                <w:u w:val="single"/>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支持对带外管理系统中的用户口令和证书等敏感信息进行加密存储， 禁止使用私有的和业界已知不安全的密码算法</w:t>
            </w:r>
            <w:r/>
          </w:p>
        </w:tc>
      </w:tr>
      <w:tr>
        <w:trPr>
          <w:cantSplit/>
          <w:trHeight w:val="71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95</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hint="eastAsia" w:ascii="宋体" w:hAnsi="宋体" w:cs="黑体"/>
                <w:i/>
                <w:iCs/>
                <w:u w:val="single"/>
              </w:rPr>
            </w:pPr>
            <w:r>
              <w:rPr>
                <w:rFonts w:ascii="宋体" w:hAnsi="宋体" w:cs="黑体"/>
                <w:i/>
                <w:iCs/>
                <w:u w:val="single"/>
              </w:rPr>
              <w:t xml:space="preserve">敏感信息安全加密传输</w:t>
            </w:r>
            <w:r>
              <w:rPr>
                <w:rFonts w:hint="eastAsia" w:ascii="宋体" w:hAnsi="宋体" w:cs="黑体"/>
                <w:i/>
                <w:iCs/>
                <w:u w:val="single"/>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支持使用安全的传输加密协议（如</w:t>
            </w:r>
            <w:r/>
          </w:p>
          <w:p>
            <w:pPr>
              <w:pStyle w:val="692"/>
              <w:rPr>
                <w:rFonts w:ascii="宋体" w:hAnsi="宋体" w:cs="黑体"/>
                <w:i/>
                <w:iCs/>
                <w:u w:val="single"/>
                <w:lang w:eastAsia="en-US"/>
              </w:rPr>
            </w:pPr>
            <w:r>
              <w:rPr>
                <w:rFonts w:ascii="宋体" w:hAnsi="宋体" w:cs="黑体"/>
                <w:i/>
                <w:iCs/>
                <w:u w:val="single"/>
                <w:lang w:eastAsia="en-US"/>
              </w:rPr>
              <w:t xml:space="preserve">SSH</w:t>
            </w:r>
            <w:r>
              <w:rPr>
                <w:rFonts w:ascii="宋体" w:hAnsi="宋体" w:cs="黑体"/>
                <w:i/>
                <w:iCs/>
                <w:spacing w:val="-32"/>
                <w:u w:val="single"/>
                <w:lang w:eastAsia="en-US"/>
              </w:rPr>
              <w:t xml:space="preserve"> 或 </w:t>
            </w:r>
            <w:r>
              <w:rPr>
                <w:rFonts w:ascii="宋体" w:hAnsi="宋体" w:cs="黑体"/>
                <w:i/>
                <w:iCs/>
                <w:u w:val="single"/>
                <w:lang w:eastAsia="en-US"/>
              </w:rPr>
              <w:t xml:space="preserve">HTTPS</w:t>
            </w:r>
            <w:r>
              <w:rPr>
                <w:rFonts w:ascii="宋体" w:hAnsi="宋体" w:cs="黑体"/>
                <w:i/>
                <w:iCs/>
                <w:spacing w:val="-24"/>
                <w:u w:val="single"/>
                <w:lang w:eastAsia="en-US"/>
              </w:rPr>
              <w:t xml:space="preserve"> 等</w:t>
            </w:r>
            <w:r>
              <w:rPr>
                <w:rFonts w:ascii="宋体" w:hAnsi="宋体" w:cs="黑体"/>
                <w:i/>
                <w:iCs/>
                <w:spacing w:val="-70"/>
                <w:u w:val="single"/>
                <w:lang w:eastAsia="en-US"/>
              </w:rPr>
              <w:t xml:space="preserve">）</w:t>
            </w:r>
            <w:r>
              <w:rPr>
                <w:rFonts w:ascii="宋体" w:hAnsi="宋体" w:cs="黑体"/>
                <w:i/>
                <w:iCs/>
                <w:u w:val="single"/>
                <w:lang w:eastAsia="en-US"/>
              </w:rPr>
              <w:t xml:space="preserve">传输用户的敏感信息</w:t>
            </w:r>
            <w:r/>
          </w:p>
        </w:tc>
      </w:tr>
      <w:tr>
        <w:trPr>
          <w:cantSplit/>
          <w:trHeight w:val="92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96</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信息安全要求</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研发过程安全</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5"/>
                <w:u w:val="single"/>
              </w:rPr>
              <w:t xml:space="preserve">供应商承诺，生产商已建立从需求、</w:t>
            </w:r>
            <w:r>
              <w:rPr>
                <w:rFonts w:ascii="宋体" w:hAnsi="宋体" w:cs="黑体"/>
                <w:i/>
                <w:iCs/>
                <w:u w:val="single"/>
              </w:rPr>
              <w:t xml:space="preserve">设计、开发、测试、维护端到端的开发流程管理机制，输出和保存开发流程中每个阶段的产品需求清单、设计文档、开发文档、测试记录等材料，保证各个流程可追溯</w:t>
            </w:r>
            <w:r/>
          </w:p>
        </w:tc>
      </w:tr>
      <w:tr>
        <w:trPr>
          <w:cantSplit/>
          <w:trHeight w:val="531"/>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97</w:t>
            </w:r>
            <w:r/>
          </w:p>
        </w:tc>
        <w:tc>
          <w:tcPr>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漏洞管理</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供应商承诺，生产商已建立漏洞全量视图，保证产品版本涉及到的所有漏洞(如驱动程序、BMC 软件等) 都可以查看</w:t>
            </w:r>
            <w:r/>
          </w:p>
        </w:tc>
      </w:tr>
      <w:tr>
        <w:trPr>
          <w:cantSplit/>
          <w:trHeight w:val="717"/>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98</w:t>
            </w:r>
            <w:r/>
          </w:p>
        </w:tc>
        <w:tc>
          <w:tcPr>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网络关键设备服务器要求</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作为网络关键设备的服务器应符合GB 40050 的相关规定</w:t>
            </w:r>
            <w:r/>
          </w:p>
        </w:tc>
      </w:tr>
      <w:tr>
        <w:trPr>
          <w:cantSplit/>
          <w:trHeight w:val="460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99</w:t>
            </w:r>
            <w:r/>
          </w:p>
        </w:tc>
        <w:tc>
          <w:tcPr>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增强要求</w:t>
            </w:r>
            <w:r/>
          </w:p>
        </w:tc>
        <w:tc>
          <w:tcPr>
            <w:gridSpan w:val="2"/>
            <w:tcW w:w="5670" w:type="dxa"/>
            <w:vAlign w:val="top"/>
            <w:textDirection w:val="lrTb"/>
            <w:noWrap w:val="false"/>
          </w:tcPr>
          <w:p>
            <w:pPr>
              <w:pStyle w:val="692"/>
              <w:ind w:left="108"/>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嵌入物理可信根，实现设备的信</w:t>
            </w:r>
            <w:r>
              <w:rPr>
                <w:rFonts w:ascii="宋体" w:hAnsi="宋体" w:cs="黑体"/>
                <w:i/>
                <w:iCs/>
                <w:u w:val="single"/>
              </w:rPr>
              <w:t xml:space="preserve">任链构建；</w:t>
            </w:r>
            <w:r/>
          </w:p>
          <w:p>
            <w:pPr>
              <w:pStyle w:val="692"/>
              <w:ind w:left="108"/>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支持可信平台控制模块(TPCM)；</w:t>
            </w:r>
            <w:r/>
          </w:p>
          <w:p>
            <w:pPr>
              <w:pStyle w:val="692"/>
              <w:ind w:left="108"/>
              <w:jc w:val="left"/>
              <w:spacing w:after="160" w:line="278" w:lineRule="auto"/>
              <w:tabs>
                <w:tab w:val="left" w:pos="378" w:leader="none"/>
              </w:tabs>
              <w:rPr>
                <w:rFonts w:hint="eastAsia" w:ascii="宋体" w:hAnsi="宋体" w:cs="黑体"/>
                <w:i/>
                <w:iCs/>
                <w:u w:val="single"/>
              </w:rPr>
            </w:pPr>
            <w:r>
              <w:rPr>
                <w:rFonts w:ascii="宋体" w:hAnsi="宋体" w:cs="黑体"/>
                <w:i/>
                <w:iCs/>
                <w:u w:val="single"/>
              </w:rPr>
              <w:t xml:space="preserve">支持在固件系统（BMC、BIOS） 启动前实现对固件度量的功能，支</w:t>
            </w:r>
            <w:r>
              <w:rPr>
                <w:rFonts w:ascii="宋体" w:hAnsi="宋体" w:cs="黑体"/>
                <w:i/>
                <w:iCs/>
                <w:spacing w:val="5"/>
                <w:u w:val="single"/>
              </w:rPr>
              <w:t xml:space="preserve">持物理可信根对</w:t>
            </w:r>
            <w:r>
              <w:rPr>
                <w:rFonts w:ascii="宋体" w:hAnsi="宋体" w:cs="黑体"/>
                <w:i/>
                <w:iCs/>
                <w:u w:val="single"/>
              </w:rPr>
              <w:t xml:space="preserve">BMC</w:t>
            </w:r>
            <w:r>
              <w:rPr>
                <w:rFonts w:ascii="宋体" w:hAnsi="宋体" w:cs="黑体"/>
                <w:i/>
                <w:iCs/>
                <w:spacing w:val="-4"/>
                <w:u w:val="single"/>
              </w:rPr>
              <w:t xml:space="preserve"> 固件或</w:t>
            </w:r>
            <w:r>
              <w:rPr>
                <w:rFonts w:ascii="宋体" w:hAnsi="宋体" w:cs="黑体"/>
                <w:i/>
                <w:iCs/>
                <w:u w:val="single"/>
              </w:rPr>
              <w:t xml:space="preserve">BIOS</w:t>
            </w:r>
            <w:r>
              <w:rPr>
                <w:rFonts w:ascii="宋体" w:hAnsi="宋体" w:cs="黑体"/>
                <w:i/>
                <w:iCs/>
                <w:spacing w:val="-33"/>
                <w:u w:val="single"/>
              </w:rPr>
              <w:t xml:space="preserve"> 固</w:t>
            </w:r>
            <w:r>
              <w:rPr>
                <w:rFonts w:ascii="宋体" w:hAnsi="宋体" w:cs="黑体"/>
                <w:i/>
                <w:iCs/>
                <w:u w:val="single"/>
              </w:rPr>
              <w:t xml:space="preserve">件进行完整性检测、更新和恢复；</w:t>
            </w:r>
            <w:r>
              <w:rPr>
                <w:rFonts w:hint="eastAsia" w:ascii="宋体" w:hAnsi="宋体" w:cs="黑体"/>
                <w:i/>
                <w:iCs/>
                <w:u w:val="single"/>
              </w:rPr>
            </w:r>
            <w:r/>
          </w:p>
          <w:p>
            <w:pPr>
              <w:pStyle w:val="692"/>
              <w:ind w:left="108"/>
              <w:jc w:val="left"/>
              <w:spacing w:after="160" w:line="278" w:lineRule="auto"/>
              <w:tabs>
                <w:tab w:val="left" w:pos="378" w:leader="none"/>
              </w:tabs>
              <w:rPr>
                <w:rFonts w:ascii="宋体" w:hAnsi="宋体" w:cs="黑体"/>
                <w:i/>
                <w:iCs/>
                <w:u w:val="single"/>
              </w:rPr>
            </w:pPr>
            <w:r>
              <w:rPr>
                <w:rFonts w:ascii="宋体" w:hAnsi="宋体" w:cs="黑体"/>
                <w:i/>
                <w:iCs/>
                <w:spacing w:val="-12"/>
                <w:u w:val="single"/>
              </w:rPr>
              <w:t xml:space="preserve">支持对 </w:t>
            </w:r>
            <w:r>
              <w:rPr>
                <w:rFonts w:ascii="宋体" w:hAnsi="宋体" w:cs="黑体"/>
                <w:i/>
                <w:iCs/>
                <w:u w:val="single"/>
              </w:rPr>
              <w:t xml:space="preserve">CPU</w:t>
            </w:r>
            <w:r>
              <w:rPr>
                <w:rFonts w:ascii="宋体" w:hAnsi="宋体" w:cs="黑体"/>
                <w:i/>
                <w:iCs/>
                <w:spacing w:val="-2"/>
                <w:u w:val="single"/>
              </w:rPr>
              <w:t xml:space="preserve">、网络控制器等关键</w:t>
            </w:r>
            <w:r>
              <w:rPr>
                <w:rFonts w:ascii="宋体" w:hAnsi="宋体" w:cs="黑体"/>
                <w:i/>
                <w:iCs/>
                <w:u w:val="single"/>
              </w:rPr>
              <w:t xml:space="preserve">处理器进行身份识别与度量的功 能；</w:t>
            </w:r>
            <w:r/>
          </w:p>
          <w:p>
            <w:pPr>
              <w:pStyle w:val="692"/>
              <w:ind w:left="108"/>
              <w:jc w:val="left"/>
              <w:spacing w:after="160" w:line="278" w:lineRule="auto"/>
              <w:tabs>
                <w:tab w:val="left" w:pos="378" w:leader="none"/>
              </w:tabs>
              <w:rPr>
                <w:rFonts w:ascii="宋体" w:hAnsi="宋体" w:cs="黑体"/>
                <w:i/>
                <w:iCs/>
                <w:u w:val="single"/>
              </w:rPr>
            </w:pPr>
            <w:r>
              <w:rPr>
                <w:rFonts w:ascii="宋体" w:hAnsi="宋体" w:cs="黑体"/>
                <w:i/>
                <w:iCs/>
                <w:spacing w:val="-2"/>
                <w:u w:val="single"/>
              </w:rPr>
              <w:t xml:space="preserve">支持基于处理器或可信计算模</w:t>
            </w:r>
            <w:r>
              <w:rPr>
                <w:rFonts w:ascii="宋体" w:hAnsi="宋体" w:cs="黑体"/>
                <w:i/>
                <w:iCs/>
                <w:u w:val="single"/>
              </w:rPr>
              <w:t xml:space="preserve">块度量的功能；</w:t>
            </w:r>
            <w:r/>
          </w:p>
          <w:p>
            <w:pPr>
              <w:pStyle w:val="692"/>
              <w:ind w:left="108"/>
              <w:jc w:val="left"/>
              <w:spacing w:after="160" w:line="278" w:lineRule="auto"/>
              <w:tabs>
                <w:tab w:val="left" w:pos="378" w:leader="none"/>
              </w:tabs>
              <w:rPr>
                <w:rFonts w:ascii="宋体" w:hAnsi="宋体" w:cs="黑体"/>
                <w:i/>
                <w:iCs/>
                <w:u w:val="single"/>
              </w:rPr>
            </w:pPr>
            <w:r>
              <w:rPr>
                <w:rFonts w:ascii="宋体" w:hAnsi="宋体" w:cs="黑体"/>
                <w:i/>
                <w:iCs/>
                <w:spacing w:val="-2"/>
                <w:u w:val="single"/>
              </w:rPr>
              <w:t xml:space="preserve">所采用的可信密码模块接口应</w:t>
            </w:r>
            <w:r>
              <w:rPr>
                <w:rFonts w:ascii="宋体" w:hAnsi="宋体" w:cs="黑体"/>
                <w:i/>
                <w:iCs/>
                <w:spacing w:val="21"/>
                <w:u w:val="single"/>
              </w:rPr>
              <w:t xml:space="preserve">符合</w:t>
            </w:r>
            <w:r>
              <w:rPr>
                <w:rFonts w:ascii="宋体" w:hAnsi="宋体" w:cs="黑体"/>
                <w:i/>
                <w:iCs/>
                <w:u w:val="single"/>
              </w:rPr>
              <w:t xml:space="preserve">GM/T 0012</w:t>
            </w:r>
            <w:r>
              <w:rPr>
                <w:rFonts w:ascii="宋体" w:hAnsi="宋体" w:cs="黑体"/>
                <w:i/>
                <w:iCs/>
                <w:spacing w:val="-8"/>
                <w:u w:val="single"/>
              </w:rPr>
              <w:t xml:space="preserve"> 的相关规定；</w:t>
            </w:r>
            <w:r>
              <w:rPr>
                <w:rFonts w:ascii="宋体" w:hAnsi="宋体" w:cs="黑体"/>
                <w:i/>
                <w:iCs/>
                <w:u w:val="single"/>
              </w:rPr>
            </w:r>
            <w:r/>
          </w:p>
          <w:p>
            <w:pPr>
              <w:pStyle w:val="692"/>
              <w:ind w:left="108"/>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可信安全管理模块、处理器等硬</w:t>
            </w:r>
            <w:r>
              <w:rPr>
                <w:rFonts w:ascii="宋体" w:hAnsi="宋体" w:cs="黑体"/>
                <w:i/>
                <w:iCs/>
                <w:u w:val="single"/>
              </w:rPr>
              <w:t xml:space="preserve">件载体应通过国家相关部门的认证和许可</w:t>
            </w:r>
            <w:r/>
          </w:p>
        </w:tc>
      </w:tr>
      <w:tr>
        <w:trPr>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100</w:t>
            </w:r>
            <w:r/>
          </w:p>
        </w:tc>
        <w:tc>
          <w:tcPr>
            <w:tcW w:w="1275" w:type="dxa"/>
            <w:vAlign w:val="top"/>
            <w:textDirection w:val="lrTb"/>
            <w:noWrap w:val="false"/>
          </w:tcPr>
          <w:p>
            <w:pPr>
              <w:pStyle w:val="692"/>
              <w:ind w:hanging="46"/>
              <w:rPr>
                <w:rFonts w:ascii="宋体" w:hAnsi="宋体" w:cs="黑体"/>
                <w:lang w:eastAsia="en-US"/>
              </w:rPr>
            </w:pPr>
            <w:r>
              <w:rPr>
                <w:rFonts w:ascii="宋体" w:hAnsi="宋体" w:cs="黑体"/>
                <w:lang w:eastAsia="en-US"/>
              </w:rPr>
              <w:t xml:space="preserve">物理安全</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物理安全</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安全要求应符合GB 4943.1 </w:t>
            </w:r>
            <w:r>
              <w:rPr>
                <w:rFonts w:hint="eastAsia" w:ascii="宋体" w:hAnsi="宋体" w:cs="黑体"/>
                <w:i/>
                <w:iCs/>
                <w:u w:val="single"/>
              </w:rPr>
              <w:t xml:space="preserve">最新版</w:t>
            </w:r>
            <w:r>
              <w:rPr>
                <w:rFonts w:ascii="宋体" w:hAnsi="宋体" w:cs="黑体"/>
                <w:i/>
                <w:iCs/>
                <w:u w:val="single"/>
              </w:rPr>
              <w:t xml:space="preserve">的规定</w:t>
            </w:r>
            <w:r/>
          </w:p>
        </w:tc>
      </w:tr>
      <w:tr>
        <w:trPr>
          <w:trHeight w:val="874"/>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101</w:t>
            </w:r>
            <w:r/>
          </w:p>
        </w:tc>
        <w:tc>
          <w:tcPr>
            <w:tcW w:w="1275" w:type="dxa"/>
            <w:vAlign w:val="top"/>
            <w:textDirection w:val="lrTb"/>
            <w:noWrap w:val="false"/>
          </w:tcPr>
          <w:p>
            <w:pPr>
              <w:pStyle w:val="692"/>
              <w:ind w:hanging="46"/>
              <w:rPr>
                <w:rFonts w:ascii="宋体" w:hAnsi="宋体" w:cs="黑体"/>
                <w:lang w:eastAsia="en-US"/>
              </w:rPr>
            </w:pPr>
            <w:r>
              <w:rPr>
                <w:rFonts w:ascii="宋体" w:hAnsi="宋体" w:cs="黑体"/>
                <w:lang w:eastAsia="en-US"/>
              </w:rPr>
              <w:t xml:space="preserve">限用物质的限量要求</w:t>
            </w:r>
            <w:r/>
          </w:p>
        </w:tc>
        <w:tc>
          <w:tcPr>
            <w:tcW w:w="1560" w:type="dxa"/>
            <w:vAlign w:val="top"/>
            <w:textDirection w:val="lrTb"/>
            <w:noWrap w:val="false"/>
          </w:tcPr>
          <w:p>
            <w:pPr>
              <w:pStyle w:val="692"/>
              <w:rPr>
                <w:rFonts w:hint="eastAsia" w:ascii="宋体" w:hAnsi="宋体" w:cs="黑体"/>
                <w:i/>
                <w:iCs/>
                <w:u w:val="single"/>
              </w:rPr>
            </w:pPr>
            <w:r>
              <w:rPr>
                <w:rFonts w:ascii="宋体" w:hAnsi="宋体" w:cs="黑体"/>
                <w:i/>
                <w:iCs/>
                <w:u w:val="single"/>
              </w:rPr>
              <w:t xml:space="preserve">限用物质的限量要求</w:t>
            </w:r>
            <w:r>
              <w:rPr>
                <w:rFonts w:hint="eastAsia" w:ascii="宋体" w:hAnsi="宋体" w:cs="黑体"/>
                <w:i/>
                <w:iCs/>
                <w:u w:val="single"/>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限用物质的限量应符合GB/T 26572 </w:t>
            </w:r>
            <w:r>
              <w:rPr>
                <w:rFonts w:hint="eastAsia" w:ascii="宋体" w:hAnsi="宋体" w:cs="黑体"/>
                <w:i/>
                <w:iCs/>
                <w:u w:val="single"/>
              </w:rPr>
              <w:t xml:space="preserve">最新版</w:t>
            </w:r>
            <w:r>
              <w:rPr>
                <w:rFonts w:ascii="宋体" w:hAnsi="宋体" w:cs="黑体"/>
                <w:i/>
                <w:iCs/>
                <w:u w:val="single"/>
              </w:rPr>
              <w:t xml:space="preserve">的要求</w:t>
            </w:r>
            <w:r/>
          </w:p>
        </w:tc>
      </w:tr>
      <w:tr>
        <w:trPr>
          <w:cantSplit/>
          <w:trHeight w:val="46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102</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CPU性能</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CPU 主频</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w:t>
            </w:r>
            <w:r>
              <w:rPr>
                <w:rFonts w:ascii="宋体" w:hAnsi="宋体" w:cs="黑体"/>
                <w:i/>
                <w:iCs/>
                <w:u w:val="single"/>
              </w:rPr>
              <w:t xml:space="preserve">2</w:t>
            </w:r>
            <w:r>
              <w:rPr>
                <w:rFonts w:ascii="宋体" w:hAnsi="宋体" w:cs="黑体"/>
                <w:i/>
                <w:iCs/>
                <w:u w:val="single"/>
                <w:lang w:eastAsia="en-US"/>
              </w:rPr>
              <w:t xml:space="preserve">.</w:t>
            </w:r>
            <w:r>
              <w:rPr>
                <w:rFonts w:ascii="宋体" w:hAnsi="宋体" w:cs="黑体"/>
                <w:i/>
                <w:iCs/>
                <w:u w:val="single"/>
              </w:rPr>
              <w:t xml:space="preserve">5</w:t>
            </w:r>
            <w:r>
              <w:rPr>
                <w:rFonts w:ascii="宋体" w:hAnsi="宋体" w:cs="黑体"/>
                <w:i/>
                <w:iCs/>
                <w:u w:val="single"/>
                <w:lang w:eastAsia="en-US"/>
              </w:rPr>
              <w:t xml:space="preserve">GHz</w:t>
            </w:r>
            <w:r/>
          </w:p>
        </w:tc>
      </w:tr>
      <w:tr>
        <w:trPr>
          <w:cantSplit/>
          <w:trHeight w:val="70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103</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单CPU 核数</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lang w:eastAsia="en-US"/>
              </w:rPr>
              <w:t xml:space="preserve">≥32核</w:t>
            </w:r>
            <w:r>
              <w:rPr>
                <w:rFonts w:ascii="宋体" w:hAnsi="宋体" w:cs="黑体"/>
                <w:i/>
                <w:iCs/>
                <w:u w:val="single"/>
              </w:rPr>
            </w:r>
            <w:r/>
          </w:p>
        </w:tc>
      </w:tr>
      <w:tr>
        <w:trPr>
          <w:cantSplit/>
          <w:trHeight w:val="604"/>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104</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单CPU 末级缓存容量</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w:t>
            </w:r>
            <w:r>
              <w:rPr>
                <w:rFonts w:ascii="宋体" w:hAnsi="宋体" w:cs="黑体"/>
                <w:i/>
                <w:iCs/>
                <w:u w:val="single"/>
              </w:rPr>
              <w:t xml:space="preserve">32</w:t>
            </w:r>
            <w:r>
              <w:rPr>
                <w:rFonts w:ascii="宋体" w:hAnsi="宋体" w:cs="黑体"/>
                <w:i/>
                <w:iCs/>
                <w:u w:val="single"/>
                <w:lang w:eastAsia="en-US"/>
              </w:rPr>
              <w:t xml:space="preserve">MB</w:t>
            </w:r>
            <w:r/>
          </w:p>
        </w:tc>
      </w:tr>
      <w:tr>
        <w:trPr>
          <w:cantSplit/>
          <w:trHeight w:val="46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105</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内存性能</w:t>
            </w:r>
            <w:r/>
          </w:p>
        </w:tc>
        <w:tc>
          <w:tcPr>
            <w:tcW w:w="1560" w:type="dxa"/>
            <w:vAlign w:val="top"/>
            <w:textDirection w:val="lrTb"/>
            <w:noWrap w:val="false"/>
          </w:tcPr>
          <w:p>
            <w:pPr>
              <w:pStyle w:val="692"/>
              <w:rPr>
                <w:rFonts w:ascii="宋体" w:hAnsi="宋体" w:cs="黑体"/>
                <w:lang w:eastAsia="en-US"/>
              </w:rPr>
            </w:pPr>
            <w:r>
              <w:rPr>
                <w:rFonts w:hint="eastAsia" w:ascii="宋体" w:hAnsi="宋体" w:cs="Calibri"/>
                <w:b/>
                <w:sz w:val="24"/>
                <w:szCs w:val="24"/>
              </w:rPr>
              <w:t xml:space="preserve">☆</w:t>
            </w:r>
            <w:r>
              <w:rPr>
                <w:rFonts w:ascii="宋体" w:hAnsi="宋体" w:cs="黑体"/>
                <w:highlight w:val="darkYellow"/>
                <w:lang w:eastAsia="en-US"/>
              </w:rPr>
              <w:t xml:space="preserve">单内存模块容量</w:t>
            </w:r>
            <w:r>
              <w:rPr>
                <w:rFonts w:ascii="宋体" w:hAnsi="宋体" w:cs="黑体"/>
                <w:lang w:eastAsia="en-US"/>
              </w:rPr>
            </w:r>
            <w:r/>
          </w:p>
        </w:tc>
        <w:tc>
          <w:tcPr>
            <w:gridSpan w:val="2"/>
            <w:tcW w:w="5670" w:type="dxa"/>
            <w:vAlign w:val="top"/>
            <w:textDirection w:val="lrTb"/>
            <w:noWrap w:val="false"/>
          </w:tcPr>
          <w:p>
            <w:pPr>
              <w:pStyle w:val="692"/>
              <w:rPr>
                <w:rFonts w:ascii="宋体" w:hAnsi="宋体" w:cs="黑体"/>
                <w:lang w:eastAsia="en-US"/>
              </w:rPr>
            </w:pPr>
            <w:r>
              <w:rPr>
                <w:rFonts w:ascii="宋体" w:hAnsi="宋体" w:cs="黑体"/>
                <w:lang w:eastAsia="en-US"/>
              </w:rPr>
              <w:t xml:space="preserve">≥</w:t>
            </w:r>
            <w:r>
              <w:rPr>
                <w:rFonts w:ascii="宋体" w:hAnsi="宋体" w:cs="黑体"/>
              </w:rPr>
              <w:t xml:space="preserve">32</w:t>
            </w:r>
            <w:r>
              <w:rPr>
                <w:rFonts w:ascii="宋体" w:hAnsi="宋体" w:cs="黑体"/>
                <w:lang w:eastAsia="en-US"/>
              </w:rPr>
              <w:t xml:space="preserve">GB</w:t>
            </w:r>
            <w:r/>
          </w:p>
        </w:tc>
      </w:tr>
      <w:tr>
        <w:trPr>
          <w:cantSplit/>
          <w:trHeight w:val="46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106</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内存速率</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≥2933MT/s（DDR5建议≥4800MT/s）</w:t>
            </w:r>
            <w:r/>
          </w:p>
        </w:tc>
      </w:tr>
      <w:tr>
        <w:trPr>
          <w:trHeight w:val="46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107</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存储性能</w:t>
            </w:r>
            <w:r/>
          </w:p>
        </w:tc>
        <w:tc>
          <w:tcPr>
            <w:tcW w:w="1560" w:type="dxa"/>
            <w:vAlign w:val="top"/>
            <w:textDirection w:val="lrTb"/>
            <w:noWrap w:val="false"/>
          </w:tcPr>
          <w:p>
            <w:pPr>
              <w:pStyle w:val="692"/>
              <w:rPr>
                <w:rFonts w:ascii="宋体" w:hAnsi="宋体" w:cs="黑体"/>
                <w:lang w:eastAsia="en-US"/>
              </w:rPr>
            </w:pPr>
            <w:r>
              <w:rPr>
                <w:rFonts w:hint="eastAsia" w:ascii="宋体" w:hAnsi="宋体" w:cs="Calibri"/>
                <w:b/>
                <w:sz w:val="24"/>
                <w:szCs w:val="24"/>
              </w:rPr>
              <w:t xml:space="preserve">☆</w:t>
            </w:r>
            <w:r>
              <w:rPr>
                <w:rFonts w:ascii="宋体" w:hAnsi="宋体" w:cs="黑体"/>
                <w:highlight w:val="darkYellow"/>
                <w:lang w:eastAsia="en-US"/>
              </w:rPr>
              <w:t xml:space="preserve">硬盘转速</w:t>
            </w:r>
            <w:r>
              <w:rPr>
                <w:rFonts w:ascii="宋体" w:hAnsi="宋体" w:cs="黑体"/>
                <w:lang w:eastAsia="en-US"/>
              </w:rPr>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安装的硬磁盘转速不小于 7200rpm</w:t>
            </w:r>
            <w:r/>
          </w:p>
        </w:tc>
      </w:tr>
      <w:tr>
        <w:trPr>
          <w:trHeight w:val="701"/>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108</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RAID卡性能</w:t>
            </w:r>
            <w:r/>
          </w:p>
        </w:tc>
        <w:tc>
          <w:tcPr>
            <w:tcW w:w="1560" w:type="dxa"/>
            <w:vAlign w:val="top"/>
            <w:textDirection w:val="lrTb"/>
            <w:noWrap w:val="false"/>
          </w:tcPr>
          <w:p>
            <w:pPr>
              <w:pStyle w:val="692"/>
              <w:rPr>
                <w:rFonts w:ascii="宋体" w:hAnsi="宋体" w:cs="黑体"/>
                <w:highlight w:val="yellow"/>
              </w:rPr>
            </w:pPr>
            <w:r>
              <w:rPr>
                <w:rFonts w:ascii="宋体" w:hAnsi="宋体" w:cs="黑体"/>
              </w:rPr>
              <w:t xml:space="preserve">RAID</w:t>
            </w:r>
            <w:r>
              <w:rPr>
                <w:rFonts w:ascii="宋体" w:hAnsi="宋体" w:cs="黑体"/>
                <w:spacing w:val="-21"/>
              </w:rPr>
              <w:t xml:space="preserve"> 卡缓</w:t>
            </w:r>
            <w:r>
              <w:rPr>
                <w:rFonts w:ascii="宋体" w:hAnsi="宋体" w:cs="黑体"/>
              </w:rPr>
              <w:t xml:space="preserve">存容量大小</w:t>
            </w:r>
            <w:r>
              <w:rPr>
                <w:rFonts w:ascii="宋体" w:hAnsi="宋体" w:cs="黑体"/>
                <w:highlight w:val="yellow"/>
              </w:rPr>
            </w:r>
            <w:r/>
          </w:p>
        </w:tc>
        <w:tc>
          <w:tcPr>
            <w:gridSpan w:val="2"/>
            <w:tcW w:w="5670" w:type="dxa"/>
            <w:vAlign w:val="top"/>
            <w:textDirection w:val="lrTb"/>
            <w:noWrap w:val="false"/>
          </w:tcPr>
          <w:p>
            <w:pPr>
              <w:pStyle w:val="692"/>
              <w:rPr>
                <w:rFonts w:ascii="宋体" w:hAnsi="宋体" w:cs="黑体"/>
                <w:highlight w:val="yellow"/>
                <w:lang w:eastAsia="en-US"/>
              </w:rPr>
            </w:pPr>
            <w:r>
              <w:rPr>
                <w:rFonts w:ascii="宋体" w:hAnsi="宋体" w:cs="黑体"/>
                <w:lang w:eastAsia="en-US"/>
              </w:rPr>
              <w:t xml:space="preserve">≥</w:t>
            </w:r>
            <w:r>
              <w:rPr>
                <w:rFonts w:ascii="宋体" w:hAnsi="宋体" w:cs="黑体"/>
              </w:rPr>
              <w:t xml:space="preserve">4</w:t>
            </w:r>
            <w:r>
              <w:rPr>
                <w:rFonts w:ascii="宋体" w:hAnsi="宋体" w:cs="黑体"/>
                <w:lang w:eastAsia="en-US"/>
              </w:rPr>
              <w:t xml:space="preserve">GB</w:t>
            </w:r>
            <w:r>
              <w:rPr>
                <w:rFonts w:ascii="宋体" w:hAnsi="宋体" w:cs="黑体"/>
                <w:highlight w:val="yellow"/>
                <w:lang w:eastAsia="en-US"/>
              </w:rPr>
            </w:r>
            <w:r/>
          </w:p>
        </w:tc>
      </w:tr>
      <w:tr>
        <w:trPr>
          <w:trHeight w:val="70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109</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FC HBA卡性能</w:t>
            </w:r>
            <w:r/>
          </w:p>
        </w:tc>
        <w:tc>
          <w:tcPr>
            <w:tcW w:w="1560" w:type="dxa"/>
            <w:vAlign w:val="top"/>
            <w:textDirection w:val="lrTb"/>
            <w:noWrap w:val="false"/>
          </w:tcPr>
          <w:p>
            <w:pPr>
              <w:pStyle w:val="692"/>
              <w:rPr>
                <w:rFonts w:ascii="宋体" w:hAnsi="宋体" w:cs="黑体"/>
                <w:lang w:eastAsia="en-US"/>
              </w:rPr>
            </w:pPr>
            <w:r>
              <w:rPr>
                <w:rFonts w:hint="eastAsia" w:ascii="宋体" w:hAnsi="宋体" w:cs="Calibri"/>
                <w:b/>
                <w:sz w:val="24"/>
                <w:szCs w:val="24"/>
              </w:rPr>
              <w:t xml:space="preserve">☆</w:t>
            </w:r>
            <w:r>
              <w:rPr>
                <w:rFonts w:ascii="宋体" w:hAnsi="宋体" w:cs="黑体"/>
                <w:highlight w:val="darkYellow"/>
                <w:lang w:eastAsia="en-US"/>
              </w:rPr>
              <w:t xml:space="preserve">FC HBA 卡速率</w:t>
            </w:r>
            <w:r>
              <w:rPr>
                <w:rFonts w:ascii="宋体" w:hAnsi="宋体" w:cs="黑体"/>
                <w:lang w:eastAsia="en-US"/>
              </w:rPr>
            </w:r>
            <w:r/>
          </w:p>
        </w:tc>
        <w:tc>
          <w:tcPr>
            <w:gridSpan w:val="2"/>
            <w:tcW w:w="5670" w:type="dxa"/>
            <w:vAlign w:val="top"/>
            <w:textDirection w:val="lrTb"/>
            <w:noWrap w:val="false"/>
          </w:tcPr>
          <w:p>
            <w:pPr>
              <w:pStyle w:val="692"/>
              <w:rPr>
                <w:rFonts w:ascii="宋体" w:hAnsi="宋体" w:cs="黑体"/>
                <w:lang w:eastAsia="en-US"/>
              </w:rPr>
            </w:pPr>
            <w:r>
              <w:rPr>
                <w:rFonts w:ascii="宋体" w:hAnsi="宋体" w:cs="黑体"/>
                <w:lang w:eastAsia="en-US"/>
              </w:rPr>
              <w:t xml:space="preserve">若配备FC HBA卡，单端口最大的连接速率不少于8Gb/s（建议16Gb/s或32Gb/s）</w:t>
            </w:r>
            <w:r/>
          </w:p>
        </w:tc>
      </w:tr>
      <w:tr>
        <w:trPr>
          <w:cantSplit/>
          <w:trHeight w:val="46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110</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网络性能</w:t>
            </w:r>
            <w:r/>
          </w:p>
        </w:tc>
        <w:tc>
          <w:tcPr>
            <w:tcW w:w="1560" w:type="dxa"/>
            <w:vAlign w:val="top"/>
            <w:textDirection w:val="lrTb"/>
            <w:noWrap w:val="false"/>
          </w:tcPr>
          <w:p>
            <w:pPr>
              <w:pStyle w:val="692"/>
              <w:rPr>
                <w:rFonts w:ascii="宋体" w:hAnsi="宋体" w:cs="黑体"/>
              </w:rPr>
            </w:pPr>
            <w:r>
              <w:rPr>
                <w:rFonts w:ascii="宋体" w:hAnsi="宋体" w:cs="黑体"/>
              </w:rPr>
              <w:t xml:space="preserve">独立网卡速率</w:t>
            </w:r>
            <w:r/>
          </w:p>
        </w:tc>
        <w:tc>
          <w:tcPr>
            <w:gridSpan w:val="2"/>
            <w:tcW w:w="5670" w:type="dxa"/>
            <w:vAlign w:val="top"/>
            <w:textDirection w:val="lrTb"/>
            <w:noWrap w:val="false"/>
          </w:tcPr>
          <w:p>
            <w:pPr>
              <w:pStyle w:val="692"/>
              <w:rPr>
                <w:rFonts w:ascii="宋体" w:hAnsi="宋体" w:cs="黑体"/>
                <w:lang w:eastAsia="en-US"/>
              </w:rPr>
            </w:pPr>
            <w:r>
              <w:rPr>
                <w:rFonts w:ascii="宋体" w:hAnsi="宋体" w:cs="黑体"/>
                <w:lang w:eastAsia="en-US"/>
              </w:rPr>
              <w:t xml:space="preserve">≥10GE</w:t>
            </w:r>
            <w:r/>
          </w:p>
        </w:tc>
      </w:tr>
      <w:tr>
        <w:trPr>
          <w:cantSplit/>
          <w:trHeight w:val="46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111</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板载网卡速率</w:t>
            </w:r>
            <w:r/>
          </w:p>
        </w:tc>
        <w:tc>
          <w:tcPr>
            <w:gridSpan w:val="2"/>
            <w:tcW w:w="5670" w:type="dxa"/>
            <w:vAlign w:val="top"/>
            <w:textDirection w:val="lrTb"/>
            <w:noWrap w:val="false"/>
          </w:tcPr>
          <w:p>
            <w:pPr>
              <w:pStyle w:val="692"/>
              <w:rPr>
                <w:rFonts w:ascii="宋体" w:hAnsi="宋体" w:cs="黑体"/>
                <w:lang w:eastAsia="en-US"/>
              </w:rPr>
            </w:pPr>
            <w:r>
              <w:rPr>
                <w:rFonts w:ascii="宋体" w:hAnsi="宋体" w:cs="黑体"/>
                <w:lang w:eastAsia="en-US"/>
              </w:rPr>
              <w:t xml:space="preserve">≥1GE</w:t>
            </w:r>
            <w:r/>
          </w:p>
        </w:tc>
      </w:tr>
      <w:tr>
        <w:trPr>
          <w:trHeight w:val="465"/>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112</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电源能耗</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电源能耗</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符合GB/T 9813.3 的有关规定</w:t>
            </w:r>
            <w:r/>
          </w:p>
        </w:tc>
      </w:tr>
      <w:tr>
        <w:trPr>
          <w:cantSplit/>
          <w:trHeight w:val="46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113</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部件兼容性要求</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内存兼容性</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16"/>
                <w:u w:val="single"/>
              </w:rPr>
              <w:t xml:space="preserve">适配 </w:t>
            </w:r>
            <w:r>
              <w:rPr>
                <w:rFonts w:ascii="宋体" w:hAnsi="宋体" w:cs="黑体"/>
                <w:i/>
                <w:iCs/>
                <w:u w:val="single"/>
              </w:rPr>
              <w:t xml:space="preserve">3</w:t>
            </w:r>
            <w:r>
              <w:rPr>
                <w:rFonts w:ascii="宋体" w:hAnsi="宋体" w:cs="黑体"/>
                <w:i/>
                <w:iCs/>
                <w:spacing w:val="-8"/>
                <w:u w:val="single"/>
              </w:rPr>
              <w:t xml:space="preserve"> 种及以上厂商的内存产品， </w:t>
            </w:r>
            <w:r>
              <w:rPr>
                <w:rFonts w:ascii="宋体" w:hAnsi="宋体" w:cs="黑体"/>
                <w:i/>
                <w:iCs/>
                <w:u w:val="single"/>
              </w:rPr>
              <w:t xml:space="preserve">且均不低于产品支持的内存规格</w:t>
            </w:r>
            <w:r/>
          </w:p>
        </w:tc>
      </w:tr>
      <w:tr>
        <w:trPr>
          <w:cantSplit/>
          <w:trHeight w:val="70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114</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固态存储兼容性</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16"/>
                <w:u w:val="single"/>
              </w:rPr>
              <w:t xml:space="preserve">适配 </w:t>
            </w:r>
            <w:r>
              <w:rPr>
                <w:rFonts w:ascii="宋体" w:hAnsi="宋体" w:cs="黑体"/>
                <w:i/>
                <w:iCs/>
                <w:u w:val="single"/>
              </w:rPr>
              <w:t xml:space="preserve">3</w:t>
            </w:r>
            <w:r>
              <w:rPr>
                <w:rFonts w:ascii="宋体" w:hAnsi="宋体" w:cs="黑体"/>
                <w:i/>
                <w:iCs/>
                <w:spacing w:val="-8"/>
                <w:u w:val="single"/>
              </w:rPr>
              <w:t xml:space="preserve"> 种或以上厂商的固态存储产</w:t>
            </w:r>
            <w:r>
              <w:rPr>
                <w:rFonts w:ascii="宋体" w:hAnsi="宋体" w:cs="黑体"/>
                <w:i/>
                <w:iCs/>
                <w:spacing w:val="-2"/>
                <w:u w:val="single"/>
              </w:rPr>
              <w:t xml:space="preserve">品，且均不低于产品支持的固态存</w:t>
            </w:r>
            <w:r>
              <w:rPr>
                <w:rFonts w:ascii="宋体" w:hAnsi="宋体" w:cs="黑体"/>
                <w:i/>
                <w:iCs/>
                <w:u w:val="single"/>
              </w:rPr>
            </w:r>
            <w:r/>
          </w:p>
          <w:p>
            <w:pPr>
              <w:pStyle w:val="692"/>
              <w:rPr>
                <w:rFonts w:ascii="宋体" w:hAnsi="宋体" w:cs="黑体"/>
                <w:i/>
                <w:iCs/>
                <w:u w:val="single"/>
                <w:lang w:eastAsia="en-US"/>
              </w:rPr>
            </w:pPr>
            <w:r>
              <w:rPr>
                <w:rFonts w:ascii="宋体" w:hAnsi="宋体" w:cs="黑体"/>
                <w:i/>
                <w:iCs/>
                <w:u w:val="single"/>
                <w:lang w:eastAsia="en-US"/>
              </w:rPr>
              <w:t xml:space="preserve">储设备规格</w:t>
            </w:r>
            <w:r/>
          </w:p>
        </w:tc>
      </w:tr>
      <w:tr>
        <w:trPr>
          <w:cantSplit/>
          <w:trHeight w:val="46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115</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FC HBA 卡兼容性</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FC HBA 应适配两种或以上厂商产品</w:t>
            </w:r>
            <w:r/>
          </w:p>
        </w:tc>
      </w:tr>
      <w:tr>
        <w:trPr>
          <w:cantSplit/>
          <w:trHeight w:val="46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116</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RAID 卡兼容性</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RAID 卡应适配两种或以上厂商产品</w:t>
            </w:r>
            <w:r/>
          </w:p>
        </w:tc>
      </w:tr>
      <w:tr>
        <w:trPr>
          <w:cantSplit/>
          <w:trHeight w:val="23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117</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网卡兼容</w:t>
            </w:r>
            <w:r>
              <w:rPr>
                <w:rFonts w:ascii="宋体" w:hAnsi="宋体" w:cs="黑体"/>
                <w:i/>
                <w:iCs/>
                <w:u w:val="single"/>
              </w:rPr>
              <w:t xml:space="preserve">性</w:t>
            </w:r>
            <w:r>
              <w:rPr>
                <w:rFonts w:ascii="宋体" w:hAnsi="宋体" w:cs="黑体"/>
                <w:i/>
                <w:iCs/>
                <w:u w:val="single"/>
                <w:lang w:eastAsia="en-US"/>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网卡应适配两种或以上厂商产品</w:t>
            </w:r>
            <w:r/>
          </w:p>
        </w:tc>
      </w:tr>
      <w:tr>
        <w:trPr>
          <w:trHeight w:val="70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118</w:t>
            </w:r>
            <w:r/>
          </w:p>
        </w:tc>
        <w:tc>
          <w:tcPr>
            <w:tcBorders>
              <w:top w:val="none" w:color="000000" w:sz="4" w:space="0"/>
            </w:tcBorders>
            <w:tcW w:w="1275" w:type="dxa"/>
            <w:vAlign w:val="top"/>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功能卡兼容性</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spacing w:val="4"/>
                <w:u w:val="single"/>
              </w:rPr>
              <w:t xml:space="preserve">内置或适配符合</w:t>
            </w:r>
            <w:r>
              <w:rPr>
                <w:rFonts w:ascii="宋体" w:hAnsi="宋体" w:cs="黑体"/>
                <w:i/>
                <w:iCs/>
                <w:u w:val="single"/>
              </w:rPr>
              <w:t xml:space="preserve">PCIe</w:t>
            </w:r>
            <w:r>
              <w:rPr>
                <w:rFonts w:ascii="宋体" w:hAnsi="宋体" w:cs="黑体"/>
                <w:i/>
                <w:iCs/>
                <w:spacing w:val="-21"/>
                <w:u w:val="single"/>
              </w:rPr>
              <w:t xml:space="preserve"> 的功能卡，如： </w:t>
            </w:r>
            <w:r>
              <w:rPr>
                <w:rFonts w:ascii="宋体" w:hAnsi="宋体" w:cs="黑体"/>
                <w:i/>
                <w:iCs/>
                <w:u w:val="single"/>
              </w:rPr>
              <w:t xml:space="preserve">网络功能卡、存储功能卡及图形显示功能卡</w:t>
            </w:r>
            <w:r/>
          </w:p>
        </w:tc>
      </w:tr>
      <w:tr>
        <w:trPr>
          <w:trHeight w:val="1167"/>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119</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外设兼容性</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r>
            <w:r/>
          </w:p>
          <w:p>
            <w:pPr>
              <w:pStyle w:val="692"/>
              <w:rPr>
                <w:rFonts w:ascii="宋体" w:hAnsi="宋体" w:cs="黑体"/>
                <w:i/>
                <w:iCs/>
                <w:u w:val="single"/>
                <w:lang w:eastAsia="en-US"/>
              </w:rPr>
            </w:pPr>
            <w:r>
              <w:rPr>
                <w:rFonts w:ascii="宋体" w:hAnsi="宋体" w:cs="黑体"/>
                <w:i/>
                <w:iCs/>
                <w:u w:val="single"/>
                <w:lang w:eastAsia="en-US"/>
              </w:rPr>
              <w:t xml:space="preserve">外设兼容性</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兼容多种主流生产商的外部设备， </w:t>
            </w:r>
            <w:r>
              <w:rPr>
                <w:rFonts w:ascii="宋体" w:hAnsi="宋体" w:cs="黑体"/>
                <w:i/>
                <w:iCs/>
                <w:spacing w:val="-5"/>
                <w:u w:val="single"/>
              </w:rPr>
              <w:t xml:space="preserve">包括显示器、键盘、鼠标、闪存盘、</w:t>
            </w:r>
            <w:r>
              <w:rPr>
                <w:rFonts w:ascii="宋体" w:hAnsi="宋体" w:cs="黑体"/>
                <w:i/>
                <w:iCs/>
                <w:spacing w:val="-8"/>
                <w:u w:val="single"/>
              </w:rPr>
              <w:t xml:space="preserve">移动硬盘、</w:t>
            </w:r>
            <w:r>
              <w:rPr>
                <w:rFonts w:ascii="宋体" w:hAnsi="宋体" w:cs="黑体"/>
                <w:i/>
                <w:iCs/>
                <w:u w:val="single"/>
              </w:rPr>
              <w:t xml:space="preserve">USB</w:t>
            </w:r>
            <w:r>
              <w:rPr>
                <w:rFonts w:ascii="宋体" w:hAnsi="宋体" w:cs="黑体"/>
                <w:i/>
                <w:iCs/>
                <w:spacing w:val="-19"/>
                <w:u w:val="single"/>
              </w:rPr>
              <w:t xml:space="preserve"> 光驱及 </w:t>
            </w:r>
            <w:r>
              <w:rPr>
                <w:rFonts w:ascii="宋体" w:hAnsi="宋体" w:cs="黑体"/>
                <w:i/>
                <w:iCs/>
                <w:u w:val="single"/>
              </w:rPr>
              <w:t xml:space="preserve">KVM</w:t>
            </w:r>
            <w:r>
              <w:rPr>
                <w:rFonts w:ascii="宋体" w:hAnsi="宋体" w:cs="黑体"/>
                <w:i/>
                <w:iCs/>
                <w:spacing w:val="-17"/>
                <w:u w:val="single"/>
              </w:rPr>
              <w:t xml:space="preserve"> 等，要求使用不同厂商的外部设备时，系统</w:t>
            </w: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均能正常识别和安装驱动</w:t>
            </w:r>
            <w:r/>
          </w:p>
        </w:tc>
      </w:tr>
      <w:tr>
        <w:trPr>
          <w:cantSplit/>
          <w:trHeight w:val="46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120</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软件兼容性</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数据库兼容</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兼容 2 个及以上厂商的数据库产品</w:t>
            </w:r>
            <w:r/>
          </w:p>
        </w:tc>
      </w:tr>
      <w:tr>
        <w:trPr>
          <w:cantSplit/>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121</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中间件兼容</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兼容 2 个及以上厂商的中间件产品</w:t>
            </w:r>
            <w:r/>
          </w:p>
        </w:tc>
      </w:tr>
      <w:tr>
        <w:trPr>
          <w:cantSplit/>
          <w:trHeight w:val="47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122</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平台软件兼容</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兼容 2 个及以上厂商的大数据平台</w:t>
            </w:r>
            <w:r/>
          </w:p>
        </w:tc>
      </w:tr>
      <w:tr>
        <w:trPr>
          <w:cantSplit/>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123</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lang w:eastAsia="en-US"/>
              </w:rPr>
            </w:pPr>
            <w:r>
              <w:rPr>
                <w:rFonts w:hint="eastAsia" w:ascii="宋体" w:hAnsi="宋体" w:cs="Calibri"/>
                <w:b/>
                <w:sz w:val="24"/>
                <w:szCs w:val="24"/>
              </w:rPr>
              <w:t xml:space="preserve">☆</w:t>
            </w:r>
            <w:r>
              <w:rPr>
                <w:rFonts w:ascii="宋体" w:hAnsi="宋体" w:cs="黑体"/>
                <w:highlight w:val="darkYellow"/>
                <w:lang w:eastAsia="en-US"/>
              </w:rPr>
              <w:t xml:space="preserve">虚拟化软件兼容</w:t>
            </w:r>
            <w:r>
              <w:rPr>
                <w:rFonts w:ascii="宋体" w:hAnsi="宋体" w:cs="黑体"/>
                <w:lang w:eastAsia="en-US"/>
              </w:rPr>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兼容 2 款及以上虚拟化软件</w:t>
            </w:r>
            <w:r/>
          </w:p>
        </w:tc>
      </w:tr>
      <w:tr>
        <w:trPr>
          <w:trHeight w:val="957"/>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124</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t xml:space="preserve">存储可靠性要</w:t>
            </w:r>
            <w:r/>
          </w:p>
          <w:p>
            <w:pPr>
              <w:pStyle w:val="692"/>
              <w:rPr>
                <w:rFonts w:ascii="宋体" w:hAnsi="宋体" w:cs="黑体"/>
                <w:lang w:eastAsia="en-US"/>
              </w:rPr>
            </w:pPr>
            <w:r>
              <w:rPr>
                <w:rFonts w:ascii="宋体" w:hAnsi="宋体" w:cs="黑体"/>
                <w:lang w:eastAsia="en-US"/>
              </w:rPr>
              <w:t xml:space="preserve">求</w:t>
            </w:r>
            <w:r/>
          </w:p>
        </w:tc>
        <w:tc>
          <w:tcPr>
            <w:tcW w:w="1560"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hint="eastAsia" w:ascii="宋体" w:hAnsi="宋体" w:cs="Calibri"/>
                <w:b/>
                <w:sz w:val="24"/>
                <w:szCs w:val="24"/>
              </w:rPr>
              <w:t xml:space="preserve">☆</w:t>
            </w:r>
            <w:r>
              <w:rPr>
                <w:rFonts w:ascii="宋体" w:hAnsi="宋体" w:cs="黑体"/>
                <w:highlight w:val="darkYellow"/>
                <w:lang w:eastAsia="en-US"/>
              </w:rPr>
              <w:t xml:space="preserve">SATA SSD可靠性</w:t>
            </w:r>
            <w:r>
              <w:rPr>
                <w:rFonts w:ascii="宋体" w:hAnsi="宋体" w:cs="黑体"/>
                <w:lang w:eastAsia="en-US"/>
              </w:rPr>
            </w:r>
            <w:r/>
          </w:p>
        </w:tc>
        <w:tc>
          <w:tcPr>
            <w:gridSpan w:val="2"/>
            <w:tcW w:w="5670"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SSD</w:t>
            </w:r>
            <w:r>
              <w:rPr>
                <w:rFonts w:ascii="宋体" w:hAnsi="宋体" w:cs="黑体"/>
                <w:spacing w:val="-32"/>
                <w:lang w:eastAsia="en-US"/>
              </w:rPr>
              <w:t xml:space="preserve"> 的 </w:t>
            </w:r>
            <w:r>
              <w:rPr>
                <w:rFonts w:ascii="宋体" w:hAnsi="宋体" w:cs="黑体"/>
                <w:lang w:eastAsia="en-US"/>
              </w:rPr>
              <w:t xml:space="preserve">m1</w:t>
            </w:r>
            <w:r>
              <w:rPr>
                <w:rFonts w:ascii="宋体" w:hAnsi="宋体" w:cs="黑体"/>
                <w:spacing w:val="-24"/>
                <w:lang w:eastAsia="en-US"/>
              </w:rPr>
              <w:t xml:space="preserve"> 值</w:t>
            </w:r>
            <w:r>
              <w:rPr>
                <w:rFonts w:ascii="宋体" w:hAnsi="宋体" w:cs="黑体"/>
                <w:lang w:eastAsia="en-US"/>
              </w:rPr>
              <w:t xml:space="preserve">（MTBF</w:t>
            </w:r>
            <w:r>
              <w:rPr>
                <w:rFonts w:ascii="宋体" w:hAnsi="宋体" w:cs="黑体"/>
                <w:spacing w:val="-8"/>
                <w:lang w:eastAsia="en-US"/>
              </w:rPr>
              <w:t xml:space="preserve"> 的不可接受值</w:t>
            </w:r>
            <w:r>
              <w:rPr>
                <w:rFonts w:ascii="宋体" w:hAnsi="宋体" w:cs="黑体"/>
                <w:lang w:eastAsia="en-US"/>
              </w:rPr>
              <w:t xml:space="preserve">） </w:t>
            </w:r>
            <w:r>
              <w:rPr>
                <w:rFonts w:ascii="宋体" w:hAnsi="宋体" w:cs="黑体"/>
                <w:spacing w:val="-12"/>
                <w:lang w:eastAsia="en-US"/>
              </w:rPr>
              <w:t xml:space="preserve">不低于 </w:t>
            </w:r>
            <w:r>
              <w:rPr>
                <w:rFonts w:ascii="宋体" w:hAnsi="宋体" w:cs="黑体"/>
                <w:lang w:eastAsia="en-US"/>
              </w:rPr>
              <w:t xml:space="preserve">200000h</w:t>
            </w:r>
            <w:r/>
          </w:p>
        </w:tc>
      </w:tr>
      <w:tr>
        <w:trPr>
          <w:cantSplit/>
          <w:trHeight w:val="72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125</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整机可靠性要求</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整机可靠性</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m1</w:t>
            </w:r>
            <w:r>
              <w:rPr>
                <w:rFonts w:ascii="宋体" w:hAnsi="宋体" w:cs="黑体"/>
                <w:i/>
                <w:iCs/>
                <w:spacing w:val="-30"/>
                <w:u w:val="single"/>
                <w:lang w:eastAsia="en-US"/>
              </w:rPr>
              <w:t xml:space="preserve"> 值</w:t>
            </w:r>
            <w:r>
              <w:rPr>
                <w:rFonts w:ascii="宋体" w:hAnsi="宋体" w:cs="黑体"/>
                <w:i/>
                <w:iCs/>
                <w:u w:val="single"/>
                <w:lang w:eastAsia="en-US"/>
              </w:rPr>
              <w:t xml:space="preserve">（MTBF</w:t>
            </w:r>
            <w:r>
              <w:rPr>
                <w:rFonts w:ascii="宋体" w:hAnsi="宋体" w:cs="黑体"/>
                <w:i/>
                <w:iCs/>
                <w:spacing w:val="-8"/>
                <w:u w:val="single"/>
                <w:lang w:eastAsia="en-US"/>
              </w:rPr>
              <w:t xml:space="preserve"> 的不可接受值</w:t>
            </w:r>
            <w:r>
              <w:rPr>
                <w:rFonts w:ascii="宋体" w:hAnsi="宋体" w:cs="黑体"/>
                <w:i/>
                <w:iCs/>
                <w:spacing w:val="-12"/>
                <w:u w:val="single"/>
                <w:lang w:eastAsia="en-US"/>
              </w:rPr>
              <w:t xml:space="preserve">）</w:t>
            </w:r>
            <w:r>
              <w:rPr>
                <w:rFonts w:ascii="宋体" w:hAnsi="宋体" w:cs="黑体"/>
                <w:i/>
                <w:iCs/>
                <w:spacing w:val="-5"/>
                <w:u w:val="single"/>
                <w:lang w:eastAsia="en-US"/>
              </w:rPr>
              <w:t xml:space="preserve">不得低</w:t>
            </w:r>
            <w:r>
              <w:rPr>
                <w:rFonts w:ascii="宋体" w:hAnsi="宋体" w:cs="黑体"/>
                <w:i/>
                <w:iCs/>
                <w:spacing w:val="-24"/>
                <w:u w:val="single"/>
                <w:lang w:eastAsia="en-US"/>
              </w:rPr>
              <w:t xml:space="preserve">于 </w:t>
            </w:r>
            <w:r>
              <w:rPr>
                <w:rFonts w:ascii="宋体" w:hAnsi="宋体" w:cs="黑体"/>
                <w:i/>
                <w:iCs/>
                <w:u w:val="single"/>
                <w:lang w:eastAsia="en-US"/>
              </w:rPr>
              <w:t xml:space="preserve">30000h</w:t>
            </w:r>
            <w:r/>
          </w:p>
        </w:tc>
      </w:tr>
      <w:tr>
        <w:trPr>
          <w:cantSplit/>
          <w:trHeight w:val="47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126</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风扇可靠性</w:t>
            </w:r>
            <w:r/>
          </w:p>
        </w:tc>
        <w:tc>
          <w:tcPr>
            <w:gridSpan w:val="2"/>
            <w:tcW w:w="567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t xml:space="preserve">风扇寿命应不低于 40000h</w:t>
            </w:r>
            <w:r/>
          </w:p>
        </w:tc>
      </w:tr>
      <w:tr>
        <w:trPr>
          <w:cantSplit/>
          <w:trHeight w:val="478"/>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127</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部件可靠性</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支持硬盘、电源、风扇热插拔(内置风扇除外)</w:t>
            </w:r>
            <w:r/>
          </w:p>
        </w:tc>
      </w:tr>
      <w:tr>
        <w:trPr>
          <w:trHeight w:val="956"/>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128</w:t>
            </w:r>
            <w:r/>
          </w:p>
        </w:tc>
        <w:tc>
          <w:tcPr>
            <w:tcW w:w="1275" w:type="dxa"/>
            <w:vAlign w:val="top"/>
            <w:textDirection w:val="lrTb"/>
            <w:noWrap w:val="false"/>
          </w:tcPr>
          <w:p>
            <w:pPr>
              <w:pStyle w:val="692"/>
              <w:ind w:hanging="46"/>
              <w:rPr>
                <w:rFonts w:ascii="宋体" w:hAnsi="宋体" w:cs="黑体"/>
                <w:lang w:eastAsia="en-US"/>
              </w:rPr>
            </w:pPr>
            <w:r>
              <w:rPr>
                <w:rFonts w:ascii="宋体" w:hAnsi="宋体" w:cs="黑体"/>
                <w:lang w:eastAsia="en-US"/>
              </w:rPr>
              <w:t xml:space="preserve">包装及运输要</w:t>
            </w:r>
            <w:r/>
          </w:p>
          <w:p>
            <w:pPr>
              <w:pStyle w:val="692"/>
              <w:rPr>
                <w:rFonts w:ascii="宋体" w:hAnsi="宋体" w:cs="黑体"/>
                <w:lang w:eastAsia="en-US"/>
              </w:rPr>
            </w:pPr>
            <w:r>
              <w:rPr>
                <w:rFonts w:ascii="宋体" w:hAnsi="宋体" w:cs="黑体"/>
                <w:lang w:eastAsia="en-US"/>
              </w:rPr>
              <w:t xml:space="preserve">求</w:t>
            </w:r>
            <w:r/>
          </w:p>
        </w:tc>
        <w:tc>
          <w:tcPr>
            <w:tcW w:w="1560" w:type="dxa"/>
            <w:vAlign w:val="top"/>
            <w:textDirection w:val="lrTb"/>
            <w:noWrap w:val="false"/>
          </w:tcPr>
          <w:p>
            <w:pPr>
              <w:pStyle w:val="692"/>
              <w:rPr>
                <w:rFonts w:hint="eastAsia" w:ascii="宋体" w:hAnsi="宋体" w:cs="黑体"/>
                <w:i/>
                <w:iCs/>
                <w:u w:val="single"/>
              </w:rPr>
            </w:pPr>
            <w:r>
              <w:rPr>
                <w:rFonts w:ascii="宋体" w:hAnsi="宋体" w:cs="黑体"/>
                <w:i/>
                <w:iCs/>
                <w:u w:val="single"/>
              </w:rPr>
              <w:t xml:space="preserve">标志、包</w:t>
            </w:r>
            <w:r>
              <w:rPr>
                <w:rFonts w:ascii="宋体" w:hAnsi="宋体" w:cs="黑体"/>
                <w:i/>
                <w:iCs/>
                <w:spacing w:val="-19"/>
                <w:u w:val="single"/>
              </w:rPr>
              <w:t xml:space="preserve">装、运输和</w:t>
            </w:r>
            <w:r>
              <w:rPr>
                <w:rFonts w:ascii="宋体" w:hAnsi="宋体" w:cs="黑体"/>
                <w:i/>
                <w:iCs/>
                <w:u w:val="single"/>
              </w:rPr>
              <w:t xml:space="preserve">贮存</w:t>
            </w:r>
            <w:r>
              <w:rPr>
                <w:rFonts w:hint="eastAsia" w:ascii="宋体" w:hAnsi="宋体" w:cs="黑体"/>
                <w:i/>
                <w:iCs/>
                <w:u w:val="single"/>
              </w:rPr>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符合GB/T 9813.3 </w:t>
            </w:r>
            <w:r>
              <w:rPr>
                <w:rFonts w:hint="eastAsia" w:ascii="宋体" w:hAnsi="宋体" w:cs="黑体"/>
                <w:i/>
                <w:iCs/>
                <w:u w:val="single"/>
              </w:rPr>
              <w:t xml:space="preserve">最新版</w:t>
            </w:r>
            <w:r>
              <w:rPr>
                <w:rFonts w:ascii="宋体" w:hAnsi="宋体" w:cs="黑体"/>
                <w:i/>
                <w:iCs/>
                <w:u w:val="single"/>
              </w:rPr>
              <w:t xml:space="preserve">和商品包装政府采购需求标准的相关规定</w:t>
            </w:r>
            <w:r/>
          </w:p>
        </w:tc>
      </w:tr>
      <w:tr>
        <w:trPr>
          <w:cantSplit/>
          <w:trHeight w:val="1339"/>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129</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服务响应</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r>
            <w:r/>
          </w:p>
          <w:p>
            <w:pPr>
              <w:pStyle w:val="692"/>
              <w:rPr>
                <w:rFonts w:ascii="宋体" w:hAnsi="宋体" w:cs="黑体"/>
                <w:i/>
                <w:iCs/>
                <w:u w:val="single"/>
                <w:lang w:eastAsia="en-US"/>
              </w:rPr>
            </w:pPr>
            <w:r>
              <w:rPr>
                <w:rFonts w:ascii="宋体" w:hAnsi="宋体" w:cs="黑体"/>
                <w:i/>
                <w:iCs/>
                <w:u w:val="single"/>
                <w:lang w:eastAsia="en-US"/>
              </w:rPr>
            </w:r>
            <w:r/>
          </w:p>
          <w:p>
            <w:pPr>
              <w:pStyle w:val="692"/>
              <w:rPr>
                <w:rFonts w:ascii="宋体" w:hAnsi="宋体" w:cs="黑体"/>
                <w:i/>
                <w:iCs/>
                <w:u w:val="single"/>
                <w:lang w:eastAsia="en-US"/>
              </w:rPr>
            </w:pPr>
            <w:r>
              <w:rPr>
                <w:rFonts w:ascii="宋体" w:hAnsi="宋体" w:cs="黑体"/>
                <w:i/>
                <w:iCs/>
                <w:u w:val="single"/>
                <w:lang w:eastAsia="en-US"/>
              </w:rPr>
              <w:t xml:space="preserve">服务响应</w:t>
            </w:r>
            <w:r/>
          </w:p>
        </w:tc>
        <w:tc>
          <w:tcPr>
            <w:gridSpan w:val="2"/>
            <w:tcW w:w="5670" w:type="dxa"/>
            <w:vAlign w:val="top"/>
            <w:textDirection w:val="lrTb"/>
            <w:noWrap w:val="false"/>
          </w:tcPr>
          <w:p>
            <w:pPr>
              <w:pStyle w:val="692"/>
              <w:numPr>
                <w:ilvl w:val="0"/>
                <w:numId w:val="11"/>
              </w:numPr>
              <w:jc w:val="left"/>
              <w:spacing w:after="160" w:line="278" w:lineRule="auto"/>
              <w:tabs>
                <w:tab w:val="left" w:pos="378" w:leader="none"/>
              </w:tabs>
              <w:rPr>
                <w:rFonts w:ascii="宋体" w:hAnsi="宋体" w:cs="黑体"/>
                <w:i/>
                <w:iCs/>
                <w:u w:val="single"/>
              </w:rPr>
            </w:pPr>
            <w:r>
              <w:rPr>
                <w:rFonts w:ascii="宋体" w:hAnsi="宋体" w:cs="黑体"/>
                <w:i/>
                <w:iCs/>
                <w:spacing w:val="-5"/>
                <w:u w:val="single"/>
              </w:rPr>
              <w:t xml:space="preserve">提供电话、电子邮件、远程连接</w:t>
            </w:r>
            <w:r>
              <w:rPr>
                <w:rFonts w:ascii="宋体" w:hAnsi="宋体" w:cs="黑体"/>
                <w:i/>
                <w:iCs/>
                <w:u w:val="single"/>
              </w:rPr>
              <w:t xml:space="preserve">等多种形式服务；</w:t>
            </w:r>
            <w:r>
              <w:rPr>
                <w:rFonts w:ascii="宋体" w:hAnsi="宋体" w:cs="黑体"/>
                <w:i/>
                <w:iCs/>
                <w:spacing w:val="-10"/>
                <w:u w:val="single"/>
              </w:rPr>
              <w:t xml:space="preserve">提供同城 </w:t>
            </w:r>
            <w:r>
              <w:rPr>
                <w:rFonts w:ascii="宋体" w:hAnsi="宋体" w:cs="黑体"/>
                <w:i/>
                <w:iCs/>
                <w:u w:val="single"/>
              </w:rPr>
              <w:t xml:space="preserve">4h</w:t>
            </w:r>
            <w:r>
              <w:rPr>
                <w:rFonts w:ascii="宋体" w:hAnsi="宋体" w:cs="黑体"/>
                <w:i/>
                <w:iCs/>
                <w:spacing w:val="-30"/>
                <w:u w:val="single"/>
              </w:rPr>
              <w:t xml:space="preserve">、异地 </w:t>
            </w:r>
            <w:r>
              <w:rPr>
                <w:rFonts w:ascii="宋体" w:hAnsi="宋体" w:cs="黑体"/>
                <w:i/>
                <w:iCs/>
                <w:u w:val="single"/>
              </w:rPr>
              <w:t xml:space="preserve">12h</w:t>
            </w:r>
            <w:r>
              <w:rPr>
                <w:rFonts w:ascii="宋体" w:hAnsi="宋体" w:cs="黑体"/>
                <w:i/>
                <w:iCs/>
                <w:spacing w:val="-12"/>
                <w:u w:val="single"/>
              </w:rPr>
              <w:t xml:space="preserve"> 技术响应</w:t>
            </w:r>
            <w:r>
              <w:rPr>
                <w:rFonts w:ascii="宋体" w:hAnsi="宋体" w:cs="黑体"/>
                <w:i/>
                <w:iCs/>
                <w:spacing w:val="-7"/>
                <w:u w:val="single"/>
              </w:rPr>
              <w:t xml:space="preserve">服务，</w:t>
            </w:r>
            <w:r>
              <w:rPr>
                <w:rFonts w:ascii="宋体" w:hAnsi="宋体" w:cs="黑体"/>
                <w:i/>
                <w:iCs/>
                <w:spacing w:val="-18"/>
                <w:u w:val="single"/>
              </w:rPr>
              <w:t xml:space="preserve">2</w:t>
            </w:r>
            <w:r>
              <w:rPr>
                <w:rFonts w:ascii="宋体" w:hAnsi="宋体" w:cs="黑体"/>
                <w:i/>
                <w:iCs/>
                <w:spacing w:val="-11"/>
                <w:u w:val="single"/>
              </w:rPr>
              <w:t xml:space="preserve"> 个工作日解决问题，对于未</w:t>
            </w:r>
            <w:r>
              <w:rPr>
                <w:rFonts w:ascii="宋体" w:hAnsi="宋体" w:cs="黑体"/>
                <w:i/>
                <w:iCs/>
                <w:u w:val="single"/>
              </w:rPr>
              <w:t xml:space="preserve">能解决的问题和故障应提供可行的升级方案，并提供周转设备；</w:t>
            </w:r>
            <w:r>
              <w:rPr>
                <w:rFonts w:ascii="宋体" w:hAnsi="宋体" w:cs="黑体"/>
                <w:i/>
                <w:iCs/>
                <w:spacing w:val="-2"/>
                <w:u w:val="single"/>
              </w:rPr>
              <w:t xml:space="preserve">服务周期内提供产品的维修、换</w:t>
            </w:r>
            <w:r>
              <w:rPr>
                <w:rFonts w:ascii="宋体" w:hAnsi="宋体" w:cs="黑体"/>
                <w:i/>
                <w:iCs/>
                <w:u w:val="single"/>
              </w:rPr>
              <w:t xml:space="preserve">件和升级服务</w:t>
            </w:r>
            <w:r/>
          </w:p>
        </w:tc>
      </w:tr>
      <w:tr>
        <w:trPr>
          <w:cantSplit/>
          <w:trHeight w:val="48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130</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培训服务</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供应商提供培训材料、产品手册、培训视频等培训相关内容</w:t>
            </w:r>
            <w:r/>
          </w:p>
        </w:tc>
      </w:tr>
      <w:tr>
        <w:trPr>
          <w:trHeight w:val="1413"/>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131</w:t>
            </w:r>
            <w:r/>
          </w:p>
        </w:tc>
        <w:tc>
          <w:tcPr>
            <w:tcW w:w="127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服务周期</w:t>
            </w:r>
            <w:r/>
          </w:p>
        </w:tc>
        <w:tc>
          <w:tcPr>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r>
            <w:r/>
          </w:p>
          <w:p>
            <w:pPr>
              <w:pStyle w:val="692"/>
              <w:rPr>
                <w:rFonts w:ascii="宋体" w:hAnsi="宋体" w:cs="黑体"/>
                <w:i/>
                <w:iCs/>
                <w:u w:val="single"/>
                <w:lang w:eastAsia="en-US"/>
              </w:rPr>
            </w:pPr>
            <w:r>
              <w:rPr>
                <w:rFonts w:ascii="宋体" w:hAnsi="宋体" w:cs="黑体"/>
                <w:i/>
                <w:iCs/>
                <w:u w:val="single"/>
                <w:lang w:eastAsia="en-US"/>
              </w:rPr>
            </w:r>
            <w:r/>
          </w:p>
          <w:p>
            <w:pPr>
              <w:pStyle w:val="692"/>
              <w:rPr>
                <w:rFonts w:ascii="宋体" w:hAnsi="宋体" w:cs="黑体"/>
                <w:i/>
                <w:iCs/>
                <w:u w:val="single"/>
                <w:lang w:eastAsia="en-US"/>
              </w:rPr>
            </w:pPr>
            <w:r>
              <w:rPr>
                <w:rFonts w:ascii="宋体" w:hAnsi="宋体" w:cs="黑体"/>
                <w:i/>
                <w:iCs/>
                <w:u w:val="single"/>
                <w:lang w:eastAsia="en-US"/>
              </w:rPr>
              <w:t xml:space="preserve">服务周期</w:t>
            </w:r>
            <w:r/>
          </w:p>
        </w:tc>
        <w:tc>
          <w:tcPr>
            <w:gridSpan w:val="2"/>
            <w:tcW w:w="5670" w:type="dxa"/>
            <w:vAlign w:val="top"/>
            <w:textDirection w:val="lrTb"/>
            <w:noWrap w:val="false"/>
          </w:tcPr>
          <w:p>
            <w:pPr>
              <w:pStyle w:val="692"/>
              <w:numPr>
                <w:ilvl w:val="0"/>
                <w:numId w:val="12"/>
              </w:numPr>
              <w:jc w:val="left"/>
              <w:spacing w:after="160" w:line="278" w:lineRule="auto"/>
              <w:tabs>
                <w:tab w:val="left" w:pos="378" w:leader="none"/>
              </w:tabs>
              <w:rPr>
                <w:rFonts w:ascii="宋体" w:hAnsi="宋体" w:cs="黑体"/>
                <w:i/>
                <w:iCs/>
                <w:u w:val="single"/>
              </w:rPr>
            </w:pPr>
            <w:r>
              <w:rPr>
                <w:rFonts w:ascii="宋体" w:hAnsi="宋体" w:cs="黑体"/>
                <w:i/>
                <w:iCs/>
                <w:spacing w:val="-3"/>
                <w:u w:val="single"/>
              </w:rPr>
              <w:t xml:space="preserve">产品免费服务周期</w:t>
            </w:r>
            <w:r>
              <w:rPr>
                <w:rFonts w:ascii="宋体" w:hAnsi="宋体" w:cs="黑体"/>
                <w:i/>
                <w:iCs/>
                <w:u w:val="single"/>
              </w:rPr>
              <w:t xml:space="preserve">（</w:t>
            </w:r>
            <w:r>
              <w:rPr>
                <w:rFonts w:ascii="宋体" w:hAnsi="宋体" w:cs="黑体"/>
                <w:i/>
                <w:iCs/>
                <w:spacing w:val="-4"/>
                <w:u w:val="single"/>
              </w:rPr>
              <w:t xml:space="preserve">含换件和维</w:t>
            </w:r>
            <w:r>
              <w:rPr>
                <w:rFonts w:ascii="宋体" w:hAnsi="宋体" w:cs="黑体"/>
                <w:i/>
                <w:iCs/>
                <w:u w:val="single"/>
              </w:rPr>
              <w:t xml:space="preserve">修）</w:t>
            </w:r>
            <w:r>
              <w:rPr>
                <w:rFonts w:ascii="宋体" w:hAnsi="宋体" w:cs="黑体"/>
                <w:i/>
                <w:iCs/>
                <w:spacing w:val="-10"/>
                <w:u w:val="single"/>
              </w:rPr>
              <w:t xml:space="preserve">应不小于 </w:t>
            </w:r>
            <w:r>
              <w:rPr>
                <w:rFonts w:ascii="宋体" w:hAnsi="宋体" w:cs="黑体"/>
                <w:i/>
                <w:iCs/>
                <w:u w:val="single"/>
              </w:rPr>
              <w:t xml:space="preserve">3</w:t>
            </w:r>
            <w:r>
              <w:rPr>
                <w:rFonts w:ascii="宋体" w:hAnsi="宋体" w:cs="黑体"/>
                <w:i/>
                <w:iCs/>
                <w:spacing w:val="-15"/>
                <w:u w:val="single"/>
              </w:rPr>
              <w:t xml:space="preserve"> 年；</w:t>
            </w:r>
            <w:r>
              <w:rPr>
                <w:rFonts w:ascii="宋体" w:hAnsi="宋体" w:cs="黑体"/>
                <w:i/>
                <w:iCs/>
                <w:u w:val="single"/>
              </w:rPr>
            </w:r>
            <w:r/>
          </w:p>
          <w:p>
            <w:pPr>
              <w:pStyle w:val="692"/>
              <w:numPr>
                <w:ilvl w:val="0"/>
                <w:numId w:val="12"/>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设备停产后继续提供质量保障服务（含备品备件），</w:t>
            </w:r>
            <w:r>
              <w:rPr>
                <w:rFonts w:ascii="宋体" w:hAnsi="宋体" w:cs="黑体"/>
                <w:i/>
                <w:iCs/>
                <w:spacing w:val="-4"/>
                <w:u w:val="single"/>
              </w:rPr>
              <w:t xml:space="preserve">服务终止时</w:t>
            </w:r>
            <w:r>
              <w:rPr>
                <w:rFonts w:ascii="宋体" w:hAnsi="宋体" w:cs="黑体"/>
                <w:i/>
                <w:iCs/>
                <w:spacing w:val="-2"/>
                <w:u w:val="single"/>
              </w:rPr>
              <w:t xml:space="preserve">间与最后一批设备交付时间间隔不</w:t>
            </w:r>
            <w:r>
              <w:rPr>
                <w:rFonts w:ascii="宋体" w:hAnsi="宋体" w:cs="黑体"/>
                <w:i/>
                <w:iCs/>
                <w:spacing w:val="-16"/>
                <w:u w:val="single"/>
              </w:rPr>
              <w:t xml:space="preserve">低于 </w:t>
            </w:r>
            <w:r>
              <w:rPr>
                <w:rFonts w:ascii="宋体" w:hAnsi="宋体" w:cs="黑体"/>
                <w:i/>
                <w:iCs/>
                <w:u w:val="single"/>
              </w:rPr>
              <w:t xml:space="preserve">6</w:t>
            </w:r>
            <w:r>
              <w:rPr>
                <w:rFonts w:ascii="宋体" w:hAnsi="宋体" w:cs="黑体"/>
                <w:i/>
                <w:iCs/>
                <w:spacing w:val="-15"/>
                <w:u w:val="single"/>
              </w:rPr>
              <w:t xml:space="preserve"> 年；</w:t>
            </w:r>
            <w:r>
              <w:rPr>
                <w:rFonts w:ascii="宋体" w:hAnsi="宋体" w:cs="黑体"/>
                <w:i/>
                <w:iCs/>
                <w:u w:val="single"/>
              </w:rPr>
            </w:r>
            <w:r/>
          </w:p>
          <w:p>
            <w:pPr>
              <w:pStyle w:val="692"/>
              <w:numPr>
                <w:ilvl w:val="0"/>
                <w:numId w:val="12"/>
              </w:numPr>
              <w:jc w:val="left"/>
              <w:spacing w:after="160" w:line="278" w:lineRule="auto"/>
              <w:tabs>
                <w:tab w:val="left" w:pos="378" w:leader="none"/>
              </w:tabs>
              <w:rPr>
                <w:rFonts w:ascii="宋体" w:hAnsi="宋体" w:cs="黑体"/>
                <w:i/>
                <w:iCs/>
                <w:u w:val="single"/>
              </w:rPr>
            </w:pPr>
            <w:r>
              <w:rPr>
                <w:rFonts w:ascii="宋体" w:hAnsi="宋体" w:cs="黑体"/>
                <w:i/>
                <w:iCs/>
                <w:spacing w:val="-5"/>
                <w:u w:val="single"/>
              </w:rPr>
              <w:t xml:space="preserve">产品停止服务时间应提前 </w:t>
            </w:r>
            <w:r>
              <w:rPr>
                <w:rFonts w:ascii="宋体" w:hAnsi="宋体" w:cs="黑体"/>
                <w:i/>
                <w:iCs/>
                <w:u w:val="single"/>
              </w:rPr>
              <w:t xml:space="preserve">1</w:t>
            </w:r>
            <w:r>
              <w:rPr>
                <w:rFonts w:ascii="宋体" w:hAnsi="宋体" w:cs="黑体"/>
                <w:i/>
                <w:iCs/>
                <w:spacing w:val="-25"/>
                <w:u w:val="single"/>
              </w:rPr>
              <w:t xml:space="preserve"> 年告</w:t>
            </w:r>
            <w:r>
              <w:rPr>
                <w:rFonts w:ascii="宋体" w:hAnsi="宋体" w:cs="黑体"/>
                <w:i/>
                <w:iCs/>
                <w:u w:val="single"/>
              </w:rPr>
              <w:t xml:space="preserve">知客户；</w:t>
            </w:r>
            <w:r/>
          </w:p>
          <w:p>
            <w:pPr>
              <w:pStyle w:val="692"/>
              <w:numPr>
                <w:ilvl w:val="0"/>
                <w:numId w:val="12"/>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产品发布日期需在随机文件中明确</w:t>
            </w:r>
            <w:r/>
          </w:p>
        </w:tc>
      </w:tr>
      <w:tr>
        <w:trPr>
          <w:cantSplit/>
          <w:trHeight w:val="96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132</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服务工具要求</w:t>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工具要求</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供应商提供设置服务器硬件、辅助操作系统安装等功能的辅助工具和管理软件。且随附软件应具有合法授权或版权</w:t>
            </w:r>
            <w:r/>
          </w:p>
        </w:tc>
      </w:tr>
      <w:tr>
        <w:trPr>
          <w:cantSplit/>
          <w:trHeight w:val="1409"/>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133</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rPr>
            </w:pPr>
            <w:r>
              <w:rPr>
                <w:rFonts w:ascii="宋体" w:hAnsi="宋体" w:cs="黑体"/>
              </w:rPr>
              <w:t xml:space="preserve">辅助工具</w:t>
            </w:r>
            <w:r/>
          </w:p>
        </w:tc>
        <w:tc>
          <w:tcPr>
            <w:gridSpan w:val="2"/>
            <w:tcW w:w="5670" w:type="dxa"/>
            <w:vAlign w:val="top"/>
            <w:textDirection w:val="lrTb"/>
            <w:noWrap w:val="false"/>
          </w:tcPr>
          <w:p>
            <w:pPr>
              <w:pStyle w:val="692"/>
              <w:rPr>
                <w:rFonts w:ascii="宋体" w:hAnsi="宋体" w:cs="黑体"/>
                <w:lang w:eastAsia="en-US"/>
              </w:rPr>
            </w:pPr>
            <w:r>
              <w:rPr>
                <w:rFonts w:ascii="宋体" w:hAnsi="宋体" w:cs="黑体"/>
                <w:lang w:eastAsia="en-US"/>
              </w:rPr>
              <w:t xml:space="preserve">支持如下功能</w:t>
            </w:r>
            <w:r/>
          </w:p>
          <w:p>
            <w:pPr>
              <w:pStyle w:val="692"/>
              <w:numPr>
                <w:ilvl w:val="0"/>
                <w:numId w:val="13"/>
              </w:numPr>
              <w:jc w:val="left"/>
              <w:spacing w:after="160" w:line="278" w:lineRule="auto"/>
              <w:tabs>
                <w:tab w:val="left" w:pos="378" w:leader="none"/>
              </w:tabs>
              <w:rPr>
                <w:rFonts w:ascii="宋体" w:hAnsi="宋体" w:cs="黑体"/>
              </w:rPr>
            </w:pPr>
            <w:r>
              <w:rPr>
                <w:rFonts w:ascii="宋体" w:hAnsi="宋体" w:cs="黑体"/>
              </w:rPr>
              <w:t xml:space="preserve">本地的数据备份和还原功能；</w:t>
            </w:r>
            <w:r/>
          </w:p>
          <w:p>
            <w:pPr>
              <w:pStyle w:val="692"/>
              <w:numPr>
                <w:ilvl w:val="0"/>
                <w:numId w:val="13"/>
              </w:numPr>
              <w:jc w:val="left"/>
              <w:spacing w:after="160" w:line="278" w:lineRule="auto"/>
              <w:tabs>
                <w:tab w:val="left" w:pos="378" w:leader="none"/>
              </w:tabs>
              <w:rPr>
                <w:rFonts w:ascii="宋体" w:hAnsi="宋体" w:cs="黑体"/>
              </w:rPr>
            </w:pPr>
            <w:r>
              <w:rPr>
                <w:rFonts w:ascii="宋体" w:hAnsi="宋体" w:cs="黑体"/>
              </w:rPr>
              <w:t xml:space="preserve">网络的数据备份和还原功能；</w:t>
            </w:r>
            <w:r/>
          </w:p>
          <w:p>
            <w:pPr>
              <w:pStyle w:val="692"/>
              <w:numPr>
                <w:ilvl w:val="0"/>
                <w:numId w:val="13"/>
              </w:numPr>
              <w:jc w:val="left"/>
              <w:spacing w:after="160" w:line="278" w:lineRule="auto"/>
              <w:tabs>
                <w:tab w:val="left" w:pos="378" w:leader="none"/>
              </w:tabs>
              <w:rPr>
                <w:rFonts w:ascii="宋体" w:hAnsi="宋体" w:cs="黑体"/>
              </w:rPr>
            </w:pPr>
            <w:r>
              <w:rPr>
                <w:rFonts w:ascii="宋体" w:hAnsi="宋体" w:cs="黑体"/>
                <w:spacing w:val="-2"/>
              </w:rPr>
              <w:t xml:space="preserve">服务器操作系统的自动安装功</w:t>
            </w:r>
            <w:r>
              <w:rPr>
                <w:rFonts w:ascii="宋体" w:hAnsi="宋体" w:cs="黑体"/>
              </w:rPr>
              <w:t xml:space="preserve">能；</w:t>
            </w:r>
            <w:r/>
          </w:p>
          <w:p>
            <w:pPr>
              <w:pStyle w:val="692"/>
              <w:numPr>
                <w:ilvl w:val="0"/>
                <w:numId w:val="13"/>
              </w:numPr>
              <w:jc w:val="left"/>
              <w:spacing w:after="160" w:line="278" w:lineRule="auto"/>
              <w:tabs>
                <w:tab w:val="left" w:pos="378" w:leader="none"/>
              </w:tabs>
              <w:rPr>
                <w:rFonts w:ascii="宋体" w:hAnsi="宋体" w:cs="黑体"/>
              </w:rPr>
            </w:pPr>
            <w:r>
              <w:rPr>
                <w:rFonts w:ascii="宋体" w:hAnsi="宋体" w:cs="黑体"/>
              </w:rPr>
              <w:t xml:space="preserve">服务器所配硬件需要的驱动程序和系统补丁</w:t>
            </w:r>
            <w:r/>
          </w:p>
        </w:tc>
      </w:tr>
      <w:tr>
        <w:trPr>
          <w:cantSplit/>
          <w:trHeight w:val="96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134</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驱动安装升级指引</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供应商提供出厂安装的配件所需的驱动程序，形式包括但不限于驱动光盘、驱动下载链接等。其他配件应提供指引</w:t>
            </w:r>
            <w:r/>
          </w:p>
        </w:tc>
      </w:tr>
      <w:tr>
        <w:trPr>
          <w:cantSplit/>
          <w:trHeight w:val="476"/>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135</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随机附开盖工具</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随服务器打包提供开机箱工具</w:t>
            </w:r>
            <w:r/>
          </w:p>
        </w:tc>
      </w:tr>
      <w:tr>
        <w:trPr>
          <w:cantSplit/>
          <w:trHeight w:val="1211"/>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136</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代码迁移工具</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供应商提供从其他CPU 架构到当前服务器CPU 架构的软件迁移工具产品，支持软件包迁移评估，对满足产品重构要求的软件包，能重构</w:t>
            </w:r>
            <w:r>
              <w:rPr>
                <w:rFonts w:ascii="宋体" w:hAnsi="宋体" w:cs="黑体"/>
              </w:rPr>
              <w:t xml:space="preserve">为当前服务器CPU 架构的软件包。提供源码迁移功能，检查分析C/C++/Fortran/Go/解释型语言/汇编等源码文件，基于产品功能给出迁移指导</w:t>
            </w:r>
            <w:r/>
          </w:p>
        </w:tc>
      </w:tr>
      <w:tr>
        <w:trPr>
          <w:cantSplit/>
          <w:trHeight w:val="987"/>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137</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性能分析工具</w:t>
            </w:r>
            <w:r/>
          </w:p>
        </w:tc>
        <w:tc>
          <w:tcPr>
            <w:gridSpan w:val="2"/>
            <w:tcW w:w="5670" w:type="dxa"/>
            <w:vAlign w:val="top"/>
            <w:textDirection w:val="lrTb"/>
            <w:noWrap w:val="false"/>
          </w:tcPr>
          <w:p>
            <w:pPr>
              <w:pStyle w:val="692"/>
              <w:rPr>
                <w:rFonts w:ascii="宋体" w:hAnsi="宋体" w:cs="黑体"/>
              </w:rPr>
            </w:pPr>
            <w:r>
              <w:rPr>
                <w:rFonts w:ascii="宋体" w:hAnsi="宋体" w:cs="黑体"/>
                <w:spacing w:val="3"/>
              </w:rPr>
              <w:t xml:space="preserve">供应商提供支持当前服务器</w:t>
            </w:r>
            <w:r>
              <w:rPr>
                <w:rFonts w:ascii="宋体" w:hAnsi="宋体" w:cs="黑体"/>
              </w:rPr>
              <w:t xml:space="preserve">CPU</w:t>
            </w:r>
            <w:r>
              <w:rPr>
                <w:rFonts w:ascii="宋体" w:hAnsi="宋体" w:cs="黑体"/>
                <w:spacing w:val="-21"/>
              </w:rPr>
              <w:t xml:space="preserve"> 架构的性能分析工具产品，支持系统性能分析、Java</w:t>
            </w:r>
            <w:r>
              <w:rPr>
                <w:rFonts w:ascii="宋体" w:hAnsi="宋体" w:cs="黑体"/>
                <w:spacing w:val="-7"/>
              </w:rPr>
              <w:t xml:space="preserve"> 性能分析和系统诊</w:t>
            </w:r>
            <w:r>
              <w:rPr>
                <w:rFonts w:ascii="宋体" w:hAnsi="宋体" w:cs="黑体"/>
                <w:spacing w:val="-14"/>
              </w:rPr>
              <w:t xml:space="preserve">断，可分析系统或应用在 </w:t>
            </w:r>
            <w:r>
              <w:rPr>
                <w:rFonts w:ascii="宋体" w:hAnsi="宋体" w:cs="黑体"/>
              </w:rPr>
              <w:t xml:space="preserve">CPU</w:t>
            </w:r>
            <w:r>
              <w:rPr>
                <w:rFonts w:ascii="宋体" w:hAnsi="宋体" w:cs="黑体"/>
                <w:spacing w:val="-23"/>
              </w:rPr>
              <w:t xml:space="preserve">、内存、</w:t>
            </w:r>
            <w:r>
              <w:rPr>
                <w:rFonts w:ascii="宋体" w:hAnsi="宋体" w:cs="黑体"/>
              </w:rPr>
            </w:r>
            <w:r/>
          </w:p>
          <w:p>
            <w:pPr>
              <w:pStyle w:val="692"/>
              <w:rPr>
                <w:rFonts w:ascii="宋体" w:hAnsi="宋体" w:cs="黑体"/>
              </w:rPr>
            </w:pPr>
            <w:r>
              <w:rPr>
                <w:rFonts w:ascii="宋体" w:hAnsi="宋体" w:cs="黑体"/>
              </w:rPr>
              <w:t xml:space="preserve">IO、网络等方面的性能，并给出优</w:t>
            </w:r>
            <w:r/>
          </w:p>
          <w:p>
            <w:pPr>
              <w:pStyle w:val="692"/>
              <w:rPr>
                <w:rFonts w:ascii="宋体" w:hAnsi="宋体" w:cs="黑体"/>
                <w:lang w:eastAsia="en-US"/>
              </w:rPr>
            </w:pPr>
            <w:r>
              <w:rPr>
                <w:rFonts w:ascii="宋体" w:hAnsi="宋体" w:cs="黑体"/>
                <w:lang w:eastAsia="en-US"/>
              </w:rPr>
              <w:t xml:space="preserve">化建议</w:t>
            </w:r>
            <w:r/>
          </w:p>
        </w:tc>
      </w:tr>
      <w:tr>
        <w:trPr>
          <w:cantSplit/>
          <w:trHeight w:val="700"/>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t xml:space="preserve">138</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rPr>
            </w:pPr>
            <w:r>
              <w:rPr>
                <w:rFonts w:ascii="宋体" w:hAnsi="宋体" w:cs="黑体"/>
              </w:rPr>
              <w:t xml:space="preserve">跨架构平台应用兼容</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跨CPU 架构平台应用兼容工具，可兼容一种或者一种以上不同架构平台的应用</w:t>
            </w:r>
            <w:r/>
          </w:p>
        </w:tc>
      </w:tr>
      <w:tr>
        <w:trPr>
          <w:cantSplit/>
          <w:trHeight w:val="700"/>
        </w:trPr>
        <w:tc>
          <w:tcPr>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139</w:t>
            </w:r>
            <w:r/>
          </w:p>
        </w:tc>
        <w:tc>
          <w:tcPr>
            <w:tcBorders>
              <w:top w:val="none" w:color="000000" w:sz="4" w:space="0"/>
            </w:tcBorders>
            <w:tcW w:w="1275" w:type="dxa"/>
            <w:vAlign w:val="top"/>
            <w:vMerge w:val="continue"/>
            <w:textDirection w:val="lrTb"/>
            <w:noWrap w:val="false"/>
          </w:tcPr>
          <w:p>
            <w:pPr>
              <w:pStyle w:val="692"/>
              <w:rPr>
                <w:rFonts w:ascii="宋体" w:hAnsi="宋体"/>
              </w:rPr>
            </w:pPr>
            <w:r>
              <w:rPr>
                <w:rFonts w:ascii="宋体" w:hAnsi="宋体"/>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管理软件</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具备资源管理、系统管理、性能监控、健康监控、基于网络控制、报警设置功能</w:t>
            </w:r>
            <w:r/>
          </w:p>
        </w:tc>
      </w:tr>
      <w:tr>
        <w:trPr>
          <w:cantSplit/>
          <w:trHeight w:val="638"/>
        </w:trPr>
        <w:tc>
          <w:tcPr>
            <w:tcW w:w="765" w:type="dxa"/>
            <w:vAlign w:val="top"/>
            <w:textDirection w:val="lrTb"/>
            <w:noWrap w:val="false"/>
          </w:tcPr>
          <w:p>
            <w:pPr>
              <w:pStyle w:val="692"/>
              <w:rPr>
                <w:rFonts w:ascii="宋体" w:hAnsi="宋体" w:cs="黑体"/>
              </w:rPr>
            </w:pPr>
            <w:r/>
            <w:bookmarkStart w:id="96" w:name="_Hlk231025974"/>
            <w:r/>
            <w:bookmarkStart w:id="97" w:name="OLE_LINK12"/>
            <w:r/>
            <w:bookmarkStart w:id="98" w:name="OLE_LINK10"/>
            <w:r>
              <w:rPr>
                <w:rFonts w:ascii="宋体" w:hAnsi="宋体" w:cs="黑体"/>
              </w:rPr>
            </w:r>
            <w:r/>
          </w:p>
          <w:p>
            <w:pPr>
              <w:pStyle w:val="692"/>
              <w:rPr>
                <w:rFonts w:ascii="宋体" w:hAnsi="宋体" w:cs="黑体"/>
                <w:lang w:eastAsia="en-US"/>
              </w:rPr>
            </w:pPr>
            <w:r>
              <w:rPr>
                <w:rFonts w:ascii="宋体" w:hAnsi="宋体" w:cs="黑体"/>
                <w:lang w:eastAsia="en-US"/>
              </w:rPr>
              <w:t xml:space="preserve">140</w:t>
            </w:r>
            <w:r/>
          </w:p>
        </w:tc>
        <w:tc>
          <w:tcPr>
            <w:tcW w:w="1275" w:type="dxa"/>
            <w:vAlign w:val="top"/>
            <w:vMerge w:val="restart"/>
            <w:textDirection w:val="lrTb"/>
            <w:noWrap w:val="false"/>
          </w:tcPr>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增值服务</w:t>
            </w:r>
            <w:r/>
          </w:p>
          <w:p>
            <w:pPr>
              <w:pStyle w:val="692"/>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厂家升级产品软件与扩容服务</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r>
            <w:r/>
          </w:p>
          <w:p>
            <w:pPr>
              <w:pStyle w:val="692"/>
              <w:rPr>
                <w:rFonts w:ascii="宋体" w:hAnsi="宋体" w:cs="黑体"/>
                <w:i/>
                <w:iCs/>
                <w:u w:val="single"/>
              </w:rPr>
            </w:pPr>
            <w:r>
              <w:rPr>
                <w:rFonts w:ascii="宋体" w:hAnsi="宋体" w:cs="黑体"/>
                <w:i/>
                <w:iCs/>
                <w:u w:val="single"/>
              </w:rPr>
              <w:t xml:space="preserve">供应商应具有提供原厂级的部件/软件产品升级和扩容能力</w:t>
            </w:r>
            <w:r/>
          </w:p>
        </w:tc>
      </w:tr>
      <w:tr>
        <w:trPr>
          <w:cantSplit/>
          <w:trHeight w:val="700"/>
        </w:trPr>
        <w:tc>
          <w:tcPr>
            <w:tcW w:w="765" w:type="dxa"/>
            <w:vAlign w:val="top"/>
            <w:textDirection w:val="lrTb"/>
            <w:noWrap w:val="false"/>
          </w:tcPr>
          <w:p>
            <w:pPr>
              <w:pStyle w:val="692"/>
              <w:rPr>
                <w:rFonts w:ascii="宋体" w:hAnsi="宋体" w:cs="黑体"/>
              </w:rPr>
            </w:pPr>
            <w:r/>
            <w:bookmarkEnd w:id="96"/>
            <w:r/>
            <w:bookmarkEnd w:id="97"/>
            <w:r/>
            <w:bookmarkEnd w:id="98"/>
            <w:r>
              <w:rPr>
                <w:rFonts w:ascii="宋体" w:hAnsi="宋体" w:cs="黑体"/>
              </w:rPr>
            </w:r>
            <w:r/>
          </w:p>
          <w:p>
            <w:pPr>
              <w:pStyle w:val="692"/>
              <w:rPr>
                <w:rFonts w:ascii="宋体" w:hAnsi="宋体" w:cs="黑体"/>
                <w:lang w:eastAsia="en-US"/>
              </w:rPr>
            </w:pPr>
            <w:r>
              <w:rPr>
                <w:rFonts w:ascii="宋体" w:hAnsi="宋体" w:cs="黑体"/>
                <w:lang w:eastAsia="en-US"/>
              </w:rPr>
              <w:t xml:space="preserve">141</w:t>
            </w:r>
            <w:r/>
          </w:p>
        </w:tc>
        <w:tc>
          <w:tcPr>
            <w:tcW w:w="1275" w:type="dxa"/>
            <w:vAlign w:val="top"/>
            <w:vMerge w:val="continue"/>
            <w:textDirection w:val="lrTb"/>
            <w:noWrap w:val="false"/>
          </w:tcPr>
          <w:p>
            <w:pPr>
              <w:pStyle w:val="692"/>
              <w:ind w:hanging="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rPr>
            </w:pPr>
            <w:r>
              <w:rPr>
                <w:rFonts w:ascii="宋体" w:hAnsi="宋体" w:cs="黑体"/>
              </w:rPr>
              <w:t xml:space="preserve">服务保障升级</w:t>
            </w:r>
            <w:r/>
          </w:p>
        </w:tc>
        <w:tc>
          <w:tcPr>
            <w:gridSpan w:val="2"/>
            <w:tcW w:w="5670" w:type="dxa"/>
            <w:vAlign w:val="top"/>
            <w:textDirection w:val="lrTb"/>
            <w:noWrap w:val="false"/>
          </w:tcPr>
          <w:p>
            <w:pPr>
              <w:pStyle w:val="692"/>
              <w:rPr>
                <w:rFonts w:ascii="宋体" w:hAnsi="宋体" w:cs="黑体"/>
              </w:rPr>
            </w:pPr>
            <w:r>
              <w:rPr>
                <w:rFonts w:ascii="宋体" w:hAnsi="宋体" w:cs="黑体"/>
              </w:rPr>
              <w:t xml:space="preserve">供应商有偿提供远程技术支持、软件授权服务、备件更换服务、现场支承服务</w:t>
            </w:r>
            <w:r/>
          </w:p>
        </w:tc>
      </w:tr>
      <w:tr>
        <w:trPr>
          <w:cantSplit/>
          <w:trHeight w:val="492"/>
        </w:trPr>
        <w:tc>
          <w:tcPr>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142</w:t>
            </w:r>
            <w:r/>
          </w:p>
        </w:tc>
        <w:tc>
          <w:tcPr>
            <w:tcW w:w="1275" w:type="dxa"/>
            <w:vAlign w:val="top"/>
            <w:vMerge w:val="continue"/>
            <w:textDirection w:val="lrTb"/>
            <w:noWrap w:val="false"/>
          </w:tcPr>
          <w:p>
            <w:pPr>
              <w:pStyle w:val="692"/>
              <w:ind w:hanging="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提供上门服务</w:t>
            </w:r>
            <w:r/>
          </w:p>
        </w:tc>
        <w:tc>
          <w:tcPr>
            <w:gridSpan w:val="2"/>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供应商具备提供上门服务的能力(可收费)</w:t>
            </w:r>
            <w:r/>
          </w:p>
        </w:tc>
      </w:tr>
      <w:tr>
        <w:trPr>
          <w:cantSplit/>
          <w:trHeight w:val="818"/>
        </w:trPr>
        <w:tc>
          <w:tcPr>
            <w:tcBorders>
              <w:top w:val="single" w:color="000000" w:sz="4" w:space="0"/>
              <w:left w:val="single" w:color="000000" w:sz="4" w:space="0"/>
              <w:right w:val="single" w:color="000000" w:sz="4" w:space="0"/>
            </w:tcBorders>
            <w:tcW w:w="765" w:type="dxa"/>
            <w:vAlign w:val="top"/>
            <w:textDirection w:val="lrTb"/>
            <w:noWrap w:val="false"/>
          </w:tcPr>
          <w:p>
            <w:pPr>
              <w:pStyle w:val="692"/>
              <w:rPr>
                <w:rFonts w:ascii="宋体" w:hAnsi="宋体" w:cs="黑体"/>
                <w:lang w:eastAsia="en-US"/>
              </w:rPr>
            </w:pPr>
            <w:r>
              <w:rPr>
                <w:rFonts w:ascii="宋体" w:hAnsi="宋体" w:cs="黑体"/>
                <w:lang w:eastAsia="en-US"/>
              </w:rPr>
              <w:t xml:space="preserve">144</w:t>
            </w:r>
            <w:r/>
          </w:p>
        </w:tc>
        <w:tc>
          <w:tcPr>
            <w:tcW w:w="1275" w:type="dxa"/>
            <w:vAlign w:val="top"/>
            <w:vMerge w:val="restart"/>
            <w:textDirection w:val="lrTb"/>
            <w:noWrap w:val="false"/>
          </w:tcPr>
          <w:p>
            <w:pPr>
              <w:pStyle w:val="692"/>
              <w:ind w:hanging="46"/>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r>
            <w:r/>
          </w:p>
          <w:p>
            <w:pPr>
              <w:pStyle w:val="692"/>
              <w:ind w:hanging="46"/>
              <w:rPr>
                <w:rFonts w:ascii="宋体" w:hAnsi="宋体" w:cs="黑体"/>
                <w:lang w:eastAsia="en-US"/>
              </w:rPr>
            </w:pPr>
            <w:r>
              <w:rPr>
                <w:rFonts w:ascii="宋体" w:hAnsi="宋体" w:cs="黑体"/>
                <w:lang w:eastAsia="en-US"/>
              </w:rPr>
              <w:t xml:space="preserve">供应链质量</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lang w:eastAsia="en-US"/>
              </w:rPr>
            </w:pPr>
            <w:r>
              <w:rPr>
                <w:rFonts w:ascii="宋体" w:hAnsi="宋体" w:cs="黑体"/>
                <w:i/>
                <w:iCs/>
                <w:u w:val="single"/>
                <w:lang w:eastAsia="en-US"/>
              </w:rPr>
            </w:r>
            <w:r/>
          </w:p>
          <w:p>
            <w:pPr>
              <w:pStyle w:val="692"/>
              <w:rPr>
                <w:rFonts w:ascii="宋体" w:hAnsi="宋体" w:cs="黑体"/>
                <w:i/>
                <w:iCs/>
                <w:u w:val="single"/>
                <w:lang w:eastAsia="en-US"/>
              </w:rPr>
            </w:pPr>
            <w:r>
              <w:rPr>
                <w:rFonts w:ascii="宋体" w:hAnsi="宋体" w:cs="黑体"/>
                <w:i/>
                <w:iCs/>
                <w:u w:val="single"/>
                <w:lang w:eastAsia="en-US"/>
              </w:rPr>
              <w:t xml:space="preserve">抗干扰性</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当产品部件出现供应风险时，应通知客户并提供风险应对方案确保产品的服务保障，必要时应停止相关受影响产品的销售</w:t>
            </w:r>
            <w:r/>
          </w:p>
        </w:tc>
      </w:tr>
      <w:tr>
        <w:trPr>
          <w:cantSplit/>
          <w:trHeight w:val="710"/>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692"/>
              <w:rPr>
                <w:rFonts w:ascii="宋体" w:hAnsi="宋体" w:cs="黑体"/>
              </w:rPr>
            </w:pPr>
            <w:r>
              <w:rPr>
                <w:rFonts w:ascii="宋体" w:hAnsi="宋体" w:cs="黑体"/>
              </w:rPr>
            </w:r>
            <w:r/>
          </w:p>
          <w:p>
            <w:pPr>
              <w:pStyle w:val="692"/>
              <w:rPr>
                <w:rFonts w:ascii="宋体" w:hAnsi="宋体" w:cs="黑体"/>
                <w:lang w:eastAsia="en-US"/>
              </w:rPr>
            </w:pPr>
            <w:r>
              <w:rPr>
                <w:rFonts w:ascii="宋体" w:hAnsi="宋体" w:cs="黑体"/>
                <w:lang w:eastAsia="en-US"/>
              </w:rPr>
              <w:t xml:space="preserve">145</w:t>
            </w:r>
            <w:r/>
          </w:p>
        </w:tc>
        <w:tc>
          <w:tcPr>
            <w:tcW w:w="1275" w:type="dxa"/>
            <w:vAlign w:val="top"/>
            <w:vMerge w:val="continue"/>
            <w:textDirection w:val="lrTb"/>
            <w:noWrap w:val="false"/>
          </w:tcPr>
          <w:p>
            <w:pPr>
              <w:pStyle w:val="692"/>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供应能力证明 </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692"/>
              <w:rPr>
                <w:rFonts w:ascii="宋体" w:hAnsi="宋体" w:cs="黑体"/>
                <w:i/>
                <w:iCs/>
                <w:u w:val="single"/>
              </w:rPr>
            </w:pPr>
            <w:r>
              <w:rPr>
                <w:rFonts w:ascii="宋体" w:hAnsi="宋体" w:cs="黑体"/>
                <w:i/>
                <w:iCs/>
                <w:u w:val="single"/>
              </w:rPr>
              <w:t xml:space="preserve">供应商提供供应链稳定承诺书，确保产品的部件在产品服务周期内稳定供货</w:t>
            </w:r>
            <w:r/>
          </w:p>
        </w:tc>
      </w:tr>
    </w:tbl>
    <w:p>
      <w:pPr>
        <w:pStyle w:val="692"/>
        <w:jc w:val="left"/>
        <w:spacing w:line="360" w:lineRule="auto"/>
        <w:rPr>
          <w:sz w:val="24"/>
          <w:szCs w:val="24"/>
        </w:rPr>
      </w:pPr>
      <w:r>
        <w:rPr>
          <w:sz w:val="24"/>
          <w:szCs w:val="24"/>
        </w:rPr>
      </w:r>
      <w:r/>
    </w:p>
    <w:p>
      <w:pPr>
        <w:pStyle w:val="692"/>
        <w:jc w:val="left"/>
        <w:spacing w:line="360" w:lineRule="auto"/>
        <w:rPr>
          <w:sz w:val="24"/>
          <w:szCs w:val="24"/>
        </w:rPr>
      </w:pPr>
      <w:r>
        <w:rPr>
          <w:sz w:val="24"/>
          <w:szCs w:val="24"/>
        </w:rPr>
        <w:t xml:space="preserve">    </w:t>
      </w:r>
      <w:r>
        <w:rPr>
          <w:rFonts w:hint="eastAsia"/>
          <w:sz w:val="24"/>
          <w:szCs w:val="24"/>
        </w:rPr>
        <w:t xml:space="preserve">1</w:t>
      </w:r>
      <w:r>
        <w:rPr>
          <w:sz w:val="24"/>
          <w:szCs w:val="24"/>
        </w:rPr>
        <w:t xml:space="preserve">、性能要求</w:t>
      </w:r>
      <w:r/>
    </w:p>
    <w:p>
      <w:pPr>
        <w:pStyle w:val="692"/>
        <w:jc w:val="left"/>
        <w:spacing w:line="360" w:lineRule="auto"/>
        <w:rPr>
          <w:sz w:val="24"/>
          <w:szCs w:val="24"/>
        </w:rPr>
      </w:pPr>
      <w:r>
        <w:rPr>
          <w:sz w:val="24"/>
          <w:szCs w:val="24"/>
        </w:rPr>
        <w:t xml:space="preserve">    供应商提供的服务器方案须满足以下性能指标，验收时将进行现场测试：</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1</w:t>
      </w:r>
      <w:r>
        <w:rPr>
          <w:sz w:val="24"/>
          <w:szCs w:val="24"/>
          <w:highlight w:val="darkYellow"/>
        </w:rPr>
        <w:t xml:space="preserve">.1</w:t>
      </w:r>
      <w:r>
        <w:rPr>
          <w:sz w:val="24"/>
          <w:szCs w:val="24"/>
        </w:rPr>
        <w:t xml:space="preserve"> 并发支持：支持不少于5名医生同时进行AI辅助阅片操作，系统响应不出现明显延迟。</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1</w:t>
      </w:r>
      <w:r>
        <w:rPr>
          <w:sz w:val="24"/>
          <w:szCs w:val="24"/>
          <w:highlight w:val="darkYellow"/>
        </w:rPr>
        <w:t xml:space="preserve">.2</w:t>
      </w:r>
      <w:r>
        <w:rPr>
          <w:sz w:val="24"/>
          <w:szCs w:val="24"/>
        </w:rPr>
        <w:t xml:space="preserve"> 图像加载：在诊断级分辨率（40倍物镜等效，即≤0.25微米/像素）下，全视野数字切片从打开到完整加载显示的时间≤1秒。</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1</w:t>
      </w:r>
      <w:r>
        <w:rPr>
          <w:sz w:val="24"/>
          <w:szCs w:val="24"/>
          <w:highlight w:val="darkYellow"/>
        </w:rPr>
        <w:t xml:space="preserve">.3</w:t>
      </w:r>
      <w:r>
        <w:rPr>
          <w:sz w:val="24"/>
          <w:szCs w:val="24"/>
        </w:rPr>
        <w:t xml:space="preserve">  AI辅助分析完成时间：在40倍物镜扫描分辨率下，系统对单张全视野数字切片的核心AI推理时间不超过120秒，且医生阅片过程中AI实时辅助响应延迟不超过500毫秒。</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1</w:t>
      </w:r>
      <w:r>
        <w:rPr>
          <w:sz w:val="24"/>
          <w:szCs w:val="24"/>
          <w:highlight w:val="darkYellow"/>
        </w:rPr>
        <w:t xml:space="preserve">.4</w:t>
      </w:r>
      <w:r>
        <w:rPr>
          <w:sz w:val="24"/>
          <w:szCs w:val="24"/>
        </w:rPr>
        <w:t xml:space="preserve"> 阅片体验：阅片过程中任意拖拽、缩放操作，界面响应延迟≤500毫秒，无卡顿、无马赛克现象。</w:t>
      </w:r>
      <w:r/>
    </w:p>
    <w:p>
      <w:pPr>
        <w:pStyle w:val="692"/>
        <w:jc w:val="left"/>
        <w:spacing w:line="360" w:lineRule="auto"/>
        <w:rPr>
          <w:sz w:val="24"/>
          <w:szCs w:val="24"/>
        </w:rPr>
      </w:pPr>
      <w:r>
        <w:rPr>
          <w:sz w:val="24"/>
          <w:szCs w:val="24"/>
        </w:rPr>
        <w:t xml:space="preserve">    </w:t>
      </w:r>
      <w:r>
        <w:rPr>
          <w:rFonts w:hint="eastAsia"/>
          <w:sz w:val="24"/>
          <w:szCs w:val="24"/>
        </w:rPr>
        <w:t xml:space="preserve">2</w:t>
      </w:r>
      <w:r>
        <w:rPr>
          <w:sz w:val="24"/>
          <w:szCs w:val="24"/>
        </w:rPr>
        <w:t xml:space="preserve">、可靠性要求</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2</w:t>
      </w:r>
      <w:r>
        <w:rPr>
          <w:sz w:val="24"/>
          <w:szCs w:val="24"/>
          <w:highlight w:val="darkYellow"/>
        </w:rPr>
        <w:t xml:space="preserve">.1</w:t>
      </w:r>
      <w:r>
        <w:rPr>
          <w:sz w:val="24"/>
          <w:szCs w:val="24"/>
        </w:rPr>
        <w:t xml:space="preserve"> 数据冗余：存储子系统须消除单点故障。模拟任意一块硬盘损坏时，业务不中断，数据不丢失。</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2</w:t>
      </w:r>
      <w:r>
        <w:rPr>
          <w:sz w:val="24"/>
          <w:szCs w:val="24"/>
          <w:highlight w:val="darkYellow"/>
        </w:rPr>
        <w:t xml:space="preserve">.2</w:t>
      </w:r>
      <w:r>
        <w:rPr>
          <w:sz w:val="24"/>
          <w:szCs w:val="24"/>
        </w:rPr>
        <w:t xml:space="preserve"> 电源冗余：配置冗余电源，单路电源故障不影响系统正常运行。</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2</w:t>
      </w:r>
      <w:r>
        <w:rPr>
          <w:sz w:val="24"/>
          <w:szCs w:val="24"/>
          <w:highlight w:val="darkYellow"/>
        </w:rPr>
        <w:t xml:space="preserve">.3</w:t>
      </w:r>
      <w:r>
        <w:rPr>
          <w:sz w:val="24"/>
          <w:szCs w:val="24"/>
        </w:rPr>
        <w:t xml:space="preserve"> 长期稳定：支持7×24小时连续运行，年故障停机时间不超过8小时。</w:t>
      </w:r>
      <w:r/>
    </w:p>
    <w:p>
      <w:pPr>
        <w:pStyle w:val="692"/>
        <w:jc w:val="left"/>
        <w:spacing w:line="360" w:lineRule="auto"/>
        <w:rPr>
          <w:sz w:val="24"/>
          <w:szCs w:val="24"/>
        </w:rPr>
      </w:pPr>
      <w:r>
        <w:rPr>
          <w:sz w:val="24"/>
          <w:szCs w:val="24"/>
        </w:rPr>
        <w:t xml:space="preserve">    </w:t>
      </w:r>
      <w:r>
        <w:rPr>
          <w:rFonts w:hint="eastAsia"/>
          <w:sz w:val="24"/>
          <w:szCs w:val="24"/>
        </w:rPr>
        <w:t xml:space="preserve">3</w:t>
      </w:r>
      <w:r>
        <w:rPr>
          <w:sz w:val="24"/>
          <w:szCs w:val="24"/>
        </w:rPr>
        <w:t xml:space="preserve">、国产化合规要求</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3</w:t>
      </w:r>
      <w:r>
        <w:rPr>
          <w:sz w:val="24"/>
          <w:szCs w:val="24"/>
          <w:highlight w:val="darkYellow"/>
        </w:rPr>
        <w:t xml:space="preserve">.1</w:t>
      </w:r>
      <w:r>
        <w:rPr>
          <w:sz w:val="24"/>
          <w:szCs w:val="24"/>
        </w:rPr>
        <w:t xml:space="preserve"> 服务器整体须符合国家国产化要求，所使用的主要硬件部件（CPU、整机、操作系统等）应在国家国产化目录中可查询。</w:t>
      </w:r>
      <w:r/>
    </w:p>
    <w:p>
      <w:pPr>
        <w:pStyle w:val="692"/>
        <w:jc w:val="left"/>
        <w:spacing w:line="360" w:lineRule="auto"/>
        <w:rPr>
          <w:sz w:val="24"/>
          <w:szCs w:val="24"/>
        </w:rPr>
      </w:pPr>
      <w:r>
        <w:rPr>
          <w:sz w:val="24"/>
          <w:szCs w:val="24"/>
        </w:rPr>
        <w:t xml:space="preserve">   </w:t>
      </w:r>
      <w:r>
        <w:rPr>
          <w:rFonts w:hint="eastAsia"/>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3</w:t>
      </w:r>
      <w:r>
        <w:rPr>
          <w:sz w:val="24"/>
          <w:szCs w:val="24"/>
          <w:highlight w:val="darkYellow"/>
        </w:rPr>
        <w:t xml:space="preserve">.2</w:t>
      </w:r>
      <w:r>
        <w:rPr>
          <w:sz w:val="24"/>
          <w:szCs w:val="24"/>
        </w:rPr>
        <w:t xml:space="preserve"> 供应商须在投标文件中提供硬件适配清单，并书面承诺清单中所列硬件均可在国家国产化目录中查询到且状态有效。验收时采购人将逐项核查。</w:t>
      </w:r>
      <w:r/>
    </w:p>
    <w:p>
      <w:pPr>
        <w:pStyle w:val="692"/>
        <w:jc w:val="left"/>
        <w:spacing w:line="360" w:lineRule="auto"/>
        <w:rPr>
          <w:sz w:val="24"/>
          <w:szCs w:val="24"/>
        </w:rPr>
      </w:pPr>
      <w:r>
        <w:rPr>
          <w:sz w:val="24"/>
          <w:szCs w:val="24"/>
        </w:rPr>
        <w:t xml:space="preserve">    </w:t>
      </w:r>
      <w:r>
        <w:rPr>
          <w:rFonts w:hint="eastAsia"/>
          <w:sz w:val="24"/>
          <w:szCs w:val="24"/>
        </w:rPr>
        <w:t xml:space="preserve">4</w:t>
      </w:r>
      <w:r>
        <w:rPr>
          <w:sz w:val="24"/>
          <w:szCs w:val="24"/>
        </w:rPr>
        <w:t xml:space="preserve"> 、操作系统要求</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4</w:t>
      </w:r>
      <w:r>
        <w:rPr>
          <w:sz w:val="24"/>
          <w:szCs w:val="24"/>
          <w:highlight w:val="darkYellow"/>
        </w:rPr>
        <w:t xml:space="preserve">.1</w:t>
      </w:r>
      <w:r>
        <w:rPr>
          <w:sz w:val="24"/>
          <w:szCs w:val="24"/>
        </w:rPr>
        <w:t xml:space="preserve">服务器物理机须预装国产操作系统（如麒麟V10、统信UOS等）。</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4</w:t>
      </w:r>
      <w:r>
        <w:rPr>
          <w:sz w:val="24"/>
          <w:szCs w:val="24"/>
          <w:highlight w:val="darkYellow"/>
        </w:rPr>
        <w:t xml:space="preserve">.2</w:t>
      </w:r>
      <w:r>
        <w:rPr>
          <w:sz w:val="24"/>
          <w:szCs w:val="24"/>
        </w:rPr>
        <w:t xml:space="preserve">供应商应确保AI应用在此操作系统环境下获得完整性能支持，或提供在此操作系统上运行AI应用的可行方案（如容器化部署），并证明该方案不会导致性能损失。</w:t>
      </w:r>
      <w:r/>
    </w:p>
    <w:p>
      <w:pPr>
        <w:pStyle w:val="692"/>
        <w:jc w:val="left"/>
        <w:spacing w:line="360" w:lineRule="auto"/>
        <w:rPr>
          <w:sz w:val="24"/>
          <w:szCs w:val="24"/>
        </w:rPr>
      </w:pPr>
      <w:r>
        <w:rPr>
          <w:sz w:val="24"/>
          <w:szCs w:val="24"/>
        </w:rPr>
        <w:t xml:space="preserve">   </w:t>
      </w:r>
      <w:r>
        <w:rPr>
          <w:sz w:val="24"/>
          <w:szCs w:val="24"/>
        </w:rPr>
        <w:t xml:space="preserve"> </w:t>
      </w:r>
      <w:r>
        <w:rPr>
          <w:rFonts w:hint="eastAsia"/>
          <w:sz w:val="24"/>
          <w:szCs w:val="24"/>
        </w:rPr>
        <w:t xml:space="preserve">5</w:t>
      </w:r>
      <w:r>
        <w:rPr>
          <w:sz w:val="24"/>
          <w:szCs w:val="24"/>
        </w:rPr>
        <w:t xml:space="preserve">、验收要求</w:t>
      </w:r>
      <w:r/>
    </w:p>
    <w:p>
      <w:pPr>
        <w:pStyle w:val="692"/>
        <w:jc w:val="left"/>
        <w:spacing w:line="360" w:lineRule="auto"/>
        <w:rPr>
          <w:sz w:val="24"/>
          <w:szCs w:val="24"/>
        </w:rPr>
      </w:pPr>
      <w:r>
        <w:rPr>
          <w:sz w:val="24"/>
          <w:szCs w:val="24"/>
        </w:rPr>
        <w:t xml:space="preserve">    </w:t>
      </w:r>
      <w:r>
        <w:rPr>
          <w:rFonts w:hint="eastAsia"/>
          <w:sz w:val="24"/>
          <w:szCs w:val="24"/>
        </w:rPr>
        <w:t xml:space="preserve">5</w:t>
      </w:r>
      <w:r>
        <w:rPr>
          <w:sz w:val="24"/>
          <w:szCs w:val="24"/>
        </w:rPr>
        <w:t xml:space="preserve">.1 供应商须在验收时配合采购人进行上述第二条（性能要求）的现场测试，所有指标达标方可通过验收。</w:t>
      </w:r>
      <w:r/>
    </w:p>
    <w:p>
      <w:pPr>
        <w:pStyle w:val="692"/>
        <w:jc w:val="left"/>
        <w:spacing w:line="360" w:lineRule="auto"/>
        <w:rPr>
          <w:sz w:val="24"/>
          <w:szCs w:val="24"/>
        </w:rPr>
      </w:pPr>
      <w:r>
        <w:rPr>
          <w:sz w:val="24"/>
          <w:szCs w:val="24"/>
        </w:rPr>
        <w:t xml:space="preserve">    </w:t>
      </w:r>
      <w:r>
        <w:rPr>
          <w:rFonts w:hint="eastAsia"/>
          <w:sz w:val="24"/>
          <w:szCs w:val="24"/>
        </w:rPr>
        <w:t xml:space="preserve">5</w:t>
      </w:r>
      <w:r>
        <w:rPr>
          <w:sz w:val="24"/>
          <w:szCs w:val="24"/>
        </w:rPr>
        <w:t xml:space="preserve">.2 供应商须提供详细的硬件配置清单、国产化目录查询截图、操作系统部署方案说明等文档。</w:t>
      </w:r>
      <w:r/>
    </w:p>
    <w:p>
      <w:pPr>
        <w:pStyle w:val="692"/>
        <w:jc w:val="left"/>
        <w:spacing w:line="360" w:lineRule="auto"/>
        <w:rPr>
          <w:sz w:val="24"/>
          <w:szCs w:val="24"/>
          <w:highlight w:val="yellow"/>
        </w:rPr>
      </w:pPr>
      <w:r>
        <w:rPr>
          <w:sz w:val="24"/>
          <w:szCs w:val="24"/>
        </w:rPr>
        <w:t xml:space="preserve">    </w:t>
      </w:r>
      <w:r>
        <w:rPr>
          <w:rFonts w:hint="eastAsia"/>
          <w:sz w:val="24"/>
          <w:szCs w:val="24"/>
        </w:rPr>
        <w:t xml:space="preserve">5</w:t>
      </w:r>
      <w:r>
        <w:rPr>
          <w:sz w:val="24"/>
          <w:szCs w:val="24"/>
        </w:rPr>
        <w:t xml:space="preserve">.3. 如验收不通过，供应商须无条件整改，由此产生的费用及工期延误由供应商自行承担。</w:t>
      </w:r>
      <w:r>
        <w:rPr>
          <w:sz w:val="24"/>
          <w:szCs w:val="24"/>
          <w:highlight w:val="yellow"/>
        </w:rPr>
      </w:r>
      <w:r/>
    </w:p>
    <w:p>
      <w:pPr>
        <w:pStyle w:val="692"/>
        <w:ind w:firstLine="480"/>
        <w:jc w:val="left"/>
        <w:spacing w:line="360" w:lineRule="auto"/>
        <w:rPr>
          <w:i/>
          <w:iCs/>
          <w:sz w:val="24"/>
          <w:szCs w:val="24"/>
          <w:u w:val="single"/>
        </w:rPr>
      </w:pPr>
      <w:r>
        <w:rPr>
          <w:rFonts w:hint="eastAsia"/>
          <w:i/>
          <w:iCs/>
          <w:sz w:val="24"/>
          <w:szCs w:val="24"/>
          <w:u w:val="single"/>
        </w:rPr>
        <w:t xml:space="preserve">6</w:t>
      </w:r>
      <w:r>
        <w:rPr>
          <w:i/>
          <w:iCs/>
          <w:sz w:val="24"/>
          <w:szCs w:val="24"/>
          <w:u w:val="single"/>
        </w:rPr>
        <w:t xml:space="preserve">. 性能</w:t>
      </w:r>
      <w:r>
        <w:rPr>
          <w:rFonts w:hint="eastAsia"/>
          <w:i/>
          <w:iCs/>
          <w:sz w:val="24"/>
          <w:szCs w:val="24"/>
          <w:u w:val="single"/>
        </w:rPr>
        <w:t xml:space="preserve">承诺</w:t>
      </w:r>
      <w:r>
        <w:rPr>
          <w:i/>
          <w:iCs/>
          <w:sz w:val="24"/>
          <w:szCs w:val="24"/>
          <w:u w:val="single"/>
        </w:rPr>
        <w:t xml:space="preserve">：</w:t>
      </w:r>
      <w:r/>
    </w:p>
    <w:p>
      <w:pPr>
        <w:pStyle w:val="692"/>
        <w:ind w:firstLine="480"/>
        <w:jc w:val="left"/>
        <w:spacing w:line="360" w:lineRule="auto"/>
        <w:rPr>
          <w:i/>
          <w:iCs/>
          <w:sz w:val="24"/>
          <w:szCs w:val="24"/>
          <w:u w:val="single"/>
        </w:rPr>
      </w:pPr>
      <w:r>
        <w:rPr>
          <w:i/>
          <w:iCs/>
          <w:sz w:val="24"/>
          <w:szCs w:val="24"/>
          <w:u w:val="single"/>
        </w:rPr>
        <w:t xml:space="preserve">投标人须基于其投标的硬件配置，承诺系统在验收时满足以下硬性性能指标，如测试不通过，视为验收不合格，采购人有权无条件退货并追究违约责任：</w:t>
      </w:r>
      <w:r/>
    </w:p>
    <w:p>
      <w:pPr>
        <w:pStyle w:val="692"/>
        <w:ind w:firstLine="480"/>
        <w:jc w:val="left"/>
        <w:spacing w:line="360" w:lineRule="auto"/>
        <w:rPr>
          <w:i/>
          <w:iCs/>
          <w:sz w:val="24"/>
          <w:szCs w:val="24"/>
          <w:u w:val="single"/>
        </w:rPr>
      </w:pPr>
      <w:r>
        <w:rPr>
          <w:i/>
          <w:iCs/>
          <w:sz w:val="24"/>
          <w:szCs w:val="24"/>
          <w:u w:val="single"/>
        </w:rPr>
        <w:t xml:space="preserve">并发能力：支持不少于5名医生同时进行AI辅助阅片操作，系统响应无延迟；</w:t>
      </w:r>
      <w:r/>
    </w:p>
    <w:p>
      <w:pPr>
        <w:pStyle w:val="692"/>
        <w:ind w:firstLine="480"/>
        <w:jc w:val="left"/>
        <w:spacing w:line="360" w:lineRule="auto"/>
        <w:rPr>
          <w:i/>
          <w:iCs/>
          <w:sz w:val="24"/>
          <w:szCs w:val="24"/>
          <w:u w:val="single"/>
        </w:rPr>
      </w:pPr>
      <w:r>
        <w:rPr>
          <w:i/>
          <w:iCs/>
          <w:sz w:val="24"/>
          <w:szCs w:val="24"/>
          <w:u w:val="single"/>
        </w:rPr>
        <w:t xml:space="preserve">加载速度：全视野数字切片（WSI）从打开到完整加载显示的时间 ≤1秒；</w:t>
      </w:r>
      <w:r/>
    </w:p>
    <w:p>
      <w:pPr>
        <w:pStyle w:val="692"/>
        <w:ind w:firstLine="480"/>
        <w:jc w:val="left"/>
        <w:spacing w:line="360" w:lineRule="auto"/>
        <w:rPr>
          <w:i/>
          <w:iCs/>
          <w:sz w:val="24"/>
          <w:szCs w:val="24"/>
          <w:u w:val="single"/>
        </w:rPr>
      </w:pPr>
      <w:r>
        <w:rPr>
          <w:i/>
          <w:iCs/>
          <w:sz w:val="24"/>
          <w:szCs w:val="24"/>
          <w:u w:val="single"/>
        </w:rPr>
        <w:t xml:space="preserve">推理速度：单张全视野数字切片核心AI推理时间 ≤120秒；</w:t>
      </w:r>
      <w:r/>
    </w:p>
    <w:p>
      <w:pPr>
        <w:pStyle w:val="692"/>
        <w:ind w:firstLine="480"/>
        <w:jc w:val="left"/>
        <w:spacing w:line="360" w:lineRule="auto"/>
        <w:rPr>
          <w:i/>
          <w:iCs/>
          <w:sz w:val="24"/>
          <w:szCs w:val="24"/>
          <w:u w:val="single"/>
        </w:rPr>
      </w:pPr>
      <w:r>
        <w:rPr>
          <w:i/>
          <w:iCs/>
          <w:sz w:val="24"/>
          <w:szCs w:val="24"/>
          <w:u w:val="single"/>
        </w:rPr>
        <w:t xml:space="preserve">操作体验：阅片拖拽、缩放操作响应延迟 ≤500毫秒，且无卡顿、无马赛克现象。</w:t>
      </w:r>
      <w:r/>
    </w:p>
    <w:p>
      <w:pPr>
        <w:pStyle w:val="692"/>
        <w:ind w:firstLine="480"/>
        <w:jc w:val="left"/>
        <w:spacing w:line="360" w:lineRule="auto"/>
        <w:rPr>
          <w:i/>
          <w:iCs/>
          <w:sz w:val="24"/>
          <w:szCs w:val="24"/>
          <w:u w:val="single"/>
        </w:rPr>
      </w:pPr>
      <w:r>
        <w:rPr>
          <w:i/>
          <w:iCs/>
          <w:sz w:val="24"/>
          <w:szCs w:val="24"/>
          <w:u w:val="single"/>
        </w:rPr>
        <w:t xml:space="preserve">验收约束：上述测试由采购人委托的第三方测评机构在实际部署环境中进行现场测试。若投标人提供的低配硬件无法支撑上述业务指标，由投标人无偿升级硬件直至满足指标为止，且不调整合同总价。</w:t>
      </w:r>
      <w:r/>
    </w:p>
    <w:p>
      <w:pPr>
        <w:pStyle w:val="692"/>
        <w:ind w:firstLine="480"/>
        <w:jc w:val="left"/>
        <w:spacing w:line="360" w:lineRule="auto"/>
        <w:rPr>
          <w:i/>
          <w:iCs/>
          <w:sz w:val="24"/>
          <w:szCs w:val="24"/>
          <w:u w:val="single"/>
        </w:rPr>
      </w:pPr>
      <w:r>
        <w:rPr>
          <w:i/>
          <w:iCs/>
          <w:sz w:val="24"/>
          <w:szCs w:val="24"/>
          <w:u w:val="single"/>
        </w:rPr>
        <w:t xml:space="preserve"> </w:t>
      </w:r>
      <w:r>
        <w:rPr>
          <w:rFonts w:hint="eastAsia"/>
          <w:i/>
          <w:iCs/>
          <w:sz w:val="24"/>
          <w:szCs w:val="24"/>
          <w:u w:val="single"/>
        </w:rPr>
        <w:t xml:space="preserve">7</w:t>
      </w:r>
      <w:r>
        <w:rPr>
          <w:i/>
          <w:iCs/>
          <w:sz w:val="24"/>
          <w:szCs w:val="24"/>
          <w:u w:val="single"/>
        </w:rPr>
        <w:t xml:space="preserve">. 资源占用承诺条款：</w:t>
      </w:r>
      <w:r/>
    </w:p>
    <w:p>
      <w:pPr>
        <w:pStyle w:val="692"/>
        <w:ind w:firstLine="480"/>
        <w:jc w:val="left"/>
        <w:spacing w:line="360" w:lineRule="auto"/>
        <w:rPr>
          <w:i/>
          <w:iCs/>
          <w:sz w:val="24"/>
          <w:szCs w:val="24"/>
          <w:u w:val="single"/>
        </w:rPr>
      </w:pPr>
      <w:r>
        <w:rPr>
          <w:i/>
          <w:iCs/>
          <w:sz w:val="24"/>
          <w:szCs w:val="24"/>
          <w:u w:val="single"/>
        </w:rPr>
        <w:t xml:space="preserve">为防止软件因优化不足而过度消耗硬件资源，投标人须承诺：</w:t>
      </w:r>
      <w:r/>
    </w:p>
    <w:p>
      <w:pPr>
        <w:pStyle w:val="692"/>
        <w:ind w:firstLine="480"/>
        <w:jc w:val="left"/>
        <w:spacing w:line="360" w:lineRule="auto"/>
        <w:rPr>
          <w:i/>
          <w:iCs/>
          <w:sz w:val="24"/>
          <w:szCs w:val="24"/>
          <w:u w:val="single"/>
        </w:rPr>
      </w:pPr>
      <w:r>
        <w:rPr>
          <w:i/>
          <w:iCs/>
          <w:sz w:val="24"/>
          <w:szCs w:val="24"/>
          <w:u w:val="single"/>
        </w:rPr>
        <w:t xml:space="preserve">闲置占用：在无任何AI分析任务、仅有基础服务运行的闲置状态下，系统对内存的占用不超过4GB，对CPU的占用率不超过5%。</w:t>
      </w:r>
      <w:r/>
    </w:p>
    <w:p>
      <w:pPr>
        <w:pStyle w:val="692"/>
        <w:ind w:firstLine="480"/>
        <w:jc w:val="left"/>
        <w:spacing w:line="360" w:lineRule="auto"/>
        <w:rPr>
          <w:i/>
          <w:iCs/>
          <w:sz w:val="24"/>
          <w:szCs w:val="24"/>
          <w:u w:val="single"/>
        </w:rPr>
      </w:pPr>
      <w:r>
        <w:rPr>
          <w:i/>
          <w:iCs/>
          <w:sz w:val="24"/>
          <w:szCs w:val="24"/>
          <w:u w:val="single"/>
        </w:rPr>
        <w:t xml:space="preserve">存储增长：承诺提供系统日志、临时文件等非核心业务数据在正常运行1年情况下的预计占用空间估算，并保证核心业务数据存储路径与系统盘分离。</w:t>
      </w:r>
      <w:r/>
    </w:p>
    <w:p>
      <w:pPr>
        <w:pStyle w:val="692"/>
        <w:ind w:firstLine="480"/>
        <w:jc w:val="left"/>
        <w:spacing w:line="360" w:lineRule="auto"/>
        <w:rPr>
          <w:i/>
          <w:iCs/>
          <w:sz w:val="24"/>
          <w:szCs w:val="24"/>
          <w:u w:val="single"/>
        </w:rPr>
      </w:pPr>
      <w:r>
        <w:rPr>
          <w:i/>
          <w:iCs/>
          <w:sz w:val="24"/>
          <w:szCs w:val="24"/>
          <w:u w:val="single"/>
        </w:rPr>
        <w:t xml:space="preserve">满负荷测试：在满足“5名医生并发+AI持续推理”的满负荷状态下，系统内存占用不得超过物理内存的80%，CPU占用率（均值）不得超过80%，且不允许出现频繁的内存溢出或CPU 100%长时间阻塞。</w:t>
      </w:r>
      <w:r/>
    </w:p>
    <w:p>
      <w:pPr>
        <w:pStyle w:val="692"/>
        <w:ind w:firstLine="480"/>
        <w:jc w:val="left"/>
        <w:spacing w:line="360" w:lineRule="auto"/>
        <w:rPr>
          <w:i/>
          <w:iCs/>
          <w:sz w:val="24"/>
          <w:szCs w:val="24"/>
          <w:u w:val="single"/>
        </w:rPr>
      </w:pPr>
      <w:r>
        <w:rPr>
          <w:i/>
          <w:iCs/>
          <w:sz w:val="24"/>
          <w:szCs w:val="24"/>
          <w:u w:val="single"/>
        </w:rPr>
        <w:t xml:space="preserve">违约处理：若验收测试中发现软件资源占用过高，导致系统运行不稳定或无法满足性能指标，投标人须在15个工作日内完成软件优化，否则视为无法满足招标需求。</w:t>
      </w:r>
      <w:r/>
    </w:p>
    <w:p>
      <w:pPr>
        <w:pStyle w:val="692"/>
        <w:jc w:val="left"/>
        <w:spacing w:line="360" w:lineRule="auto"/>
        <w:rPr>
          <w:sz w:val="24"/>
          <w:szCs w:val="24"/>
        </w:rPr>
      </w:pPr>
      <w:r/>
      <w:bookmarkStart w:id="99" w:name="OLE_LINK4"/>
      <w:r>
        <w:rPr>
          <w:sz w:val="24"/>
          <w:szCs w:val="24"/>
        </w:rPr>
        <w:t xml:space="preserve">(六）</w:t>
      </w:r>
      <w:r>
        <w:rPr>
          <w:rFonts w:ascii="宋体" w:hAnsi="宋体"/>
          <w:bCs/>
          <w:sz w:val="24"/>
          <w:szCs w:val="24"/>
        </w:rPr>
        <w:t xml:space="preserve">医疗数据安全</w:t>
      </w:r>
      <w:r>
        <w:rPr>
          <w:rFonts w:hint="eastAsia" w:ascii="宋体" w:hAnsi="宋体"/>
          <w:bCs/>
          <w:sz w:val="24"/>
          <w:szCs w:val="24"/>
        </w:rPr>
        <w:t xml:space="preserve">要求：</w:t>
      </w:r>
      <w:r>
        <w:rPr>
          <w:sz w:val="24"/>
          <w:szCs w:val="24"/>
        </w:rPr>
      </w:r>
      <w:r/>
    </w:p>
    <w:p>
      <w:pPr>
        <w:pStyle w:val="692"/>
        <w:jc w:val="left"/>
        <w:spacing w:line="360" w:lineRule="auto"/>
        <w:rPr>
          <w:sz w:val="24"/>
          <w:szCs w:val="24"/>
        </w:rPr>
      </w:pPr>
      <w:r>
        <w:rPr>
          <w:sz w:val="24"/>
          <w:szCs w:val="24"/>
        </w:rPr>
        <w:t xml:space="preserve">1 网络安全等级保护</w:t>
      </w:r>
      <w:r/>
    </w:p>
    <w:p>
      <w:pPr>
        <w:pStyle w:val="692"/>
        <w:jc w:val="left"/>
        <w:spacing w:line="360" w:lineRule="auto"/>
        <w:rPr>
          <w:i/>
          <w:iCs/>
          <w:sz w:val="24"/>
          <w:szCs w:val="24"/>
          <w:u w:val="single"/>
        </w:rPr>
      </w:pPr>
      <w:r>
        <w:rPr>
          <w:i/>
          <w:iCs/>
          <w:sz w:val="24"/>
          <w:szCs w:val="24"/>
          <w:u w:val="single"/>
        </w:rPr>
        <w:t xml:space="preserve">1.1 三级等级保护认证 </w:t>
      </w:r>
      <w:r/>
    </w:p>
    <w:p>
      <w:pPr>
        <w:pStyle w:val="692"/>
        <w:jc w:val="left"/>
        <w:spacing w:line="360" w:lineRule="auto"/>
        <w:rPr>
          <w:sz w:val="24"/>
          <w:szCs w:val="24"/>
        </w:rPr>
      </w:pPr>
      <w:r>
        <w:rPr>
          <w:i/>
          <w:iCs/>
          <w:sz w:val="24"/>
          <w:szCs w:val="24"/>
          <w:u w:val="single"/>
        </w:rPr>
        <w:t xml:space="preserve">投标系统作为辅助诊断核心业务系统，须通过网络安全等级保护第三级测评。投标人须提供近三年内由公安部认证测评机构出具的</w:t>
      </w:r>
      <w:bookmarkStart w:id="100" w:name="OLE_LINK19"/>
      <w:r/>
      <w:bookmarkStart w:id="101" w:name="OLE_LINK20"/>
      <w:r>
        <w:rPr>
          <w:i/>
          <w:iCs/>
          <w:sz w:val="24"/>
          <w:szCs w:val="24"/>
          <w:u w:val="single"/>
        </w:rPr>
        <w:t xml:space="preserve">等保三级测评报告</w:t>
      </w:r>
      <w:bookmarkEnd w:id="100"/>
      <w:r/>
      <w:bookmarkEnd w:id="101"/>
      <w:r>
        <w:rPr>
          <w:i/>
          <w:iCs/>
          <w:sz w:val="24"/>
          <w:szCs w:val="24"/>
          <w:u w:val="single"/>
        </w:rPr>
        <w:t xml:space="preserve">（系统名称须与投标产品一致），且测评结论为“合格”。对于尚未取得测评报告的全新产品，投标人须出具书面承诺函，承诺在系统上线30个工作日内完成备案及测评，90个工作日内取得等保三级测评合格报告，否则视为根本违约，采购人有权无条件解除合同并追究违约责任</w:t>
      </w:r>
      <w:r>
        <w:rPr>
          <w:sz w:val="24"/>
          <w:szCs w:val="24"/>
        </w:rPr>
        <w:t xml:space="preserve">。</w:t>
      </w:r>
      <w:r/>
    </w:p>
    <w:p>
      <w:pPr>
        <w:pStyle w:val="69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1.2</w:t>
      </w:r>
      <w:r>
        <w:rPr>
          <w:sz w:val="24"/>
          <w:szCs w:val="24"/>
        </w:rPr>
        <w:t xml:space="preserve"> 系统定级与备案 </w:t>
      </w:r>
      <w:r/>
    </w:p>
    <w:p>
      <w:pPr>
        <w:pStyle w:val="692"/>
        <w:jc w:val="left"/>
        <w:spacing w:line="360" w:lineRule="auto"/>
        <w:rPr>
          <w:sz w:val="24"/>
          <w:szCs w:val="24"/>
        </w:rPr>
      </w:pPr>
      <w:r>
        <w:rPr>
          <w:sz w:val="24"/>
          <w:szCs w:val="24"/>
        </w:rPr>
        <w:t xml:space="preserve">投标人须承诺协助采购人完成系统在属地公安机关的网络安全等级保护定级备案工作，提供完整的定级报告、拓扑图、资产清单等备案材料，并配合通过备案审核。</w:t>
      </w:r>
      <w:r/>
    </w:p>
    <w:p>
      <w:pPr>
        <w:pStyle w:val="69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1.3</w:t>
      </w:r>
      <w:r>
        <w:rPr>
          <w:sz w:val="24"/>
          <w:szCs w:val="24"/>
        </w:rPr>
        <w:t xml:space="preserve"> 年度测评配合</w:t>
      </w:r>
      <w:r/>
    </w:p>
    <w:p>
      <w:pPr>
        <w:pStyle w:val="692"/>
        <w:jc w:val="left"/>
        <w:spacing w:line="360" w:lineRule="auto"/>
        <w:rPr>
          <w:sz w:val="24"/>
          <w:szCs w:val="24"/>
        </w:rPr>
      </w:pPr>
      <w:r>
        <w:rPr>
          <w:sz w:val="24"/>
          <w:szCs w:val="24"/>
        </w:rPr>
        <w:t xml:space="preserve">系统通过等保三级测评后，投标人须在三年免费质保期内，每年无偿配合采购人完成等保三级年度测评工作，包括但不限于：提供设备安全配置基线、开放系统审计日志接口、配合漏洞扫描与渗透测试、协助完成安全整改加固。本条款作为项目验收及质保期履约评价的前置条件。</w:t>
      </w:r>
      <w:r/>
    </w:p>
    <w:p>
      <w:pPr>
        <w:pStyle w:val="692"/>
        <w:jc w:val="left"/>
        <w:spacing w:line="360" w:lineRule="auto"/>
        <w:rPr>
          <w:sz w:val="24"/>
          <w:szCs w:val="24"/>
        </w:rPr>
      </w:pPr>
      <w:r>
        <w:rPr>
          <w:sz w:val="24"/>
          <w:szCs w:val="24"/>
        </w:rPr>
        <w:t xml:space="preserve">2 人工智能算法安全专项（AI安全）</w:t>
      </w:r>
      <w:r/>
    </w:p>
    <w:p>
      <w:pPr>
        <w:pStyle w:val="692"/>
        <w:jc w:val="left"/>
        <w:spacing w:line="360" w:lineRule="auto"/>
        <w:rPr>
          <w:sz w:val="24"/>
          <w:szCs w:val="24"/>
        </w:rPr>
      </w:pPr>
      <w:r>
        <w:rPr>
          <w:sz w:val="24"/>
          <w:szCs w:val="24"/>
        </w:rPr>
        <w:t xml:space="preserve">▲</w:t>
      </w:r>
      <w:r>
        <w:rPr>
          <w:rFonts w:hint="eastAsia"/>
          <w:sz w:val="24"/>
          <w:szCs w:val="24"/>
        </w:rPr>
        <w:t xml:space="preserve">2.1</w:t>
      </w:r>
      <w:r>
        <w:rPr>
          <w:sz w:val="24"/>
          <w:szCs w:val="24"/>
        </w:rPr>
        <w:t xml:space="preserve">对抗样本与鲁棒性测试</w:t>
      </w:r>
      <w:r/>
    </w:p>
    <w:p>
      <w:pPr>
        <w:pStyle w:val="692"/>
        <w:jc w:val="left"/>
        <w:spacing w:line="360" w:lineRule="auto"/>
        <w:rPr>
          <w:sz w:val="24"/>
          <w:szCs w:val="24"/>
        </w:rPr>
      </w:pPr>
      <w:r>
        <w:rPr>
          <w:sz w:val="24"/>
          <w:szCs w:val="24"/>
        </w:rPr>
        <w:t xml:space="preserve">    系统应具备抗机器学习规避能力（黑盒层面）。投标人须承诺在项目验收前配合采购人或其委托的第三方测评机构，通过基于真实扫描仪差异的黑盒一致性测试。</w:t>
      </w:r>
      <w:r/>
    </w:p>
    <w:p>
      <w:pPr>
        <w:pStyle w:val="692"/>
        <w:jc w:val="left"/>
        <w:spacing w:line="360" w:lineRule="auto"/>
        <w:rPr>
          <w:sz w:val="24"/>
          <w:szCs w:val="24"/>
        </w:rPr>
      </w:pPr>
      <w:r>
        <w:rPr>
          <w:sz w:val="24"/>
          <w:szCs w:val="24"/>
        </w:rPr>
        <w:t xml:space="preserve">    测试方法至少包括：使用不少于两种不同品牌或型号的宫颈细胞学扫描仪，对同一批具有代表性的宫颈细胞切片（包含良性与恶性样本）分别进行扫描，获取对应的多张全视野数字切片（WSI）。将上述WSI输入本系统进行宫颈细胞良恶性判别，对比同一张切片在不同扫描仪下所得WSI的分析结果。</w:t>
      </w:r>
      <w:r/>
    </w:p>
    <w:p>
      <w:pPr>
        <w:pStyle w:val="692"/>
        <w:jc w:val="left"/>
        <w:spacing w:line="360" w:lineRule="auto"/>
        <w:rPr>
          <w:sz w:val="24"/>
          <w:szCs w:val="24"/>
        </w:rPr>
      </w:pPr>
      <w:r>
        <w:rPr>
          <w:sz w:val="24"/>
          <w:szCs w:val="24"/>
        </w:rPr>
        <w:t xml:space="preserve">    验收通过标准：系统对不同扫描仪来源的同一病理样本WSI，其输出的良恶性判别结论应保持逻辑一致，不得因扫描仪物理差异出现临床意义上的矛盾性结果（如同一张切片在一台扫描仪下被判为阳性，另一台被判为阴性）。若一致性测试中出现上述矛盾，或系统拒绝分析某一来源的WSI且无法给出合理的病理学依据，则视为系统不满足三级安全防护能力要求，不予通过验收。此测试以人工判读为金标准，在具有统计学意义的样本量下，对一批具有代表性的样本进行AI性能测试，模型敏感性、特异性达到临床可使用标准。</w:t>
      </w:r>
      <w:r/>
    </w:p>
    <w:p>
      <w:pPr>
        <w:pStyle w:val="692"/>
        <w:jc w:val="left"/>
        <w:spacing w:line="360" w:lineRule="auto"/>
        <w:rPr>
          <w:sz w:val="24"/>
          <w:szCs w:val="24"/>
        </w:rPr>
      </w:pPr>
      <w:r>
        <w:rPr>
          <w:sz w:val="24"/>
          <w:szCs w:val="24"/>
        </w:rPr>
        <w:t xml:space="preserve">2.2 模型溯源与审计</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2.2.1</w:t>
      </w:r>
      <w:r>
        <w:rPr>
          <w:rFonts w:hint="eastAsia"/>
          <w:sz w:val="24"/>
          <w:szCs w:val="24"/>
        </w:rPr>
        <w:t xml:space="preserve">、</w:t>
      </w:r>
      <w:r>
        <w:rPr>
          <w:sz w:val="24"/>
          <w:szCs w:val="24"/>
        </w:rPr>
        <w:t xml:space="preserve">AI辅助诊断结果须支持全链路溯源。系统界面应完整展示：</w:t>
      </w:r>
      <w:r/>
    </w:p>
    <w:p>
      <w:pPr>
        <w:pStyle w:val="692"/>
        <w:jc w:val="left"/>
        <w:spacing w:line="360" w:lineRule="auto"/>
        <w:rPr>
          <w:sz w:val="24"/>
          <w:szCs w:val="24"/>
        </w:rPr>
      </w:pPr>
      <w:r>
        <w:rPr>
          <w:sz w:val="24"/>
          <w:szCs w:val="24"/>
        </w:rPr>
        <w:t xml:space="preserve">    - 模型版本号；</w:t>
      </w:r>
      <w:r/>
    </w:p>
    <w:p>
      <w:pPr>
        <w:pStyle w:val="692"/>
        <w:jc w:val="left"/>
        <w:spacing w:line="360" w:lineRule="auto"/>
        <w:rPr>
          <w:sz w:val="24"/>
          <w:szCs w:val="24"/>
        </w:rPr>
      </w:pPr>
      <w:r>
        <w:rPr>
          <w:sz w:val="24"/>
          <w:szCs w:val="24"/>
        </w:rPr>
        <w:t xml:space="preserve">    - 推理时间戳（精确到毫秒）；</w:t>
      </w:r>
      <w:r/>
    </w:p>
    <w:p>
      <w:pPr>
        <w:pStyle w:val="692"/>
        <w:jc w:val="left"/>
        <w:spacing w:line="360" w:lineRule="auto"/>
        <w:rPr>
          <w:sz w:val="24"/>
          <w:szCs w:val="24"/>
        </w:rPr>
      </w:pPr>
      <w:r>
        <w:rPr>
          <w:sz w:val="24"/>
          <w:szCs w:val="24"/>
        </w:rPr>
        <w:t xml:space="preserve">    - 输入病理图像哈希值；</w:t>
      </w:r>
      <w:r/>
    </w:p>
    <w:p>
      <w:pPr>
        <w:pStyle w:val="692"/>
        <w:jc w:val="left"/>
        <w:spacing w:line="360" w:lineRule="auto"/>
        <w:rPr>
          <w:sz w:val="24"/>
          <w:szCs w:val="24"/>
        </w:rPr>
      </w:pPr>
      <w:r>
        <w:rPr>
          <w:sz w:val="24"/>
          <w:szCs w:val="24"/>
        </w:rPr>
        <w:t xml:space="preserve">    - 签发医生工牌号/标注者标识。 </w:t>
      </w:r>
      <w:r/>
    </w:p>
    <w:p>
      <w:pPr>
        <w:pStyle w:val="692"/>
        <w:jc w:val="left"/>
        <w:spacing w:line="360" w:lineRule="auto"/>
        <w:rPr>
          <w:sz w:val="24"/>
          <w:szCs w:val="24"/>
        </w:rPr>
      </w:pPr>
      <w:r>
        <w:rPr>
          <w:sz w:val="24"/>
          <w:szCs w:val="24"/>
        </w:rPr>
        <w:t xml:space="preserve">  </w:t>
      </w:r>
      <w:r>
        <w:rPr>
          <w:rFonts w:hint="eastAsia" w:ascii="宋体" w:hAnsi="宋体" w:cs="Calibri"/>
          <w:b/>
          <w:sz w:val="24"/>
          <w:szCs w:val="24"/>
        </w:rPr>
        <w:t xml:space="preserve">☆</w:t>
      </w:r>
      <w:r>
        <w:rPr>
          <w:rFonts w:hint="eastAsia"/>
          <w:sz w:val="24"/>
          <w:szCs w:val="24"/>
          <w:highlight w:val="darkYellow"/>
        </w:rPr>
        <w:t xml:space="preserve">2.2.2</w:t>
      </w:r>
      <w:r>
        <w:rPr>
          <w:rFonts w:hint="eastAsia"/>
          <w:sz w:val="24"/>
          <w:szCs w:val="24"/>
        </w:rPr>
        <w:t xml:space="preserve">、</w:t>
      </w:r>
      <w:r>
        <w:rPr>
          <w:sz w:val="24"/>
          <w:szCs w:val="24"/>
        </w:rPr>
        <w:t xml:space="preserve">模型文件存储须实施完整性保护机制（如数字签名、哈希校验），防止模型被恶意替换、篡改或植入后门。系统应记录所有模型调用日志，保存期限不少于180天。</w:t>
      </w:r>
      <w:r/>
    </w:p>
    <w:p>
      <w:pPr>
        <w:pStyle w:val="692"/>
        <w:jc w:val="left"/>
        <w:spacing w:line="360" w:lineRule="auto"/>
        <w:rPr>
          <w:sz w:val="24"/>
          <w:szCs w:val="24"/>
        </w:rPr>
      </w:pPr>
      <w:r>
        <w:rPr>
          <w:sz w:val="24"/>
          <w:szCs w:val="24"/>
        </w:rPr>
        <w:t xml:space="preserve">2.3 数据投毒防御</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2.3.1</w:t>
      </w:r>
      <w:r>
        <w:rPr>
          <w:sz w:val="24"/>
          <w:szCs w:val="24"/>
        </w:rPr>
        <w:t xml:space="preserve">训练数据管道须具备完整性校验与防篡改机制。</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2.3.2</w:t>
      </w:r>
      <w:r>
        <w:rPr>
          <w:sz w:val="24"/>
          <w:szCs w:val="24"/>
        </w:rPr>
        <w:t xml:space="preserve">标注数据入库时自动计算并存储哈希值，模型训练及推理阶段比对特征值。</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2.3.3</w:t>
      </w:r>
      <w:r>
        <w:rPr>
          <w:sz w:val="24"/>
          <w:szCs w:val="24"/>
        </w:rPr>
        <w:t xml:space="preserve">对篡改、伪造、重放的训练样本须产生实时告警并阻断后续流程。</w:t>
      </w:r>
      <w:r/>
    </w:p>
    <w:p>
      <w:pPr>
        <w:pStyle w:val="692"/>
        <w:ind w:firstLine="480"/>
        <w:jc w:val="left"/>
        <w:spacing w:line="360" w:lineRule="auto"/>
        <w:rPr>
          <w:sz w:val="24"/>
          <w:szCs w:val="24"/>
        </w:rPr>
      </w:pPr>
      <w:r>
        <w:rPr>
          <w:rFonts w:hint="eastAsia" w:ascii="宋体" w:hAnsi="宋体" w:cs="Calibri"/>
          <w:b/>
          <w:sz w:val="24"/>
          <w:szCs w:val="24"/>
        </w:rPr>
        <w:t xml:space="preserve">☆</w:t>
      </w:r>
      <w:r>
        <w:rPr>
          <w:rFonts w:hint="eastAsia"/>
          <w:sz w:val="24"/>
          <w:szCs w:val="24"/>
          <w:highlight w:val="darkYellow"/>
        </w:rPr>
        <w:t xml:space="preserve">2.3.4</w:t>
      </w:r>
      <w:r>
        <w:rPr>
          <w:sz w:val="24"/>
          <w:szCs w:val="24"/>
        </w:rPr>
        <w:t xml:space="preserve">系统须内置数据血统追踪能力，至少完整记录至主治医师级标注者身份及标注时间。</w:t>
      </w:r>
      <w:r/>
    </w:p>
    <w:p>
      <w:pPr>
        <w:pStyle w:val="692"/>
        <w:jc w:val="left"/>
        <w:spacing w:line="360" w:lineRule="auto"/>
        <w:rPr>
          <w:sz w:val="24"/>
          <w:szCs w:val="24"/>
        </w:rPr>
      </w:pPr>
      <w:r>
        <w:rPr>
          <w:sz w:val="24"/>
          <w:szCs w:val="24"/>
        </w:rPr>
      </w:r>
      <w:r/>
    </w:p>
    <w:p>
      <w:pPr>
        <w:pStyle w:val="692"/>
        <w:jc w:val="left"/>
        <w:spacing w:line="360" w:lineRule="auto"/>
        <w:rPr>
          <w:sz w:val="24"/>
          <w:szCs w:val="24"/>
        </w:rPr>
      </w:pPr>
      <w:r>
        <w:rPr>
          <w:sz w:val="24"/>
          <w:szCs w:val="24"/>
        </w:rPr>
        <w:t xml:space="preserve">3 权限管理与访问控制</w:t>
      </w:r>
      <w:r/>
    </w:p>
    <w:p>
      <w:pPr>
        <w:pStyle w:val="692"/>
        <w:jc w:val="left"/>
        <w:spacing w:line="360" w:lineRule="auto"/>
        <w:rPr>
          <w:sz w:val="24"/>
          <w:szCs w:val="24"/>
        </w:rPr>
      </w:pPr>
      <w:r>
        <w:rPr>
          <w:sz w:val="24"/>
          <w:szCs w:val="24"/>
        </w:rPr>
        <w:t xml:space="preserve">3.1 用户身份鉴别 </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3.1.1</w:t>
      </w:r>
      <w:r>
        <w:rPr>
          <w:sz w:val="24"/>
          <w:szCs w:val="24"/>
        </w:rPr>
        <w:t xml:space="preserve">系统须支持双因素认证，密码复杂度策略须符合等保三级要求（长度≥8位，含大写、小写、数字、特殊字符三类以上）。</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3.1.2</w:t>
      </w:r>
      <w:r>
        <w:rPr>
          <w:sz w:val="24"/>
          <w:szCs w:val="24"/>
        </w:rPr>
        <w:t xml:space="preserve">支持与医院现有单点登录系统、轻量级目录访问协议服务器集成。</w:t>
      </w:r>
      <w:r/>
    </w:p>
    <w:p>
      <w:pPr>
        <w:pStyle w:val="692"/>
        <w:jc w:val="left"/>
        <w:spacing w:line="360" w:lineRule="auto"/>
        <w:rPr>
          <w:sz w:val="24"/>
          <w:szCs w:val="24"/>
        </w:rPr>
      </w:pPr>
      <w:r>
        <w:rPr>
          <w:sz w:val="24"/>
          <w:szCs w:val="24"/>
        </w:rPr>
        <w:t xml:space="preserve">▲3.2 细粒度权限控制 </w:t>
      </w:r>
      <w:r/>
    </w:p>
    <w:p>
      <w:pPr>
        <w:pStyle w:val="692"/>
        <w:ind w:firstLine="480"/>
        <w:jc w:val="left"/>
        <w:spacing w:line="360" w:lineRule="auto"/>
        <w:rPr>
          <w:sz w:val="24"/>
          <w:szCs w:val="24"/>
        </w:rPr>
      </w:pPr>
      <w:r>
        <w:rPr>
          <w:sz w:val="24"/>
          <w:szCs w:val="24"/>
        </w:rPr>
        <w:t xml:space="preserve">软件有自定义角色功能，支持对每个角色进行接口、菜单、按钮级别的权限设定，理论上支持无限种角色，系统应内置不少于4个预定义角色（例如：系统管理员、主任医师、诊断医师、技术员），并支持用户自定义角色，更细致的权限控制需用户自行设定。提供严格的基于角色的权限访问控制机制，支持功能权限（菜单、按钮、API）权限细分。</w:t>
      </w:r>
      <w:r/>
    </w:p>
    <w:p>
      <w:pPr>
        <w:pStyle w:val="692"/>
        <w:jc w:val="left"/>
        <w:spacing w:line="360" w:lineRule="auto"/>
        <w:rPr>
          <w:sz w:val="24"/>
          <w:szCs w:val="24"/>
        </w:rPr>
      </w:pPr>
      <w:r>
        <w:rPr>
          <w:sz w:val="24"/>
          <w:szCs w:val="24"/>
        </w:rPr>
        <w:t xml:space="preserve">3.3 最小权限原则 </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3.3.1</w:t>
      </w:r>
      <w:r>
        <w:rPr>
          <w:sz w:val="24"/>
          <w:szCs w:val="24"/>
        </w:rPr>
        <w:t xml:space="preserve">系统默认配置须遵循最小权限原则，禁止使用超级管理员账户进行日常业务操作。</w:t>
      </w:r>
      <w:r/>
    </w:p>
    <w:p>
      <w:pPr>
        <w:pStyle w:val="692"/>
        <w:ind w:firstLine="480"/>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3.3.2</w:t>
      </w:r>
      <w:r>
        <w:rPr>
          <w:sz w:val="24"/>
          <w:szCs w:val="24"/>
        </w:rPr>
        <w:t xml:space="preserve">系统管理员、安全审计员、业务管理员须实现三权分立，相互制约。</w:t>
      </w:r>
      <w:r/>
    </w:p>
    <w:p>
      <w:pPr>
        <w:pStyle w:val="692"/>
        <w:jc w:val="left"/>
        <w:spacing w:line="360" w:lineRule="auto"/>
        <w:rPr>
          <w:sz w:val="24"/>
          <w:szCs w:val="24"/>
        </w:rPr>
      </w:pPr>
      <w:r>
        <w:rPr>
          <w:sz w:val="24"/>
          <w:szCs w:val="24"/>
        </w:rPr>
        <w:t xml:space="preserve">4 数据安全与隐私保护</w:t>
      </w:r>
      <w:r/>
    </w:p>
    <w:p>
      <w:pPr>
        <w:pStyle w:val="692"/>
        <w:jc w:val="left"/>
        <w:spacing w:line="360" w:lineRule="auto"/>
        <w:rPr>
          <w:i/>
          <w:iCs/>
          <w:sz w:val="24"/>
          <w:szCs w:val="24"/>
          <w:u w:val="single"/>
        </w:rPr>
      </w:pPr>
      <w:r>
        <w:rPr>
          <w:i/>
          <w:iCs/>
          <w:sz w:val="24"/>
          <w:szCs w:val="24"/>
          <w:u w:val="single"/>
        </w:rPr>
        <w:t xml:space="preserve">4.1数据脱敏 </w:t>
      </w:r>
      <w:r/>
    </w:p>
    <w:p>
      <w:pPr>
        <w:pStyle w:val="692"/>
        <w:jc w:val="left"/>
        <w:spacing w:line="360" w:lineRule="auto"/>
        <w:rPr>
          <w:i/>
          <w:iCs/>
          <w:sz w:val="24"/>
          <w:szCs w:val="24"/>
          <w:u w:val="single"/>
        </w:rPr>
      </w:pPr>
      <w:r>
        <w:rPr>
          <w:i/>
          <w:iCs/>
          <w:sz w:val="24"/>
          <w:szCs w:val="24"/>
          <w:u w:val="single"/>
        </w:rPr>
        <w:t xml:space="preserve">    系统应提供动态数据脱敏与静态数据脱敏双重能力。在病理图像共享、科研导出、第三方系统交互等场景下，支持对患者姓名、身份证号、手机号、住院号、病理号等敏感信息进行不可逆脱敏（掩码显示或仿真替换）。脱敏策略须支持按用户角色、按应用场景灵活配置。</w:t>
      </w:r>
      <w:r/>
    </w:p>
    <w:p>
      <w:pPr>
        <w:pStyle w:val="69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4.2</w:t>
      </w:r>
      <w:r>
        <w:rPr>
          <w:sz w:val="24"/>
          <w:szCs w:val="24"/>
        </w:rPr>
        <w:t xml:space="preserve"> 加密传输与存储</w:t>
      </w:r>
      <w:r/>
    </w:p>
    <w:p>
      <w:pPr>
        <w:pStyle w:val="692"/>
        <w:jc w:val="left"/>
        <w:spacing w:line="360" w:lineRule="auto"/>
        <w:rPr>
          <w:sz w:val="24"/>
          <w:szCs w:val="24"/>
        </w:rPr>
      </w:pPr>
      <w:r>
        <w:rPr>
          <w:sz w:val="24"/>
          <w:szCs w:val="24"/>
        </w:rPr>
        <w:t xml:space="preserve">   传输加密：系统所有对外通信接口须强制启用TLS 1.2/1.3协议，证书须使用SM2/RSA 2048位以上强度。严禁明文传输任何患者数据及病理图像。</w:t>
      </w:r>
      <w:r/>
    </w:p>
    <w:p>
      <w:pPr>
        <w:pStyle w:val="692"/>
        <w:jc w:val="left"/>
        <w:spacing w:line="360" w:lineRule="auto"/>
        <w:rPr>
          <w:sz w:val="24"/>
          <w:szCs w:val="24"/>
        </w:rPr>
      </w:pPr>
      <w:r>
        <w:rPr>
          <w:sz w:val="24"/>
          <w:szCs w:val="24"/>
        </w:rPr>
        <w:t xml:space="preserve">▲4.3数据存证与溯源</w:t>
      </w:r>
      <w:r/>
    </w:p>
    <w:p>
      <w:pPr>
        <w:pStyle w:val="692"/>
        <w:jc w:val="left"/>
        <w:spacing w:line="360" w:lineRule="auto"/>
        <w:rPr>
          <w:sz w:val="24"/>
          <w:szCs w:val="24"/>
        </w:rPr>
      </w:pPr>
      <w:r>
        <w:rPr>
          <w:sz w:val="24"/>
          <w:szCs w:val="24"/>
        </w:rPr>
        <w:t xml:space="preserve">    对病理图像上传、AI辅助诊断生成、报告签发、数据导出、诊断结论修改等关键数据交换行为，须提供具备司法效力的存证服务。可采用区块链存证或符合《电子签名法》《人民法院在线诉讼规则》的第三方可信时间戳+数字签名技术方案。存证内容至少包含：操作人、操作时间、操作对象哈希值、操作类型。存证记录应支持可视化查询与核验，保证数据交换行为的可追溯、可确认、不可抵赖。</w:t>
      </w:r>
      <w:r/>
    </w:p>
    <w:p>
      <w:pPr>
        <w:pStyle w:val="692"/>
        <w:jc w:val="left"/>
        <w:spacing w:line="360" w:lineRule="auto"/>
        <w:rPr>
          <w:sz w:val="24"/>
          <w:szCs w:val="24"/>
        </w:rPr>
      </w:pPr>
      <w:r>
        <w:rPr>
          <w:rFonts w:hint="eastAsia" w:ascii="宋体" w:hAnsi="宋体" w:cs="Calibri"/>
          <w:b/>
          <w:sz w:val="24"/>
          <w:szCs w:val="24"/>
        </w:rPr>
        <w:t xml:space="preserve">☆</w:t>
      </w:r>
      <w:r>
        <w:rPr>
          <w:sz w:val="24"/>
          <w:szCs w:val="24"/>
          <w:highlight w:val="darkYellow"/>
        </w:rPr>
        <w:t xml:space="preserve">4.4</w:t>
      </w:r>
      <w:r>
        <w:rPr>
          <w:sz w:val="24"/>
          <w:szCs w:val="24"/>
        </w:rPr>
        <w:t xml:space="preserve"> 数据分类分级</w:t>
      </w:r>
      <w:r/>
    </w:p>
    <w:p>
      <w:pPr>
        <w:pStyle w:val="692"/>
        <w:jc w:val="left"/>
        <w:spacing w:line="360" w:lineRule="auto"/>
        <w:rPr>
          <w:sz w:val="24"/>
          <w:szCs w:val="24"/>
        </w:rPr>
      </w:pPr>
      <w:r>
        <w:rPr>
          <w:sz w:val="24"/>
          <w:szCs w:val="24"/>
        </w:rPr>
        <w:t xml:space="preserve">    系统须支持对医疗数据进行分类分级标识。临床诊断库与科研训练库须实现架构层逻辑强隔离，临床库严格落实三级等保防护（边界防火墙、主机入侵防御、数据库审计、动态脱敏）；科研库若定级为第二级，须建立数据匿名化审批流程，严禁未经审批使用未脱敏临床数据进行模型训练。</w:t>
      </w:r>
      <w:r/>
    </w:p>
    <w:p>
      <w:pPr>
        <w:pStyle w:val="692"/>
        <w:jc w:val="left"/>
        <w:spacing w:line="360" w:lineRule="auto"/>
        <w:rPr>
          <w:sz w:val="24"/>
          <w:szCs w:val="24"/>
        </w:rPr>
      </w:pPr>
      <w:r>
        <w:rPr>
          <w:sz w:val="24"/>
          <w:szCs w:val="24"/>
        </w:rPr>
        <w:t xml:space="preserve">5 供应链安全与国产化适配</w:t>
      </w:r>
      <w:r/>
    </w:p>
    <w:p>
      <w:pPr>
        <w:pStyle w:val="692"/>
        <w:jc w:val="left"/>
        <w:spacing w:line="360" w:lineRule="auto"/>
        <w:rPr>
          <w:i/>
          <w:iCs/>
          <w:sz w:val="24"/>
          <w:szCs w:val="24"/>
          <w:u w:val="single"/>
        </w:rPr>
      </w:pPr>
      <w:r>
        <w:rPr>
          <w:i/>
          <w:iCs/>
          <w:sz w:val="24"/>
          <w:szCs w:val="24"/>
          <w:u w:val="single"/>
        </w:rPr>
        <w:t xml:space="preserve">5.1 技术自主可控</w:t>
      </w:r>
      <w:r/>
    </w:p>
    <w:p>
      <w:pPr>
        <w:pStyle w:val="692"/>
        <w:ind w:firstLine="480"/>
        <w:jc w:val="left"/>
        <w:spacing w:line="360" w:lineRule="auto"/>
        <w:rPr>
          <w:i/>
          <w:iCs/>
          <w:sz w:val="24"/>
          <w:szCs w:val="24"/>
          <w:u w:val="single"/>
        </w:rPr>
      </w:pPr>
      <w:r>
        <w:rPr>
          <w:i/>
          <w:iCs/>
          <w:sz w:val="24"/>
          <w:szCs w:val="24"/>
          <w:u w:val="single"/>
        </w:rPr>
        <w:t xml:space="preserve">投标方应承诺所提供的系统符合国家信息技术应用创新（国产化）战略要求，系统核心架构、关键组件及算法框架应具备自主知识产权或国产化替代方案。系统应具备源代码级或组件级的国产化迁移能力，关键技术不受外部出口管制或授权限制。</w:t>
      </w:r>
      <w:r/>
    </w:p>
    <w:p>
      <w:pPr>
        <w:pStyle w:val="692"/>
        <w:jc w:val="left"/>
        <w:spacing w:line="360" w:lineRule="auto"/>
        <w:rPr>
          <w:i/>
          <w:iCs/>
          <w:sz w:val="24"/>
          <w:szCs w:val="24"/>
          <w:u w:val="single"/>
        </w:rPr>
      </w:pPr>
      <w:r>
        <w:rPr>
          <w:i/>
          <w:iCs/>
          <w:sz w:val="24"/>
          <w:szCs w:val="24"/>
          <w:u w:val="single"/>
        </w:rPr>
        <w:t xml:space="preserve">5.2国产软硬件适配</w:t>
      </w:r>
      <w:r/>
    </w:p>
    <w:p>
      <w:pPr>
        <w:pStyle w:val="692"/>
        <w:jc w:val="left"/>
        <w:spacing w:line="360" w:lineRule="auto"/>
        <w:rPr>
          <w:i/>
          <w:iCs/>
          <w:sz w:val="24"/>
          <w:szCs w:val="24"/>
          <w:u w:val="single"/>
        </w:rPr>
      </w:pPr>
      <w:r>
        <w:rPr>
          <w:i/>
          <w:iCs/>
          <w:sz w:val="24"/>
          <w:szCs w:val="24"/>
          <w:u w:val="single"/>
        </w:rPr>
        <w:t xml:space="preserve">    系统须完整适配以下国产化软硬件环境（投标人须逐项勾选承诺）：</w:t>
      </w:r>
      <w:r/>
    </w:p>
    <w:p>
      <w:pPr>
        <w:pStyle w:val="692"/>
        <w:jc w:val="left"/>
        <w:spacing w:line="360" w:lineRule="auto"/>
        <w:rPr>
          <w:i/>
          <w:iCs/>
          <w:sz w:val="24"/>
          <w:szCs w:val="24"/>
          <w:u w:val="single"/>
        </w:rPr>
      </w:pPr>
      <w:r>
        <w:rPr>
          <w:i/>
          <w:iCs/>
          <w:sz w:val="24"/>
          <w:szCs w:val="24"/>
          <w:u w:val="single"/>
        </w:rPr>
        <w:t xml:space="preserve">    - 服务器：鲲鹏、海光、飞腾等国产芯片架构；</w:t>
      </w:r>
      <w:r/>
    </w:p>
    <w:p>
      <w:pPr>
        <w:pStyle w:val="692"/>
        <w:jc w:val="left"/>
        <w:spacing w:line="360" w:lineRule="auto"/>
        <w:rPr>
          <w:i/>
          <w:iCs/>
          <w:sz w:val="24"/>
          <w:szCs w:val="24"/>
          <w:u w:val="single"/>
        </w:rPr>
      </w:pPr>
      <w:r>
        <w:rPr>
          <w:i/>
          <w:iCs/>
          <w:sz w:val="24"/>
          <w:szCs w:val="24"/>
          <w:u w:val="single"/>
        </w:rPr>
        <w:t xml:space="preserve">    - 操作系统：麒麟、统信、欧拉等国产操作系统；</w:t>
      </w:r>
      <w:r/>
    </w:p>
    <w:p>
      <w:pPr>
        <w:pStyle w:val="692"/>
        <w:jc w:val="left"/>
        <w:spacing w:line="360" w:lineRule="auto"/>
        <w:rPr>
          <w:i/>
          <w:iCs/>
          <w:sz w:val="24"/>
          <w:szCs w:val="24"/>
          <w:u w:val="single"/>
        </w:rPr>
      </w:pPr>
      <w:r>
        <w:rPr>
          <w:i/>
          <w:iCs/>
          <w:sz w:val="24"/>
          <w:szCs w:val="24"/>
          <w:u w:val="single"/>
        </w:rPr>
        <w:t xml:space="preserve">    - 数据库：达梦、人大金仓、OceanBase、openGauss等国产数据库；</w:t>
      </w:r>
      <w:r/>
    </w:p>
    <w:p>
      <w:pPr>
        <w:pStyle w:val="692"/>
        <w:jc w:val="left"/>
        <w:spacing w:line="360" w:lineRule="auto"/>
        <w:rPr>
          <w:i/>
          <w:iCs/>
          <w:sz w:val="24"/>
          <w:szCs w:val="24"/>
          <w:u w:val="single"/>
        </w:rPr>
      </w:pPr>
      <w:r>
        <w:rPr>
          <w:i/>
          <w:iCs/>
          <w:sz w:val="24"/>
          <w:szCs w:val="24"/>
          <w:u w:val="single"/>
        </w:rPr>
        <w:t xml:space="preserve">    - 中间件：东方通、宝兰德、金蝶、Tendis 等国产中间件。</w:t>
      </w:r>
      <w:r/>
    </w:p>
    <w:p>
      <w:pPr>
        <w:pStyle w:val="692"/>
        <w:jc w:val="left"/>
        <w:spacing w:line="360" w:lineRule="auto"/>
        <w:rPr>
          <w:i/>
          <w:iCs/>
          <w:sz w:val="24"/>
          <w:szCs w:val="24"/>
          <w:u w:val="single"/>
        </w:rPr>
      </w:pPr>
      <w:r>
        <w:rPr>
          <w:i/>
          <w:iCs/>
          <w:sz w:val="24"/>
          <w:szCs w:val="24"/>
          <w:u w:val="single"/>
        </w:rPr>
        <w:t xml:space="preserve">   项目实施时，如采购人要求部署于国产化环境，投标人须无偿完成适配与性能调优。</w:t>
      </w:r>
      <w:r/>
    </w:p>
    <w:p>
      <w:pPr>
        <w:pStyle w:val="692"/>
        <w:jc w:val="left"/>
        <w:spacing w:line="360" w:lineRule="auto"/>
        <w:rPr>
          <w:sz w:val="24"/>
          <w:szCs w:val="24"/>
        </w:rPr>
      </w:pPr>
      <w:r/>
      <w:bookmarkStart w:id="102" w:name="OLE_LINK2"/>
      <w:r>
        <w:rPr>
          <w:rFonts w:hint="eastAsia" w:ascii="宋体" w:hAnsi="宋体" w:cs="Calibri"/>
          <w:b/>
          <w:sz w:val="24"/>
          <w:szCs w:val="24"/>
        </w:rPr>
        <w:t xml:space="preserve">☆</w:t>
      </w:r>
      <w:bookmarkEnd w:id="102"/>
      <w:r>
        <w:rPr>
          <w:sz w:val="24"/>
          <w:szCs w:val="24"/>
          <w:highlight w:val="darkYellow"/>
        </w:rPr>
        <w:t xml:space="preserve">5.3</w:t>
      </w:r>
      <w:r>
        <w:rPr>
          <w:sz w:val="24"/>
          <w:szCs w:val="24"/>
        </w:rPr>
        <w:t xml:space="preserve"> 可升级与扩展   </w:t>
      </w:r>
      <w:r/>
    </w:p>
    <w:p>
      <w:pPr>
        <w:pStyle w:val="692"/>
        <w:jc w:val="left"/>
        <w:spacing w:line="360" w:lineRule="auto"/>
        <w:rPr>
          <w:sz w:val="24"/>
          <w:szCs w:val="24"/>
        </w:rPr>
      </w:pPr>
      <w:r>
        <w:rPr>
          <w:sz w:val="24"/>
          <w:szCs w:val="24"/>
        </w:rPr>
        <w:t xml:space="preserve">    系统应支持在不中断业务服务的前提下完成功能更新及安全补丁推送。质保期内，投标人应对已知中高危漏洞在30个工作日内提供修复补丁或升级版本，重大安全更新须提前48小时主动告知采购人并提供变更说明。</w:t>
      </w:r>
      <w:r/>
    </w:p>
    <w:p>
      <w:pPr>
        <w:pStyle w:val="692"/>
        <w:jc w:val="left"/>
        <w:spacing w:line="360" w:lineRule="auto"/>
        <w:rPr>
          <w:sz w:val="24"/>
          <w:szCs w:val="24"/>
        </w:rPr>
      </w:pPr>
      <w:r>
        <w:rPr>
          <w:sz w:val="24"/>
          <w:szCs w:val="24"/>
        </w:rPr>
        <w:t xml:space="preserve">6 安全交付与验收</w:t>
      </w:r>
      <w:r/>
    </w:p>
    <w:p>
      <w:pPr>
        <w:pStyle w:val="692"/>
        <w:jc w:val="left"/>
        <w:spacing w:line="360" w:lineRule="auto"/>
        <w:rPr>
          <w:sz w:val="24"/>
          <w:szCs w:val="24"/>
        </w:rPr>
      </w:pPr>
      <w:r>
        <w:rPr>
          <w:sz w:val="24"/>
          <w:szCs w:val="24"/>
        </w:rPr>
        <w:t xml:space="preserve">6.1 交付物要求</w:t>
      </w:r>
      <w:r/>
    </w:p>
    <w:p>
      <w:pPr>
        <w:pStyle w:val="692"/>
        <w:jc w:val="left"/>
        <w:spacing w:line="360" w:lineRule="auto"/>
        <w:rPr>
          <w:sz w:val="24"/>
          <w:szCs w:val="24"/>
        </w:rPr>
      </w:pPr>
      <w:r>
        <w:rPr>
          <w:sz w:val="24"/>
          <w:szCs w:val="24"/>
        </w:rPr>
        <w:t xml:space="preserve">    项目终验前，投标人须至少提供以下安全合规交付物，缺一不可：</w:t>
      </w:r>
      <w:r/>
    </w:p>
    <w:p>
      <w:pPr>
        <w:pStyle w:val="692"/>
        <w:jc w:val="left"/>
        <w:spacing w:line="360" w:lineRule="auto"/>
        <w:rPr>
          <w:sz w:val="24"/>
          <w:szCs w:val="24"/>
        </w:rPr>
      </w:pPr>
      <w:r>
        <w:rPr>
          <w:sz w:val="24"/>
          <w:szCs w:val="24"/>
        </w:rPr>
        <w:t xml:space="preserve">    (1). 网络安全等级保护三级测评报告（结论为“合格”）及备案证明；</w:t>
      </w:r>
      <w:r/>
    </w:p>
    <w:p>
      <w:pPr>
        <w:pStyle w:val="692"/>
        <w:jc w:val="left"/>
        <w:spacing w:line="360" w:lineRule="auto"/>
        <w:rPr>
          <w:sz w:val="24"/>
          <w:szCs w:val="24"/>
        </w:rPr>
      </w:pPr>
      <w:r>
        <w:rPr>
          <w:sz w:val="24"/>
          <w:szCs w:val="24"/>
        </w:rPr>
        <w:t xml:space="preserve">    (2) 本项目验收时，由采购人委托的第三方测评机构出具的对抗样本测试/一致性测试通过报告（测试费用包含在投标总价中）。</w:t>
      </w:r>
      <w:r/>
    </w:p>
    <w:p>
      <w:pPr>
        <w:pStyle w:val="692"/>
        <w:jc w:val="left"/>
        <w:spacing w:line="360" w:lineRule="auto"/>
        <w:rPr>
          <w:sz w:val="24"/>
          <w:szCs w:val="24"/>
        </w:rPr>
      </w:pPr>
      <w:r>
        <w:rPr>
          <w:sz w:val="24"/>
          <w:szCs w:val="24"/>
        </w:rPr>
        <w:t xml:space="preserve">    (3). 软件物料清单及漏洞扫描报告；</w:t>
      </w:r>
      <w:r/>
    </w:p>
    <w:p>
      <w:pPr>
        <w:pStyle w:val="692"/>
        <w:jc w:val="left"/>
        <w:spacing w:line="360" w:lineRule="auto"/>
        <w:rPr>
          <w:sz w:val="24"/>
          <w:szCs w:val="24"/>
        </w:rPr>
      </w:pPr>
      <w:r>
        <w:rPr>
          <w:sz w:val="24"/>
          <w:szCs w:val="24"/>
        </w:rPr>
        <w:t xml:space="preserve">    (4). 国产化环境适配认证/验证报告；</w:t>
      </w:r>
      <w:r/>
    </w:p>
    <w:p>
      <w:pPr>
        <w:pStyle w:val="692"/>
        <w:jc w:val="left"/>
        <w:spacing w:line="360" w:lineRule="auto"/>
        <w:rPr>
          <w:sz w:val="24"/>
          <w:szCs w:val="24"/>
        </w:rPr>
      </w:pPr>
      <w:r>
        <w:rPr>
          <w:sz w:val="24"/>
          <w:szCs w:val="24"/>
        </w:rPr>
        <w:t xml:space="preserve">    (5). 系统安全配置基线指南。</w:t>
      </w:r>
      <w:r/>
    </w:p>
    <w:p>
      <w:pPr>
        <w:pStyle w:val="692"/>
        <w:jc w:val="left"/>
        <w:spacing w:line="360" w:lineRule="auto"/>
        <w:rPr>
          <w:sz w:val="24"/>
          <w:szCs w:val="24"/>
        </w:rPr>
      </w:pPr>
      <w:r/>
      <w:bookmarkEnd w:id="99"/>
      <w:r>
        <w:rPr>
          <w:sz w:val="24"/>
          <w:szCs w:val="24"/>
        </w:rPr>
        <w:t xml:space="preserve">6.2 违约条款</w:t>
      </w:r>
      <w:r/>
    </w:p>
    <w:p>
      <w:pPr>
        <w:pStyle w:val="692"/>
        <w:jc w:val="left"/>
        <w:spacing w:line="360" w:lineRule="auto"/>
        <w:rPr>
          <w:sz w:val="24"/>
          <w:szCs w:val="24"/>
        </w:rPr>
      </w:pPr>
      <w:r>
        <w:rPr>
          <w:sz w:val="24"/>
          <w:szCs w:val="24"/>
        </w:rPr>
        <w:t xml:space="preserve">    若投标人未能在承诺期限内取得等保三级测评合格报告，或对抗样本测试实质性不通过，或交付物存在伪造、虚假承诺情形，采购人有权单方面解除合同，不支付任何款项，并追究投标人合同总金额30%的违约金。投标人应承担因此造成采购人项目延误、行政处罚等全部损失。</w:t>
      </w:r>
      <w:r/>
    </w:p>
    <w:p>
      <w:pPr>
        <w:pStyle w:val="692"/>
        <w:jc w:val="left"/>
        <w:spacing w:line="360" w:lineRule="auto"/>
        <w:rPr>
          <w:sz w:val="24"/>
          <w:szCs w:val="24"/>
        </w:rPr>
      </w:pPr>
      <w:r>
        <w:rPr>
          <w:sz w:val="24"/>
          <w:szCs w:val="24"/>
        </w:rPr>
        <w:t xml:space="preserve">6.3 持续合规义务</w:t>
      </w:r>
      <w:r/>
    </w:p>
    <w:p>
      <w:pPr>
        <w:pStyle w:val="692"/>
        <w:jc w:val="left"/>
        <w:spacing w:line="360" w:lineRule="auto"/>
        <w:rPr>
          <w:sz w:val="24"/>
          <w:szCs w:val="24"/>
        </w:rPr>
      </w:pPr>
      <w:r>
        <w:rPr>
          <w:sz w:val="24"/>
          <w:szCs w:val="24"/>
        </w:rPr>
        <w:t xml:space="preserve">    系统上线运行期间，如因投标人产品设计缺陷、代码漏洞、默认配置不安全等原因导致采购人发生网络安全事件、数据泄露事件或未能通过上级监管检查、公安机关执法检查，投标人须承担全部整改费用及相应的法律责任。</w:t>
      </w:r>
      <w:r/>
    </w:p>
    <w:p>
      <w:pPr>
        <w:pStyle w:val="692"/>
        <w:spacing w:line="360" w:lineRule="auto"/>
        <w:widowControl/>
        <w:rPr>
          <w:sz w:val="24"/>
          <w:szCs w:val="24"/>
        </w:rPr>
      </w:pPr>
      <w:r>
        <w:rPr>
          <w:sz w:val="24"/>
          <w:szCs w:val="24"/>
        </w:rPr>
        <w:t xml:space="preserve">四、项目建设要求</w:t>
      </w:r>
      <w:r/>
    </w:p>
    <w:p>
      <w:pPr>
        <w:pStyle w:val="692"/>
        <w:jc w:val="left"/>
        <w:spacing w:line="360" w:lineRule="auto"/>
        <w:rPr>
          <w:rFonts w:hint="eastAsia"/>
          <w:sz w:val="24"/>
          <w:szCs w:val="24"/>
        </w:rPr>
      </w:pPr>
      <w:r>
        <w:rPr>
          <w:rFonts w:hint="eastAsia"/>
          <w:sz w:val="24"/>
          <w:szCs w:val="24"/>
        </w:rPr>
        <w:t xml:space="preserve">1.设计方案</w:t>
      </w:r>
      <w:r/>
    </w:p>
    <w:p>
      <w:pPr>
        <w:pStyle w:val="692"/>
        <w:ind w:firstLine="480"/>
        <w:jc w:val="left"/>
        <w:spacing w:line="360" w:lineRule="auto"/>
        <w:rPr>
          <w:rFonts w:hint="eastAsia"/>
          <w:sz w:val="24"/>
          <w:szCs w:val="24"/>
        </w:rPr>
      </w:pPr>
      <w:r>
        <w:rPr>
          <w:rFonts w:hint="eastAsia"/>
          <w:sz w:val="24"/>
          <w:szCs w:val="24"/>
        </w:rPr>
        <w:t xml:space="preserve">投标人应根据本项目技术要求，提供完整的系统设计方案。设计方案应至少包含以下内容：</w:t>
      </w:r>
      <w:r/>
    </w:p>
    <w:p>
      <w:pPr>
        <w:pStyle w:val="692"/>
        <w:ind w:firstLine="480"/>
        <w:jc w:val="left"/>
        <w:spacing w:line="360" w:lineRule="auto"/>
        <w:rPr>
          <w:rFonts w:hint="eastAsia"/>
          <w:sz w:val="24"/>
          <w:szCs w:val="24"/>
        </w:rPr>
      </w:pPr>
      <w:r>
        <w:rPr>
          <w:rFonts w:hint="eastAsia"/>
          <w:sz w:val="24"/>
          <w:szCs w:val="24"/>
        </w:rPr>
        <w:t xml:space="preserve">2.1. 总体架构设计：提供系统整体架构图，说明技术架构（B/S架构、国产化适配、部署架构）及与现有系统（HIS、PIS、数字病理基座平台等）的集成架构。</w:t>
      </w:r>
      <w:r/>
    </w:p>
    <w:p>
      <w:pPr>
        <w:pStyle w:val="692"/>
        <w:ind w:firstLine="480"/>
        <w:jc w:val="left"/>
        <w:spacing w:line="360" w:lineRule="auto"/>
        <w:rPr>
          <w:rFonts w:hint="eastAsia"/>
          <w:sz w:val="24"/>
          <w:szCs w:val="24"/>
        </w:rPr>
      </w:pPr>
      <w:r>
        <w:rPr>
          <w:rFonts w:hint="eastAsia"/>
          <w:sz w:val="24"/>
          <w:szCs w:val="24"/>
        </w:rPr>
        <w:t xml:space="preserve">2.2. 功能模块设计：覆盖细胞学AI诊断模块、数字病理图像管理平台、报告生成与管理、系统管理四大功能模块，说明各模块的功能组成与交互关系。</w:t>
      </w:r>
      <w:r/>
    </w:p>
    <w:p>
      <w:pPr>
        <w:pStyle w:val="692"/>
        <w:ind w:firstLine="480"/>
        <w:jc w:val="left"/>
        <w:spacing w:line="360" w:lineRule="auto"/>
        <w:rPr>
          <w:rFonts w:hint="eastAsia"/>
          <w:sz w:val="24"/>
          <w:szCs w:val="24"/>
        </w:rPr>
      </w:pPr>
      <w:r>
        <w:rPr>
          <w:rFonts w:hint="eastAsia"/>
          <w:sz w:val="24"/>
          <w:szCs w:val="24"/>
        </w:rPr>
        <w:t xml:space="preserve">2.3. 数据流程设计：提供病理图像数据流转图（扫描→上传→存储→分析→阅片→报告），说明与PIS系统的数据对接流程、数据备份与恢复流程、数据分类分级存储策略。</w:t>
      </w:r>
      <w:r/>
    </w:p>
    <w:p>
      <w:pPr>
        <w:pStyle w:val="692"/>
        <w:ind w:firstLine="480"/>
        <w:jc w:val="left"/>
        <w:spacing w:line="360" w:lineRule="auto"/>
        <w:rPr>
          <w:rFonts w:hint="eastAsia"/>
          <w:sz w:val="24"/>
          <w:szCs w:val="24"/>
        </w:rPr>
      </w:pPr>
      <w:r>
        <w:rPr>
          <w:rFonts w:hint="eastAsia"/>
          <w:sz w:val="24"/>
          <w:szCs w:val="24"/>
        </w:rPr>
        <w:t xml:space="preserve">2.4. AI算法与模型设计：说明深度学习模型架构、训练数据来源与标注方案、模型推理性能优化方案（并发、延迟、吞吐量）、模型版本管理与更新机制、模型泛化能力（不同扫描仪、不同制片方式）。具体要求详见本章“（三）细胞学系统功能要求”中关于模型敏感性、特异性、TBS标准支持、全切片分析模式等要求。</w:t>
      </w:r>
      <w:r/>
    </w:p>
    <w:p>
      <w:pPr>
        <w:pStyle w:val="692"/>
        <w:ind w:firstLine="480"/>
        <w:jc w:val="left"/>
        <w:spacing w:line="360" w:lineRule="auto"/>
        <w:rPr>
          <w:rFonts w:hint="eastAsia"/>
          <w:sz w:val="24"/>
          <w:szCs w:val="24"/>
        </w:rPr>
      </w:pPr>
      <w:r>
        <w:rPr>
          <w:rFonts w:hint="eastAsia"/>
          <w:sz w:val="24"/>
          <w:szCs w:val="24"/>
        </w:rPr>
        <w:t xml:space="preserve">2.5. 安全合规设计：说明等保三级合规设计（物理环境、通信网络、区域边界、计算环境、管理中心）、数据安全设计（传输加密、存储加密、脱敏、存证溯源）、国产化适配设计、容灾备份设计。具体要求详见本章“（六）系统安全与合规要求”。</w:t>
      </w:r>
      <w:r/>
    </w:p>
    <w:p>
      <w:pPr>
        <w:pStyle w:val="692"/>
        <w:ind w:firstLine="480"/>
        <w:jc w:val="left"/>
        <w:spacing w:line="360" w:lineRule="auto"/>
        <w:rPr>
          <w:rFonts w:hint="eastAsia"/>
          <w:sz w:val="24"/>
          <w:szCs w:val="24"/>
        </w:rPr>
      </w:pPr>
      <w:r>
        <w:rPr>
          <w:rFonts w:hint="eastAsia"/>
          <w:sz w:val="24"/>
          <w:szCs w:val="24"/>
        </w:rPr>
        <w:t xml:space="preserve">投标人应在投标文件中详细阐述上述内容，未按要求提供或内容缺失的，评标时将按第五章“评标方法与评标标准”中“设计方案”评分项相应扣分。</w:t>
      </w:r>
      <w:r/>
    </w:p>
    <w:p>
      <w:pPr>
        <w:pStyle w:val="692"/>
        <w:spacing w:line="360" w:lineRule="auto"/>
        <w:widowControl/>
        <w:rPr>
          <w:sz w:val="24"/>
          <w:szCs w:val="24"/>
        </w:rPr>
      </w:pPr>
      <w:r>
        <w:rPr>
          <w:sz w:val="24"/>
          <w:szCs w:val="24"/>
        </w:rPr>
        <w:t xml:space="preserve"> </w:t>
      </w:r>
      <w:r>
        <w:rPr>
          <w:rFonts w:hint="eastAsia"/>
          <w:sz w:val="24"/>
          <w:szCs w:val="24"/>
        </w:rPr>
        <w:t xml:space="preserve">2.项目实施方案</w:t>
      </w:r>
      <w:r>
        <w:rPr>
          <w:sz w:val="24"/>
          <w:szCs w:val="24"/>
        </w:rPr>
      </w:r>
      <w:r/>
    </w:p>
    <w:p>
      <w:pPr>
        <w:pStyle w:val="692"/>
        <w:ind w:firstLine="480"/>
        <w:spacing w:line="360" w:lineRule="auto"/>
        <w:widowControl/>
        <w:rPr>
          <w:sz w:val="24"/>
          <w:szCs w:val="24"/>
        </w:rPr>
      </w:pPr>
      <w:r>
        <w:rPr>
          <w:sz w:val="24"/>
          <w:szCs w:val="24"/>
        </w:rPr>
        <w:t xml:space="preserve"> 供应商应对项目的需求分析阶段、系统配置、系统集成实施准备阶段、系统培训阶段、系统部署阶段、硬件安装调试、系统试运行阶段、系统验收阶段做出详细的实施方案。对项目的组织机构、人员及职责、工作内容、进度计划做出详细的安排。</w:t>
      </w:r>
      <w:r/>
    </w:p>
    <w:p>
      <w:pPr>
        <w:pStyle w:val="692"/>
        <w:ind w:firstLine="480"/>
        <w:spacing w:line="360" w:lineRule="auto"/>
        <w:widowControl/>
        <w:rPr>
          <w:sz w:val="24"/>
          <w:szCs w:val="24"/>
        </w:rPr>
      </w:pPr>
      <w:r>
        <w:rPr>
          <w:sz w:val="24"/>
          <w:szCs w:val="24"/>
        </w:rPr>
        <w:t xml:space="preserve">项目实施流程需按照医院管理规定进行，详细记录系统开发上线的全过程，形成完善的工作文档（包括开发、测试、培训、发布等相关文档），并在信息管理系统中归档。</w:t>
      </w:r>
      <w:r/>
    </w:p>
    <w:p>
      <w:pPr>
        <w:pStyle w:val="692"/>
        <w:ind w:firstLine="480"/>
        <w:spacing w:line="360" w:lineRule="auto"/>
        <w:widowControl/>
        <w:rPr>
          <w:sz w:val="24"/>
          <w:szCs w:val="24"/>
        </w:rPr>
      </w:pPr>
      <w:r>
        <w:rPr>
          <w:sz w:val="24"/>
          <w:szCs w:val="24"/>
        </w:rPr>
        <w:t xml:space="preserve">需遵守医院的信息安全规章制度，未经许可不得泄露医院任何资料包括技术文档，数据文件，应用程序等，遵守患者隐私保护相关规定，不得泄露患者个人资料、医疗档案等。 </w:t>
      </w:r>
      <w:r/>
    </w:p>
    <w:p>
      <w:pPr>
        <w:pStyle w:val="692"/>
        <w:ind w:firstLine="480"/>
        <w:spacing w:line="360" w:lineRule="auto"/>
        <w:widowControl/>
        <w:rPr>
          <w:sz w:val="24"/>
          <w:szCs w:val="24"/>
        </w:rPr>
      </w:pPr>
      <w:r>
        <w:rPr>
          <w:sz w:val="24"/>
          <w:szCs w:val="24"/>
        </w:rPr>
        <w:t xml:space="preserve">供应商应具有完善的质量管理和控制体系。对本项目的风险预见以及风险规避有系统的解决方案，对项目进行中的突发事件有应急预案。</w:t>
      </w:r>
      <w:r/>
    </w:p>
    <w:p>
      <w:pPr>
        <w:pStyle w:val="692"/>
        <w:ind w:firstLine="480"/>
        <w:spacing w:line="360" w:lineRule="auto"/>
        <w:widowControl/>
        <w:rPr>
          <w:rFonts w:hint="eastAsia"/>
          <w:sz w:val="24"/>
          <w:szCs w:val="24"/>
        </w:rPr>
      </w:pPr>
      <w:r>
        <w:rPr>
          <w:rFonts w:hint="eastAsia"/>
          <w:sz w:val="24"/>
          <w:szCs w:val="24"/>
        </w:rPr>
        <w:t xml:space="preserve">供应商应在本章节基础上，提供详细的项目实施方案，至少包含以下内容：</w:t>
      </w:r>
      <w:r/>
    </w:p>
    <w:p>
      <w:pPr>
        <w:pStyle w:val="692"/>
        <w:ind w:firstLine="480"/>
        <w:spacing w:line="360" w:lineRule="auto"/>
        <w:widowControl/>
        <w:rPr>
          <w:rFonts w:hint="eastAsia"/>
          <w:sz w:val="24"/>
          <w:szCs w:val="24"/>
        </w:rPr>
      </w:pPr>
      <w:r>
        <w:rPr>
          <w:rFonts w:hint="eastAsia"/>
          <w:sz w:val="24"/>
          <w:szCs w:val="24"/>
        </w:rPr>
        <w:t xml:space="preserve">① 项目组织架构：项目团队组成、角色分工、职责说明；</w:t>
      </w:r>
      <w:r/>
    </w:p>
    <w:p>
      <w:pPr>
        <w:pStyle w:val="692"/>
        <w:ind w:firstLine="480"/>
        <w:spacing w:line="360" w:lineRule="auto"/>
        <w:widowControl/>
        <w:rPr>
          <w:rFonts w:hint="eastAsia"/>
          <w:sz w:val="24"/>
          <w:szCs w:val="24"/>
        </w:rPr>
      </w:pPr>
      <w:r>
        <w:rPr>
          <w:rFonts w:hint="eastAsia"/>
          <w:sz w:val="24"/>
          <w:szCs w:val="24"/>
        </w:rPr>
        <w:t xml:space="preserve">② 进度计划：各阶段任务分解、时间节点、里程碑设置；</w:t>
      </w:r>
      <w:r/>
    </w:p>
    <w:p>
      <w:pPr>
        <w:pStyle w:val="692"/>
        <w:ind w:firstLine="480"/>
        <w:spacing w:line="360" w:lineRule="auto"/>
        <w:widowControl/>
        <w:rPr>
          <w:rFonts w:hint="eastAsia"/>
          <w:sz w:val="24"/>
          <w:szCs w:val="24"/>
        </w:rPr>
      </w:pPr>
      <w:r>
        <w:rPr>
          <w:rFonts w:hint="eastAsia"/>
          <w:sz w:val="24"/>
          <w:szCs w:val="24"/>
        </w:rPr>
        <w:t xml:space="preserve">③ 风险控制：风险识别、应对措施、应急预案；</w:t>
      </w:r>
      <w:r/>
    </w:p>
    <w:p>
      <w:pPr>
        <w:pStyle w:val="692"/>
        <w:ind w:firstLine="480"/>
        <w:spacing w:line="360" w:lineRule="auto"/>
        <w:widowControl/>
        <w:rPr>
          <w:rFonts w:hint="eastAsia"/>
          <w:sz w:val="24"/>
          <w:szCs w:val="24"/>
        </w:rPr>
      </w:pPr>
      <w:r>
        <w:rPr>
          <w:rFonts w:hint="eastAsia"/>
          <w:sz w:val="24"/>
          <w:szCs w:val="24"/>
        </w:rPr>
        <w:t xml:space="preserve">④ 质量保证：质量控制措施、测试方案、评审机制；</w:t>
      </w:r>
      <w:r/>
    </w:p>
    <w:p>
      <w:pPr>
        <w:pStyle w:val="692"/>
        <w:ind w:firstLine="480"/>
        <w:spacing w:line="360" w:lineRule="auto"/>
        <w:widowControl/>
        <w:rPr>
          <w:rFonts w:hint="eastAsia"/>
          <w:sz w:val="24"/>
          <w:szCs w:val="24"/>
        </w:rPr>
      </w:pPr>
      <w:r>
        <w:rPr>
          <w:rFonts w:hint="eastAsia"/>
          <w:sz w:val="24"/>
          <w:szCs w:val="24"/>
        </w:rPr>
        <w:t xml:space="preserve">⑤ 沟通机制：与采购人的沟通方式、频次、汇报机制。</w:t>
      </w:r>
      <w:r/>
    </w:p>
    <w:p>
      <w:pPr>
        <w:pStyle w:val="692"/>
        <w:ind w:firstLine="480"/>
        <w:jc w:val="left"/>
        <w:spacing w:line="360" w:lineRule="auto"/>
        <w:rPr>
          <w:rFonts w:hint="eastAsia"/>
          <w:sz w:val="24"/>
          <w:szCs w:val="24"/>
        </w:rPr>
      </w:pPr>
      <w:r>
        <w:rPr>
          <w:rFonts w:hint="eastAsia"/>
          <w:sz w:val="24"/>
          <w:szCs w:val="24"/>
        </w:rPr>
        <w:t xml:space="preserve">3. 硬件可扩展性方案</w:t>
      </w:r>
      <w:r/>
    </w:p>
    <w:p>
      <w:pPr>
        <w:pStyle w:val="692"/>
        <w:ind w:firstLine="480"/>
        <w:jc w:val="left"/>
        <w:spacing w:line="360" w:lineRule="auto"/>
        <w:rPr>
          <w:rFonts w:hint="eastAsia"/>
          <w:sz w:val="24"/>
          <w:szCs w:val="24"/>
        </w:rPr>
      </w:pPr>
      <w:r>
        <w:rPr>
          <w:rFonts w:hint="eastAsia"/>
          <w:sz w:val="24"/>
          <w:szCs w:val="24"/>
        </w:rPr>
        <w:t xml:space="preserve">投标人应根据本项目需求，提供系统的可扩展性方案，至少包含以下内容：</w:t>
      </w:r>
      <w:r/>
    </w:p>
    <w:p>
      <w:pPr>
        <w:pStyle w:val="692"/>
        <w:ind w:firstLine="480"/>
        <w:jc w:val="left"/>
        <w:spacing w:line="360" w:lineRule="auto"/>
        <w:rPr>
          <w:rFonts w:hint="eastAsia"/>
          <w:sz w:val="24"/>
          <w:szCs w:val="24"/>
        </w:rPr>
      </w:pPr>
      <w:r>
        <w:rPr>
          <w:rFonts w:hint="eastAsia"/>
          <w:sz w:val="24"/>
          <w:szCs w:val="24"/>
        </w:rPr>
        <w:t xml:space="preserve">（1）存储扩展：数据盘具备扩展能力，支持未来容量增长需求，说明扩展方式和最大支持容量。</w:t>
      </w:r>
      <w:r/>
    </w:p>
    <w:p>
      <w:pPr>
        <w:pStyle w:val="692"/>
        <w:ind w:firstLine="480"/>
        <w:jc w:val="left"/>
        <w:spacing w:line="360" w:lineRule="auto"/>
        <w:rPr>
          <w:rFonts w:hint="eastAsia"/>
          <w:sz w:val="24"/>
          <w:szCs w:val="24"/>
        </w:rPr>
      </w:pPr>
      <w:r>
        <w:rPr>
          <w:rFonts w:hint="eastAsia"/>
          <w:sz w:val="24"/>
          <w:szCs w:val="24"/>
        </w:rPr>
        <w:t xml:space="preserve">（2）功能扩展：系统支持在不中断业务服务的前提下完成功能更新及安全补丁推送，说明升级机制和业务连续性保障措施。</w:t>
      </w:r>
      <w:r/>
    </w:p>
    <w:p>
      <w:pPr>
        <w:pStyle w:val="692"/>
        <w:ind w:firstLine="480"/>
        <w:jc w:val="left"/>
        <w:spacing w:line="360" w:lineRule="auto"/>
        <w:rPr>
          <w:rFonts w:hint="eastAsia"/>
          <w:sz w:val="24"/>
          <w:szCs w:val="24"/>
        </w:rPr>
      </w:pPr>
      <w:r>
        <w:rPr>
          <w:rFonts w:hint="eastAsia"/>
          <w:sz w:val="24"/>
          <w:szCs w:val="24"/>
        </w:rPr>
        <w:t xml:space="preserve">（3）性能扩展：根据业务增长，提供硬件扩容或架构升级建议，说明扩容方案和预期性能提升。</w:t>
      </w:r>
      <w:r/>
    </w:p>
    <w:p>
      <w:pPr>
        <w:pStyle w:val="692"/>
        <w:ind w:firstLine="480"/>
        <w:jc w:val="left"/>
        <w:spacing w:line="360" w:lineRule="auto"/>
        <w:rPr>
          <w:rFonts w:hint="eastAsia"/>
          <w:sz w:val="24"/>
          <w:szCs w:val="24"/>
        </w:rPr>
      </w:pPr>
      <w:r>
        <w:rPr>
          <w:rFonts w:hint="eastAsia"/>
          <w:sz w:val="24"/>
          <w:szCs w:val="24"/>
        </w:rPr>
        <w:t xml:space="preserve">（4）AI模型扩展：支持模型版本管理和更新，支持新增病种诊断模块的扩展，说明模型迭代机制和扩展接口。</w:t>
      </w:r>
      <w:r/>
    </w:p>
    <w:p>
      <w:pPr>
        <w:pStyle w:val="692"/>
        <w:ind w:firstLine="480"/>
        <w:spacing w:line="360" w:lineRule="auto"/>
        <w:widowControl/>
        <w:rPr>
          <w:sz w:val="24"/>
          <w:szCs w:val="24"/>
        </w:rPr>
      </w:pPr>
      <w:r>
        <w:rPr>
          <w:sz w:val="24"/>
          <w:szCs w:val="24"/>
        </w:rPr>
      </w:r>
      <w:r/>
    </w:p>
    <w:p>
      <w:pPr>
        <w:pStyle w:val="692"/>
        <w:spacing w:line="360" w:lineRule="auto"/>
        <w:widowControl/>
        <w:rPr>
          <w:sz w:val="24"/>
          <w:szCs w:val="24"/>
        </w:rPr>
      </w:pPr>
      <w:r>
        <w:rPr>
          <w:rFonts w:hint="eastAsia"/>
          <w:sz w:val="24"/>
          <w:szCs w:val="24"/>
        </w:rPr>
        <w:t xml:space="preserve">    4.</w:t>
      </w:r>
      <w:r>
        <w:rPr>
          <w:sz w:val="24"/>
          <w:szCs w:val="24"/>
        </w:rPr>
        <w:t xml:space="preserve">培训</w:t>
      </w:r>
      <w:r>
        <w:rPr>
          <w:rFonts w:hint="eastAsia"/>
          <w:sz w:val="24"/>
          <w:szCs w:val="24"/>
        </w:rPr>
        <w:t xml:space="preserve">方案</w:t>
      </w:r>
      <w:r>
        <w:rPr>
          <w:sz w:val="24"/>
          <w:szCs w:val="24"/>
        </w:rPr>
        <w:t xml:space="preserve">要求</w:t>
      </w:r>
      <w:r/>
    </w:p>
    <w:p>
      <w:pPr>
        <w:pStyle w:val="692"/>
        <w:ind w:firstLine="480"/>
        <w:spacing w:line="360" w:lineRule="auto"/>
        <w:widowControl/>
        <w:rPr>
          <w:sz w:val="24"/>
          <w:szCs w:val="24"/>
        </w:rPr>
      </w:pPr>
      <w:r>
        <w:rPr>
          <w:sz w:val="24"/>
          <w:szCs w:val="24"/>
        </w:rPr>
        <w:t xml:space="preserve">供应商应提供完善的培训方案，培训方案包含培训内容、培训课时等。系统的培训工作要在系统上线试运行前完成，并在培训前编制专门的培训材料。供应商应安排具备相应资质和经验的技术人员，对采购单位使用部门主要技术人员和骨干用户提供全流程使用及维护培训，对普通用户提供使用培训，确保相关人员能熟练掌握设备或系统的日常使用及维护。</w:t>
      </w:r>
      <w:r/>
    </w:p>
    <w:p>
      <w:pPr>
        <w:pStyle w:val="692"/>
        <w:ind w:firstLine="480"/>
        <w:spacing w:line="360" w:lineRule="auto"/>
        <w:widowControl/>
        <w:rPr>
          <w:rFonts w:hint="eastAsia"/>
          <w:sz w:val="24"/>
          <w:szCs w:val="24"/>
        </w:rPr>
      </w:pPr>
      <w:r>
        <w:rPr>
          <w:rFonts w:hint="eastAsia"/>
          <w:sz w:val="24"/>
          <w:szCs w:val="24"/>
        </w:rPr>
        <w:t xml:space="preserve">供应商应在本章节基础上，提供详细的培训方案，至少包含以下内容：</w:t>
      </w:r>
      <w:r/>
    </w:p>
    <w:p>
      <w:pPr>
        <w:pStyle w:val="692"/>
        <w:ind w:firstLine="480"/>
        <w:spacing w:line="360" w:lineRule="auto"/>
        <w:widowControl/>
        <w:rPr>
          <w:rFonts w:hint="eastAsia"/>
          <w:sz w:val="24"/>
          <w:szCs w:val="24"/>
        </w:rPr>
      </w:pPr>
      <w:r>
        <w:rPr>
          <w:rFonts w:hint="eastAsia"/>
          <w:sz w:val="24"/>
          <w:szCs w:val="24"/>
        </w:rPr>
        <w:t xml:space="preserve">① 培训对象：业务科室人员、信息科维护人员、管理人员；</w:t>
      </w:r>
      <w:r/>
    </w:p>
    <w:p>
      <w:pPr>
        <w:pStyle w:val="692"/>
        <w:ind w:firstLine="480"/>
        <w:spacing w:line="360" w:lineRule="auto"/>
        <w:widowControl/>
        <w:rPr>
          <w:rFonts w:hint="eastAsia"/>
          <w:sz w:val="24"/>
          <w:szCs w:val="24"/>
        </w:rPr>
      </w:pPr>
      <w:r>
        <w:rPr>
          <w:rFonts w:hint="eastAsia"/>
          <w:sz w:val="24"/>
          <w:szCs w:val="24"/>
        </w:rPr>
        <w:t xml:space="preserve">② 培训内容：系统操作、日常维护、故障处理、AI辅助诊断使用；</w:t>
      </w:r>
      <w:r/>
    </w:p>
    <w:p>
      <w:pPr>
        <w:pStyle w:val="692"/>
        <w:ind w:firstLine="480"/>
        <w:spacing w:line="360" w:lineRule="auto"/>
        <w:widowControl/>
        <w:rPr>
          <w:rFonts w:hint="eastAsia"/>
          <w:sz w:val="24"/>
          <w:szCs w:val="24"/>
        </w:rPr>
      </w:pPr>
      <w:r>
        <w:rPr>
          <w:rFonts w:hint="eastAsia"/>
          <w:sz w:val="24"/>
          <w:szCs w:val="24"/>
        </w:rPr>
        <w:t xml:space="preserve">③ 培训方式：现场培训、远程培训、操作手册、培训视频；</w:t>
      </w:r>
      <w:r/>
    </w:p>
    <w:p>
      <w:pPr>
        <w:pStyle w:val="692"/>
        <w:ind w:firstLine="480"/>
        <w:spacing w:line="360" w:lineRule="auto"/>
        <w:widowControl/>
        <w:rPr>
          <w:rFonts w:hint="eastAsia"/>
          <w:sz w:val="24"/>
          <w:szCs w:val="24"/>
        </w:rPr>
      </w:pPr>
      <w:r>
        <w:rPr>
          <w:rFonts w:hint="eastAsia"/>
          <w:sz w:val="24"/>
          <w:szCs w:val="24"/>
        </w:rPr>
        <w:t xml:space="preserve">④ 培训计划：培训时间、课时安排、培训材料；</w:t>
      </w:r>
      <w:r/>
    </w:p>
    <w:p>
      <w:pPr>
        <w:pStyle w:val="692"/>
        <w:ind w:firstLine="480"/>
        <w:spacing w:line="360" w:lineRule="auto"/>
        <w:widowControl/>
        <w:rPr>
          <w:rFonts w:hint="eastAsia"/>
          <w:sz w:val="24"/>
          <w:szCs w:val="24"/>
        </w:rPr>
      </w:pPr>
      <w:r>
        <w:rPr>
          <w:rFonts w:hint="eastAsia"/>
          <w:sz w:val="24"/>
          <w:szCs w:val="24"/>
        </w:rPr>
        <w:t xml:space="preserve">⑤ 考核机制：培训效果评估、上岗考核标准。</w:t>
      </w:r>
      <w:r/>
    </w:p>
    <w:p>
      <w:pPr>
        <w:pStyle w:val="692"/>
        <w:spacing w:line="360" w:lineRule="auto"/>
        <w:widowControl/>
        <w:rPr>
          <w:sz w:val="24"/>
          <w:szCs w:val="24"/>
        </w:rPr>
      </w:pPr>
      <w:r>
        <w:rPr>
          <w:sz w:val="24"/>
          <w:szCs w:val="24"/>
        </w:rPr>
        <w:t xml:space="preserve">4</w:t>
      </w:r>
      <w:r>
        <w:rPr>
          <w:rFonts w:hint="eastAsia"/>
          <w:sz w:val="24"/>
          <w:szCs w:val="24"/>
        </w:rPr>
        <w:t xml:space="preserve">.</w:t>
      </w:r>
      <w:r>
        <w:rPr>
          <w:sz w:val="24"/>
          <w:szCs w:val="24"/>
        </w:rPr>
        <w:t xml:space="preserve">验收要求</w:t>
      </w:r>
      <w:r/>
    </w:p>
    <w:p>
      <w:pPr>
        <w:pStyle w:val="692"/>
        <w:ind w:firstLine="480"/>
        <w:spacing w:line="360" w:lineRule="auto"/>
        <w:widowControl/>
        <w:rPr>
          <w:sz w:val="24"/>
          <w:szCs w:val="24"/>
        </w:rPr>
      </w:pPr>
      <w:r>
        <w:rPr>
          <w:sz w:val="24"/>
          <w:szCs w:val="24"/>
        </w:rPr>
        <w:t xml:space="preserve">本项目正式上线稳定运行3个月并且达到院方的验收标准后，双方组织验收，共同签署验收合格同意书。</w:t>
      </w:r>
      <w:r/>
    </w:p>
    <w:p>
      <w:pPr>
        <w:pStyle w:val="692"/>
        <w:ind w:firstLine="480"/>
        <w:spacing w:line="360" w:lineRule="auto"/>
        <w:widowControl/>
        <w:rPr>
          <w:sz w:val="24"/>
          <w:szCs w:val="24"/>
        </w:rPr>
      </w:pPr>
      <w:r>
        <w:rPr>
          <w:sz w:val="24"/>
          <w:szCs w:val="24"/>
        </w:rPr>
        <w:t xml:space="preserve">在项目验收时应将系统全部有关技术文件、资料、及安装、测试、验收报告、数据结构等文档汇集成册交付院方。</w:t>
      </w:r>
      <w:r/>
    </w:p>
    <w:p>
      <w:pPr>
        <w:pStyle w:val="692"/>
        <w:ind w:firstLine="480"/>
        <w:spacing w:line="360" w:lineRule="auto"/>
        <w:widowControl/>
        <w:rPr>
          <w:sz w:val="24"/>
          <w:szCs w:val="24"/>
        </w:rPr>
      </w:pPr>
      <w:r>
        <w:rPr>
          <w:sz w:val="24"/>
          <w:szCs w:val="24"/>
        </w:rPr>
        <w:t xml:space="preserve">主要验收文档包括但不限于：</w:t>
      </w:r>
      <w:r/>
    </w:p>
    <w:p>
      <w:pPr>
        <w:pStyle w:val="692"/>
        <w:ind w:firstLine="480"/>
        <w:spacing w:line="360" w:lineRule="auto"/>
        <w:widowControl/>
        <w:rPr>
          <w:sz w:val="24"/>
          <w:szCs w:val="24"/>
        </w:rPr>
      </w:pPr>
      <w:r>
        <w:rPr>
          <w:sz w:val="24"/>
          <w:szCs w:val="24"/>
        </w:rPr>
        <w:t xml:space="preserve">安装程序</w:t>
      </w:r>
      <w:r/>
    </w:p>
    <w:p>
      <w:pPr>
        <w:pStyle w:val="692"/>
        <w:ind w:firstLine="480"/>
        <w:spacing w:line="360" w:lineRule="auto"/>
        <w:widowControl/>
        <w:rPr>
          <w:sz w:val="24"/>
          <w:szCs w:val="24"/>
        </w:rPr>
      </w:pPr>
      <w:r>
        <w:rPr>
          <w:sz w:val="24"/>
          <w:szCs w:val="24"/>
        </w:rPr>
        <w:t xml:space="preserve">项目计划书、报告、需求变更单等项目文档</w:t>
      </w:r>
      <w:r/>
    </w:p>
    <w:p>
      <w:pPr>
        <w:pStyle w:val="692"/>
        <w:ind w:firstLine="480"/>
        <w:spacing w:line="360" w:lineRule="auto"/>
        <w:widowControl/>
        <w:rPr>
          <w:sz w:val="24"/>
          <w:szCs w:val="24"/>
        </w:rPr>
      </w:pPr>
      <w:r>
        <w:rPr>
          <w:sz w:val="24"/>
          <w:szCs w:val="24"/>
        </w:rPr>
        <w:t xml:space="preserve">项目实施方案、项目实施计划</w:t>
      </w:r>
      <w:r/>
    </w:p>
    <w:p>
      <w:pPr>
        <w:pStyle w:val="692"/>
        <w:ind w:firstLine="480"/>
        <w:spacing w:line="360" w:lineRule="auto"/>
        <w:widowControl/>
        <w:rPr>
          <w:sz w:val="24"/>
          <w:szCs w:val="24"/>
        </w:rPr>
      </w:pPr>
      <w:r>
        <w:rPr>
          <w:sz w:val="24"/>
          <w:szCs w:val="24"/>
        </w:rPr>
        <w:t xml:space="preserve">系统解决方案</w:t>
      </w:r>
      <w:r/>
    </w:p>
    <w:p>
      <w:pPr>
        <w:pStyle w:val="692"/>
        <w:ind w:firstLine="480"/>
        <w:spacing w:line="360" w:lineRule="auto"/>
        <w:widowControl/>
        <w:rPr>
          <w:sz w:val="24"/>
          <w:szCs w:val="24"/>
        </w:rPr>
      </w:pPr>
      <w:r>
        <w:rPr>
          <w:sz w:val="24"/>
          <w:szCs w:val="24"/>
        </w:rPr>
        <w:t xml:space="preserve">系统应急预案</w:t>
      </w:r>
      <w:r/>
    </w:p>
    <w:p>
      <w:pPr>
        <w:pStyle w:val="692"/>
        <w:ind w:firstLine="480"/>
        <w:spacing w:line="360" w:lineRule="auto"/>
        <w:widowControl/>
        <w:rPr>
          <w:sz w:val="24"/>
          <w:szCs w:val="24"/>
        </w:rPr>
      </w:pPr>
      <w:r>
        <w:rPr>
          <w:sz w:val="24"/>
          <w:szCs w:val="24"/>
        </w:rPr>
        <w:t xml:space="preserve">系统软件说明书、用户手册</w:t>
      </w:r>
      <w:r/>
    </w:p>
    <w:p>
      <w:pPr>
        <w:pStyle w:val="692"/>
        <w:ind w:firstLine="480"/>
        <w:spacing w:line="360" w:lineRule="auto"/>
        <w:widowControl/>
        <w:rPr>
          <w:sz w:val="24"/>
          <w:szCs w:val="24"/>
        </w:rPr>
      </w:pPr>
      <w:r>
        <w:rPr>
          <w:sz w:val="24"/>
          <w:szCs w:val="24"/>
        </w:rPr>
        <w:t xml:space="preserve">系统安装手册（包括服务器数据库的安装）</w:t>
      </w:r>
      <w:r/>
    </w:p>
    <w:p>
      <w:pPr>
        <w:pStyle w:val="692"/>
        <w:ind w:firstLine="480"/>
        <w:spacing w:line="360" w:lineRule="auto"/>
        <w:widowControl/>
        <w:rPr>
          <w:sz w:val="24"/>
          <w:szCs w:val="24"/>
        </w:rPr>
      </w:pPr>
      <w:r>
        <w:rPr>
          <w:sz w:val="24"/>
          <w:szCs w:val="24"/>
        </w:rPr>
        <w:t xml:space="preserve">系统操作手册</w:t>
      </w:r>
      <w:r/>
    </w:p>
    <w:p>
      <w:pPr>
        <w:pStyle w:val="692"/>
        <w:ind w:firstLine="480"/>
        <w:spacing w:line="360" w:lineRule="auto"/>
        <w:widowControl/>
        <w:rPr>
          <w:sz w:val="24"/>
          <w:szCs w:val="24"/>
        </w:rPr>
      </w:pPr>
      <w:r>
        <w:rPr>
          <w:sz w:val="24"/>
          <w:szCs w:val="24"/>
        </w:rPr>
        <w:t xml:space="preserve">系统维护手册</w:t>
      </w:r>
      <w:r/>
    </w:p>
    <w:p>
      <w:pPr>
        <w:pStyle w:val="692"/>
        <w:ind w:firstLine="480"/>
        <w:spacing w:line="360" w:lineRule="auto"/>
        <w:widowControl/>
        <w:rPr>
          <w:sz w:val="24"/>
          <w:szCs w:val="24"/>
        </w:rPr>
      </w:pPr>
      <w:r>
        <w:rPr>
          <w:sz w:val="24"/>
          <w:szCs w:val="24"/>
        </w:rPr>
        <w:t xml:space="preserve">系统验收标准</w:t>
      </w:r>
      <w:r/>
    </w:p>
    <w:p>
      <w:pPr>
        <w:pStyle w:val="692"/>
        <w:ind w:firstLine="480"/>
        <w:spacing w:line="360" w:lineRule="auto"/>
        <w:widowControl/>
        <w:rPr>
          <w:sz w:val="24"/>
          <w:szCs w:val="24"/>
        </w:rPr>
      </w:pPr>
      <w:r>
        <w:rPr>
          <w:sz w:val="24"/>
          <w:szCs w:val="24"/>
        </w:rPr>
        <w:t xml:space="preserve">功能验收报告</w:t>
      </w:r>
      <w:r/>
    </w:p>
    <w:p>
      <w:pPr>
        <w:pStyle w:val="692"/>
        <w:ind w:firstLine="480"/>
        <w:spacing w:line="360" w:lineRule="auto"/>
        <w:widowControl/>
        <w:rPr>
          <w:sz w:val="24"/>
          <w:szCs w:val="24"/>
        </w:rPr>
      </w:pPr>
      <w:r>
        <w:rPr>
          <w:sz w:val="24"/>
          <w:szCs w:val="24"/>
        </w:rPr>
        <w:t xml:space="preserve">总体验收报告</w:t>
      </w:r>
      <w:r/>
    </w:p>
    <w:p>
      <w:pPr>
        <w:pStyle w:val="692"/>
        <w:ind w:firstLine="480"/>
        <w:spacing w:line="360" w:lineRule="auto"/>
        <w:widowControl/>
        <w:rPr>
          <w:sz w:val="24"/>
          <w:szCs w:val="24"/>
        </w:rPr>
      </w:pPr>
      <w:r>
        <w:rPr>
          <w:sz w:val="24"/>
          <w:szCs w:val="24"/>
        </w:rPr>
        <w:t xml:space="preserve">所有子系统后台数据字典（包括表名、主键、索引、字段名称、数据类型、长度、字段中文说明、表数据业务关系描述等）</w:t>
      </w:r>
      <w:r/>
    </w:p>
    <w:p>
      <w:pPr>
        <w:pStyle w:val="692"/>
        <w:ind w:firstLine="480"/>
        <w:spacing w:line="360" w:lineRule="auto"/>
        <w:widowControl/>
        <w:rPr>
          <w:sz w:val="24"/>
          <w:szCs w:val="24"/>
        </w:rPr>
      </w:pPr>
      <w:r>
        <w:rPr>
          <w:sz w:val="24"/>
          <w:szCs w:val="24"/>
        </w:rPr>
        <w:t xml:space="preserve">与第三方系统数据接口技术说明文档</w:t>
      </w:r>
      <w:r/>
    </w:p>
    <w:p>
      <w:pPr>
        <w:pStyle w:val="692"/>
        <w:spacing w:line="360" w:lineRule="auto"/>
        <w:widowControl/>
        <w:rPr>
          <w:sz w:val="24"/>
        </w:rPr>
      </w:pPr>
      <w:r>
        <w:rPr>
          <w:sz w:val="24"/>
        </w:rPr>
      </w:r>
      <w:r/>
    </w:p>
    <w:p>
      <w:pPr>
        <w:pStyle w:val="692"/>
        <w:spacing w:line="360" w:lineRule="auto"/>
        <w:widowControl/>
        <w:rPr>
          <w:rFonts w:hint="eastAsia"/>
          <w:sz w:val="24"/>
        </w:rPr>
      </w:pPr>
      <w:r>
        <w:rPr>
          <w:rFonts w:hint="eastAsia"/>
          <w:sz w:val="24"/>
        </w:rPr>
        <w:t xml:space="preserve">五、商务条款：</w:t>
      </w:r>
      <w:r/>
    </w:p>
    <w:p>
      <w:pPr>
        <w:pStyle w:val="692"/>
        <w:ind w:firstLine="482"/>
        <w:spacing w:line="360" w:lineRule="auto"/>
        <w:widowControl/>
        <w:rPr>
          <w:rFonts w:hint="eastAsia"/>
          <w:sz w:val="24"/>
        </w:rPr>
      </w:pPr>
      <w:r>
        <w:rPr>
          <w:rFonts w:hint="eastAsia" w:ascii="宋体" w:hAnsi="宋体" w:cs="宋体"/>
          <w:b/>
          <w:sz w:val="24"/>
        </w:rPr>
        <w:t xml:space="preserve">（一）质保及售后技术服务要求</w:t>
      </w:r>
      <w:bookmarkStart w:id="103" w:name="OLE_LINK31"/>
      <w:r/>
      <w:bookmarkStart w:id="104" w:name="OLE_LINK32"/>
      <w:r>
        <w:rPr>
          <w:rFonts w:hint="eastAsia"/>
          <w:sz w:val="24"/>
        </w:rPr>
      </w:r>
      <w:r/>
    </w:p>
    <w:p>
      <w:pPr>
        <w:pStyle w:val="692"/>
        <w:ind w:firstLine="480"/>
        <w:spacing w:line="360" w:lineRule="auto"/>
        <w:rPr>
          <w:rFonts w:hint="eastAsia" w:ascii="宋体" w:hAnsi="宋体" w:cs="Arial"/>
          <w:sz w:val="24"/>
        </w:rPr>
      </w:pPr>
      <w:r/>
      <w:bookmarkEnd w:id="103"/>
      <w:r/>
      <w:bookmarkEnd w:id="104"/>
      <w:r>
        <w:rPr>
          <w:rFonts w:hint="eastAsia" w:ascii="宋体" w:hAnsi="宋体" w:cs="宋体"/>
          <w:bCs/>
          <w:sz w:val="24"/>
        </w:rPr>
        <w:t xml:space="preserve">1.1</w:t>
      </w:r>
      <w:r>
        <w:rPr>
          <w:rFonts w:hint="eastAsia" w:ascii="宋体" w:hAnsi="宋体" w:cs="Arial"/>
          <w:sz w:val="24"/>
        </w:rPr>
        <w:t xml:space="preserve">提供原厂质保硬件≥３年、软件≥</w:t>
      </w:r>
      <w:r>
        <w:rPr>
          <w:rFonts w:ascii="宋体" w:hAnsi="宋体" w:cs="Arial"/>
          <w:sz w:val="24"/>
        </w:rPr>
        <w:t xml:space="preserve">1</w:t>
      </w:r>
      <w:r>
        <w:rPr>
          <w:rFonts w:hint="eastAsia" w:ascii="宋体" w:hAnsi="宋体" w:cs="Arial"/>
          <w:sz w:val="24"/>
        </w:rPr>
        <w:t xml:space="preserve">年，自采购人验收合格，验收报告确认签字日起，开始进入质保期。</w:t>
      </w:r>
      <w:r/>
    </w:p>
    <w:p>
      <w:pPr>
        <w:pStyle w:val="692"/>
        <w:ind w:firstLine="482"/>
        <w:spacing w:line="360" w:lineRule="auto"/>
        <w:widowControl/>
        <w:rPr>
          <w:rFonts w:hint="eastAsia" w:ascii="宋体" w:hAnsi="宋体" w:cs="宋体"/>
          <w:bCs/>
          <w:sz w:val="24"/>
        </w:rPr>
      </w:pPr>
      <w:r>
        <w:rPr>
          <w:rFonts w:hint="eastAsia" w:ascii="宋体" w:hAnsi="宋体" w:cs="宋体"/>
          <w:b/>
          <w:sz w:val="24"/>
        </w:rPr>
        <w:t xml:space="preserve">售后服务与日常维护方案要求</w:t>
      </w:r>
      <w:r>
        <w:rPr>
          <w:rFonts w:hint="eastAsia" w:ascii="宋体" w:hAnsi="宋体" w:cs="宋体"/>
          <w:bCs/>
          <w:sz w:val="24"/>
        </w:rPr>
      </w:r>
      <w:r/>
    </w:p>
    <w:p>
      <w:pPr>
        <w:pStyle w:val="692"/>
        <w:ind w:firstLine="480"/>
        <w:spacing w:line="360" w:lineRule="auto"/>
        <w:rPr>
          <w:rFonts w:ascii="宋体" w:hAnsi="宋体" w:cs="Arial"/>
          <w:sz w:val="24"/>
        </w:rPr>
      </w:pPr>
      <w:r>
        <w:rPr>
          <w:rFonts w:hint="eastAsia" w:ascii="宋体" w:hAnsi="宋体" w:cs="宋体"/>
          <w:bCs/>
          <w:iCs/>
          <w:sz w:val="24"/>
        </w:rPr>
        <w:t xml:space="preserve">1.2</w:t>
      </w:r>
      <w:r>
        <w:rPr>
          <w:rFonts w:hint="eastAsia" w:ascii="宋体" w:hAnsi="宋体" w:cs="宋体"/>
          <w:bCs/>
          <w:sz w:val="24"/>
        </w:rPr>
        <w:t xml:space="preserve"> </w:t>
      </w:r>
      <w:r>
        <w:rPr>
          <w:rFonts w:hint="eastAsia" w:ascii="宋体" w:hAnsi="宋体" w:cs="Arial"/>
          <w:sz w:val="24"/>
        </w:rPr>
        <w:t xml:space="preserve">售后服务方案：</w:t>
      </w:r>
      <w:r>
        <w:rPr>
          <w:rFonts w:ascii="宋体" w:hAnsi="宋体" w:cs="Arial"/>
          <w:sz w:val="24"/>
        </w:rPr>
      </w:r>
      <w:r/>
    </w:p>
    <w:p>
      <w:pPr>
        <w:pStyle w:val="692"/>
        <w:ind w:firstLine="480"/>
        <w:spacing w:line="360" w:lineRule="auto"/>
        <w:rPr>
          <w:rFonts w:hint="eastAsia" w:ascii="宋体" w:hAnsi="宋体" w:cs="Arial"/>
          <w:sz w:val="24"/>
        </w:rPr>
      </w:pPr>
      <w:r>
        <w:rPr>
          <w:rFonts w:hint="eastAsia" w:ascii="宋体" w:hAnsi="宋体" w:cs="Arial"/>
          <w:sz w:val="24"/>
        </w:rPr>
        <w:t xml:space="preserve">1)功能修改：提供免费的同一大版本内系统软件升级服务。针对院方提出一些合理的功能修改要求，若当前软件本身能够解决的，需予以解决。</w:t>
      </w:r>
      <w:r/>
    </w:p>
    <w:p>
      <w:pPr>
        <w:pStyle w:val="692"/>
        <w:ind w:firstLine="480"/>
        <w:spacing w:line="360" w:lineRule="auto"/>
        <w:rPr>
          <w:rFonts w:hint="eastAsia" w:ascii="宋体" w:hAnsi="宋体" w:cs="Arial"/>
          <w:sz w:val="24"/>
        </w:rPr>
      </w:pPr>
      <w:r>
        <w:rPr>
          <w:rFonts w:hint="eastAsia" w:ascii="宋体" w:hAnsi="宋体" w:cs="Arial"/>
          <w:sz w:val="24"/>
        </w:rPr>
        <w:t xml:space="preserve">2)服务响应机制：提供软件故障免费上门解决、排除服务。维保期内，供应商应保证至少有一名工程师驻场提供服务，小型故障恢复时间为12个小时，严重故障恢复时间为24小时内，并及时有效的提供解决方案。</w:t>
      </w:r>
      <w:r/>
    </w:p>
    <w:p>
      <w:pPr>
        <w:pStyle w:val="692"/>
        <w:ind w:firstLine="480"/>
        <w:spacing w:line="360" w:lineRule="auto"/>
        <w:rPr>
          <w:rFonts w:hint="eastAsia" w:ascii="宋体" w:hAnsi="宋体" w:cs="Arial"/>
          <w:sz w:val="24"/>
        </w:rPr>
      </w:pPr>
      <w:r>
        <w:rPr>
          <w:rFonts w:hint="eastAsia" w:ascii="宋体" w:hAnsi="宋体" w:cs="Arial"/>
          <w:sz w:val="24"/>
        </w:rPr>
        <w:t xml:space="preserve">硬件需提供原厂商专业的技术团队支持。</w:t>
      </w:r>
      <w:r/>
    </w:p>
    <w:p>
      <w:pPr>
        <w:pStyle w:val="692"/>
        <w:ind w:firstLine="480"/>
        <w:spacing w:line="360" w:lineRule="auto"/>
        <w:rPr>
          <w:rFonts w:hint="eastAsia" w:ascii="宋体" w:hAnsi="宋体" w:cs="Arial"/>
          <w:sz w:val="24"/>
        </w:rPr>
      </w:pPr>
      <w:r>
        <w:rPr>
          <w:rFonts w:hint="eastAsia" w:ascii="宋体" w:hAnsi="宋体" w:cs="Arial"/>
          <w:sz w:val="24"/>
        </w:rPr>
        <w:t xml:space="preserve">提供7×24 小时免费咨询服务，包括：日常的电话/传真/电子邮件技术服务、问题解答。</w:t>
      </w:r>
      <w:r/>
    </w:p>
    <w:p>
      <w:pPr>
        <w:pStyle w:val="692"/>
        <w:ind w:firstLine="480"/>
        <w:spacing w:line="360" w:lineRule="auto"/>
        <w:rPr>
          <w:rFonts w:hint="eastAsia" w:ascii="宋体" w:hAnsi="宋体" w:cs="Arial"/>
          <w:sz w:val="24"/>
        </w:rPr>
      </w:pPr>
      <w:r>
        <w:rPr>
          <w:rFonts w:hint="eastAsia" w:ascii="宋体" w:hAnsi="宋体" w:cs="Arial"/>
          <w:sz w:val="24"/>
        </w:rPr>
        <w:t xml:space="preserve">提供每月一次的例行正常巡检，在应用系统出现初期故障征兆时，需及时解决问题，最大限度保证系统正常高效运行。每次服务结束后需提供一式两份、公司盖章的书面巡检单或维护单并请使用科室和信息中心负责人签字确认，由医院信息部门负责对维保项目进行质量考核。</w:t>
      </w:r>
      <w:r/>
    </w:p>
    <w:p>
      <w:pPr>
        <w:pStyle w:val="692"/>
        <w:ind w:firstLine="480"/>
        <w:spacing w:line="360" w:lineRule="auto"/>
        <w:rPr>
          <w:rFonts w:hint="eastAsia" w:ascii="宋体" w:hAnsi="宋体" w:cs="Arial"/>
          <w:sz w:val="24"/>
        </w:rPr>
      </w:pPr>
      <w:r>
        <w:rPr>
          <w:rFonts w:hint="eastAsia" w:ascii="宋体" w:hAnsi="宋体" w:cs="Arial"/>
          <w:sz w:val="24"/>
        </w:rPr>
        <w:t xml:space="preserve">3) 需要为医院相关人员提供产品功能和使用培训。</w:t>
      </w:r>
      <w:r/>
    </w:p>
    <w:p>
      <w:pPr>
        <w:pStyle w:val="692"/>
        <w:ind w:firstLine="480"/>
        <w:spacing w:line="360" w:lineRule="auto"/>
        <w:rPr>
          <w:rFonts w:hint="eastAsia" w:ascii="宋体" w:hAnsi="宋体" w:cs="Arial"/>
          <w:sz w:val="24"/>
        </w:rPr>
      </w:pPr>
      <w:r>
        <w:rPr>
          <w:rFonts w:hint="eastAsia" w:ascii="宋体" w:hAnsi="宋体" w:cs="Arial"/>
          <w:sz w:val="24"/>
        </w:rPr>
        <w:t xml:space="preserve">4)运行分析：需定期对院方系统运行情况进行分析，并及时针对系统使用科室的实际工作需求提供系统优化扩展方案。</w:t>
      </w:r>
      <w:r/>
    </w:p>
    <w:p>
      <w:pPr>
        <w:pStyle w:val="692"/>
        <w:ind w:firstLine="480"/>
        <w:spacing w:line="360" w:lineRule="auto"/>
        <w:rPr>
          <w:rFonts w:hint="eastAsia" w:ascii="宋体" w:hAnsi="宋体" w:cs="Arial"/>
          <w:sz w:val="24"/>
        </w:rPr>
      </w:pPr>
      <w:r>
        <w:rPr>
          <w:rFonts w:hint="eastAsia" w:ascii="宋体" w:hAnsi="宋体" w:cs="Arial"/>
          <w:sz w:val="24"/>
        </w:rPr>
        <w:t xml:space="preserve">5)需遵守医院的信息安全规定，对医院的网络、主机、系统软件、应用软件等的密码、核心参数、业务数据等负有保密责任，未经医院书面同意不得随意复制和传播。</w:t>
      </w:r>
      <w:r/>
    </w:p>
    <w:p>
      <w:pPr>
        <w:pStyle w:val="692"/>
        <w:ind w:firstLine="480"/>
        <w:spacing w:line="360" w:lineRule="auto"/>
        <w:rPr>
          <w:rFonts w:hint="eastAsia" w:ascii="宋体" w:hAnsi="宋体" w:cs="Arial"/>
          <w:sz w:val="24"/>
        </w:rPr>
      </w:pPr>
      <w:r>
        <w:rPr>
          <w:rFonts w:hint="eastAsia" w:ascii="宋体" w:hAnsi="宋体" w:cs="Arial"/>
          <w:sz w:val="24"/>
        </w:rPr>
        <w:t xml:space="preserve">6)需及时响应院方的重大维护保障需求，对于医院机房、网络、服务器调整或搬迁等重大维护配合要求，医院提前10个工作日书面通知供应商，需安排技术人员按时提供协助配合。</w:t>
      </w:r>
      <w:r/>
    </w:p>
    <w:p>
      <w:pPr>
        <w:pStyle w:val="692"/>
        <w:ind w:firstLine="480"/>
        <w:spacing w:line="360" w:lineRule="auto"/>
        <w:rPr>
          <w:rFonts w:hint="eastAsia" w:ascii="宋体" w:hAnsi="宋体" w:cs="Arial"/>
          <w:sz w:val="24"/>
        </w:rPr>
      </w:pPr>
      <w:r>
        <w:rPr>
          <w:rFonts w:hint="eastAsia" w:ascii="宋体" w:hAnsi="宋体" w:cs="Arial"/>
          <w:sz w:val="24"/>
        </w:rPr>
        <w:t xml:space="preserve">7）备件保障：提供完整的备件保障流程，包括备件库位置、备件清单、更换流程；</w:t>
      </w:r>
      <w:r/>
    </w:p>
    <w:p>
      <w:pPr>
        <w:pStyle w:val="692"/>
        <w:ind w:firstLine="480"/>
        <w:spacing w:line="360" w:lineRule="auto"/>
        <w:rPr>
          <w:rFonts w:hint="eastAsia" w:ascii="宋体" w:hAnsi="宋体" w:cs="Arial"/>
          <w:sz w:val="24"/>
        </w:rPr>
      </w:pPr>
      <w:r>
        <w:rPr>
          <w:rFonts w:hint="eastAsia" w:ascii="宋体" w:hAnsi="宋体" w:cs="Arial"/>
          <w:sz w:val="24"/>
        </w:rPr>
        <w:t xml:space="preserve">供应商应在本章节基础上，提供详细的售后服务方案，至少包含以下内容：</w:t>
      </w:r>
      <w:r/>
    </w:p>
    <w:p>
      <w:pPr>
        <w:pStyle w:val="692"/>
        <w:ind w:firstLine="480"/>
        <w:spacing w:line="360" w:lineRule="auto"/>
        <w:rPr>
          <w:rFonts w:hint="eastAsia" w:ascii="宋体" w:hAnsi="宋体" w:cs="Arial"/>
          <w:sz w:val="24"/>
        </w:rPr>
      </w:pPr>
      <w:r>
        <w:rPr>
          <w:rFonts w:hint="eastAsia" w:ascii="宋体" w:hAnsi="宋体" w:cs="Arial"/>
          <w:sz w:val="24"/>
        </w:rPr>
        <w:t xml:space="preserve">① 服务响应机制：响应时间、到场时间、解决时间的具体承诺；</w:t>
      </w:r>
      <w:r/>
    </w:p>
    <w:p>
      <w:pPr>
        <w:pStyle w:val="692"/>
        <w:ind w:firstLine="480"/>
        <w:spacing w:line="360" w:lineRule="auto"/>
        <w:rPr>
          <w:rFonts w:hint="eastAsia" w:ascii="宋体" w:hAnsi="宋体" w:cs="Arial"/>
          <w:sz w:val="24"/>
        </w:rPr>
      </w:pPr>
      <w:r>
        <w:rPr>
          <w:rFonts w:hint="eastAsia" w:ascii="宋体" w:hAnsi="宋体" w:cs="Arial"/>
          <w:sz w:val="24"/>
        </w:rPr>
        <w:t xml:space="preserve">② 服务团队配置：售后团队组成、人员资质、驻场安排；</w:t>
      </w:r>
      <w:r/>
    </w:p>
    <w:p>
      <w:pPr>
        <w:pStyle w:val="692"/>
        <w:ind w:firstLine="480"/>
        <w:spacing w:line="360" w:lineRule="auto"/>
        <w:rPr>
          <w:rFonts w:hint="eastAsia" w:ascii="宋体" w:hAnsi="宋体" w:cs="Arial"/>
          <w:sz w:val="24"/>
        </w:rPr>
      </w:pPr>
      <w:r>
        <w:rPr>
          <w:rFonts w:hint="eastAsia" w:ascii="宋体" w:hAnsi="宋体" w:cs="Arial"/>
          <w:sz w:val="24"/>
        </w:rPr>
        <w:t xml:space="preserve">③ 备件保障：备件库位置、备件清单、更换流程；</w:t>
      </w:r>
      <w:r/>
    </w:p>
    <w:p>
      <w:pPr>
        <w:pStyle w:val="692"/>
        <w:ind w:firstLine="480"/>
        <w:spacing w:line="360" w:lineRule="auto"/>
        <w:rPr>
          <w:rFonts w:hint="eastAsia" w:ascii="宋体" w:hAnsi="宋体" w:cs="Arial"/>
          <w:sz w:val="24"/>
        </w:rPr>
      </w:pPr>
      <w:r>
        <w:rPr>
          <w:rFonts w:hint="eastAsia" w:ascii="宋体" w:hAnsi="宋体" w:cs="Arial"/>
          <w:sz w:val="24"/>
        </w:rPr>
        <w:t xml:space="preserve">④ 服务方式：7×24小时电话、远程、现场服务；</w:t>
      </w:r>
      <w:r/>
    </w:p>
    <w:p>
      <w:pPr>
        <w:pStyle w:val="692"/>
        <w:ind w:firstLine="480"/>
        <w:spacing w:line="360" w:lineRule="auto"/>
        <w:rPr>
          <w:rFonts w:hint="eastAsia" w:ascii="宋体" w:hAnsi="宋体" w:cs="Arial"/>
          <w:sz w:val="24"/>
        </w:rPr>
      </w:pPr>
      <w:r>
        <w:rPr>
          <w:rFonts w:hint="eastAsia" w:ascii="宋体" w:hAnsi="宋体" w:cs="Arial"/>
          <w:sz w:val="24"/>
        </w:rPr>
        <w:t xml:space="preserve">⑤ 服务流程：故障报修、处理、升级、关闭的完整流程。</w:t>
      </w:r>
      <w:r/>
    </w:p>
    <w:p>
      <w:pPr>
        <w:pStyle w:val="692"/>
        <w:ind w:firstLine="480"/>
        <w:spacing w:line="360" w:lineRule="auto"/>
        <w:rPr>
          <w:rFonts w:hint="eastAsia" w:ascii="宋体" w:hAnsi="宋体" w:cs="Arial"/>
          <w:sz w:val="24"/>
        </w:rPr>
      </w:pPr>
      <w:r>
        <w:rPr>
          <w:rFonts w:hint="eastAsia" w:ascii="宋体" w:hAnsi="宋体" w:cs="Arial"/>
          <w:sz w:val="24"/>
        </w:rPr>
        <w:t xml:space="preserve">1.3 日常维护方案</w:t>
      </w:r>
      <w:r/>
    </w:p>
    <w:p>
      <w:pPr>
        <w:pStyle w:val="692"/>
        <w:ind w:firstLine="480"/>
        <w:spacing w:line="360" w:lineRule="auto"/>
        <w:rPr>
          <w:rFonts w:hint="eastAsia" w:ascii="宋体" w:hAnsi="宋体" w:cs="Arial"/>
          <w:sz w:val="24"/>
        </w:rPr>
      </w:pPr>
      <w:r>
        <w:rPr>
          <w:rFonts w:hint="eastAsia" w:ascii="宋体" w:hAnsi="宋体" w:cs="Arial"/>
          <w:sz w:val="24"/>
        </w:rPr>
        <w:t xml:space="preserve">1.3.1 定期巡检。 巡检频率：每月至少1次； 巡检内容：系统运行状态、AI推理性能、数据完整性、安全状态、存储空间；输出物：巡检报告（含问题记录、优化建议）</w:t>
      </w:r>
      <w:r/>
    </w:p>
    <w:p>
      <w:pPr>
        <w:pStyle w:val="692"/>
        <w:ind w:firstLine="480"/>
        <w:spacing w:line="360" w:lineRule="auto"/>
        <w:rPr>
          <w:rFonts w:hint="eastAsia" w:ascii="宋体" w:hAnsi="宋体" w:cs="Arial"/>
          <w:sz w:val="24"/>
        </w:rPr>
      </w:pPr>
      <w:r>
        <w:rPr>
          <w:rFonts w:hint="eastAsia" w:ascii="宋体" w:hAnsi="宋体" w:cs="Arial"/>
          <w:sz w:val="24"/>
        </w:rPr>
        <w:t xml:space="preserve">1.3.2. 主动监控与预警。系统健康监控：CPU、内存、磁盘、网络状态实时监控； AI性能监控：推理时间、准确率、并发响应时间；预警机制：资源使用率超阈值、AI性能下降、接口异常时主动告警</w:t>
      </w:r>
      <w:r/>
    </w:p>
    <w:p>
      <w:pPr>
        <w:pStyle w:val="692"/>
        <w:ind w:firstLine="480"/>
        <w:spacing w:line="360" w:lineRule="auto"/>
        <w:rPr>
          <w:rFonts w:hint="eastAsia" w:ascii="宋体" w:hAnsi="宋体" w:cs="Arial"/>
          <w:sz w:val="24"/>
        </w:rPr>
      </w:pPr>
      <w:r>
        <w:rPr>
          <w:rFonts w:hint="eastAsia" w:ascii="宋体" w:hAnsi="宋体" w:cs="Arial"/>
          <w:sz w:val="24"/>
        </w:rPr>
        <w:t xml:space="preserve">1.3.3. 数据维护。每日自动备份，定期验证备份可恢复性；数据归档策略：历史数据自动归档至低成本存储；日志管理：操作日志保留≥180天，定期清理</w:t>
      </w:r>
      <w:r/>
    </w:p>
    <w:p>
      <w:pPr>
        <w:pStyle w:val="692"/>
        <w:ind w:firstLine="480"/>
        <w:spacing w:line="360" w:lineRule="auto"/>
        <w:rPr>
          <w:rFonts w:hint="eastAsia" w:ascii="宋体" w:hAnsi="宋体" w:cs="Arial"/>
          <w:sz w:val="24"/>
        </w:rPr>
      </w:pPr>
      <w:r>
        <w:rPr>
          <w:rFonts w:hint="eastAsia" w:ascii="宋体" w:hAnsi="宋体" w:cs="Arial"/>
          <w:sz w:val="24"/>
        </w:rPr>
        <w:t xml:space="preserve">1.3.4. 安全维护，每季度进行漏洞扫描；配合等保三级年度测评；安全补丁：中高危漏洞30个工作日内推送修复方案；安全加固：根据测评报告进行整改</w:t>
      </w:r>
      <w:r/>
    </w:p>
    <w:p>
      <w:pPr>
        <w:pStyle w:val="692"/>
        <w:ind w:firstLine="480"/>
        <w:spacing w:line="360" w:lineRule="auto"/>
        <w:rPr>
          <w:rFonts w:hint="eastAsia" w:ascii="宋体" w:hAnsi="宋体" w:cs="Arial"/>
          <w:sz w:val="24"/>
        </w:rPr>
      </w:pPr>
      <w:r>
        <w:rPr>
          <w:rFonts w:hint="eastAsia" w:ascii="宋体" w:hAnsi="宋体" w:cs="Arial"/>
          <w:sz w:val="24"/>
        </w:rPr>
        <w:t xml:space="preserve">1.3.5. 性能优化。每季度分析AI推理性能，提供优化建议；根据业务增长，提供硬件扩容或架构升级建议；模型版本管理：定期评估AI模型更新，推送优化版本</w:t>
      </w:r>
      <w:r/>
    </w:p>
    <w:p>
      <w:pPr>
        <w:pStyle w:val="692"/>
        <w:ind w:firstLine="480"/>
        <w:spacing w:line="360" w:lineRule="auto"/>
        <w:rPr>
          <w:rFonts w:hint="eastAsia" w:ascii="宋体" w:hAnsi="宋体" w:cs="Arial"/>
          <w:sz w:val="24"/>
        </w:rPr>
      </w:pPr>
      <w:r>
        <w:rPr>
          <w:rFonts w:hint="eastAsia" w:ascii="宋体" w:hAnsi="宋体" w:cs="Arial"/>
          <w:sz w:val="24"/>
        </w:rPr>
        <w:t xml:space="preserve">1.3.6. 文档交付。巡检报告：每月提交；维护记录：每次维护后提交；年度维护总结报告：每年提交</w:t>
      </w:r>
      <w:r/>
    </w:p>
    <w:p>
      <w:pPr>
        <w:pStyle w:val="692"/>
        <w:ind w:firstLine="480"/>
        <w:rPr>
          <w:i/>
          <w:iCs/>
          <w:u w:val="single"/>
        </w:rPr>
      </w:pPr>
      <w:r>
        <w:rPr>
          <w:rFonts w:hint="eastAsia" w:ascii="宋体" w:hAnsi="宋体" w:cs="宋体"/>
          <w:bCs/>
          <w:i/>
          <w:iCs/>
          <w:sz w:val="24"/>
          <w:u w:val="single"/>
        </w:rPr>
        <w:t xml:space="preserve">1.4 </w:t>
      </w:r>
      <w:r>
        <w:rPr>
          <w:rFonts w:hint="eastAsia" w:ascii="宋体" w:hAnsi="宋体"/>
          <w:i/>
          <w:iCs/>
          <w:sz w:val="24"/>
          <w:u w:val="single"/>
        </w:rPr>
        <w:t xml:space="preserve">供应商需提供以下书面承诺：</w:t>
      </w:r>
      <w:r>
        <w:rPr>
          <w:i/>
          <w:iCs/>
          <w:u w:val="single"/>
        </w:rPr>
      </w:r>
      <w:r/>
    </w:p>
    <w:p>
      <w:pPr>
        <w:pStyle w:val="692"/>
        <w:ind w:firstLine="480"/>
        <w:spacing w:line="360" w:lineRule="auto"/>
        <w:rPr>
          <w:rFonts w:hint="eastAsia" w:ascii="宋体" w:hAnsi="宋体"/>
          <w:i/>
          <w:iCs/>
          <w:sz w:val="24"/>
          <w:u w:val="single"/>
        </w:rPr>
      </w:pPr>
      <w:r>
        <w:rPr>
          <w:rFonts w:hint="eastAsia" w:ascii="宋体" w:hAnsi="宋体"/>
          <w:i/>
          <w:iCs/>
          <w:sz w:val="24"/>
          <w:u w:val="single"/>
        </w:rPr>
        <w:t xml:space="preserve">（1）</w:t>
        <w:tab/>
        <w:t xml:space="preserve">本次采购的软件要求不影响现有的业务系统，供应商要负责平台的部署。本项目投标总报价包括本次采购、安装调试、数据和售后服务等所有费用；</w:t>
      </w:r>
      <w:r/>
    </w:p>
    <w:p>
      <w:pPr>
        <w:pStyle w:val="692"/>
        <w:ind w:firstLine="480"/>
        <w:spacing w:line="360" w:lineRule="auto"/>
        <w:rPr>
          <w:rFonts w:hint="eastAsia" w:ascii="宋体" w:hAnsi="宋体"/>
          <w:i/>
          <w:iCs/>
          <w:sz w:val="24"/>
          <w:u w:val="single"/>
        </w:rPr>
      </w:pPr>
      <w:r>
        <w:rPr>
          <w:rFonts w:hint="eastAsia" w:ascii="宋体" w:hAnsi="宋体"/>
          <w:i/>
          <w:iCs/>
          <w:sz w:val="24"/>
          <w:u w:val="single"/>
        </w:rPr>
        <w:t xml:space="preserve">（2）</w:t>
        <w:tab/>
        <w:t xml:space="preserve">供应商提供的软件平台（系统）与江苏省中医院现有系统、集成平台无缝集成，包括系统及集成平台所需所有信息。投标系统免费与江苏省中医院集成平台对接，以及免费与江苏省中医院各院区该软件系统间、该系统与其他系统的对接，免费配合江苏省中医院以后的所有过级、评级改造需求。上述工作均含在此次报价中，且不再另行向采购人或系统涉及的第三方收费。</w:t>
      </w:r>
      <w:r>
        <w:rPr>
          <w:rFonts w:hint="eastAsia"/>
          <w:i/>
          <w:iCs/>
          <w:sz w:val="24"/>
          <w:u w:val="single"/>
        </w:rPr>
        <w:t xml:space="preserve">需对接的系统包括且不限于电子病历系统、病理信息管理系统、互联网医院系统,</w:t>
      </w:r>
      <w:r>
        <w:rPr>
          <w:rFonts w:hint="eastAsia"/>
          <w:i/>
          <w:iCs/>
          <w:sz w:val="24"/>
          <w:u w:val="single"/>
        </w:rPr>
        <w:t xml:space="preserve">。</w:t>
      </w:r>
      <w:r>
        <w:rPr>
          <w:rFonts w:hint="eastAsia" w:ascii="宋体" w:hAnsi="宋体"/>
          <w:i/>
          <w:iCs/>
          <w:sz w:val="24"/>
          <w:u w:val="single"/>
        </w:rPr>
      </w:r>
      <w:r/>
    </w:p>
    <w:p>
      <w:pPr>
        <w:pStyle w:val="692"/>
        <w:ind w:firstLine="480"/>
        <w:spacing w:line="360" w:lineRule="auto"/>
        <w:rPr>
          <w:rFonts w:hint="eastAsia" w:ascii="宋体" w:hAnsi="宋体"/>
          <w:i/>
          <w:iCs/>
          <w:sz w:val="24"/>
          <w:u w:val="single"/>
        </w:rPr>
      </w:pPr>
      <w:r>
        <w:rPr>
          <w:rFonts w:hint="eastAsia" w:ascii="宋体" w:hAnsi="宋体"/>
          <w:i/>
          <w:iCs/>
          <w:sz w:val="24"/>
          <w:u w:val="single"/>
        </w:rPr>
        <w:t xml:space="preserve">（3）</w:t>
        <w:tab/>
        <w:t xml:space="preserve">供应商提供的软件平台（系统）终身免费开放软、硬件接口（硬件设备费用按报价收取），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或系统涉及的第三方收费。</w:t>
      </w:r>
      <w:r>
        <w:rPr>
          <w:rFonts w:hint="eastAsia"/>
          <w:i/>
          <w:iCs/>
          <w:sz w:val="24"/>
          <w:u w:val="single"/>
        </w:rPr>
        <w:t xml:space="preserve">需对接的系统包括且不限于电子病历系统、病理信息管理系统、互联网医院系统,</w:t>
      </w:r>
      <w:r>
        <w:rPr>
          <w:rFonts w:hint="eastAsia" w:ascii="宋体" w:hAnsi="宋体"/>
          <w:i/>
          <w:iCs/>
          <w:sz w:val="24"/>
          <w:u w:val="single"/>
        </w:rPr>
        <w:t xml:space="preserve">并保证所涉系统正常运行。</w:t>
      </w:r>
      <w:r/>
    </w:p>
    <w:p>
      <w:pPr>
        <w:pStyle w:val="692"/>
        <w:ind w:firstLine="480"/>
        <w:spacing w:line="360" w:lineRule="auto"/>
        <w:rPr>
          <w:rFonts w:ascii="宋体" w:hAnsi="宋体"/>
          <w:i/>
          <w:iCs/>
          <w:sz w:val="24"/>
          <w:u w:val="single"/>
        </w:rPr>
      </w:pPr>
      <w:r>
        <w:rPr>
          <w:rFonts w:hint="eastAsia" w:ascii="宋体" w:hAnsi="宋体"/>
          <w:i/>
          <w:iCs/>
          <w:sz w:val="24"/>
          <w:u w:val="single"/>
        </w:rPr>
        <w:t xml:space="preserve">（4）</w:t>
        <w:tab/>
        <w:t xml:space="preserve">在不涉及大版本升级的情况下，无条件配合医院调整功能、需求。软件功能满足采购人个性化需求修改。且不再另行向采购人收费。并保证所涉系统正常运行。</w:t>
      </w:r>
      <w:r>
        <w:rPr>
          <w:rFonts w:ascii="宋体" w:hAnsi="宋体"/>
          <w:i/>
          <w:iCs/>
          <w:sz w:val="24"/>
          <w:u w:val="single"/>
        </w:rPr>
      </w:r>
      <w:r/>
    </w:p>
    <w:p>
      <w:pPr>
        <w:pStyle w:val="692"/>
        <w:ind w:firstLine="480"/>
        <w:spacing w:line="360" w:lineRule="auto"/>
        <w:rPr>
          <w:rFonts w:hint="eastAsia" w:ascii="宋体" w:hAnsi="宋体" w:cs="宋体"/>
          <w:bCs/>
          <w:i/>
          <w:iCs/>
          <w:sz w:val="24"/>
          <w:u w:val="single"/>
        </w:rPr>
      </w:pPr>
      <w:r>
        <w:rPr>
          <w:rFonts w:hint="eastAsia" w:ascii="宋体" w:hAnsi="宋体" w:cs="宋体"/>
          <w:bCs/>
          <w:i/>
          <w:iCs/>
          <w:sz w:val="24"/>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p>
    <w:p>
      <w:pPr>
        <w:pStyle w:val="692"/>
        <w:ind w:firstLine="480"/>
        <w:spacing w:line="360" w:lineRule="auto"/>
        <w:rPr>
          <w:rFonts w:hint="eastAsia" w:ascii="宋体" w:hAnsi="宋体" w:cs="宋体"/>
          <w:bCs/>
          <w:sz w:val="24"/>
        </w:rPr>
      </w:pPr>
      <w:r>
        <w:rPr>
          <w:rFonts w:hint="eastAsia" w:ascii="宋体" w:hAnsi="宋体" w:cs="宋体"/>
          <w:bCs/>
          <w:sz w:val="24"/>
        </w:rPr>
      </w:r>
      <w:r/>
    </w:p>
    <w:p>
      <w:pPr>
        <w:pStyle w:val="692"/>
        <w:ind w:firstLine="482"/>
        <w:spacing w:line="360" w:lineRule="auto"/>
        <w:rPr>
          <w:rFonts w:hint="eastAsia" w:ascii="宋体" w:hAnsi="宋体" w:cs="宋体"/>
          <w:b/>
          <w:sz w:val="24"/>
        </w:rPr>
      </w:pPr>
      <w:r>
        <w:rPr>
          <w:rFonts w:hint="eastAsia" w:ascii="宋体" w:hAnsi="宋体" w:cs="宋体"/>
          <w:b/>
          <w:sz w:val="24"/>
        </w:rPr>
        <w:t xml:space="preserve">（二）交</w:t>
      </w:r>
      <w:bookmarkStart w:id="105" w:name="OLE_LINK21"/>
      <w:r>
        <w:rPr>
          <w:rFonts w:hint="eastAsia" w:ascii="宋体" w:hAnsi="宋体" w:cs="宋体"/>
          <w:b/>
          <w:sz w:val="24"/>
        </w:rPr>
        <w:t xml:space="preserve">付</w:t>
      </w:r>
      <w:bookmarkEnd w:id="105"/>
      <w:r>
        <w:rPr>
          <w:rFonts w:hint="eastAsia" w:ascii="宋体" w:hAnsi="宋体" w:cs="宋体"/>
          <w:b/>
          <w:sz w:val="24"/>
        </w:rPr>
        <w:t xml:space="preserve">期、交付方式及交付地点</w:t>
      </w:r>
      <w:r/>
    </w:p>
    <w:p>
      <w:pPr>
        <w:pStyle w:val="692"/>
        <w:ind w:firstLine="480"/>
        <w:spacing w:line="360" w:lineRule="auto"/>
        <w:rPr>
          <w:rFonts w:hint="eastAsia" w:ascii="宋体" w:hAnsi="宋体" w:cs="宋体"/>
          <w:b/>
          <w:sz w:val="24"/>
        </w:rPr>
      </w:pPr>
      <w:r>
        <w:rPr>
          <w:rFonts w:hint="eastAsia" w:ascii="宋体" w:hAnsi="宋体" w:cs="宋体"/>
          <w:bCs/>
          <w:sz w:val="24"/>
        </w:rPr>
        <w:t xml:space="preserve">2.1交</w:t>
      </w:r>
      <w:r>
        <w:rPr>
          <w:rFonts w:hint="eastAsia" w:ascii="宋体" w:hAnsi="宋体" w:cs="宋体"/>
          <w:b/>
          <w:sz w:val="24"/>
        </w:rPr>
        <w:t xml:space="preserve">付</w:t>
      </w:r>
      <w:r>
        <w:rPr>
          <w:rFonts w:hint="eastAsia" w:ascii="宋体" w:hAnsi="宋体" w:cs="宋体"/>
          <w:bCs/>
          <w:sz w:val="24"/>
        </w:rPr>
        <w:t xml:space="preserve">期：合同签订后90个工作日</w:t>
      </w:r>
      <w:r>
        <w:rPr>
          <w:rFonts w:hint="eastAsia" w:ascii="宋体" w:hAnsi="宋体" w:cs="宋体"/>
          <w:b/>
          <w:sz w:val="24"/>
        </w:rPr>
      </w:r>
      <w:r/>
    </w:p>
    <w:p>
      <w:pPr>
        <w:pStyle w:val="692"/>
        <w:ind w:firstLine="480"/>
        <w:spacing w:line="360" w:lineRule="auto"/>
        <w:rPr>
          <w:rFonts w:hint="eastAsia" w:ascii="宋体" w:hAnsi="宋体" w:cs="宋体"/>
          <w:bCs/>
          <w:sz w:val="24"/>
        </w:rPr>
      </w:pPr>
      <w:r>
        <w:rPr>
          <w:rFonts w:hint="eastAsia" w:ascii="宋体" w:hAnsi="宋体" w:cs="宋体"/>
          <w:bCs/>
          <w:sz w:val="24"/>
        </w:rPr>
        <w:t xml:space="preserve">2.2交</w:t>
      </w:r>
      <w:r>
        <w:rPr>
          <w:rFonts w:hint="eastAsia" w:ascii="宋体" w:hAnsi="宋体" w:cs="宋体"/>
          <w:b/>
          <w:sz w:val="24"/>
        </w:rPr>
        <w:t xml:space="preserve">付</w:t>
      </w:r>
      <w:r>
        <w:rPr>
          <w:rFonts w:hint="eastAsia" w:ascii="宋体" w:hAnsi="宋体" w:cs="宋体"/>
          <w:bCs/>
          <w:sz w:val="24"/>
        </w:rPr>
        <w:t xml:space="preserve">方式：供应商在采购人指定地点交货，并完成安装、调试。</w:t>
      </w:r>
      <w:r/>
    </w:p>
    <w:p>
      <w:pPr>
        <w:pStyle w:val="692"/>
        <w:ind w:firstLine="480"/>
        <w:spacing w:line="360" w:lineRule="auto"/>
        <w:rPr>
          <w:rFonts w:hint="eastAsia" w:ascii="宋体" w:hAnsi="宋体" w:cs="宋体"/>
          <w:b/>
          <w:sz w:val="24"/>
        </w:rPr>
      </w:pPr>
      <w:r>
        <w:rPr>
          <w:rFonts w:hint="eastAsia" w:ascii="宋体" w:hAnsi="宋体" w:cs="宋体"/>
          <w:bCs/>
          <w:sz w:val="24"/>
        </w:rPr>
        <w:t xml:space="preserve">2.3交</w:t>
      </w:r>
      <w:r>
        <w:rPr>
          <w:rFonts w:hint="eastAsia" w:ascii="宋体" w:hAnsi="宋体" w:cs="宋体"/>
          <w:b/>
          <w:sz w:val="24"/>
        </w:rPr>
        <w:t xml:space="preserve">付</w:t>
      </w:r>
      <w:r>
        <w:rPr>
          <w:rFonts w:hint="eastAsia" w:ascii="宋体" w:hAnsi="宋体" w:cs="宋体"/>
          <w:bCs/>
          <w:sz w:val="24"/>
        </w:rPr>
        <w:t xml:space="preserve">地点：</w:t>
      </w:r>
      <w:r>
        <w:rPr>
          <w:rFonts w:hint="eastAsia" w:ascii="宋体" w:hAnsi="宋体" w:cs="Arial"/>
          <w:sz w:val="24"/>
        </w:rPr>
        <w:t xml:space="preserve">江苏省中医院，由供应商负责办理运输和装卸等，费用由供应商负责，采购人组织验收，检验不合格或不符合质量要求，供应商除无条件退货、返工外，还应承担采购人由此造成的一切损失。</w:t>
      </w:r>
      <w:r>
        <w:rPr>
          <w:rFonts w:hint="eastAsia" w:ascii="宋体" w:hAnsi="宋体" w:cs="宋体"/>
          <w:b/>
          <w:sz w:val="24"/>
        </w:rPr>
      </w:r>
      <w:r/>
    </w:p>
    <w:p>
      <w:pPr>
        <w:pStyle w:val="692"/>
        <w:ind w:firstLine="482"/>
        <w:spacing w:line="360" w:lineRule="auto"/>
        <w:rPr>
          <w:rFonts w:hint="eastAsia" w:ascii="宋体" w:hAnsi="宋体" w:cs="宋体"/>
          <w:b/>
          <w:sz w:val="24"/>
        </w:rPr>
      </w:pPr>
      <w:r>
        <w:rPr>
          <w:rFonts w:hint="eastAsia" w:ascii="宋体" w:hAnsi="宋体" w:cs="宋体"/>
          <w:b/>
          <w:sz w:val="24"/>
        </w:rPr>
        <w:t xml:space="preserve">（三）付款方式</w:t>
      </w:r>
      <w:r/>
    </w:p>
    <w:p>
      <w:pPr>
        <w:pStyle w:val="692"/>
        <w:ind w:left="479"/>
        <w:spacing w:line="360" w:lineRule="auto"/>
        <w:rPr>
          <w:rFonts w:ascii="宋体" w:hAnsi="宋体"/>
          <w:sz w:val="24"/>
        </w:rPr>
      </w:pPr>
      <w:r>
        <w:rPr>
          <w:rFonts w:hint="eastAsia" w:ascii="宋体" w:hAnsi="宋体" w:cs="宋体"/>
          <w:bCs/>
          <w:sz w:val="24"/>
        </w:rPr>
        <w:t xml:space="preserve">3.1</w:t>
      </w:r>
      <w:r>
        <w:rPr>
          <w:rFonts w:hint="eastAsia" w:ascii="宋体" w:hAnsi="宋体"/>
          <w:sz w:val="24"/>
        </w:rPr>
        <w:t xml:space="preserve">本项目</w:t>
      </w:r>
      <w:r>
        <w:rPr>
          <w:rFonts w:hint="eastAsia" w:ascii="宋体" w:hAnsi="宋体"/>
          <w:sz w:val="24"/>
        </w:rPr>
        <w:t xml:space="preserve">合同签订</w:t>
      </w:r>
      <w:r>
        <w:rPr>
          <w:rFonts w:hint="eastAsia" w:ascii="宋体" w:hAnsi="宋体"/>
          <w:sz w:val="24"/>
        </w:rPr>
        <w:t xml:space="preserve">完成</w:t>
      </w:r>
      <w:r>
        <w:rPr>
          <w:rFonts w:hint="eastAsia" w:ascii="宋体" w:hAnsi="宋体"/>
          <w:sz w:val="24"/>
        </w:rPr>
        <w:t xml:space="preserve">并收到乙方发票后10个工作日支付合同总价的30%的预付款，系统进入开发和实施阶段。乙方需提供不低于本次付款金额的发票。</w:t>
      </w:r>
      <w:r>
        <w:rPr>
          <w:rFonts w:ascii="宋体" w:hAnsi="宋体"/>
          <w:sz w:val="24"/>
        </w:rPr>
      </w:r>
      <w:r/>
    </w:p>
    <w:p>
      <w:pPr>
        <w:pStyle w:val="692"/>
        <w:ind w:left="479"/>
        <w:spacing w:line="360" w:lineRule="auto"/>
        <w:rPr>
          <w:rFonts w:ascii="宋体" w:hAnsi="宋体"/>
          <w:sz w:val="24"/>
        </w:rPr>
      </w:pPr>
      <w:r>
        <w:rPr>
          <w:rFonts w:hint="eastAsia" w:ascii="宋体" w:hAnsi="宋体"/>
          <w:sz w:val="24"/>
        </w:rPr>
        <w:t xml:space="preserve">3.2 整个系统经江苏省中医院验收合格并收到乙方发票后10个工作日，支付合同总额的</w:t>
      </w:r>
      <w:r>
        <w:rPr>
          <w:rFonts w:ascii="宋体" w:hAnsi="宋体"/>
          <w:sz w:val="24"/>
        </w:rPr>
        <w:t xml:space="preserve">7</w:t>
      </w:r>
      <w:r>
        <w:rPr>
          <w:rFonts w:hint="eastAsia" w:ascii="宋体" w:hAnsi="宋体"/>
          <w:sz w:val="24"/>
        </w:rPr>
        <w:t xml:space="preserve">0%。系统进入免费维护阶段。乙方本次付款前需提供项目全额发票。</w:t>
      </w:r>
      <w:r>
        <w:rPr>
          <w:rFonts w:ascii="宋体" w:hAnsi="宋体"/>
          <w:sz w:val="24"/>
        </w:rPr>
      </w:r>
      <w:r/>
    </w:p>
    <w:p>
      <w:pPr>
        <w:pStyle w:val="692"/>
        <w:ind w:left="479"/>
        <w:spacing w:line="360" w:lineRule="auto"/>
        <w:rPr>
          <w:rFonts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履约保证金</w:t>
      </w:r>
      <w:r>
        <w:rPr>
          <w:rFonts w:ascii="宋体" w:hAnsi="宋体"/>
          <w:sz w:val="24"/>
        </w:rPr>
      </w:r>
      <w:r/>
    </w:p>
    <w:p>
      <w:pPr>
        <w:pStyle w:val="692"/>
        <w:ind w:firstLine="480"/>
        <w:spacing w:line="360" w:lineRule="auto"/>
        <w:rPr>
          <w:rFonts w:hint="eastAsia" w:ascii="宋体" w:hAnsi="宋体"/>
          <w:sz w:val="24"/>
        </w:rPr>
      </w:pPr>
      <w:r>
        <w:rPr>
          <w:rFonts w:hint="eastAsia" w:ascii="宋体" w:hAnsi="宋体"/>
          <w:sz w:val="24"/>
        </w:rPr>
        <w:t xml:space="preserve">中标人应在合同签订前缴纳合同总价10%的履约保证金。</w:t>
      </w:r>
      <w:r/>
    </w:p>
    <w:p>
      <w:pPr>
        <w:pStyle w:val="692"/>
        <w:ind w:firstLine="480"/>
        <w:spacing w:line="360" w:lineRule="auto"/>
        <w:rPr>
          <w:rFonts w:hint="eastAsia" w:ascii="宋体" w:hAnsi="宋体"/>
          <w:sz w:val="24"/>
        </w:rPr>
      </w:pPr>
      <w:r>
        <w:rPr>
          <w:rFonts w:hint="eastAsia" w:ascii="宋体" w:hAnsi="宋体"/>
          <w:sz w:val="24"/>
        </w:rPr>
        <w:t xml:space="preserve">3.3.1履约保证金应在采购合同签订前提交，除银行电汇、网上银行、数字人民币外，投标人还可选用银行保函、担保公司的保证担保或保险公司的保证保险等多种形式向采购人缴纳；</w:t>
      </w:r>
      <w:r/>
    </w:p>
    <w:p>
      <w:pPr>
        <w:pStyle w:val="692"/>
        <w:ind w:firstLine="480"/>
        <w:spacing w:line="360" w:lineRule="auto"/>
        <w:rPr>
          <w:rFonts w:hint="eastAsia" w:ascii="宋体" w:hAnsi="宋体"/>
          <w:sz w:val="24"/>
        </w:rPr>
      </w:pPr>
      <w:r>
        <w:rPr>
          <w:rFonts w:hint="eastAsia" w:ascii="宋体" w:hAnsi="宋体"/>
          <w:sz w:val="24"/>
        </w:rPr>
        <w:t xml:space="preserve">3.3.2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692"/>
        <w:ind w:firstLine="480"/>
        <w:spacing w:line="360" w:lineRule="auto"/>
        <w:rPr>
          <w:rFonts w:hint="eastAsia" w:ascii="宋体" w:hAnsi="宋体"/>
          <w:sz w:val="24"/>
        </w:rPr>
      </w:pPr>
      <w:r>
        <w:rPr>
          <w:rFonts w:hint="eastAsia" w:ascii="宋体" w:hAnsi="宋体"/>
          <w:sz w:val="24"/>
        </w:rPr>
        <w:t xml:space="preserve">3.3.3履约保证金退还的条件：采购人在项目通过验收后按照合同条款规定的时间内将履约保证金退还中标人；</w:t>
      </w:r>
      <w:r/>
    </w:p>
    <w:p>
      <w:pPr>
        <w:pStyle w:val="692"/>
        <w:ind w:firstLine="480"/>
        <w:spacing w:line="360" w:lineRule="auto"/>
        <w:rPr>
          <w:rFonts w:hint="eastAsia" w:ascii="宋体" w:hAnsi="宋体"/>
          <w:sz w:val="24"/>
        </w:rPr>
      </w:pPr>
      <w:r>
        <w:rPr>
          <w:rFonts w:hint="eastAsia" w:ascii="宋体" w:hAnsi="宋体"/>
          <w:sz w:val="24"/>
        </w:rPr>
        <w:t xml:space="preserve">履约保证金退还时间：符合退还条件的5个工作日内退还；</w:t>
      </w:r>
      <w:r/>
    </w:p>
    <w:p>
      <w:pPr>
        <w:pStyle w:val="692"/>
        <w:ind w:firstLine="480"/>
        <w:spacing w:line="360" w:lineRule="auto"/>
        <w:rPr>
          <w:rFonts w:hint="eastAsia" w:ascii="宋体" w:hAnsi="宋体"/>
          <w:sz w:val="24"/>
        </w:rPr>
      </w:pPr>
      <w:r>
        <w:rPr>
          <w:rFonts w:hint="eastAsia" w:ascii="宋体" w:hAnsi="宋体"/>
          <w:sz w:val="24"/>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692"/>
        <w:ind w:firstLine="480"/>
        <w:spacing w:line="360" w:lineRule="auto"/>
        <w:rPr>
          <w:rFonts w:hint="eastAsia" w:ascii="宋体" w:hAnsi="宋体"/>
          <w:sz w:val="24"/>
        </w:rPr>
      </w:pPr>
      <w:r>
        <w:rPr>
          <w:rFonts w:hint="eastAsia" w:ascii="宋体" w:hAnsi="宋体"/>
          <w:sz w:val="24"/>
        </w:rPr>
        <w:t xml:space="preserve">3.3.4逾期退还履约保证金的违约责任：除应当退还履约保证金外，还应当按照合同条款规定的比例支付超期资金占用费，但因投标人自身原因导致无法及时退还的除外。</w:t>
      </w:r>
      <w:r/>
    </w:p>
    <w:p>
      <w:pPr>
        <w:pStyle w:val="692"/>
        <w:ind w:firstLine="480"/>
        <w:spacing w:line="360" w:lineRule="auto"/>
        <w:rPr>
          <w:rFonts w:hint="eastAsia" w:ascii="宋体" w:hAnsi="宋体"/>
          <w:sz w:val="24"/>
        </w:rPr>
      </w:pPr>
      <w:r>
        <w:rPr>
          <w:rFonts w:hint="eastAsia" w:ascii="宋体" w:hAnsi="宋体"/>
          <w:sz w:val="24"/>
        </w:rPr>
        <w:t xml:space="preserve">3.3.5本项目支持和鼓励投标人使用江苏政府采购电子履约保函（保险）代替缴纳履约保证金。关于办理流程、偿付等内容详见江苏省政府采购网《关于在全省政府采购领域推行电子履约保函（保险）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pStyle w:val="692"/>
        <w:ind w:firstLine="482"/>
        <w:spacing w:line="360" w:lineRule="auto"/>
        <w:rPr>
          <w:rFonts w:hint="eastAsia" w:ascii="宋体" w:hAnsi="宋体" w:cs="宋体"/>
          <w:b/>
          <w:sz w:val="24"/>
        </w:rPr>
      </w:pPr>
      <w:r>
        <w:rPr>
          <w:rFonts w:hint="eastAsia" w:ascii="宋体" w:hAnsi="宋体" w:cs="宋体"/>
          <w:b/>
          <w:sz w:val="24"/>
        </w:rPr>
        <w:t xml:space="preserve">（四）货币</w:t>
      </w:r>
      <w:r/>
    </w:p>
    <w:p>
      <w:pPr>
        <w:pStyle w:val="692"/>
        <w:ind w:firstLine="480"/>
        <w:spacing w:line="360" w:lineRule="auto"/>
        <w:rPr>
          <w:rFonts w:hint="eastAsia" w:ascii="宋体" w:hAnsi="宋体" w:cs="宋体"/>
          <w:sz w:val="24"/>
          <w:lang w:val="zh-CN"/>
        </w:rPr>
      </w:pPr>
      <w:r>
        <w:rPr>
          <w:rFonts w:hint="eastAsia" w:ascii="宋体" w:hAnsi="宋体" w:cs="宋体"/>
          <w:sz w:val="24"/>
          <w:lang w:val="zh-CN"/>
        </w:rPr>
        <w:t xml:space="preserve">本项目单价和总价均采用</w:t>
      </w:r>
      <w:r>
        <w:rPr>
          <w:rFonts w:hint="eastAsia" w:ascii="宋体" w:hAnsi="宋体" w:cs="宋体"/>
          <w:b/>
          <w:sz w:val="24"/>
          <w:lang w:val="zh-CN"/>
        </w:rPr>
        <w:t xml:space="preserve">人民币</w:t>
      </w:r>
      <w:r>
        <w:rPr>
          <w:rFonts w:hint="eastAsia" w:ascii="宋体" w:hAnsi="宋体" w:cs="宋体"/>
          <w:sz w:val="24"/>
          <w:lang w:val="zh-CN"/>
        </w:rPr>
        <w:t xml:space="preserve">报价，以元为单位标注。</w:t>
      </w:r>
      <w:r/>
    </w:p>
    <w:p>
      <w:pPr>
        <w:pStyle w:val="692"/>
        <w:ind w:firstLine="482"/>
        <w:spacing w:line="360" w:lineRule="auto"/>
        <w:rPr>
          <w:rFonts w:hint="eastAsia" w:ascii="宋体" w:hAnsi="宋体" w:cs="宋体"/>
          <w:b/>
          <w:sz w:val="24"/>
        </w:rPr>
      </w:pPr>
      <w:r>
        <w:rPr>
          <w:rFonts w:hint="eastAsia" w:ascii="宋体" w:hAnsi="宋体" w:cs="宋体"/>
          <w:b/>
          <w:sz w:val="24"/>
        </w:rPr>
        <w:t xml:space="preserve">（五）</w:t>
      </w:r>
      <w:bookmarkStart w:id="106" w:name="OLE_LINK79"/>
      <w:r>
        <w:rPr>
          <w:rFonts w:hint="eastAsia" w:ascii="宋体" w:hAnsi="宋体" w:cs="宋体"/>
          <w:b/>
          <w:sz w:val="24"/>
        </w:rPr>
        <w:t xml:space="preserve">备品备件及耗材等要求</w:t>
      </w:r>
      <w:r/>
    </w:p>
    <w:p>
      <w:pPr>
        <w:pStyle w:val="692"/>
        <w:ind w:firstLine="480"/>
        <w:spacing w:line="360" w:lineRule="auto"/>
        <w:rPr>
          <w:rFonts w:ascii="宋体" w:hAnsi="宋体" w:cs="宋体"/>
          <w:bCs/>
          <w:sz w:val="24"/>
        </w:rPr>
      </w:pPr>
      <w:r>
        <w:rPr>
          <w:rFonts w:hint="eastAsia" w:ascii="宋体" w:hAnsi="宋体" w:cs="宋体"/>
          <w:bCs/>
          <w:sz w:val="24"/>
        </w:rPr>
        <w:t xml:space="preserve">常用备品、备件报价清单需列出，质保期满后，需根据采购人要求提供充足的备品、备件，并按投标时承诺的价格提供。</w:t>
      </w:r>
      <w:r>
        <w:rPr>
          <w:rFonts w:ascii="宋体" w:hAnsi="宋体" w:cs="宋体"/>
          <w:bCs/>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2"/>
        <w:gridCol w:w="2292"/>
        <w:gridCol w:w="2292"/>
        <w:gridCol w:w="2293"/>
      </w:tblGrid>
      <w:tr>
        <w:trPr/>
        <w:tc>
          <w:tcPr>
            <w:tcW w:w="204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t xml:space="preserve">序号</w:t>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t xml:space="preserve">货物名称</w:t>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t xml:space="preserve">备件名称</w:t>
            </w:r>
            <w:r/>
          </w:p>
        </w:tc>
        <w:tc>
          <w:tcPr>
            <w:tcW w:w="2293" w:type="dxa"/>
            <w:vAlign w:val="top"/>
            <w:textDirection w:val="lrTb"/>
            <w:noWrap w:val="false"/>
          </w:tcPr>
          <w:p>
            <w:pPr>
              <w:pStyle w:val="692"/>
              <w:spacing w:line="360" w:lineRule="auto"/>
              <w:rPr>
                <w:rFonts w:ascii="宋体" w:hAnsi="宋体" w:cs="宋体"/>
                <w:bCs/>
                <w:sz w:val="24"/>
              </w:rPr>
            </w:pPr>
            <w:r>
              <w:rPr>
                <w:rFonts w:ascii="宋体" w:hAnsi="宋体" w:cs="宋体"/>
                <w:bCs/>
                <w:sz w:val="24"/>
              </w:rPr>
              <w:t xml:space="preserve">价格</w:t>
            </w:r>
            <w:r/>
          </w:p>
        </w:tc>
      </w:tr>
      <w:tr>
        <w:trPr/>
        <w:tc>
          <w:tcPr>
            <w:tcW w:w="204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3"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r>
      <w:tr>
        <w:trPr/>
        <w:tc>
          <w:tcPr>
            <w:tcW w:w="204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3"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r>
    </w:tbl>
    <w:p>
      <w:pPr>
        <w:pStyle w:val="692"/>
        <w:ind w:firstLine="482"/>
        <w:spacing w:line="360" w:lineRule="auto"/>
        <w:rPr>
          <w:rFonts w:hint="eastAsia" w:ascii="宋体" w:hAnsi="宋体" w:cs="宋体"/>
          <w:b/>
          <w:bCs/>
          <w:sz w:val="24"/>
        </w:rPr>
      </w:pPr>
      <w:r/>
      <w:bookmarkEnd w:id="106"/>
      <w:r>
        <w:rPr>
          <w:rFonts w:hint="eastAsia" w:ascii="宋体" w:hAnsi="宋体" w:cs="宋体"/>
          <w:b/>
          <w:bCs/>
          <w:sz w:val="24"/>
        </w:rPr>
        <w:t xml:space="preserve">（六）出保后年维保价格要求 </w:t>
      </w:r>
      <w:r/>
    </w:p>
    <w:p>
      <w:pPr>
        <w:pStyle w:val="692"/>
        <w:ind w:firstLine="480"/>
        <w:spacing w:line="360" w:lineRule="auto"/>
        <w:rPr>
          <w:rFonts w:ascii="宋体" w:hAnsi="宋体" w:cs="宋体"/>
          <w:bCs/>
          <w:sz w:val="24"/>
        </w:rPr>
      </w:pPr>
      <w:r>
        <w:rPr>
          <w:rFonts w:hint="eastAsia" w:ascii="宋体" w:hAnsi="宋体" w:cs="宋体"/>
          <w:bCs/>
          <w:sz w:val="24"/>
          <w:highlight w:val="white"/>
        </w:rPr>
        <w:t xml:space="preserve">质保期满后，如仍由该项目中标人负责维保的，</w:t>
      </w:r>
      <w:r>
        <w:rPr>
          <w:rFonts w:hint="eastAsia" w:ascii="宋体" w:hAnsi="宋体" w:cs="宋体"/>
          <w:bCs/>
          <w:sz w:val="24"/>
          <w:highlight w:val="white"/>
        </w:rPr>
        <w:t xml:space="preserve">年维保费用不高于合同总价的7%。</w:t>
      </w:r>
      <w:r>
        <w:rPr>
          <w:rFonts w:ascii="宋体" w:hAnsi="宋体" w:cs="宋体"/>
          <w:bCs/>
          <w:sz w:val="24"/>
          <w:highlight w:val="yellow"/>
        </w:rPr>
      </w:r>
      <w:r/>
    </w:p>
    <w:p>
      <w:pPr>
        <w:pStyle w:val="692"/>
        <w:ind w:firstLine="482"/>
        <w:spacing w:line="360" w:lineRule="auto"/>
        <w:widowControl/>
        <w:rPr>
          <w:sz w:val="24"/>
          <w:szCs w:val="24"/>
        </w:rPr>
      </w:pPr>
      <w:r>
        <w:rPr>
          <w:rFonts w:hint="eastAsia" w:ascii="宋体" w:hAnsi="宋体" w:cs="宋体"/>
          <w:b/>
          <w:bCs/>
          <w:sz w:val="24"/>
        </w:rPr>
        <w:t xml:space="preserve">（七）投标人履约能力</w:t>
      </w:r>
      <w:r>
        <w:rPr>
          <w:rFonts w:hint="eastAsia"/>
          <w:sz w:val="24"/>
          <w:szCs w:val="24"/>
        </w:rPr>
        <w:t xml:space="preserve">：</w:t>
      </w:r>
      <w:r>
        <w:rPr>
          <w:sz w:val="24"/>
          <w:szCs w:val="24"/>
        </w:rPr>
      </w:r>
      <w:r/>
    </w:p>
    <w:p>
      <w:pPr>
        <w:pStyle w:val="692"/>
        <w:ind w:firstLine="480"/>
        <w:jc w:val="left"/>
        <w:spacing w:line="360" w:lineRule="auto"/>
        <w:rPr>
          <w:rFonts w:hint="eastAsia"/>
          <w:sz w:val="24"/>
          <w:szCs w:val="24"/>
        </w:rPr>
      </w:pPr>
      <w:r>
        <w:rPr>
          <w:rFonts w:hint="eastAsia"/>
          <w:sz w:val="24"/>
          <w:szCs w:val="24"/>
        </w:rPr>
        <w:t xml:space="preserve">1、 投标人业绩要求：</w:t>
      </w:r>
      <w:r/>
    </w:p>
    <w:p>
      <w:pPr>
        <w:pStyle w:val="692"/>
        <w:ind w:firstLine="480"/>
        <w:jc w:val="left"/>
        <w:spacing w:line="360" w:lineRule="auto"/>
        <w:rPr>
          <w:rFonts w:hint="eastAsia"/>
          <w:sz w:val="24"/>
          <w:szCs w:val="24"/>
        </w:rPr>
      </w:pPr>
      <w:r>
        <w:rPr>
          <w:rFonts w:hint="eastAsia"/>
          <w:sz w:val="24"/>
          <w:szCs w:val="24"/>
        </w:rPr>
        <w:t xml:space="preserve">为证明投标产品具备成熟的应用经验和技术稳定性，投标人应提供2023年1月1日以来同类项目业绩。应包含以下证明材料：</w:t>
      </w:r>
      <w:r/>
    </w:p>
    <w:p>
      <w:pPr>
        <w:pStyle w:val="692"/>
        <w:ind w:firstLine="480"/>
        <w:jc w:val="left"/>
        <w:spacing w:line="360" w:lineRule="auto"/>
        <w:rPr>
          <w:rFonts w:hint="eastAsia"/>
          <w:sz w:val="24"/>
          <w:szCs w:val="24"/>
        </w:rPr>
      </w:pPr>
      <w:r>
        <w:rPr>
          <w:rFonts w:hint="eastAsia"/>
          <w:sz w:val="24"/>
          <w:szCs w:val="24"/>
        </w:rPr>
        <w:t xml:space="preserve">1.1.  采购合同协议书（含签订双方名称、采购内容、签订日期、盖章页等主要信息）；</w:t>
      </w:r>
      <w:r/>
    </w:p>
    <w:p>
      <w:pPr>
        <w:pStyle w:val="692"/>
        <w:ind w:firstLine="480"/>
        <w:jc w:val="left"/>
        <w:spacing w:line="360" w:lineRule="auto"/>
        <w:rPr>
          <w:rFonts w:hint="eastAsia"/>
          <w:sz w:val="24"/>
          <w:szCs w:val="24"/>
        </w:rPr>
      </w:pPr>
      <w:r>
        <w:rPr>
          <w:rFonts w:hint="eastAsia"/>
          <w:sz w:val="24"/>
          <w:szCs w:val="24"/>
        </w:rPr>
        <w:t xml:space="preserve">1.2. 项目验收报告（终端客户签字）。</w:t>
      </w:r>
      <w:r/>
    </w:p>
    <w:p>
      <w:pPr>
        <w:pStyle w:val="692"/>
        <w:ind w:firstLine="480"/>
        <w:jc w:val="left"/>
        <w:spacing w:line="360" w:lineRule="auto"/>
        <w:rPr>
          <w:sz w:val="24"/>
          <w:szCs w:val="24"/>
        </w:rPr>
      </w:pPr>
      <w:r>
        <w:rPr>
          <w:rFonts w:hint="eastAsia"/>
          <w:sz w:val="24"/>
          <w:szCs w:val="24"/>
        </w:rPr>
        <w:t xml:space="preserve">2</w:t>
      </w:r>
      <w:r>
        <w:rPr>
          <w:sz w:val="24"/>
          <w:szCs w:val="24"/>
        </w:rPr>
        <w:t xml:space="preserve">、投标人须为所投宫颈细胞学人工智能辅助诊断系统的软件著作权人，须提供由国家版权局颁发的《计算机软件著作权登记证书》，证书载明的软件名称须与投标产品名称一致或实质性对应。</w:t>
      </w:r>
      <w:r/>
    </w:p>
    <w:p>
      <w:pPr>
        <w:pStyle w:val="692"/>
        <w:ind w:firstLine="480"/>
        <w:spacing w:line="360" w:lineRule="auto"/>
        <w:widowControl/>
        <w:rPr>
          <w:sz w:val="24"/>
          <w:szCs w:val="24"/>
        </w:rPr>
      </w:pPr>
      <w:r>
        <w:rPr>
          <w:rFonts w:hint="eastAsia"/>
          <w:sz w:val="24"/>
          <w:szCs w:val="24"/>
        </w:rPr>
        <w:t xml:space="preserve">3、项目团队</w:t>
      </w:r>
      <w:r>
        <w:rPr>
          <w:sz w:val="24"/>
          <w:szCs w:val="24"/>
        </w:rPr>
      </w:r>
      <w:r/>
    </w:p>
    <w:p>
      <w:pPr>
        <w:pStyle w:val="692"/>
        <w:ind w:firstLine="480"/>
        <w:spacing w:line="360" w:lineRule="auto"/>
        <w:widowControl/>
        <w:rPr>
          <w:rFonts w:hint="eastAsia"/>
          <w:sz w:val="24"/>
          <w:szCs w:val="24"/>
        </w:rPr>
      </w:pPr>
      <w:r>
        <w:rPr>
          <w:sz w:val="24"/>
          <w:szCs w:val="24"/>
        </w:rPr>
        <w:t xml:space="preserve">供应商应成立专门的项目实施团队，项目经理应具有3年以上相关项目实施工作经验（提供项目经理基本情况介绍及供应商</w:t>
      </w:r>
      <w:r>
        <w:rPr>
          <w:rFonts w:hint="eastAsia"/>
          <w:sz w:val="24"/>
          <w:szCs w:val="24"/>
        </w:rPr>
        <w:t xml:space="preserve">近</w:t>
      </w:r>
      <w:r>
        <w:rPr>
          <w:sz w:val="24"/>
          <w:szCs w:val="24"/>
        </w:rPr>
        <w:t xml:space="preserve">6个月以来任意一个月为其缴纳社保的缴费记录），具有信息系统项目管理师证书，参与项目整个开发和实施的过程。项目团队需至少有3名计算机或信息化专业、病理学相关专业的全职人员，提供有关人员学历、从业经验、相关资质证书等证明文件及供应商</w:t>
      </w:r>
      <w:r>
        <w:rPr>
          <w:rFonts w:hint="eastAsia"/>
          <w:sz w:val="24"/>
          <w:szCs w:val="24"/>
        </w:rPr>
        <w:t xml:space="preserve">近</w:t>
      </w:r>
      <w:r>
        <w:rPr>
          <w:sz w:val="24"/>
          <w:szCs w:val="24"/>
        </w:rPr>
        <w:t xml:space="preserve">6个月以来任意一个月为其缴纳社保的缴费记录。并如有驻场人员需遵守院方的各项工作规章制度，并与院方作息时间一致。</w:t>
      </w:r>
      <w:r>
        <w:rPr>
          <w:rFonts w:hint="eastAsia"/>
          <w:sz w:val="24"/>
          <w:szCs w:val="24"/>
        </w:rPr>
      </w:r>
      <w:r/>
    </w:p>
    <w:p>
      <w:pPr>
        <w:pStyle w:val="692"/>
        <w:ind w:firstLine="480"/>
        <w:spacing w:line="360" w:lineRule="auto"/>
        <w:widowControl/>
        <w:rPr>
          <w:rFonts w:hint="eastAsia"/>
          <w:sz w:val="24"/>
          <w:szCs w:val="24"/>
        </w:rPr>
      </w:pPr>
      <w:r>
        <w:rPr>
          <w:sz w:val="24"/>
          <w:szCs w:val="24"/>
        </w:rPr>
        <w:t xml:space="preserve">（八）</w:t>
      </w:r>
      <w:r>
        <w:rPr>
          <w:rFonts w:hint="eastAsia"/>
          <w:sz w:val="24"/>
          <w:szCs w:val="24"/>
        </w:rPr>
        <w:t xml:space="preserve">政府采购中实施本国产品标准及相关政策</w:t>
      </w:r>
      <w:r/>
    </w:p>
    <w:p>
      <w:pPr>
        <w:pStyle w:val="692"/>
        <w:ind w:firstLine="480"/>
        <w:spacing w:line="360" w:lineRule="auto"/>
        <w:widowControl/>
        <w:rPr>
          <w:rFonts w:hint="eastAsia"/>
          <w:sz w:val="24"/>
          <w:szCs w:val="24"/>
        </w:rPr>
      </w:pPr>
      <w:r>
        <w:rPr>
          <w:rFonts w:hint="eastAsia"/>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692"/>
        <w:ind w:firstLine="480"/>
        <w:spacing w:line="360" w:lineRule="auto"/>
        <w:widowControl/>
        <w:rPr>
          <w:rFonts w:hint="eastAsia"/>
          <w:sz w:val="24"/>
          <w:szCs w:val="24"/>
        </w:rPr>
      </w:pPr>
      <w:r>
        <w:rPr>
          <w:rFonts w:hint="eastAsia"/>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2"/>
        <w:ind w:firstLine="480"/>
        <w:spacing w:line="360" w:lineRule="auto"/>
        <w:widowControl/>
        <w:rPr>
          <w:sz w:val="24"/>
          <w:szCs w:val="24"/>
        </w:rPr>
      </w:pPr>
      <w:r>
        <w:rPr>
          <w:rFonts w:hint="eastAsia"/>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szCs w:val="24"/>
        </w:rPr>
      </w:r>
      <w:r/>
    </w:p>
    <w:p>
      <w:pPr>
        <w:pStyle w:val="692"/>
        <w:spacing w:line="0" w:lineRule="atLeast"/>
        <w:rPr>
          <w:rFonts w:ascii="宋体" w:hAnsi="宋体"/>
          <w:sz w:val="24"/>
          <w:szCs w:val="24"/>
        </w:rPr>
      </w:pPr>
      <w:r>
        <w:rPr>
          <w:rFonts w:ascii="宋体" w:hAnsi="宋体"/>
          <w:sz w:val="24"/>
          <w:szCs w:val="24"/>
        </w:rPr>
        <w:br w:type="page" w:clear="all"/>
      </w:r>
      <w:r/>
    </w:p>
    <w:p>
      <w:pPr>
        <w:pStyle w:val="693"/>
        <w:rPr>
          <w:rFonts w:hint="eastAsia" w:ascii="黑体" w:eastAsia="黑体"/>
          <w:bCs/>
          <w:sz w:val="44"/>
        </w:rPr>
      </w:pPr>
      <w:r/>
      <w:bookmarkStart w:id="107"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2"/>
        <w:rPr>
          <w:rFonts w:hint="eastAsia"/>
        </w:rPr>
      </w:pPr>
      <w:r>
        <w:rPr>
          <w:rFonts w:hint="eastAsia"/>
        </w:rPr>
      </w:r>
      <w:r/>
    </w:p>
    <w:p>
      <w:pPr>
        <w:pStyle w:val="784"/>
        <w:ind w:firstLine="439"/>
        <w:rPr>
          <w:rFonts w:hint="eastAsia" w:ascii="宋体" w:hAnsi="宋体"/>
          <w:bCs/>
        </w:rPr>
      </w:pPr>
      <w:r>
        <w:rPr>
          <w:rFonts w:hint="eastAsia" w:ascii="宋体" w:hAnsi="宋体"/>
          <w:bCs/>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711"/>
      </w:tblGrid>
      <w:tr>
        <w:trPr/>
        <w:tc>
          <w:tcPr>
            <w:tcW w:w="1148" w:type="dxa"/>
            <w:vAlign w:val="top"/>
            <w:textDirection w:val="lrTb"/>
            <w:noWrap w:val="false"/>
          </w:tcPr>
          <w:p>
            <w:pPr>
              <w:pStyle w:val="692"/>
              <w:jc w:val="center"/>
              <w:rPr>
                <w:rFonts w:hint="eastAsia" w:ascii="宋体" w:hAnsi="宋体"/>
                <w:bCs/>
                <w:sz w:val="24"/>
                <w:szCs w:val="24"/>
              </w:rPr>
            </w:pPr>
            <w:r>
              <w:rPr>
                <w:rFonts w:hint="eastAsia" w:ascii="宋体" w:hAnsi="宋体"/>
                <w:bCs/>
                <w:sz w:val="24"/>
                <w:szCs w:val="24"/>
              </w:rPr>
              <w:t xml:space="preserve">采购包号</w:t>
            </w:r>
            <w:r/>
          </w:p>
        </w:tc>
        <w:tc>
          <w:tcPr>
            <w:tcW w:w="1610" w:type="dxa"/>
            <w:vAlign w:val="top"/>
            <w:textDirection w:val="lrTb"/>
            <w:noWrap w:val="false"/>
          </w:tcPr>
          <w:p>
            <w:pPr>
              <w:pStyle w:val="692"/>
              <w:jc w:val="center"/>
              <w:rPr>
                <w:rFonts w:hint="eastAsia" w:ascii="宋体" w:hAnsi="宋体"/>
                <w:bCs/>
                <w:sz w:val="24"/>
                <w:szCs w:val="24"/>
              </w:rPr>
            </w:pPr>
            <w:r>
              <w:rPr>
                <w:rFonts w:hint="eastAsia" w:ascii="宋体" w:hAnsi="宋体"/>
                <w:bCs/>
                <w:sz w:val="24"/>
                <w:szCs w:val="24"/>
              </w:rPr>
              <w:t xml:space="preserve">选取中标候选人数量</w:t>
            </w:r>
            <w:r/>
          </w:p>
        </w:tc>
        <w:tc>
          <w:tcPr>
            <w:tcW w:w="5711" w:type="dxa"/>
            <w:vAlign w:val="top"/>
            <w:textDirection w:val="lrTb"/>
            <w:noWrap w:val="false"/>
          </w:tcPr>
          <w:p>
            <w:pPr>
              <w:pStyle w:val="692"/>
              <w:jc w:val="center"/>
              <w:rPr>
                <w:rFonts w:hint="eastAsia" w:ascii="宋体" w:hAnsi="宋体"/>
                <w:bCs/>
                <w:sz w:val="24"/>
                <w:szCs w:val="24"/>
              </w:rPr>
            </w:pPr>
            <w:r>
              <w:rPr>
                <w:rFonts w:hint="eastAsia" w:ascii="宋体" w:hAnsi="宋体"/>
                <w:bCs/>
                <w:sz w:val="24"/>
                <w:szCs w:val="24"/>
              </w:rPr>
              <w:t xml:space="preserve">选取中标候选人的原则</w:t>
            </w:r>
            <w:r/>
          </w:p>
        </w:tc>
      </w:tr>
      <w:tr>
        <w:trPr/>
        <w:tc>
          <w:tcPr>
            <w:tcW w:w="1148" w:type="dxa"/>
            <w:vAlign w:val="top"/>
            <w:textDirection w:val="lrTb"/>
            <w:noWrap w:val="false"/>
          </w:tcPr>
          <w:p>
            <w:pPr>
              <w:pStyle w:val="692"/>
              <w:jc w:val="center"/>
              <w:rPr>
                <w:rFonts w:hint="eastAsia" w:ascii="宋体" w:hAnsi="宋体"/>
                <w:bCs/>
                <w:sz w:val="24"/>
                <w:szCs w:val="24"/>
              </w:rPr>
            </w:pPr>
            <w:r>
              <w:rPr>
                <w:rFonts w:hint="eastAsia" w:ascii="宋体" w:hAnsi="宋体"/>
                <w:bCs/>
                <w:sz w:val="24"/>
                <w:szCs w:val="24"/>
              </w:rPr>
              <w:t xml:space="preserve">1</w:t>
            </w:r>
            <w:r/>
          </w:p>
        </w:tc>
        <w:tc>
          <w:tcPr>
            <w:tcW w:w="1610" w:type="dxa"/>
            <w:vAlign w:val="top"/>
            <w:textDirection w:val="lrTb"/>
            <w:noWrap w:val="false"/>
          </w:tcPr>
          <w:p>
            <w:pPr>
              <w:pStyle w:val="692"/>
              <w:jc w:val="center"/>
              <w:rPr>
                <w:rFonts w:hint="eastAsia" w:ascii="宋体" w:hAnsi="宋体"/>
                <w:bCs/>
                <w:sz w:val="24"/>
                <w:szCs w:val="24"/>
              </w:rPr>
            </w:pPr>
            <w:r>
              <w:rPr>
                <w:rFonts w:hint="eastAsia" w:ascii="宋体" w:hAnsi="宋体"/>
                <w:bCs/>
                <w:sz w:val="24"/>
                <w:szCs w:val="24"/>
              </w:rPr>
              <w:t xml:space="preserve">1</w:t>
            </w:r>
            <w:r/>
          </w:p>
        </w:tc>
        <w:tc>
          <w:tcPr>
            <w:tcW w:w="5711" w:type="dxa"/>
            <w:vAlign w:val="top"/>
            <w:textDirection w:val="lrTb"/>
            <w:noWrap w:val="false"/>
          </w:tcPr>
          <w:p>
            <w:pPr>
              <w:pStyle w:val="692"/>
              <w:jc w:val="left"/>
              <w:rPr>
                <w:rFonts w:hint="eastAsia" w:ascii="宋体" w:hAnsi="宋体"/>
                <w:bCs/>
                <w:sz w:val="24"/>
                <w:szCs w:val="24"/>
              </w:rPr>
            </w:pPr>
            <w:r>
              <w:rPr>
                <w:rFonts w:hint="eastAsia" w:ascii="宋体" w:hAnsi="宋体"/>
                <w:bCs/>
                <w:sz w:val="24"/>
                <w:szCs w:val="24"/>
              </w:rPr>
              <w:t xml:space="preserve">满足招标文件全部实质性要求，且按照评审因素的量化指标评审得分最高的投标人为中标候选人。</w:t>
            </w:r>
            <w:r/>
          </w:p>
        </w:tc>
      </w:tr>
    </w:tbl>
    <w:p>
      <w:pPr>
        <w:pStyle w:val="784"/>
        <w:ind w:firstLine="439"/>
        <w:spacing w:line="0" w:lineRule="atLeast"/>
        <w:rPr>
          <w:rFonts w:hint="eastAsia" w:ascii="宋体" w:hAnsi="宋体"/>
          <w:bCs/>
        </w:rPr>
      </w:pPr>
      <w:r>
        <w:rPr>
          <w:rFonts w:hint="eastAsia" w:ascii="宋体" w:hAnsi="宋体"/>
          <w:bCs/>
        </w:rPr>
        <w:t xml:space="preserve">政府采购政策功能落实</w:t>
      </w:r>
      <w:r/>
    </w:p>
    <w:p>
      <w:pPr>
        <w:pStyle w:val="784"/>
        <w:spacing w:line="0" w:lineRule="atLeast"/>
        <w:rPr>
          <w:rFonts w:hint="eastAsia" w:ascii="宋体" w:hAnsi="宋体"/>
          <w:bCs/>
        </w:rPr>
      </w:pPr>
      <w:r>
        <w:rPr>
          <w:rFonts w:hint="eastAsia" w:ascii="宋体" w:hAnsi="宋体"/>
          <w:bCs/>
        </w:rPr>
        <w:t xml:space="preserve">1、小微型企业价格扣除</w:t>
      </w:r>
      <w:r/>
    </w:p>
    <w:p>
      <w:pPr>
        <w:pStyle w:val="784"/>
        <w:ind w:firstLine="360"/>
        <w:spacing w:line="0" w:lineRule="atLeast"/>
        <w:rPr>
          <w:rFonts w:hint="eastAsia" w:ascii="宋体" w:hAnsi="宋体"/>
          <w:bCs/>
        </w:rPr>
      </w:pPr>
      <w:r>
        <w:rPr>
          <w:rFonts w:hint="eastAsia" w:ascii="宋体" w:hAnsi="宋体"/>
          <w:bCs/>
        </w:rPr>
        <w:t xml:space="preserve">（1）本项目对小型和微型企业提供的服务给予10%的扣除价格，用扣除后的价格参与评审</w:t>
      </w:r>
      <w:r/>
    </w:p>
    <w:p>
      <w:pPr>
        <w:pStyle w:val="784"/>
        <w:ind w:firstLine="360"/>
        <w:spacing w:line="0" w:lineRule="atLeast"/>
        <w:rPr>
          <w:rFonts w:hint="eastAsia" w:ascii="宋体" w:hAnsi="宋体"/>
          <w:bCs/>
        </w:rPr>
      </w:pPr>
      <w:r>
        <w:rPr>
          <w:rFonts w:hint="eastAsia" w:ascii="宋体" w:hAnsi="宋体"/>
          <w:bCs/>
        </w:rPr>
        <w:t xml:space="preserve">（2）供应商需按照采购文件的要求提供相应的《中小微企业声明函》。</w:t>
      </w:r>
      <w:r/>
    </w:p>
    <w:p>
      <w:pPr>
        <w:pStyle w:val="784"/>
        <w:spacing w:line="0" w:lineRule="atLeast"/>
        <w:rPr>
          <w:rFonts w:hint="eastAsia" w:ascii="宋体" w:hAnsi="宋体"/>
          <w:bCs/>
        </w:rPr>
      </w:pPr>
      <w:r>
        <w:rPr>
          <w:rFonts w:hint="eastAsia" w:ascii="宋体" w:hAnsi="宋体"/>
          <w:bCs/>
        </w:rPr>
        <w:t xml:space="preserve">2、残疾人福利单位价格扣除</w:t>
      </w:r>
      <w:r/>
    </w:p>
    <w:p>
      <w:pPr>
        <w:pStyle w:val="784"/>
        <w:ind w:left="120" w:firstLine="360"/>
        <w:spacing w:line="0" w:lineRule="atLeast"/>
        <w:rPr>
          <w:rFonts w:hint="eastAsia" w:ascii="宋体" w:hAnsi="宋体"/>
          <w:bCs/>
        </w:rPr>
      </w:pPr>
      <w:r>
        <w:rPr>
          <w:rFonts w:hint="eastAsia" w:ascii="宋体" w:hAnsi="宋体"/>
          <w:bCs/>
        </w:rPr>
        <w:t xml:space="preserve">（1）本项目对残疾人福利性单位视同小型、微型企业，给予10%的价格扣除，用扣除后的价格参与评审。</w:t>
      </w:r>
      <w:r/>
    </w:p>
    <w:p>
      <w:pPr>
        <w:pStyle w:val="784"/>
        <w:ind w:left="120" w:firstLine="360"/>
        <w:spacing w:line="0" w:lineRule="atLeast"/>
        <w:rPr>
          <w:rFonts w:hint="eastAsia" w:ascii="宋体" w:hAnsi="宋体"/>
          <w:bCs/>
        </w:rPr>
      </w:pPr>
      <w:r>
        <w:rPr>
          <w:rFonts w:hint="eastAsia" w:ascii="宋体" w:hAnsi="宋体"/>
          <w:bCs/>
        </w:rPr>
        <w:t xml:space="preserve">（2）残疾人福利单位需按照采购文件的要求提供《残疾人福利性单位声明函》。</w:t>
      </w:r>
      <w:r/>
    </w:p>
    <w:p>
      <w:pPr>
        <w:pStyle w:val="784"/>
        <w:ind w:left="120" w:firstLine="360"/>
        <w:spacing w:line="0" w:lineRule="atLeast"/>
        <w:rPr>
          <w:rFonts w:hint="eastAsia" w:ascii="宋体" w:hAnsi="宋体"/>
          <w:bCs/>
        </w:rPr>
      </w:pPr>
      <w:r>
        <w:rPr>
          <w:rFonts w:hint="eastAsia" w:ascii="宋体" w:hAnsi="宋体"/>
          <w:bCs/>
        </w:rPr>
        <w:t xml:space="preserve">（3）残疾人福利单位标准请参照《关于促进残疾人就业政府采购政策的通知》（财库〔2017〕141号）。</w:t>
      </w:r>
      <w:r/>
    </w:p>
    <w:p>
      <w:pPr>
        <w:pStyle w:val="784"/>
        <w:spacing w:line="0" w:lineRule="atLeast"/>
        <w:rPr>
          <w:rFonts w:hint="eastAsia" w:ascii="宋体" w:hAnsi="宋体"/>
          <w:bCs/>
        </w:rPr>
      </w:pPr>
      <w:r>
        <w:rPr>
          <w:rFonts w:hint="eastAsia" w:ascii="宋体" w:hAnsi="宋体"/>
          <w:bCs/>
        </w:rPr>
        <w:t xml:space="preserve">3、监狱和戒毒企业价格扣除</w:t>
      </w:r>
      <w:r/>
    </w:p>
    <w:p>
      <w:pPr>
        <w:pStyle w:val="784"/>
        <w:spacing w:line="0" w:lineRule="atLeast"/>
        <w:rPr>
          <w:rFonts w:hint="eastAsia" w:ascii="宋体" w:hAnsi="宋体"/>
          <w:bCs/>
        </w:rPr>
      </w:pPr>
      <w:r>
        <w:rPr>
          <w:rFonts w:hint="eastAsia" w:ascii="宋体" w:hAnsi="宋体"/>
          <w:bCs/>
        </w:rPr>
        <w:t xml:space="preserve">（1）本项目对监狱和戒毒企业（简称监狱企业）视同小型、微型企业，给予10%的价格扣除，用扣除后的价格参与评审。</w:t>
      </w:r>
      <w:r/>
    </w:p>
    <w:p>
      <w:pPr>
        <w:pStyle w:val="784"/>
        <w:spacing w:line="0" w:lineRule="atLeast"/>
        <w:rPr>
          <w:rFonts w:hint="eastAsia" w:ascii="宋体" w:hAnsi="宋体"/>
          <w:bCs/>
        </w:rPr>
      </w:pPr>
      <w:r>
        <w:rPr>
          <w:rFonts w:hint="eastAsia" w:ascii="宋体" w:hAnsi="宋体"/>
          <w:bCs/>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4"/>
        <w:spacing w:line="0" w:lineRule="atLeast"/>
        <w:rPr>
          <w:rFonts w:hint="eastAsia" w:ascii="宋体" w:hAnsi="宋体"/>
          <w:bCs/>
        </w:rPr>
      </w:pPr>
      <w:r>
        <w:rPr>
          <w:rFonts w:hint="eastAsia" w:ascii="宋体" w:hAnsi="宋体"/>
          <w:bCs/>
        </w:rPr>
        <w:t xml:space="preserve">（3）监狱企业标准请参照《关于政府采购支持监狱企业发展有关问题的通知》（财库〔2014〕68号）。</w:t>
      </w:r>
      <w:r/>
    </w:p>
    <w:p>
      <w:pPr>
        <w:pStyle w:val="784"/>
        <w:spacing w:line="400" w:lineRule="exact"/>
        <w:rPr>
          <w:rFonts w:hint="eastAsia" w:ascii="宋体" w:hAnsi="宋体"/>
          <w:bCs/>
        </w:rPr>
      </w:pPr>
      <w:r>
        <w:rPr>
          <w:rFonts w:hint="eastAsia" w:ascii="宋体" w:hAnsi="宋体"/>
          <w:bCs/>
        </w:rPr>
        <w:t xml:space="preserve">4、残疾人福利单位、监狱企业属于小型、微型企业的，不重复享受政策。</w:t>
      </w:r>
      <w:r/>
    </w:p>
    <w:p>
      <w:pPr>
        <w:pStyle w:val="784"/>
        <w:spacing w:line="400" w:lineRule="exact"/>
        <w:rPr>
          <w:rFonts w:hint="eastAsia" w:ascii="宋体" w:hAnsi="宋体"/>
        </w:rPr>
      </w:pPr>
      <w:r>
        <w:rPr>
          <w:rFonts w:hint="eastAsia" w:ascii="宋体" w:hAnsi="宋体"/>
        </w:rPr>
        <w:t xml:space="preserve">5.采购本国产品的支持政策</w:t>
      </w:r>
      <w:r/>
    </w:p>
    <w:p>
      <w:pPr>
        <w:pStyle w:val="784"/>
        <w:spacing w:line="400" w:lineRule="exact"/>
        <w:rPr>
          <w:rFonts w:hint="eastAsia" w:ascii="宋体" w:hAnsi="宋体"/>
        </w:rPr>
      </w:pPr>
      <w:r>
        <w:rPr>
          <w:rFonts w:hint="eastAsia" w:ascii="宋体" w:hAnsi="宋体"/>
        </w:rPr>
        <w:t xml:space="preserve">5.1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784"/>
        <w:spacing w:line="400" w:lineRule="exact"/>
        <w:rPr>
          <w:rFonts w:hint="eastAsia" w:ascii="宋体" w:hAnsi="宋体"/>
        </w:rPr>
      </w:pPr>
      <w:r>
        <w:rPr>
          <w:rFonts w:hint="eastAsia" w:ascii="宋体" w:hAnsi="宋体"/>
        </w:rPr>
        <w:t xml:space="preserve">5.2 供应商需按照招标文件的要求提供《关于符合本国产品标准的声明函》（以下简称《声明函》），如不提供将不享受本国产品价格评审优惠。</w:t>
      </w:r>
      <w:r/>
    </w:p>
    <w:p>
      <w:pPr>
        <w:pStyle w:val="784"/>
        <w:spacing w:line="400" w:lineRule="exact"/>
        <w:rPr>
          <w:rFonts w:hint="eastAsia" w:ascii="宋体" w:hAnsi="宋体"/>
        </w:rPr>
      </w:pPr>
      <w:r>
        <w:rPr>
          <w:rFonts w:hint="eastAsia" w:ascii="宋体" w:hAnsi="宋体"/>
        </w:rPr>
        <w:t xml:space="preserve">5.3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784"/>
        <w:spacing w:line="400" w:lineRule="exact"/>
        <w:rPr>
          <w:rFonts w:hint="eastAsia" w:ascii="宋体" w:hAnsi="宋体"/>
        </w:rPr>
      </w:pPr>
      <w:r>
        <w:rPr>
          <w:rFonts w:hint="eastAsia" w:ascii="宋体" w:hAnsi="宋体"/>
        </w:rPr>
        <w:t xml:space="preserve">5.4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4"/>
        <w:ind w:firstLine="482"/>
        <w:spacing w:before="0" w:after="0" w:line="460" w:lineRule="exact"/>
        <w:rPr>
          <w:rFonts w:hint="eastAsia"/>
        </w:rPr>
      </w:pPr>
      <w:r>
        <w:rPr>
          <w:rFonts w:ascii="宋体" w:hAnsi="宋体"/>
          <w:b/>
        </w:rPr>
        <w:br w:type="page" w:clear="all"/>
      </w:r>
      <w:r>
        <w:rPr>
          <w:rFonts w:hint="eastAsia" w:ascii="宋体" w:hAnsi="宋体"/>
          <w:b/>
        </w:rPr>
        <w:t xml:space="preserve">评标方法与评标标准</w:t>
      </w:r>
      <w:r>
        <w:rPr>
          <w:rFonts w:hint="eastAsia"/>
        </w:rPr>
      </w:r>
      <w:r/>
    </w:p>
    <w:p>
      <w:pPr>
        <w:pStyle w:val="692"/>
        <w:spacing w:line="460" w:lineRule="exact"/>
        <w:rPr>
          <w:rFonts w:hint="eastAsia" w:ascii="宋体" w:hAnsi="宋体"/>
          <w:bCs/>
          <w:sz w:val="24"/>
          <w:szCs w:val="24"/>
        </w:rPr>
      </w:pPr>
      <w:r>
        <w:rPr>
          <w:rFonts w:hint="eastAsia" w:ascii="宋体" w:hAnsi="宋体"/>
          <w:bCs/>
          <w:sz w:val="24"/>
          <w:szCs w:val="24"/>
        </w:rPr>
        <w:t xml:space="preserve">一、价格报价（20分）</w:t>
      </w:r>
      <w:r/>
    </w:p>
    <w:p>
      <w:pPr>
        <w:pStyle w:val="692"/>
        <w:ind w:firstLine="480"/>
        <w:spacing w:line="460" w:lineRule="exact"/>
        <w:rPr>
          <w:rFonts w:ascii="宋体" w:hAnsi="宋体"/>
          <w:bCs/>
          <w:sz w:val="24"/>
          <w:szCs w:val="24"/>
          <w:highlight w:val="white"/>
        </w:rPr>
      </w:pPr>
      <w:r>
        <w:rPr>
          <w:rFonts w:ascii="宋体" w:hAnsi="宋体"/>
          <w:bCs/>
          <w:sz w:val="24"/>
          <w:szCs w:val="24"/>
        </w:rPr>
        <w:t xml:space="preserve">1.1价格分采用低价优先法计算，即满足采购文件要求且报价最低的供应商报价为评标基准价，其价格分</w:t>
      </w:r>
      <w:r>
        <w:rPr>
          <w:rFonts w:ascii="宋体" w:hAnsi="宋体"/>
          <w:bCs/>
          <w:sz w:val="24"/>
          <w:szCs w:val="24"/>
          <w:highlight w:val="white"/>
        </w:rPr>
        <w:t xml:space="preserve">为满分</w:t>
      </w:r>
      <w:r>
        <w:rPr>
          <w:rFonts w:hint="eastAsia" w:ascii="宋体" w:hAnsi="宋体"/>
          <w:bCs/>
          <w:sz w:val="24"/>
          <w:szCs w:val="24"/>
          <w:highlight w:val="white"/>
        </w:rPr>
        <w:t xml:space="preserve">20</w:t>
      </w:r>
      <w:r>
        <w:rPr>
          <w:rFonts w:ascii="宋体" w:hAnsi="宋体"/>
          <w:bCs/>
          <w:sz w:val="24"/>
          <w:szCs w:val="24"/>
          <w:highlight w:val="white"/>
        </w:rPr>
        <w:t xml:space="preserve">分，其它投标人的价格分统一按照以下公式计算：投标报价得分=（评标基准价/该投标人的最终投标报价）×</w:t>
      </w:r>
      <w:r>
        <w:rPr>
          <w:rFonts w:hint="eastAsia" w:ascii="宋体" w:hAnsi="宋体"/>
          <w:bCs/>
          <w:sz w:val="24"/>
          <w:szCs w:val="24"/>
          <w:highlight w:val="white"/>
        </w:rPr>
        <w:t xml:space="preserve">20</w:t>
      </w:r>
      <w:r>
        <w:rPr>
          <w:rFonts w:ascii="宋体" w:hAnsi="宋体"/>
          <w:bCs/>
          <w:sz w:val="24"/>
          <w:szCs w:val="24"/>
          <w:highlight w:val="white"/>
        </w:rPr>
        <w:t xml:space="preserve">分。分值保留小数点后2位。</w:t>
      </w:r>
      <w:r>
        <w:rPr>
          <w:highlight w:val="white"/>
        </w:rPr>
      </w:r>
    </w:p>
    <w:p>
      <w:pPr>
        <w:pStyle w:val="692"/>
        <w:spacing w:line="460" w:lineRule="exact"/>
        <w:rPr>
          <w:rFonts w:hint="eastAsia" w:ascii="宋体" w:hAnsi="宋体"/>
          <w:bCs/>
          <w:sz w:val="24"/>
          <w:szCs w:val="24"/>
          <w:highlight w:val="white"/>
        </w:rPr>
      </w:pPr>
      <w:r>
        <w:rPr>
          <w:rFonts w:ascii="宋体" w:hAnsi="宋体"/>
          <w:bCs/>
          <w:sz w:val="24"/>
          <w:szCs w:val="24"/>
          <w:highlight w:val="white"/>
        </w:rPr>
        <w:t xml:space="preserve">二、技术</w:t>
      </w:r>
      <w:r>
        <w:rPr>
          <w:rFonts w:hint="eastAsia" w:ascii="宋体" w:hAnsi="宋体"/>
          <w:bCs/>
          <w:sz w:val="24"/>
          <w:szCs w:val="24"/>
          <w:highlight w:val="white"/>
        </w:rPr>
        <w:t xml:space="preserve">参数要求（</w:t>
      </w:r>
      <w:r>
        <w:rPr>
          <w:rFonts w:hint="eastAsia" w:ascii="宋体" w:hAnsi="宋体"/>
          <w:bCs/>
          <w:sz w:val="24"/>
          <w:szCs w:val="24"/>
          <w:highlight w:val="white"/>
        </w:rPr>
        <w:t xml:space="preserve">35</w:t>
      </w:r>
      <w:r>
        <w:rPr>
          <w:rFonts w:ascii="宋体" w:hAnsi="宋体"/>
          <w:bCs/>
          <w:sz w:val="24"/>
          <w:szCs w:val="24"/>
          <w:highlight w:val="white"/>
        </w:rPr>
        <w:t xml:space="preserve">分</w:t>
      </w:r>
      <w:r>
        <w:rPr>
          <w:rFonts w:hint="eastAsia" w:ascii="宋体" w:hAnsi="宋体"/>
          <w:bCs/>
          <w:sz w:val="24"/>
          <w:szCs w:val="24"/>
          <w:highlight w:val="white"/>
        </w:rPr>
        <w:t xml:space="preserve">）</w:t>
      </w:r>
      <w:r>
        <w:rPr>
          <w:highlight w:val="white"/>
        </w:rPr>
      </w:r>
    </w:p>
    <w:p>
      <w:pPr>
        <w:pStyle w:val="692"/>
        <w:ind w:firstLine="480"/>
        <w:spacing w:line="460" w:lineRule="exact"/>
        <w:rPr>
          <w:rFonts w:hint="eastAsia" w:ascii="宋体" w:hAnsi="宋体"/>
          <w:bCs/>
          <w:sz w:val="24"/>
          <w:szCs w:val="24"/>
          <w:highlight w:val="white"/>
        </w:rPr>
      </w:pPr>
      <w:r>
        <w:rPr>
          <w:rFonts w:ascii="宋体" w:hAnsi="宋体"/>
          <w:bCs/>
          <w:sz w:val="24"/>
          <w:szCs w:val="24"/>
          <w:highlight w:val="white"/>
        </w:rPr>
        <w:t xml:space="preserve">评委会根据投标人对第四章采购需求中“</w:t>
      </w:r>
      <w:r>
        <w:rPr>
          <w:rFonts w:hint="eastAsia" w:ascii="宋体" w:hAnsi="宋体"/>
          <w:bCs/>
          <w:sz w:val="24"/>
          <w:szCs w:val="24"/>
          <w:highlight w:val="white"/>
        </w:rPr>
        <w:t xml:space="preserve">三、技术参数要求</w:t>
      </w:r>
      <w:r>
        <w:rPr>
          <w:rFonts w:ascii="宋体" w:hAnsi="宋体"/>
          <w:bCs/>
          <w:sz w:val="24"/>
          <w:szCs w:val="24"/>
          <w:highlight w:val="white"/>
        </w:rPr>
        <w:t xml:space="preserve">”</w:t>
      </w:r>
      <w:r>
        <w:rPr>
          <w:rFonts w:hint="eastAsia" w:ascii="宋体" w:hAnsi="宋体"/>
          <w:bCs/>
          <w:sz w:val="24"/>
          <w:szCs w:val="24"/>
          <w:highlight w:val="white"/>
        </w:rPr>
        <w:t xml:space="preserve">的</w:t>
      </w:r>
      <w:r>
        <w:rPr>
          <w:rFonts w:ascii="宋体" w:hAnsi="宋体"/>
          <w:bCs/>
          <w:sz w:val="24"/>
          <w:szCs w:val="24"/>
          <w:highlight w:val="white"/>
        </w:rPr>
        <w:t xml:space="preserve">响应情况进行打分。</w:t>
      </w:r>
      <w:r>
        <w:rPr>
          <w:rFonts w:hint="eastAsia" w:ascii="宋体" w:hAnsi="宋体"/>
          <w:bCs/>
          <w:sz w:val="24"/>
          <w:szCs w:val="24"/>
          <w:highlight w:val="white"/>
        </w:rPr>
      </w:r>
      <w:r>
        <w:rPr>
          <w:highlight w:val="white"/>
        </w:rPr>
      </w:r>
    </w:p>
    <w:p>
      <w:pPr>
        <w:pStyle w:val="692"/>
        <w:ind w:firstLine="480"/>
        <w:spacing w:line="460" w:lineRule="exact"/>
        <w:rPr>
          <w:rFonts w:hint="eastAsia" w:ascii="宋体" w:hAnsi="宋体"/>
          <w:bCs/>
          <w:sz w:val="24"/>
          <w:szCs w:val="24"/>
          <w:highlight w:val="white"/>
        </w:rPr>
      </w:pPr>
      <w:r>
        <w:rPr>
          <w:rFonts w:ascii="宋体" w:hAnsi="宋体"/>
          <w:bCs/>
          <w:sz w:val="24"/>
          <w:szCs w:val="24"/>
          <w:highlight w:val="white"/>
        </w:rPr>
        <w:t xml:space="preserve">2.</w:t>
      </w:r>
      <w:r>
        <w:rPr>
          <w:rFonts w:hint="eastAsia" w:ascii="宋体" w:hAnsi="宋体"/>
          <w:bCs/>
          <w:sz w:val="24"/>
          <w:szCs w:val="24"/>
          <w:highlight w:val="white"/>
        </w:rPr>
        <w:t xml:space="preserve">1</w:t>
      </w:r>
      <w:r>
        <w:rPr>
          <w:rFonts w:ascii="宋体" w:hAnsi="宋体"/>
          <w:bCs/>
          <w:sz w:val="24"/>
          <w:szCs w:val="24"/>
          <w:highlight w:val="white"/>
        </w:rPr>
        <w:t xml:space="preserve">重要参数指标（</w:t>
      </w:r>
      <w:r>
        <w:rPr>
          <w:rFonts w:hint="eastAsia" w:ascii="宋体" w:hAnsi="宋体"/>
          <w:bCs/>
          <w:sz w:val="24"/>
          <w:szCs w:val="24"/>
          <w:highlight w:val="white"/>
        </w:rPr>
        <w:t xml:space="preserve">8</w:t>
      </w:r>
      <w:r>
        <w:rPr>
          <w:rFonts w:hint="eastAsia" w:ascii="宋体" w:hAnsi="宋体"/>
          <w:bCs/>
          <w:sz w:val="24"/>
          <w:szCs w:val="24"/>
          <w:highlight w:val="white"/>
        </w:rPr>
        <w:t xml:space="preserve">分</w:t>
      </w:r>
      <w:r>
        <w:rPr>
          <w:rFonts w:ascii="宋体" w:hAnsi="宋体"/>
          <w:bCs/>
          <w:sz w:val="24"/>
          <w:szCs w:val="24"/>
          <w:highlight w:val="white"/>
        </w:rPr>
        <w:t xml:space="preserve">）。满足招标文件中所有标记“▲”的技术指标、参数要求的得</w:t>
      </w:r>
      <w:r>
        <w:rPr>
          <w:rFonts w:hint="eastAsia" w:ascii="宋体" w:hAnsi="宋体"/>
          <w:bCs/>
          <w:sz w:val="24"/>
          <w:szCs w:val="24"/>
          <w:highlight w:val="white"/>
        </w:rPr>
        <w:t xml:space="preserve">8</w:t>
      </w:r>
      <w:r>
        <w:rPr>
          <w:rFonts w:ascii="宋体" w:hAnsi="宋体"/>
          <w:bCs/>
          <w:sz w:val="24"/>
          <w:szCs w:val="24"/>
          <w:highlight w:val="white"/>
        </w:rPr>
        <w:t xml:space="preserve">分</w:t>
      </w:r>
      <w:r>
        <w:rPr>
          <w:rFonts w:hint="eastAsia" w:ascii="宋体" w:hAnsi="宋体"/>
          <w:bCs/>
          <w:sz w:val="24"/>
          <w:szCs w:val="24"/>
          <w:highlight w:val="white"/>
        </w:rPr>
        <w:t xml:space="preserve">，</w:t>
      </w:r>
      <w:r>
        <w:rPr>
          <w:rFonts w:ascii="宋体" w:hAnsi="宋体"/>
          <w:bCs/>
          <w:sz w:val="24"/>
          <w:szCs w:val="24"/>
          <w:highlight w:val="white"/>
        </w:rPr>
        <w:t xml:space="preserve">每项不满足扣2分；</w:t>
      </w:r>
      <w:r>
        <w:rPr>
          <w:rFonts w:hint="eastAsia" w:ascii="宋体" w:hAnsi="宋体"/>
          <w:bCs/>
          <w:sz w:val="24"/>
          <w:szCs w:val="24"/>
          <w:highlight w:val="white"/>
        </w:rPr>
      </w:r>
      <w:r>
        <w:rPr>
          <w:highlight w:val="white"/>
        </w:rPr>
      </w:r>
    </w:p>
    <w:p>
      <w:pPr>
        <w:pStyle w:val="692"/>
        <w:ind w:firstLine="480"/>
        <w:spacing w:line="460" w:lineRule="exact"/>
        <w:rPr>
          <w:rFonts w:hint="eastAsia" w:ascii="宋体" w:hAnsi="宋体"/>
          <w:bCs/>
          <w:sz w:val="24"/>
          <w:szCs w:val="24"/>
          <w:highlight w:val="white"/>
        </w:rPr>
      </w:pPr>
      <w:r>
        <w:rPr>
          <w:rFonts w:hint="eastAsia" w:ascii="宋体" w:hAnsi="宋体"/>
          <w:bCs/>
          <w:sz w:val="24"/>
          <w:szCs w:val="24"/>
          <w:highlight w:val="white"/>
        </w:rPr>
        <w:t xml:space="preserve">2.2普通条款（27分）。</w:t>
      </w:r>
      <w:r>
        <w:rPr>
          <w:rFonts w:hint="eastAsia" w:ascii="宋体" w:hAnsi="宋体"/>
          <w:bCs/>
          <w:sz w:val="24"/>
          <w:szCs w:val="24"/>
          <w:highlight w:val="white"/>
        </w:rPr>
        <w:t xml:space="preserve">所有标记“☆”</w:t>
      </w:r>
      <w:r>
        <w:rPr>
          <w:rFonts w:ascii="宋体" w:hAnsi="宋体"/>
          <w:bCs/>
          <w:sz w:val="24"/>
          <w:szCs w:val="24"/>
          <w:highlight w:val="white"/>
        </w:rPr>
        <w:t xml:space="preserve">为</w:t>
      </w:r>
      <w:r>
        <w:rPr>
          <w:rFonts w:ascii="宋体" w:hAnsi="宋体"/>
          <w:bCs/>
          <w:sz w:val="24"/>
          <w:szCs w:val="24"/>
          <w:highlight w:val="white"/>
        </w:rPr>
        <w:t xml:space="preserve">普通条款共</w:t>
      </w:r>
      <w:r>
        <w:rPr>
          <w:rFonts w:hint="eastAsia" w:ascii="宋体" w:hAnsi="宋体"/>
          <w:bCs/>
          <w:sz w:val="24"/>
          <w:szCs w:val="24"/>
          <w:highlight w:val="white"/>
        </w:rPr>
        <w:t xml:space="preserve">54</w:t>
      </w:r>
      <w:r>
        <w:rPr>
          <w:rFonts w:ascii="宋体" w:hAnsi="宋体"/>
          <w:bCs/>
          <w:sz w:val="24"/>
          <w:szCs w:val="24"/>
          <w:highlight w:val="white"/>
        </w:rPr>
        <w:t xml:space="preserve">项，全部满足得</w:t>
      </w:r>
      <w:r>
        <w:rPr>
          <w:rFonts w:hint="eastAsia" w:ascii="宋体" w:hAnsi="宋体"/>
          <w:bCs/>
          <w:sz w:val="24"/>
          <w:szCs w:val="24"/>
          <w:highlight w:val="white"/>
        </w:rPr>
        <w:t xml:space="preserve">27分，</w:t>
      </w:r>
      <w:r>
        <w:rPr>
          <w:rFonts w:ascii="宋体" w:hAnsi="宋体"/>
          <w:bCs/>
          <w:sz w:val="24"/>
          <w:szCs w:val="24"/>
          <w:highlight w:val="white"/>
        </w:rPr>
        <w:t xml:space="preserve">每项不满足扣0.</w:t>
      </w:r>
      <w:r>
        <w:rPr>
          <w:rFonts w:hint="eastAsia" w:ascii="宋体" w:hAnsi="宋体"/>
          <w:bCs/>
          <w:sz w:val="24"/>
          <w:szCs w:val="24"/>
          <w:highlight w:val="white"/>
        </w:rPr>
        <w:t xml:space="preserve">5</w:t>
      </w:r>
      <w:r>
        <w:rPr>
          <w:rFonts w:ascii="宋体" w:hAnsi="宋体"/>
          <w:bCs/>
          <w:sz w:val="24"/>
          <w:szCs w:val="24"/>
          <w:highlight w:val="white"/>
        </w:rPr>
        <w:t xml:space="preserve">分</w:t>
      </w:r>
      <w:r>
        <w:rPr>
          <w:rFonts w:hint="eastAsia" w:ascii="宋体" w:hAnsi="宋体"/>
          <w:bCs/>
          <w:sz w:val="24"/>
          <w:szCs w:val="24"/>
          <w:highlight w:val="white"/>
        </w:rPr>
        <w:t xml:space="preserve">。</w:t>
      </w:r>
      <w:r>
        <w:rPr>
          <w:highlight w:val="white"/>
        </w:rPr>
      </w:r>
    </w:p>
    <w:p>
      <w:pPr>
        <w:pStyle w:val="692"/>
        <w:ind w:firstLine="480"/>
        <w:spacing w:line="460" w:lineRule="exact"/>
        <w:rPr>
          <w:rFonts w:ascii="宋体" w:hAnsi="宋体"/>
          <w:bCs/>
          <w:sz w:val="24"/>
          <w:szCs w:val="24"/>
        </w:rPr>
      </w:pPr>
      <w:r>
        <w:rPr>
          <w:rFonts w:ascii="宋体" w:hAnsi="宋体"/>
          <w:bCs/>
          <w:sz w:val="24"/>
          <w:szCs w:val="24"/>
        </w:rPr>
        <w:t xml:space="preserve">（备注：投标人须逐项填写“技术</w:t>
      </w:r>
      <w:r>
        <w:rPr>
          <w:rFonts w:hint="eastAsia" w:ascii="宋体" w:hAnsi="宋体"/>
          <w:bCs/>
          <w:sz w:val="24"/>
          <w:szCs w:val="24"/>
        </w:rPr>
        <w:t xml:space="preserve">要求响应及偏离表</w:t>
      </w:r>
      <w:r>
        <w:rPr>
          <w:rFonts w:ascii="宋体" w:hAnsi="宋体"/>
          <w:bCs/>
          <w:sz w:val="24"/>
          <w:szCs w:val="24"/>
        </w:rPr>
        <w:t xml:space="preserve">”，</w:t>
      </w:r>
      <w:bookmarkStart w:id="108" w:name="OLE_LINK29"/>
      <w:r/>
      <w:bookmarkStart w:id="109" w:name="OLE_LINK30"/>
      <w:r>
        <w:rPr>
          <w:rFonts w:ascii="宋体" w:hAnsi="宋体"/>
          <w:bCs/>
          <w:sz w:val="24"/>
          <w:szCs w:val="24"/>
        </w:rPr>
        <w:t xml:space="preserve">包含“▲”</w:t>
      </w:r>
      <w:r>
        <w:rPr>
          <w:rFonts w:hint="eastAsia" w:ascii="宋体" w:hAnsi="宋体"/>
          <w:bCs/>
          <w:sz w:val="24"/>
          <w:szCs w:val="24"/>
        </w:rPr>
        <w:t xml:space="preserve">的参数</w:t>
      </w:r>
      <w:bookmarkEnd w:id="108"/>
      <w:r/>
      <w:bookmarkEnd w:id="109"/>
      <w:r>
        <w:rPr>
          <w:rFonts w:hint="eastAsia" w:ascii="宋体" w:hAnsi="宋体"/>
          <w:bCs/>
          <w:sz w:val="24"/>
          <w:szCs w:val="24"/>
        </w:rPr>
        <w:t xml:space="preserve">还</w:t>
      </w:r>
      <w:r>
        <w:rPr>
          <w:rFonts w:ascii="宋体" w:hAnsi="宋体"/>
          <w:bCs/>
          <w:sz w:val="24"/>
          <w:szCs w:val="24"/>
        </w:rPr>
        <w:t xml:space="preserve">需根据招标文件要求提供相应的证明材料等，并标记证明材料页码，如未提供证明材料不得分。）</w:t>
      </w:r>
      <w:r/>
    </w:p>
    <w:p>
      <w:pPr>
        <w:pStyle w:val="692"/>
        <w:spacing w:line="460" w:lineRule="exact"/>
        <w:rPr>
          <w:rFonts w:ascii="宋体" w:hAnsi="宋体"/>
          <w:bCs/>
          <w:sz w:val="24"/>
          <w:szCs w:val="24"/>
        </w:rPr>
      </w:pPr>
      <w:r>
        <w:rPr>
          <w:rFonts w:ascii="宋体" w:hAnsi="宋体"/>
          <w:bCs/>
          <w:sz w:val="24"/>
          <w:szCs w:val="24"/>
        </w:rPr>
        <w:t xml:space="preserve">三、业绩</w:t>
      </w:r>
      <w:r>
        <w:rPr>
          <w:rFonts w:hint="eastAsia" w:ascii="宋体" w:hAnsi="宋体"/>
          <w:bCs/>
          <w:sz w:val="24"/>
          <w:szCs w:val="24"/>
        </w:rPr>
        <w:t xml:space="preserve">要求（</w:t>
      </w:r>
      <w:r>
        <w:rPr>
          <w:rFonts w:ascii="宋体" w:hAnsi="宋体"/>
          <w:bCs/>
          <w:sz w:val="24"/>
          <w:szCs w:val="24"/>
        </w:rPr>
        <w:t xml:space="preserve">10分</w:t>
      </w:r>
      <w:r>
        <w:rPr>
          <w:rFonts w:hint="eastAsia" w:ascii="宋体" w:hAnsi="宋体"/>
          <w:bCs/>
          <w:sz w:val="24"/>
          <w:szCs w:val="24"/>
        </w:rPr>
        <w:t xml:space="preserve">）</w:t>
      </w:r>
      <w:r>
        <w:rPr>
          <w:rFonts w:ascii="宋体" w:hAnsi="宋体"/>
          <w:bCs/>
          <w:sz w:val="24"/>
          <w:szCs w:val="24"/>
        </w:rPr>
      </w:r>
      <w:r/>
    </w:p>
    <w:p>
      <w:pPr>
        <w:pStyle w:val="692"/>
        <w:ind w:firstLine="480"/>
        <w:spacing w:line="460" w:lineRule="exact"/>
        <w:rPr>
          <w:rFonts w:ascii="宋体" w:hAnsi="宋体"/>
          <w:bCs/>
          <w:sz w:val="24"/>
          <w:szCs w:val="24"/>
        </w:rPr>
      </w:pPr>
      <w:r>
        <w:rPr>
          <w:rFonts w:hint="eastAsia" w:ascii="宋体" w:hAnsi="宋体"/>
          <w:bCs/>
          <w:sz w:val="24"/>
          <w:szCs w:val="24"/>
        </w:rPr>
        <w:t xml:space="preserve">3.1提供投标产品2023年1月1日以来（以合同签订时间为准）已完成的与本项目同类的业绩，每提供1项有效业绩得2分，本项最多得10分，有效业绩指提供采购合同协议书及该项目的验收单，缺一不可。（合同协议书要求体现签订双方名称、采购内容、签订日期、盖章页等主要信息，验收单要求终端客户签字）。</w:t>
      </w:r>
      <w:r>
        <w:rPr>
          <w:rFonts w:ascii="宋体" w:hAnsi="宋体"/>
          <w:bCs/>
          <w:sz w:val="24"/>
          <w:szCs w:val="24"/>
        </w:rPr>
      </w:r>
      <w:r/>
    </w:p>
    <w:p>
      <w:pPr>
        <w:pStyle w:val="692"/>
        <w:numPr>
          <w:ilvl w:val="0"/>
          <w:numId w:val="14"/>
        </w:numPr>
        <w:jc w:val="left"/>
        <w:spacing w:line="460" w:lineRule="exact"/>
        <w:rPr>
          <w:rFonts w:hint="eastAsia"/>
          <w:sz w:val="24"/>
          <w:szCs w:val="24"/>
        </w:rPr>
      </w:pPr>
      <w:r>
        <w:rPr>
          <w:rFonts w:hint="eastAsia"/>
          <w:sz w:val="24"/>
          <w:szCs w:val="24"/>
        </w:rPr>
        <w:t xml:space="preserve">软件著作权（1分）</w:t>
      </w:r>
      <w:r/>
    </w:p>
    <w:p>
      <w:pPr>
        <w:pStyle w:val="692"/>
        <w:ind w:firstLine="480"/>
        <w:jc w:val="left"/>
        <w:spacing w:line="460" w:lineRule="exact"/>
        <w:rPr>
          <w:rFonts w:hint="eastAsia"/>
          <w:sz w:val="24"/>
          <w:szCs w:val="24"/>
        </w:rPr>
      </w:pPr>
      <w:r>
        <w:rPr>
          <w:rFonts w:hint="eastAsia"/>
          <w:sz w:val="24"/>
          <w:szCs w:val="24"/>
        </w:rPr>
        <w:t xml:space="preserve">4.1</w:t>
      </w:r>
      <w:r>
        <w:rPr>
          <w:sz w:val="24"/>
          <w:szCs w:val="24"/>
        </w:rPr>
        <w:t xml:space="preserve">投标人须为所投宫颈细胞学人工智能辅助诊断系统的软件著作权人，须提供由国家版权局颁发的《计算机软件著作权登记证书》。</w:t>
      </w:r>
      <w:r>
        <w:rPr>
          <w:rFonts w:hint="eastAsia"/>
          <w:sz w:val="24"/>
          <w:szCs w:val="24"/>
        </w:rPr>
      </w:r>
      <w:r/>
    </w:p>
    <w:p>
      <w:pPr>
        <w:pStyle w:val="692"/>
        <w:ind w:firstLine="480"/>
        <w:jc w:val="left"/>
        <w:spacing w:line="460" w:lineRule="exact"/>
        <w:rPr>
          <w:sz w:val="24"/>
          <w:szCs w:val="24"/>
        </w:rPr>
      </w:pPr>
      <w:r>
        <w:rPr>
          <w:rFonts w:hint="eastAsia" w:ascii="宋体" w:hAnsi="宋体" w:cs="宋体"/>
          <w:sz w:val="24"/>
          <w:szCs w:val="24"/>
        </w:rPr>
        <w:t xml:space="preserve">注：投标人需</w:t>
      </w:r>
      <w:r>
        <w:rPr>
          <w:rFonts w:ascii="宋体" w:hAnsi="宋体" w:cs="宋体"/>
          <w:sz w:val="24"/>
          <w:szCs w:val="24"/>
        </w:rPr>
        <w:t xml:space="preserve">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rPr>
          <w:sz w:val="24"/>
          <w:szCs w:val="24"/>
        </w:rPr>
      </w:r>
      <w:r/>
    </w:p>
    <w:p>
      <w:pPr>
        <w:pStyle w:val="692"/>
        <w:spacing w:line="460" w:lineRule="exact"/>
        <w:widowControl/>
        <w:rPr>
          <w:rFonts w:hint="eastAsia" w:ascii="宋体" w:hAnsi="宋体"/>
          <w:bCs/>
          <w:sz w:val="24"/>
          <w:szCs w:val="24"/>
        </w:rPr>
      </w:pPr>
      <w:r>
        <w:rPr>
          <w:rFonts w:hint="eastAsia" w:ascii="宋体" w:hAnsi="宋体"/>
          <w:bCs/>
          <w:sz w:val="24"/>
          <w:szCs w:val="24"/>
        </w:rPr>
        <w:t xml:space="preserve">五</w:t>
      </w:r>
      <w:r>
        <w:rPr>
          <w:rFonts w:ascii="宋体" w:hAnsi="宋体"/>
          <w:bCs/>
          <w:sz w:val="24"/>
          <w:szCs w:val="24"/>
        </w:rPr>
        <w:t xml:space="preserve">、</w:t>
      </w:r>
      <w:r>
        <w:rPr>
          <w:rFonts w:hint="eastAsia" w:ascii="宋体" w:hAnsi="宋体"/>
          <w:bCs/>
          <w:sz w:val="24"/>
          <w:szCs w:val="24"/>
        </w:rPr>
        <w:t xml:space="preserve">项目团队（9分） </w:t>
      </w:r>
      <w:r/>
    </w:p>
    <w:p>
      <w:pPr>
        <w:pStyle w:val="692"/>
        <w:ind w:firstLine="480"/>
        <w:spacing w:line="460" w:lineRule="exact"/>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.1项目经理应具有3年以上相关项目实施工作经验（提供项目经理基本情况介绍及</w:t>
      </w:r>
      <w:bookmarkStart w:id="110" w:name="OLE_LINK7"/>
      <w:r>
        <w:rPr>
          <w:rFonts w:ascii="宋体" w:hAnsi="宋体"/>
          <w:bCs/>
          <w:sz w:val="24"/>
          <w:szCs w:val="24"/>
        </w:rPr>
        <w:t xml:space="preserve">供应商</w:t>
      </w:r>
      <w:r>
        <w:rPr>
          <w:rFonts w:hint="eastAsia" w:ascii="宋体" w:hAnsi="宋体"/>
          <w:bCs/>
          <w:sz w:val="24"/>
          <w:szCs w:val="24"/>
        </w:rPr>
        <w:t xml:space="preserve">近</w:t>
      </w:r>
      <w:r>
        <w:rPr>
          <w:rFonts w:ascii="宋体" w:hAnsi="宋体"/>
          <w:bCs/>
          <w:sz w:val="24"/>
          <w:szCs w:val="24"/>
        </w:rPr>
        <w:t xml:space="preserve">6个月以来为其缴纳的任意一个月的社保缴费记录</w:t>
      </w:r>
      <w:bookmarkEnd w:id="110"/>
      <w:r>
        <w:rPr>
          <w:rFonts w:ascii="宋体" w:hAnsi="宋体"/>
          <w:bCs/>
          <w:sz w:val="24"/>
          <w:szCs w:val="24"/>
        </w:rPr>
        <w:t xml:space="preserve">）</w:t>
      </w:r>
      <w:r>
        <w:rPr>
          <w:rFonts w:hint="eastAsia" w:ascii="宋体" w:hAnsi="宋体"/>
          <w:bCs/>
          <w:sz w:val="24"/>
          <w:szCs w:val="24"/>
        </w:rPr>
        <w:t xml:space="preserve">得</w:t>
      </w:r>
      <w:r>
        <w:rPr>
          <w:rFonts w:ascii="宋体" w:hAnsi="宋体"/>
          <w:bCs/>
          <w:sz w:val="24"/>
          <w:szCs w:val="24"/>
        </w:rPr>
        <w:t xml:space="preserve">3分，具有信息系统项目管理师证书</w:t>
      </w:r>
      <w:r>
        <w:rPr>
          <w:rFonts w:hint="eastAsia" w:ascii="宋体" w:hAnsi="宋体"/>
          <w:bCs/>
          <w:sz w:val="24"/>
          <w:szCs w:val="24"/>
        </w:rPr>
        <w:t xml:space="preserve">得3</w:t>
      </w:r>
      <w:r>
        <w:rPr>
          <w:rFonts w:ascii="宋体" w:hAnsi="宋体"/>
          <w:bCs/>
          <w:sz w:val="24"/>
          <w:szCs w:val="24"/>
        </w:rPr>
        <w:t xml:space="preserve">分</w:t>
      </w:r>
      <w:r>
        <w:rPr>
          <w:rFonts w:hint="eastAsia" w:ascii="宋体" w:hAnsi="宋体"/>
          <w:bCs/>
          <w:sz w:val="24"/>
          <w:szCs w:val="24"/>
        </w:rPr>
        <w:t xml:space="preserve">（6分）</w:t>
      </w:r>
      <w:r>
        <w:rPr>
          <w:rFonts w:ascii="宋体" w:hAnsi="宋体"/>
          <w:bCs/>
          <w:sz w:val="24"/>
          <w:szCs w:val="24"/>
        </w:rPr>
      </w:r>
      <w:r/>
    </w:p>
    <w:p>
      <w:pPr>
        <w:pStyle w:val="692"/>
        <w:ind w:firstLine="480"/>
        <w:spacing w:line="460" w:lineRule="exact"/>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.2开发团队需有计算机或信息化</w:t>
      </w:r>
      <w:r>
        <w:rPr>
          <w:rFonts w:hint="eastAsia" w:ascii="宋体" w:hAnsi="宋体"/>
          <w:bCs/>
          <w:sz w:val="24"/>
          <w:szCs w:val="24"/>
        </w:rPr>
        <w:t xml:space="preserve">或</w:t>
      </w:r>
      <w:r>
        <w:rPr>
          <w:rFonts w:ascii="宋体" w:hAnsi="宋体"/>
          <w:bCs/>
          <w:sz w:val="24"/>
          <w:szCs w:val="24"/>
        </w:rPr>
        <w:t xml:space="preserve">病理学相关专业的全职人员，提供学历或学位证书</w:t>
      </w:r>
      <w:r>
        <w:rPr>
          <w:rFonts w:ascii="宋体" w:hAnsi="宋体"/>
          <w:bCs/>
          <w:sz w:val="24"/>
          <w:szCs w:val="24"/>
        </w:rPr>
        <w:t xml:space="preserve">，以</w:t>
      </w:r>
      <w:r>
        <w:rPr>
          <w:rFonts w:ascii="宋体" w:hAnsi="宋体"/>
          <w:bCs/>
          <w:sz w:val="24"/>
          <w:szCs w:val="24"/>
        </w:rPr>
        <w:t xml:space="preserve">及供应商</w:t>
      </w:r>
      <w:r>
        <w:rPr>
          <w:rFonts w:hint="eastAsia" w:ascii="宋体" w:hAnsi="宋体"/>
          <w:bCs/>
          <w:sz w:val="24"/>
          <w:szCs w:val="24"/>
        </w:rPr>
        <w:t xml:space="preserve">为团队人员缴纳的近</w:t>
      </w:r>
      <w:r>
        <w:rPr>
          <w:rFonts w:ascii="宋体" w:hAnsi="宋体"/>
          <w:bCs/>
          <w:sz w:val="24"/>
          <w:szCs w:val="24"/>
        </w:rPr>
        <w:t xml:space="preserve">6个月以来任意一个月</w:t>
      </w:r>
      <w:r>
        <w:rPr>
          <w:rFonts w:hint="eastAsia" w:ascii="宋体" w:hAnsi="宋体"/>
          <w:bCs/>
          <w:sz w:val="24"/>
          <w:szCs w:val="24"/>
        </w:rPr>
        <w:t xml:space="preserve">的</w:t>
      </w:r>
      <w:r>
        <w:rPr>
          <w:rFonts w:ascii="宋体" w:hAnsi="宋体"/>
          <w:bCs/>
          <w:sz w:val="24"/>
          <w:szCs w:val="24"/>
        </w:rPr>
        <w:t xml:space="preserve">社保缴费记录</w:t>
      </w:r>
      <w:r>
        <w:rPr>
          <w:rFonts w:hint="eastAsia" w:ascii="宋体" w:hAnsi="宋体"/>
          <w:bCs/>
          <w:sz w:val="24"/>
          <w:szCs w:val="24"/>
        </w:rPr>
        <w:t xml:space="preserve">，</w:t>
      </w:r>
      <w:r>
        <w:rPr>
          <w:rFonts w:hint="eastAsia" w:ascii="宋体" w:hAnsi="宋体"/>
          <w:bCs/>
          <w:sz w:val="24"/>
          <w:szCs w:val="24"/>
          <w:highlight w:val="white"/>
        </w:rPr>
        <w:t xml:space="preserve">每提供一名符合要求的人员得1分，最高得3分。</w:t>
      </w:r>
      <w:r>
        <w:rPr>
          <w:rFonts w:ascii="宋体" w:hAnsi="宋体"/>
          <w:bCs/>
          <w:sz w:val="24"/>
          <w:szCs w:val="24"/>
        </w:rPr>
        <w:t xml:space="preserve">未按要求提供有效证明材料的不得分。</w:t>
      </w:r>
      <w:r>
        <w:rPr>
          <w:rFonts w:hint="eastAsia" w:ascii="宋体" w:hAnsi="宋体"/>
          <w:bCs/>
          <w:sz w:val="24"/>
          <w:szCs w:val="24"/>
        </w:rPr>
        <w:t xml:space="preserve">（3分）</w:t>
      </w:r>
      <w:r>
        <w:rPr>
          <w:rFonts w:ascii="宋体" w:hAnsi="宋体"/>
          <w:bCs/>
          <w:sz w:val="24"/>
          <w:szCs w:val="24"/>
        </w:rPr>
      </w:r>
      <w:r/>
    </w:p>
    <w:p>
      <w:pPr>
        <w:pStyle w:val="692"/>
        <w:spacing w:line="460" w:lineRule="exact"/>
        <w:rPr>
          <w:rFonts w:hint="eastAsia" w:ascii="宋体" w:hAnsi="宋体"/>
          <w:bCs/>
          <w:sz w:val="24"/>
          <w:szCs w:val="24"/>
        </w:rPr>
      </w:pPr>
      <w:r>
        <w:rPr>
          <w:rFonts w:hint="eastAsia" w:ascii="宋体" w:hAnsi="宋体"/>
          <w:bCs/>
          <w:sz w:val="24"/>
          <w:szCs w:val="24"/>
        </w:rPr>
        <w:t xml:space="preserve">六、项目方案（25分）</w:t>
      </w:r>
      <w:r/>
    </w:p>
    <w:p>
      <w:pPr>
        <w:pStyle w:val="692"/>
        <w:ind w:firstLine="480"/>
        <w:spacing w:line="460" w:lineRule="exact"/>
        <w:rPr>
          <w:rFonts w:ascii="宋体" w:hAnsi="宋体"/>
          <w:bCs/>
          <w:sz w:val="24"/>
          <w:szCs w:val="24"/>
        </w:rPr>
      </w:pPr>
      <w:r>
        <w:rPr>
          <w:rFonts w:hint="eastAsia" w:ascii="宋体" w:hAnsi="宋体"/>
          <w:bCs/>
          <w:sz w:val="24"/>
          <w:szCs w:val="24"/>
        </w:rPr>
        <w:t xml:space="preserve">6.1</w:t>
      </w:r>
      <w:r>
        <w:rPr>
          <w:rFonts w:ascii="宋体" w:hAnsi="宋体"/>
          <w:bCs/>
          <w:sz w:val="24"/>
          <w:szCs w:val="24"/>
        </w:rPr>
        <w:t xml:space="preserve">设计方案</w:t>
      </w:r>
      <w:r>
        <w:rPr>
          <w:rFonts w:hint="eastAsia" w:ascii="宋体" w:hAnsi="宋体"/>
          <w:bCs/>
          <w:sz w:val="24"/>
          <w:szCs w:val="24"/>
        </w:rPr>
        <w:t xml:space="preserve">（5分）</w:t>
      </w:r>
      <w:r>
        <w:rPr>
          <w:rFonts w:ascii="宋体" w:hAnsi="宋体"/>
          <w:bCs/>
          <w:sz w:val="24"/>
          <w:szCs w:val="24"/>
        </w:rPr>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（1）投标文件未符合“设计方案”中全部条款要求的，视为不符合招标文件，本项得0分。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（2）投标文件符合“设计方案”中全部条款要求的，视为符合招标文件，本项得3分。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（3）经评委认定，投标文件对“设计方案”中</w:t>
      </w:r>
      <w:bookmarkStart w:id="111" w:name="OLE_LINK51"/>
      <w:r/>
      <w:bookmarkStart w:id="112" w:name="OLE_LINK52"/>
      <w:r>
        <w:rPr>
          <w:rFonts w:hint="eastAsia" w:ascii="宋体" w:hAnsi="宋体"/>
          <w:bCs/>
          <w:sz w:val="24"/>
          <w:szCs w:val="24"/>
        </w:rPr>
        <w:t xml:space="preserve">“总体架构设计”、“AI算法与模型设计”、“安全合规设计”</w:t>
      </w:r>
      <w:bookmarkEnd w:id="111"/>
      <w:r/>
      <w:bookmarkEnd w:id="112"/>
      <w:r>
        <w:rPr>
          <w:rFonts w:hint="eastAsia" w:ascii="宋体" w:hAnsi="宋体"/>
          <w:bCs/>
          <w:sz w:val="24"/>
          <w:szCs w:val="24"/>
        </w:rPr>
        <w:t xml:space="preserve">三项要求的响应内容全部优于招标文件要求的</w:t>
      </w:r>
      <w:bookmarkStart w:id="113" w:name="OLE_LINK50"/>
      <w:r>
        <w:rPr>
          <w:rFonts w:hint="eastAsia" w:ascii="宋体" w:hAnsi="宋体"/>
          <w:bCs/>
          <w:sz w:val="24"/>
          <w:szCs w:val="24"/>
        </w:rPr>
        <w:t xml:space="preserve">（前提是投标文件对“设计方案”中除“总体架构设计”、“AI算法与模型设计”、“安全合规设计”外其他要求响应内容符合招标文件要求）</w:t>
      </w:r>
      <w:bookmarkEnd w:id="113"/>
      <w:r>
        <w:rPr>
          <w:rFonts w:hint="eastAsia" w:ascii="宋体" w:hAnsi="宋体"/>
          <w:bCs/>
          <w:sz w:val="24"/>
          <w:szCs w:val="24"/>
        </w:rPr>
        <w:t xml:space="preserve">，本项得5分。</w:t>
      </w:r>
      <w:r/>
    </w:p>
    <w:p>
      <w:pPr>
        <w:pStyle w:val="692"/>
        <w:spacing w:line="460" w:lineRule="exact"/>
        <w:rPr>
          <w:rFonts w:hint="eastAsia" w:ascii="宋体" w:hAnsi="宋体"/>
          <w:bCs/>
          <w:sz w:val="24"/>
          <w:szCs w:val="24"/>
        </w:rPr>
      </w:pPr>
      <w:r>
        <w:rPr>
          <w:rFonts w:hint="eastAsia" w:ascii="宋体" w:hAnsi="宋体"/>
          <w:bCs/>
          <w:sz w:val="24"/>
          <w:szCs w:val="24"/>
        </w:rPr>
        <w:t xml:space="preserve">6.2</w:t>
      </w:r>
      <w:r>
        <w:rPr>
          <w:rFonts w:ascii="宋体" w:hAnsi="宋体"/>
          <w:bCs/>
          <w:sz w:val="24"/>
          <w:szCs w:val="24"/>
        </w:rPr>
        <w:t xml:space="preserve">项目实施方案</w:t>
      </w:r>
      <w:r>
        <w:rPr>
          <w:rFonts w:hint="eastAsia" w:ascii="宋体" w:hAnsi="宋体"/>
          <w:bCs/>
          <w:sz w:val="24"/>
          <w:szCs w:val="24"/>
        </w:rPr>
        <w:t xml:space="preserve">（5分）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（1）投标文件未符合“项目实施方案”中全部条款要求的，视为不符合招标文件，本项得0分。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（2）投标文件符合“项目实施方案”中全部条款要求的，视为符合招标文件，本项得3分。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（3）经评委认定，投标文件对“项目实施方案”中</w:t>
      </w:r>
      <w:bookmarkStart w:id="114" w:name="OLE_LINK56"/>
      <w:r/>
      <w:bookmarkStart w:id="115" w:name="OLE_LINK55"/>
      <w:r>
        <w:rPr>
          <w:rFonts w:hint="eastAsia" w:ascii="宋体" w:hAnsi="宋体"/>
          <w:bCs/>
          <w:sz w:val="24"/>
          <w:szCs w:val="24"/>
        </w:rPr>
        <w:t xml:space="preserve">“项目组织架构</w:t>
      </w:r>
      <w:bookmarkStart w:id="116" w:name="OLE_LINK54"/>
      <w:r/>
      <w:bookmarkStart w:id="117" w:name="OLE_LINK53"/>
      <w:r>
        <w:rPr>
          <w:rFonts w:hint="eastAsia" w:ascii="宋体" w:hAnsi="宋体"/>
          <w:bCs/>
          <w:sz w:val="24"/>
          <w:szCs w:val="24"/>
        </w:rPr>
        <w:t xml:space="preserve">”</w:t>
      </w:r>
      <w:bookmarkEnd w:id="116"/>
      <w:r/>
      <w:bookmarkEnd w:id="117"/>
      <w:r>
        <w:rPr>
          <w:rFonts w:hint="eastAsia" w:ascii="宋体" w:hAnsi="宋体"/>
          <w:bCs/>
          <w:sz w:val="24"/>
          <w:szCs w:val="24"/>
        </w:rPr>
        <w:t xml:space="preserve">、“风险控制”、“质量保证”、“沟通机制”</w:t>
      </w:r>
      <w:bookmarkEnd w:id="114"/>
      <w:r/>
      <w:bookmarkEnd w:id="115"/>
      <w:r>
        <w:rPr>
          <w:rFonts w:hint="eastAsia" w:ascii="宋体" w:hAnsi="宋体"/>
          <w:bCs/>
          <w:sz w:val="24"/>
          <w:szCs w:val="24"/>
        </w:rPr>
        <w:t xml:space="preserve">四项要求的响应内容全部优于招标文件要求的（前提是投标文件对“项目实施方案”中除“项目组织架构”、“风险控制”、“质量保证”、“沟通机制”外其他要求响应内容符合招标文件要求），本项得5分。</w:t>
      </w:r>
      <w:r/>
    </w:p>
    <w:p>
      <w:pPr>
        <w:pStyle w:val="692"/>
        <w:spacing w:line="460" w:lineRule="exact"/>
        <w:rPr>
          <w:rFonts w:ascii="宋体" w:hAnsi="宋体"/>
          <w:bCs/>
          <w:sz w:val="24"/>
          <w:szCs w:val="24"/>
        </w:rPr>
      </w:pPr>
      <w:r>
        <w:rPr>
          <w:rFonts w:hint="eastAsia" w:ascii="宋体" w:hAnsi="宋体"/>
          <w:bCs/>
          <w:sz w:val="24"/>
          <w:szCs w:val="24"/>
        </w:rPr>
        <w:t xml:space="preserve">6.3硬件</w:t>
      </w:r>
      <w:r>
        <w:rPr>
          <w:rFonts w:hint="eastAsia" w:ascii="宋体" w:hAnsi="宋体" w:cs="宋体"/>
          <w:sz w:val="24"/>
          <w:szCs w:val="24"/>
        </w:rPr>
        <w:t xml:space="preserve">可扩展性方案</w:t>
      </w:r>
      <w:r>
        <w:rPr>
          <w:rFonts w:hint="eastAsia" w:ascii="宋体" w:hAnsi="宋体"/>
          <w:bCs/>
          <w:sz w:val="24"/>
          <w:szCs w:val="24"/>
        </w:rPr>
        <w:t xml:space="preserve">（5分） </w:t>
      </w:r>
      <w:r>
        <w:rPr>
          <w:rFonts w:ascii="宋体" w:hAnsi="宋体"/>
          <w:bCs/>
          <w:sz w:val="24"/>
          <w:szCs w:val="24"/>
        </w:rPr>
      </w:r>
      <w:r/>
    </w:p>
    <w:p>
      <w:pPr>
        <w:pStyle w:val="692"/>
        <w:ind w:firstLine="480"/>
        <w:spacing w:line="460" w:lineRule="exact"/>
        <w:rPr>
          <w:rFonts w:hint="eastAsia" w:ascii="宋体" w:hAnsi="宋体"/>
          <w:bCs/>
          <w:sz w:val="24"/>
          <w:szCs w:val="24"/>
        </w:rPr>
      </w:pPr>
      <w:r/>
      <w:bookmarkStart w:id="118" w:name="OLE_LINK17"/>
      <w:r>
        <w:rPr>
          <w:rFonts w:hint="eastAsia" w:ascii="宋体" w:hAnsi="宋体"/>
          <w:bCs/>
          <w:sz w:val="24"/>
          <w:szCs w:val="24"/>
        </w:rPr>
        <w:t xml:space="preserve">（1）投标文件未符合“硬件可扩展方案”中全部条款要求的，视为不符合招标文件，本项得0分。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（2）投标文件符合“硬件可扩展方案”中全部条款要求的，视为符合招标文件，本项得3分。</w:t>
      </w:r>
      <w:r/>
    </w:p>
    <w:p>
      <w:pPr>
        <w:pStyle w:val="692"/>
        <w:ind w:firstLine="480"/>
        <w:spacing w:line="460" w:lineRule="exact"/>
        <w:rPr>
          <w:rFonts w:ascii="宋体" w:hAnsi="宋体"/>
          <w:bCs/>
          <w:sz w:val="24"/>
          <w:szCs w:val="24"/>
        </w:rPr>
      </w:pPr>
      <w:r>
        <w:rPr>
          <w:rFonts w:hint="eastAsia" w:ascii="宋体" w:hAnsi="宋体"/>
          <w:bCs/>
          <w:sz w:val="24"/>
          <w:szCs w:val="24"/>
        </w:rPr>
        <w:t xml:space="preserve">（3）经评委认定，投标文件对“</w:t>
      </w:r>
      <w:bookmarkStart w:id="119" w:name="OLE_LINK58"/>
      <w:r/>
      <w:bookmarkStart w:id="120" w:name="OLE_LINK57"/>
      <w:r>
        <w:rPr>
          <w:rFonts w:hint="eastAsia" w:ascii="宋体" w:hAnsi="宋体"/>
          <w:bCs/>
          <w:sz w:val="24"/>
          <w:szCs w:val="24"/>
        </w:rPr>
        <w:t xml:space="preserve">硬件可扩展方案</w:t>
      </w:r>
      <w:bookmarkEnd w:id="119"/>
      <w:r/>
      <w:bookmarkEnd w:id="120"/>
      <w:r>
        <w:rPr>
          <w:rFonts w:hint="eastAsia" w:ascii="宋体" w:hAnsi="宋体"/>
          <w:bCs/>
          <w:sz w:val="24"/>
          <w:szCs w:val="24"/>
        </w:rPr>
        <w:t xml:space="preserve">”中</w:t>
      </w:r>
      <w:bookmarkStart w:id="121" w:name="OLE_LINK59"/>
      <w:r/>
      <w:bookmarkStart w:id="122" w:name="OLE_LINK60"/>
      <w:r>
        <w:rPr>
          <w:rFonts w:hint="eastAsia" w:ascii="宋体" w:hAnsi="宋体"/>
          <w:bCs/>
          <w:sz w:val="24"/>
          <w:szCs w:val="24"/>
        </w:rPr>
        <w:t xml:space="preserve">“功能扩展”、“性能扩展”、“AI模型扩展”</w:t>
      </w:r>
      <w:bookmarkEnd w:id="121"/>
      <w:r/>
      <w:bookmarkEnd w:id="122"/>
      <w:r>
        <w:rPr>
          <w:rFonts w:hint="eastAsia" w:ascii="宋体" w:hAnsi="宋体"/>
          <w:bCs/>
          <w:sz w:val="24"/>
          <w:szCs w:val="24"/>
        </w:rPr>
        <w:t xml:space="preserve">三项要求的响应内容全部优于招标文件要求的（前提是投标文件对“硬件可扩展方案”中除“功能扩展”、“性能扩展”、“AI模型扩展”外其他要求响应内容符合招标文件要求），本项得5分。</w:t>
      </w:r>
      <w:r>
        <w:rPr>
          <w:rFonts w:ascii="宋体" w:hAnsi="宋体"/>
          <w:bCs/>
          <w:sz w:val="24"/>
          <w:szCs w:val="24"/>
        </w:rPr>
      </w:r>
      <w:r/>
    </w:p>
    <w:p>
      <w:pPr>
        <w:pStyle w:val="692"/>
        <w:spacing w:line="460" w:lineRule="exact"/>
        <w:rPr>
          <w:rFonts w:ascii="宋体" w:hAnsi="宋体"/>
          <w:bCs/>
          <w:sz w:val="24"/>
          <w:szCs w:val="24"/>
        </w:rPr>
      </w:pPr>
      <w:r>
        <w:rPr>
          <w:rFonts w:hint="eastAsia" w:ascii="宋体" w:hAnsi="宋体" w:cs="宋体"/>
          <w:sz w:val="24"/>
          <w:szCs w:val="24"/>
        </w:rPr>
        <w:t xml:space="preserve">6.4</w:t>
      </w:r>
      <w:r>
        <w:rPr>
          <w:rFonts w:hint="eastAsia" w:ascii="宋体" w:hAnsi="宋体"/>
          <w:bCs/>
          <w:sz w:val="24"/>
          <w:szCs w:val="24"/>
        </w:rPr>
        <w:t xml:space="preserve">培</w:t>
      </w:r>
      <w:r>
        <w:rPr>
          <w:rFonts w:ascii="宋体" w:hAnsi="宋体"/>
          <w:bCs/>
          <w:sz w:val="24"/>
          <w:szCs w:val="24"/>
        </w:rPr>
        <w:t xml:space="preserve">训方案</w:t>
      </w:r>
      <w:r>
        <w:rPr>
          <w:rFonts w:hint="eastAsia" w:ascii="宋体" w:hAnsi="宋体"/>
          <w:bCs/>
          <w:sz w:val="24"/>
          <w:szCs w:val="24"/>
        </w:rPr>
        <w:t xml:space="preserve">（5分）</w:t>
      </w:r>
      <w:r>
        <w:rPr>
          <w:rFonts w:ascii="宋体" w:hAnsi="宋体"/>
          <w:bCs/>
          <w:sz w:val="24"/>
          <w:szCs w:val="24"/>
        </w:rPr>
      </w:r>
      <w:r/>
    </w:p>
    <w:p>
      <w:pPr>
        <w:pStyle w:val="784"/>
        <w:spacing w:before="0" w:after="0" w:line="460" w:lineRule="exact"/>
        <w:rPr>
          <w:rFonts w:hint="eastAsia" w:ascii="宋体" w:hAnsi="宋体"/>
          <w:bCs/>
        </w:rPr>
      </w:pPr>
      <w:r>
        <w:rPr>
          <w:rFonts w:hint="eastAsia" w:ascii="宋体" w:hAnsi="宋体"/>
          <w:bCs/>
        </w:rPr>
        <w:t xml:space="preserve">（1）投标文件未符合“培训方案”中全部条款要求的，视为不符合招标文件，本项得0分。</w:t>
      </w:r>
      <w:r/>
    </w:p>
    <w:p>
      <w:pPr>
        <w:pStyle w:val="784"/>
        <w:spacing w:before="0" w:after="0" w:line="460" w:lineRule="exact"/>
        <w:rPr>
          <w:rFonts w:hint="eastAsia" w:ascii="宋体" w:hAnsi="宋体"/>
          <w:bCs/>
        </w:rPr>
      </w:pPr>
      <w:r>
        <w:rPr>
          <w:rFonts w:hint="eastAsia" w:ascii="宋体" w:hAnsi="宋体"/>
          <w:bCs/>
        </w:rPr>
        <w:t xml:space="preserve">（2）投标文件符合“培训方案”中全部条款要求的，视为符合招标文件，本项得3分。</w:t>
      </w:r>
      <w:r/>
    </w:p>
    <w:p>
      <w:pPr>
        <w:pStyle w:val="784"/>
        <w:spacing w:before="0" w:after="0" w:line="460" w:lineRule="exact"/>
        <w:rPr>
          <w:rFonts w:hint="eastAsia" w:ascii="宋体" w:hAnsi="宋体"/>
          <w:bCs/>
          <w:highlight w:val="yellow"/>
        </w:rPr>
      </w:pPr>
      <w:r>
        <w:rPr>
          <w:rFonts w:hint="eastAsia" w:ascii="宋体" w:hAnsi="宋体"/>
          <w:bCs/>
        </w:rPr>
        <w:t xml:space="preserve">（3）经评委认定，投标文件对“培训方案”中</w:t>
      </w:r>
      <w:bookmarkStart w:id="123" w:name="OLE_LINK61"/>
      <w:r/>
      <w:bookmarkStart w:id="124" w:name="OLE_LINK62"/>
      <w:r>
        <w:rPr>
          <w:rFonts w:hint="eastAsia" w:ascii="宋体" w:hAnsi="宋体"/>
          <w:bCs/>
        </w:rPr>
        <w:t xml:space="preserve">“培训内容”、“培训方式”、“培训计划”</w:t>
      </w:r>
      <w:bookmarkEnd w:id="123"/>
      <w:r/>
      <w:bookmarkEnd w:id="124"/>
      <w:r>
        <w:rPr>
          <w:rFonts w:hint="eastAsia" w:ascii="宋体" w:hAnsi="宋体"/>
          <w:bCs/>
        </w:rPr>
        <w:t xml:space="preserve">三项要求的响应内容全部优于招标文件要求的（前提是投标文件对“培训方案”中除“培训内容”、“培训方式”、“培训计划”外其他要求响应内容符合招标文件要求），本项得5分。</w:t>
      </w:r>
      <w:r>
        <w:rPr>
          <w:rFonts w:hint="eastAsia" w:ascii="宋体" w:hAnsi="宋体"/>
          <w:bCs/>
          <w:highlight w:val="yellow"/>
        </w:rPr>
      </w:r>
      <w:r/>
    </w:p>
    <w:p>
      <w:pPr>
        <w:pStyle w:val="692"/>
        <w:spacing w:line="460" w:lineRule="exact"/>
        <w:rPr>
          <w:rFonts w:ascii="宋体" w:hAnsi="宋体"/>
          <w:bCs/>
          <w:sz w:val="24"/>
          <w:szCs w:val="24"/>
        </w:rPr>
      </w:pPr>
      <w:r>
        <w:rPr>
          <w:rFonts w:hint="eastAsia" w:ascii="宋体" w:hAnsi="宋体"/>
          <w:bCs/>
          <w:sz w:val="24"/>
          <w:szCs w:val="24"/>
        </w:rPr>
        <w:t xml:space="preserve">6.5</w:t>
      </w:r>
      <w:bookmarkStart w:id="125" w:name="OLE_LINK28"/>
      <w:r>
        <w:rPr>
          <w:rFonts w:hint="eastAsia" w:ascii="宋体" w:hAnsi="宋体" w:cs="宋体"/>
          <w:sz w:val="24"/>
          <w:szCs w:val="24"/>
        </w:rPr>
        <w:t xml:space="preserve">售后服务与日常维护方案</w:t>
      </w:r>
      <w:bookmarkEnd w:id="125"/>
      <w:r>
        <w:rPr>
          <w:rFonts w:hint="eastAsia" w:ascii="宋体" w:hAnsi="宋体"/>
          <w:bCs/>
          <w:sz w:val="24"/>
          <w:szCs w:val="24"/>
        </w:rPr>
        <w:t xml:space="preserve">（5分）</w:t>
      </w:r>
      <w:r>
        <w:rPr>
          <w:rFonts w:ascii="宋体" w:hAnsi="宋体"/>
          <w:bCs/>
          <w:sz w:val="24"/>
          <w:szCs w:val="24"/>
        </w:rPr>
      </w:r>
      <w:r/>
    </w:p>
    <w:p>
      <w:pPr>
        <w:pStyle w:val="692"/>
        <w:ind w:firstLine="480"/>
        <w:spacing w:line="460" w:lineRule="exact"/>
        <w:rPr>
          <w:rFonts w:hint="eastAsia" w:ascii="宋体" w:hAnsi="宋体"/>
          <w:bCs/>
          <w:sz w:val="24"/>
          <w:szCs w:val="24"/>
        </w:rPr>
      </w:pPr>
      <w:r/>
      <w:bookmarkEnd w:id="118"/>
      <w:r/>
      <w:bookmarkStart w:id="126" w:name="OLE_LINK18"/>
      <w:r>
        <w:rPr>
          <w:rFonts w:hint="eastAsia" w:ascii="宋体" w:hAnsi="宋体"/>
          <w:bCs/>
          <w:sz w:val="24"/>
          <w:szCs w:val="24"/>
        </w:rPr>
        <w:t xml:space="preserve">（1）投标文件未符合“</w:t>
      </w:r>
      <w:r>
        <w:rPr>
          <w:rFonts w:hint="eastAsia" w:ascii="宋体" w:hAnsi="宋体" w:cs="宋体"/>
          <w:sz w:val="24"/>
          <w:szCs w:val="24"/>
        </w:rPr>
        <w:t xml:space="preserve">售后服务与日常维护方案</w:t>
      </w:r>
      <w:r>
        <w:rPr>
          <w:rFonts w:hint="eastAsia" w:ascii="宋体" w:hAnsi="宋体"/>
          <w:bCs/>
          <w:sz w:val="24"/>
          <w:szCs w:val="24"/>
        </w:rPr>
        <w:t xml:space="preserve">”中全部条款要求的，视为不符合招标文件，本项得0分。</w:t>
      </w:r>
      <w:r/>
    </w:p>
    <w:p>
      <w:pPr>
        <w:pStyle w:val="692"/>
        <w:ind w:firstLine="480"/>
        <w:spacing w:line="460" w:lineRule="exact"/>
        <w:rPr>
          <w:rFonts w:hint="eastAsia" w:ascii="宋体" w:hAnsi="宋体"/>
          <w:bCs/>
          <w:sz w:val="24"/>
          <w:szCs w:val="24"/>
        </w:rPr>
      </w:pPr>
      <w:r>
        <w:rPr>
          <w:rFonts w:hint="eastAsia" w:ascii="宋体" w:hAnsi="宋体"/>
          <w:bCs/>
          <w:sz w:val="24"/>
          <w:szCs w:val="24"/>
        </w:rPr>
        <w:t xml:space="preserve">（2）投标文件符合“</w:t>
      </w:r>
      <w:r>
        <w:rPr>
          <w:rFonts w:hint="eastAsia" w:ascii="宋体" w:hAnsi="宋体" w:cs="宋体"/>
          <w:sz w:val="24"/>
          <w:szCs w:val="24"/>
        </w:rPr>
        <w:t xml:space="preserve">售后服务与日常维护方案</w:t>
      </w:r>
      <w:r>
        <w:rPr>
          <w:rFonts w:hint="eastAsia" w:ascii="宋体" w:hAnsi="宋体"/>
          <w:bCs/>
          <w:sz w:val="24"/>
          <w:szCs w:val="24"/>
        </w:rPr>
        <w:t xml:space="preserve">”中全部条款要求的，视为符合招标文件，本项得3分。</w:t>
      </w:r>
      <w:r/>
    </w:p>
    <w:p>
      <w:pPr>
        <w:pStyle w:val="692"/>
        <w:ind w:firstLine="480"/>
        <w:spacing w:line="460" w:lineRule="exact"/>
        <w:rPr>
          <w:rFonts w:ascii="宋体" w:hAnsi="宋体"/>
          <w:bCs/>
          <w:sz w:val="24"/>
          <w:szCs w:val="24"/>
        </w:rPr>
      </w:pPr>
      <w:r>
        <w:rPr>
          <w:rFonts w:hint="eastAsia" w:ascii="宋体" w:hAnsi="宋体"/>
          <w:bCs/>
          <w:sz w:val="24"/>
          <w:szCs w:val="24"/>
        </w:rPr>
        <w:t xml:space="preserve">（3）经评委认定，投标文件对</w:t>
      </w:r>
      <w:bookmarkStart w:id="127" w:name="OLE_LINK27"/>
      <w:r>
        <w:rPr>
          <w:rFonts w:hint="eastAsia" w:ascii="宋体" w:hAnsi="宋体"/>
          <w:bCs/>
          <w:sz w:val="24"/>
          <w:szCs w:val="24"/>
        </w:rPr>
        <w:t xml:space="preserve">“</w:t>
      </w:r>
      <w:r>
        <w:rPr>
          <w:rFonts w:ascii="宋体" w:hAnsi="宋体"/>
          <w:bCs/>
          <w:sz w:val="24"/>
          <w:szCs w:val="24"/>
        </w:rPr>
        <w:t xml:space="preserve">售后服务与日常维护方案</w:t>
      </w:r>
      <w:r>
        <w:rPr>
          <w:rFonts w:hint="eastAsia" w:ascii="宋体" w:hAnsi="宋体"/>
          <w:bCs/>
          <w:sz w:val="24"/>
          <w:szCs w:val="24"/>
        </w:rPr>
        <w:t xml:space="preserve">”中功能修改、运行分析、服务团队配置、备件保障、主动监控与预警、数据维护、安全维护、性能优化</w:t>
      </w:r>
      <w:r>
        <w:rPr>
          <w:rFonts w:hint="eastAsia" w:ascii="宋体" w:hAnsi="宋体"/>
          <w:bCs/>
        </w:rPr>
        <w:t xml:space="preserve">八</w:t>
      </w:r>
      <w:r>
        <w:rPr>
          <w:rFonts w:hint="eastAsia" w:ascii="宋体" w:hAnsi="宋体"/>
          <w:bCs/>
          <w:sz w:val="24"/>
          <w:szCs w:val="24"/>
        </w:rPr>
        <w:t xml:space="preserve">项要求的响应内容</w:t>
      </w:r>
      <w:bookmarkEnd w:id="127"/>
      <w:r>
        <w:rPr>
          <w:rFonts w:hint="eastAsia" w:ascii="宋体" w:hAnsi="宋体"/>
          <w:bCs/>
          <w:sz w:val="24"/>
          <w:szCs w:val="24"/>
        </w:rPr>
        <w:t xml:space="preserve">全部优于招标文件要求（前提是投标文件对“</w:t>
      </w:r>
      <w:r>
        <w:rPr>
          <w:rFonts w:ascii="宋体" w:hAnsi="宋体"/>
          <w:bCs/>
          <w:sz w:val="24"/>
          <w:szCs w:val="24"/>
        </w:rPr>
        <w:t xml:space="preserve">售后服务与日常维护方案</w:t>
      </w:r>
      <w:r>
        <w:rPr>
          <w:rFonts w:hint="eastAsia" w:ascii="宋体" w:hAnsi="宋体"/>
          <w:bCs/>
          <w:sz w:val="24"/>
          <w:szCs w:val="24"/>
        </w:rPr>
        <w:t xml:space="preserve">”中功能修改、运行分析、服务团队配置、备件保障、主动监控与预警、数据维护、安全维护、性能优化外其他要求响应内容符合招标文件要求</w:t>
      </w:r>
      <w:r>
        <w:rPr>
          <w:rFonts w:hint="eastAsia" w:ascii="宋体" w:hAnsi="宋体"/>
          <w:bCs/>
        </w:rPr>
        <w:t xml:space="preserve">）</w:t>
      </w:r>
      <w:r>
        <w:rPr>
          <w:rFonts w:hint="eastAsia" w:ascii="宋体" w:hAnsi="宋体"/>
          <w:bCs/>
          <w:sz w:val="24"/>
          <w:szCs w:val="24"/>
        </w:rPr>
        <w:t xml:space="preserve">的，本项得5分。</w:t>
      </w:r>
      <w:r>
        <w:rPr>
          <w:rFonts w:ascii="宋体" w:hAnsi="宋体"/>
          <w:bCs/>
          <w:sz w:val="24"/>
          <w:szCs w:val="24"/>
        </w:rPr>
      </w:r>
      <w:r/>
    </w:p>
    <w:p>
      <w:pPr>
        <w:pStyle w:val="784"/>
        <w:ind w:firstLine="482"/>
        <w:spacing w:before="0" w:after="0" w:line="400" w:lineRule="exact"/>
        <w:rPr>
          <w:rFonts w:hint="eastAsia" w:ascii="宋体" w:hAnsi="宋体"/>
          <w:b/>
          <w:highlight w:val="yellow"/>
        </w:rPr>
      </w:pPr>
      <w:r/>
      <w:bookmarkEnd w:id="126"/>
      <w:r>
        <w:rPr>
          <w:rFonts w:hint="eastAsia" w:ascii="宋体" w:hAnsi="宋体"/>
          <w:b/>
          <w:highlight w:val="yellow"/>
        </w:rPr>
      </w:r>
      <w:r/>
    </w:p>
    <w:p>
      <w:pPr>
        <w:pStyle w:val="784"/>
        <w:ind w:firstLine="482"/>
        <w:spacing w:line="0" w:lineRule="atLeast"/>
        <w:rPr>
          <w:rFonts w:hint="eastAsia" w:ascii="宋体" w:hAnsi="宋体"/>
          <w:b/>
          <w:highlight w:val="yellow"/>
        </w:rPr>
      </w:pPr>
      <w:r>
        <w:rPr>
          <w:rFonts w:hint="eastAsia" w:ascii="宋体" w:hAnsi="宋体"/>
          <w:b/>
          <w:highlight w:val="yellow"/>
        </w:rPr>
      </w:r>
      <w:r/>
    </w:p>
    <w:p>
      <w:pPr>
        <w:pStyle w:val="784"/>
        <w:ind w:firstLine="482"/>
        <w:spacing w:line="0" w:lineRule="atLeast"/>
        <w:rPr>
          <w:rFonts w:hint="eastAsia" w:ascii="宋体" w:hAnsi="宋体"/>
          <w:b/>
          <w:highlight w:val="yellow"/>
        </w:rPr>
      </w:pPr>
      <w:r>
        <w:rPr>
          <w:rFonts w:hint="eastAsia" w:ascii="宋体" w:hAnsi="宋体"/>
          <w:b/>
          <w:highlight w:val="yellow"/>
        </w:rPr>
      </w:r>
      <w:r/>
    </w:p>
    <w:p>
      <w:pPr>
        <w:pStyle w:val="784"/>
        <w:ind w:firstLine="482"/>
        <w:spacing w:line="0" w:lineRule="atLeast"/>
        <w:rPr>
          <w:rFonts w:hint="eastAsia" w:ascii="宋体" w:hAnsi="宋体"/>
          <w:b/>
          <w:highlight w:val="yellow"/>
        </w:rPr>
      </w:pPr>
      <w:r>
        <w:rPr>
          <w:rFonts w:hint="eastAsia" w:ascii="宋体" w:hAnsi="宋体"/>
          <w:b/>
          <w:highlight w:val="yellow"/>
        </w:rPr>
      </w:r>
      <w:r/>
    </w:p>
    <w:p>
      <w:pPr>
        <w:pStyle w:val="784"/>
        <w:ind w:firstLine="482"/>
        <w:spacing w:line="0" w:lineRule="atLeast"/>
        <w:rPr>
          <w:rFonts w:hint="eastAsia" w:ascii="宋体" w:hAnsi="宋体"/>
          <w:b/>
          <w:highlight w:val="yellow"/>
        </w:rPr>
      </w:pPr>
      <w:r>
        <w:rPr>
          <w:rFonts w:hint="eastAsia" w:ascii="宋体" w:hAnsi="宋体"/>
          <w:b/>
          <w:highlight w:val="yellow"/>
        </w:rPr>
      </w:r>
      <w:r/>
    </w:p>
    <w:p>
      <w:pPr>
        <w:pStyle w:val="784"/>
        <w:ind w:firstLine="482"/>
        <w:spacing w:line="0" w:lineRule="atLeast"/>
        <w:rPr>
          <w:rFonts w:hint="eastAsia" w:ascii="宋体" w:hAnsi="宋体"/>
          <w:b/>
          <w:highlight w:val="yellow"/>
        </w:rPr>
      </w:pPr>
      <w:r>
        <w:rPr>
          <w:rFonts w:hint="eastAsia" w:ascii="宋体" w:hAnsi="宋体"/>
          <w:b/>
          <w:highlight w:val="yellow"/>
        </w:rPr>
      </w:r>
      <w:r/>
    </w:p>
    <w:p>
      <w:pPr>
        <w:pStyle w:val="693"/>
        <w:rPr>
          <w:rFonts w:hint="eastAsia" w:ascii="黑体" w:eastAsia="黑体"/>
          <w:bCs/>
          <w:sz w:val="44"/>
        </w:rPr>
      </w:pPr>
      <w:r>
        <w:rPr>
          <w:rFonts w:ascii="宋体" w:hAnsi="宋体" w:eastAsia="宋体"/>
          <w:b/>
          <w:sz w:val="24"/>
          <w:szCs w:val="24"/>
          <w:highlight w:val="yellow"/>
        </w:rPr>
        <w:br w:type="page" w:clear="all"/>
      </w:r>
      <w:r>
        <w:rPr>
          <w:rFonts w:hint="eastAsia" w:ascii="黑体" w:eastAsia="黑体"/>
          <w:bCs/>
          <w:sz w:val="44"/>
        </w:rPr>
        <w:t xml:space="preserve">第六章  投标</w:t>
      </w:r>
      <w:bookmarkEnd w:id="87"/>
      <w:r/>
      <w:bookmarkEnd w:id="88"/>
      <w:r/>
      <w:bookmarkEnd w:id="107"/>
      <w:r>
        <w:rPr>
          <w:rFonts w:hint="eastAsia" w:ascii="黑体" w:eastAsia="黑体"/>
          <w:bCs/>
          <w:sz w:val="44"/>
        </w:rPr>
        <w:t xml:space="preserve">文件格式 </w:t>
      </w:r>
      <w:r/>
    </w:p>
    <w:p>
      <w:pPr>
        <w:pStyle w:val="692"/>
        <w:jc w:val="center"/>
        <w:rPr>
          <w:rFonts w:hint="eastAsia" w:ascii="宋体" w:hAnsi="宋体"/>
          <w:b/>
          <w:sz w:val="72"/>
        </w:rPr>
      </w:pPr>
      <w:r/>
      <w:bookmarkStart w:id="128" w:name="_Hlt26671244"/>
      <w:r/>
      <w:bookmarkEnd w:id="128"/>
      <w:r/>
      <w:bookmarkStart w:id="129" w:name="_Hlt26955039"/>
      <w:r/>
      <w:bookmarkEnd w:id="129"/>
      <w:r/>
      <w:bookmarkStart w:id="130" w:name="_Toc120614282"/>
      <w:r/>
      <w:bookmarkStart w:id="131" w:name="_Toc49090576"/>
      <w:r/>
      <w:bookmarkStart w:id="132" w:name="_Toc26554094"/>
      <w:r>
        <w:rPr>
          <w:rFonts w:hint="eastAsia" w:ascii="宋体" w:hAnsi="宋体"/>
          <w:b/>
          <w:sz w:val="72"/>
        </w:rPr>
      </w:r>
      <w:r/>
    </w:p>
    <w:p>
      <w:pPr>
        <w:pStyle w:val="692"/>
        <w:jc w:val="center"/>
        <w:rPr>
          <w:rFonts w:hint="eastAsia" w:ascii="宋体" w:hAnsi="宋体"/>
          <w:b/>
          <w:sz w:val="72"/>
        </w:rPr>
      </w:pPr>
      <w:r>
        <w:rPr>
          <w:rFonts w:hint="eastAsia" w:ascii="宋体" w:hAnsi="宋体"/>
          <w:b/>
          <w:sz w:val="72"/>
        </w:rPr>
        <w:t xml:space="preserve">投  标  文  件</w:t>
      </w:r>
      <w:r/>
    </w:p>
    <w:p>
      <w:pPr>
        <w:pStyle w:val="692"/>
        <w:jc w:val="center"/>
        <w:rPr>
          <w:rFonts w:hint="eastAsia" w:ascii="宋体" w:hAnsi="宋体"/>
          <w:b/>
          <w:sz w:val="72"/>
        </w:rPr>
      </w:pPr>
      <w:r>
        <w:rPr>
          <w:rFonts w:hint="eastAsia" w:ascii="宋体" w:hAnsi="宋体"/>
          <w:b/>
          <w:sz w:val="72"/>
        </w:rPr>
      </w:r>
      <w:r/>
    </w:p>
    <w:p>
      <w:pPr>
        <w:pStyle w:val="692"/>
        <w:jc w:val="center"/>
        <w:rPr>
          <w:rFonts w:hint="eastAsia" w:ascii="宋体" w:hAnsi="宋体"/>
          <w:b/>
          <w:sz w:val="72"/>
        </w:rPr>
      </w:pPr>
      <w:r>
        <w:rPr>
          <w:rFonts w:hint="eastAsia" w:ascii="宋体" w:hAnsi="宋体"/>
          <w:b/>
          <w:sz w:val="72"/>
        </w:rPr>
      </w:r>
      <w:r/>
    </w:p>
    <w:p>
      <w:pPr>
        <w:pStyle w:val="692"/>
        <w:jc w:val="center"/>
        <w:rPr>
          <w:rFonts w:hint="eastAsia" w:ascii="宋体" w:hAnsi="宋体"/>
          <w:b/>
          <w:sz w:val="36"/>
        </w:rPr>
      </w:pPr>
      <w:r>
        <w:rPr>
          <w:rFonts w:hint="eastAsia" w:ascii="宋体" w:hAnsi="宋体"/>
          <w:b/>
          <w:sz w:val="36"/>
        </w:rPr>
      </w:r>
      <w:r/>
    </w:p>
    <w:p>
      <w:pPr>
        <w:pStyle w:val="692"/>
        <w:jc w:val="center"/>
        <w:rPr>
          <w:rFonts w:hint="eastAsia" w:ascii="宋体" w:hAnsi="宋体"/>
          <w:b/>
          <w:sz w:val="36"/>
        </w:rPr>
      </w:pPr>
      <w:r>
        <w:rPr>
          <w:rFonts w:hint="eastAsia" w:ascii="宋体" w:hAnsi="宋体"/>
          <w:b/>
          <w:sz w:val="36"/>
        </w:rPr>
      </w:r>
      <w:r/>
    </w:p>
    <w:p>
      <w:pPr>
        <w:pStyle w:val="692"/>
        <w:jc w:val="center"/>
        <w:rPr>
          <w:rFonts w:hint="eastAsia" w:ascii="宋体" w:hAnsi="宋体"/>
          <w:b/>
          <w:sz w:val="36"/>
        </w:rPr>
      </w:pPr>
      <w:r>
        <w:rPr>
          <w:rFonts w:hint="eastAsia" w:ascii="宋体" w:hAnsi="宋体"/>
          <w:b/>
          <w:sz w:val="36"/>
        </w:rPr>
      </w:r>
      <w:r/>
    </w:p>
    <w:p>
      <w:pPr>
        <w:pStyle w:val="69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2"/>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69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2"/>
        <w:jc w:val="center"/>
        <w:spacing w:line="440" w:lineRule="exact"/>
        <w:rPr>
          <w:rFonts w:hint="eastAsia" w:ascii="宋体" w:hAnsi="宋体"/>
          <w:b/>
          <w:bCs/>
          <w:sz w:val="32"/>
          <w:szCs w:val="32"/>
        </w:rPr>
      </w:pPr>
      <w:r>
        <w:rPr>
          <w:rFonts w:hint="eastAsia" w:ascii="宋体" w:hAnsi="宋体"/>
          <w:b/>
          <w:bCs/>
          <w:sz w:val="32"/>
          <w:szCs w:val="32"/>
        </w:rPr>
      </w:r>
      <w:r/>
    </w:p>
    <w:p>
      <w:pPr>
        <w:pStyle w:val="692"/>
        <w:spacing w:line="440" w:lineRule="exact"/>
        <w:rPr>
          <w:rFonts w:ascii="宋体" w:hAnsi="宋体"/>
        </w:rPr>
      </w:pPr>
      <w:r>
        <w:rPr>
          <w:rFonts w:ascii="宋体" w:hAnsi="宋体"/>
        </w:rPr>
      </w:r>
      <w:r/>
    </w:p>
    <w:p>
      <w:pPr>
        <w:pStyle w:val="692"/>
        <w:rPr>
          <w:rFonts w:ascii="宋体" w:hAnsi="宋体"/>
          <w:b/>
          <w:sz w:val="36"/>
          <w:u w:val="single"/>
        </w:rPr>
      </w:pPr>
      <w:r>
        <w:rPr>
          <w:rFonts w:ascii="宋体" w:hAnsi="宋体"/>
          <w:b/>
          <w:sz w:val="36"/>
          <w:u w:val="single"/>
        </w:rPr>
      </w:r>
      <w:r/>
    </w:p>
    <w:p>
      <w:pPr>
        <w:pStyle w:val="692"/>
        <w:rPr>
          <w:rFonts w:ascii="宋体" w:hAnsi="宋体"/>
          <w:b/>
          <w:sz w:val="36"/>
          <w:u w:val="single"/>
        </w:rPr>
      </w:pPr>
      <w:r>
        <w:rPr>
          <w:rFonts w:ascii="宋体" w:hAnsi="宋体"/>
          <w:b/>
          <w:sz w:val="36"/>
          <w:u w:val="single"/>
        </w:rPr>
      </w:r>
      <w:r/>
    </w:p>
    <w:p>
      <w:pPr>
        <w:pStyle w:val="692"/>
        <w:rPr>
          <w:rFonts w:ascii="宋体" w:hAnsi="宋体"/>
          <w:b/>
          <w:sz w:val="36"/>
          <w:u w:val="single"/>
        </w:rPr>
      </w:pPr>
      <w:r>
        <w:rPr>
          <w:rFonts w:ascii="宋体" w:hAnsi="宋体"/>
          <w:b/>
          <w:sz w:val="36"/>
          <w:u w:val="single"/>
        </w:rPr>
      </w:r>
      <w:r/>
    </w:p>
    <w:p>
      <w:pPr>
        <w:pStyle w:val="692"/>
        <w:rPr>
          <w:rFonts w:ascii="宋体" w:hAnsi="宋体"/>
          <w:b/>
          <w:sz w:val="36"/>
          <w:u w:val="single"/>
        </w:rPr>
      </w:pPr>
      <w:r>
        <w:rPr>
          <w:rFonts w:ascii="宋体" w:hAnsi="宋体"/>
          <w:b/>
          <w:sz w:val="36"/>
          <w:u w:val="single"/>
        </w:rPr>
      </w:r>
      <w:r/>
    </w:p>
    <w:p>
      <w:pPr>
        <w:pStyle w:val="692"/>
        <w:rPr>
          <w:rFonts w:ascii="宋体" w:hAnsi="宋体"/>
          <w:b/>
          <w:sz w:val="36"/>
          <w:u w:val="single"/>
        </w:rPr>
      </w:pPr>
      <w:r>
        <w:rPr>
          <w:rFonts w:ascii="宋体" w:hAnsi="宋体"/>
          <w:b/>
          <w:sz w:val="36"/>
          <w:u w:val="single"/>
        </w:rPr>
      </w:r>
      <w:r/>
    </w:p>
    <w:p>
      <w:pPr>
        <w:pStyle w:val="692"/>
        <w:rPr>
          <w:rFonts w:ascii="宋体" w:hAnsi="宋体"/>
          <w:b/>
          <w:bCs/>
          <w:sz w:val="32"/>
          <w:szCs w:val="32"/>
        </w:rPr>
      </w:pPr>
      <w:r>
        <w:rPr>
          <w:rFonts w:ascii="宋体" w:hAnsi="宋体"/>
          <w:b/>
          <w:bCs/>
          <w:sz w:val="32"/>
          <w:szCs w:val="32"/>
        </w:rPr>
      </w:r>
      <w:r/>
    </w:p>
    <w:p>
      <w:pPr>
        <w:pStyle w:val="692"/>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92"/>
        <w:jc w:val="center"/>
        <w:spacing w:line="440" w:lineRule="exact"/>
        <w:rPr>
          <w:rFonts w:hint="eastAsia" w:ascii="宋体" w:hAnsi="宋体"/>
          <w:b/>
          <w:bCs/>
          <w:sz w:val="32"/>
          <w:szCs w:val="32"/>
        </w:rPr>
      </w:pPr>
      <w:r>
        <w:rPr>
          <w:rFonts w:hint="eastAsia" w:ascii="宋体" w:hAnsi="宋体"/>
          <w:b/>
          <w:bCs/>
          <w:sz w:val="32"/>
          <w:szCs w:val="32"/>
        </w:rPr>
      </w:r>
      <w:r/>
    </w:p>
    <w:p>
      <w:pPr>
        <w:pStyle w:val="692"/>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92"/>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92"/>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92"/>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92"/>
        <w:ind w:firstLine="480"/>
        <w:spacing w:line="400" w:lineRule="exact"/>
        <w:rPr>
          <w:rFonts w:hint="eastAsia" w:ascii="宋体" w:hAnsi="宋体"/>
          <w:sz w:val="24"/>
          <w:highlight w:val="yellow"/>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highlight w:val="yellow"/>
        </w:rPr>
      </w:r>
      <w:r/>
    </w:p>
    <w:p>
      <w:pPr>
        <w:pStyle w:val="692"/>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92"/>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92"/>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692"/>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92"/>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92"/>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92"/>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92"/>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692"/>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92"/>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92"/>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9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92"/>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r>
      <w:r/>
    </w:p>
    <w:p>
      <w:pPr>
        <w:pStyle w:val="692"/>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92"/>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pStyle w:val="692"/>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692"/>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92"/>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92"/>
        <w:ind w:firstLine="480"/>
        <w:spacing w:line="440" w:lineRule="exact"/>
        <w:rPr>
          <w:rFonts w:ascii="宋体" w:hAnsi="宋体"/>
          <w:sz w:val="24"/>
        </w:rPr>
      </w:pPr>
      <w:r>
        <w:rPr>
          <w:rFonts w:hint="eastAsia" w:ascii="宋体" w:hAnsi="宋体"/>
          <w:sz w:val="24"/>
        </w:rPr>
        <w:t xml:space="preserve">3.关于符合本国产品标准的声明函（格式见附件12）</w:t>
      </w:r>
      <w:r>
        <w:rPr>
          <w:rFonts w:ascii="宋体" w:hAnsi="宋体"/>
          <w:sz w:val="24"/>
        </w:rPr>
      </w:r>
      <w:r/>
    </w:p>
    <w:p>
      <w:pPr>
        <w:pStyle w:val="692"/>
        <w:rPr>
          <w:rFonts w:ascii="宋体" w:hAnsi="宋体"/>
          <w:b/>
          <w:sz w:val="24"/>
          <w:szCs w:val="24"/>
        </w:rPr>
      </w:pPr>
      <w:r>
        <w:rPr>
          <w:rFonts w:ascii="宋体" w:hAnsi="宋体"/>
          <w:b/>
          <w:sz w:val="24"/>
          <w:szCs w:val="24"/>
        </w:rPr>
      </w:r>
      <w:r/>
    </w:p>
    <w:p>
      <w:pPr>
        <w:pStyle w:val="692"/>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92"/>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92"/>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92"/>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692"/>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2"/>
        <w:jc w:val="center"/>
        <w:rPr>
          <w:rFonts w:ascii="宋体" w:hAnsi="宋体"/>
          <w:b/>
          <w:sz w:val="24"/>
          <w:szCs w:val="24"/>
        </w:rPr>
      </w:pPr>
      <w:r>
        <w:rPr>
          <w:rFonts w:ascii="宋体" w:hAnsi="宋体"/>
          <w:b/>
          <w:sz w:val="24"/>
          <w:szCs w:val="24"/>
        </w:rPr>
      </w:r>
      <w:r/>
    </w:p>
    <w:p>
      <w:pPr>
        <w:pStyle w:val="692"/>
        <w:jc w:val="center"/>
      </w:pPr>
      <w:r>
        <w:rPr>
          <w:rFonts w:hint="eastAsia" w:ascii="宋体" w:hAnsi="宋体"/>
          <w:b/>
          <w:sz w:val="24"/>
          <w:szCs w:val="24"/>
        </w:rPr>
        <w:t xml:space="preserve">附件2-1 投标分项报价表（采购包号：**）</w:t>
      </w:r>
      <w:r/>
    </w:p>
    <w:p>
      <w:pPr>
        <w:pStyle w:val="6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6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692"/>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6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6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6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6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6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6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692"/>
        <w:spacing w:line="0" w:lineRule="atLeast"/>
        <w:rPr>
          <w:rFonts w:hint="eastAsia" w:ascii="宋体" w:hAnsi="宋体"/>
          <w:sz w:val="24"/>
          <w:szCs w:val="24"/>
        </w:rPr>
      </w:pPr>
      <w:r>
        <w:rPr>
          <w:rFonts w:hint="eastAsia" w:ascii="宋体" w:hAnsi="宋体"/>
          <w:sz w:val="24"/>
          <w:szCs w:val="24"/>
        </w:rPr>
      </w:r>
      <w:r/>
    </w:p>
    <w:p>
      <w:pPr>
        <w:pStyle w:val="692"/>
        <w:spacing w:line="0" w:lineRule="atLeast"/>
        <w:rPr>
          <w:rFonts w:hint="eastAsia" w:ascii="宋体" w:hAnsi="宋体"/>
          <w:sz w:val="24"/>
          <w:szCs w:val="24"/>
        </w:rPr>
      </w:pPr>
      <w:r>
        <w:rPr>
          <w:rFonts w:hint="eastAsia" w:ascii="宋体" w:hAnsi="宋体"/>
          <w:sz w:val="24"/>
          <w:szCs w:val="24"/>
        </w:rPr>
      </w:r>
      <w:r/>
    </w:p>
    <w:p>
      <w:pPr>
        <w:pStyle w:val="692"/>
        <w:jc w:val="center"/>
        <w:spacing w:line="360" w:lineRule="auto"/>
        <w:rPr>
          <w:rFonts w:hint="eastAsia" w:ascii="宋体" w:hAnsi="宋体" w:cs="宋体"/>
          <w:b/>
          <w:sz w:val="24"/>
        </w:rPr>
      </w:pPr>
      <w:r>
        <w:rPr>
          <w:rFonts w:hint="eastAsia" w:ascii="宋体" w:hAnsi="宋体" w:cs="宋体"/>
          <w:b/>
          <w:sz w:val="24"/>
        </w:rPr>
        <w:t xml:space="preserve">2-2备品备件及耗材价格表</w:t>
      </w:r>
      <w:r/>
    </w:p>
    <w:p>
      <w:pPr>
        <w:pStyle w:val="692"/>
        <w:ind w:firstLine="480"/>
        <w:spacing w:line="360" w:lineRule="auto"/>
        <w:rPr>
          <w:rFonts w:ascii="宋体" w:hAnsi="宋体" w:cs="宋体"/>
          <w:bCs/>
          <w:sz w:val="24"/>
        </w:rPr>
      </w:pPr>
      <w:r>
        <w:rPr>
          <w:rFonts w:hint="eastAsia" w:ascii="宋体" w:hAnsi="宋体" w:cs="宋体"/>
          <w:bCs/>
          <w:sz w:val="24"/>
        </w:rPr>
        <w:t xml:space="preserve">常用备品、备件报价清单需列出，质保期满后，需根据采购人要求提供充足的备品、备件，并按投标时承诺的价格提供。</w:t>
      </w:r>
      <w:r>
        <w:rPr>
          <w:rFonts w:ascii="宋体" w:hAnsi="宋体" w:cs="宋体"/>
          <w:bCs/>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2"/>
        <w:gridCol w:w="2292"/>
        <w:gridCol w:w="2292"/>
        <w:gridCol w:w="2293"/>
      </w:tblGrid>
      <w:tr>
        <w:trPr/>
        <w:tc>
          <w:tcPr>
            <w:tcW w:w="2042" w:type="dxa"/>
            <w:vAlign w:val="center"/>
            <w:textDirection w:val="lrTb"/>
            <w:noWrap w:val="false"/>
          </w:tcPr>
          <w:p>
            <w:pPr>
              <w:pStyle w:val="692"/>
              <w:jc w:val="center"/>
              <w:spacing w:line="360" w:lineRule="auto"/>
              <w:rPr>
                <w:rFonts w:ascii="宋体" w:hAnsi="宋体" w:cs="宋体"/>
                <w:bCs/>
                <w:sz w:val="24"/>
              </w:rPr>
            </w:pPr>
            <w:r>
              <w:rPr>
                <w:rFonts w:ascii="宋体" w:hAnsi="宋体" w:cs="宋体"/>
                <w:bCs/>
                <w:sz w:val="24"/>
              </w:rPr>
              <w:t xml:space="preserve">序号</w:t>
            </w:r>
            <w:r/>
          </w:p>
        </w:tc>
        <w:tc>
          <w:tcPr>
            <w:tcW w:w="2292" w:type="dxa"/>
            <w:vAlign w:val="center"/>
            <w:textDirection w:val="lrTb"/>
            <w:noWrap w:val="false"/>
          </w:tcPr>
          <w:p>
            <w:pPr>
              <w:pStyle w:val="692"/>
              <w:jc w:val="center"/>
              <w:spacing w:line="360" w:lineRule="auto"/>
              <w:rPr>
                <w:rFonts w:ascii="宋体" w:hAnsi="宋体" w:cs="宋体"/>
                <w:bCs/>
                <w:sz w:val="24"/>
              </w:rPr>
            </w:pPr>
            <w:r>
              <w:rPr>
                <w:rFonts w:ascii="宋体" w:hAnsi="宋体" w:cs="宋体"/>
                <w:bCs/>
                <w:sz w:val="24"/>
              </w:rPr>
              <w:t xml:space="preserve">货物名称</w:t>
            </w:r>
            <w:r/>
          </w:p>
        </w:tc>
        <w:tc>
          <w:tcPr>
            <w:tcW w:w="2292" w:type="dxa"/>
            <w:vAlign w:val="center"/>
            <w:textDirection w:val="lrTb"/>
            <w:noWrap w:val="false"/>
          </w:tcPr>
          <w:p>
            <w:pPr>
              <w:pStyle w:val="692"/>
              <w:jc w:val="center"/>
              <w:spacing w:line="360" w:lineRule="auto"/>
              <w:rPr>
                <w:rFonts w:ascii="宋体" w:hAnsi="宋体" w:cs="宋体"/>
                <w:bCs/>
                <w:sz w:val="24"/>
              </w:rPr>
            </w:pPr>
            <w:r>
              <w:rPr>
                <w:rFonts w:ascii="宋体" w:hAnsi="宋体" w:cs="宋体"/>
                <w:bCs/>
                <w:sz w:val="24"/>
              </w:rPr>
              <w:t xml:space="preserve">备件名称</w:t>
            </w:r>
            <w:r/>
          </w:p>
        </w:tc>
        <w:tc>
          <w:tcPr>
            <w:tcW w:w="2293" w:type="dxa"/>
            <w:vAlign w:val="center"/>
            <w:textDirection w:val="lrTb"/>
            <w:noWrap w:val="false"/>
          </w:tcPr>
          <w:p>
            <w:pPr>
              <w:pStyle w:val="692"/>
              <w:jc w:val="center"/>
              <w:spacing w:line="360" w:lineRule="auto"/>
              <w:rPr>
                <w:rFonts w:ascii="宋体" w:hAnsi="宋体" w:cs="宋体"/>
                <w:bCs/>
                <w:sz w:val="24"/>
              </w:rPr>
            </w:pPr>
            <w:r>
              <w:rPr>
                <w:rFonts w:ascii="宋体" w:hAnsi="宋体" w:cs="宋体"/>
                <w:bCs/>
                <w:sz w:val="24"/>
              </w:rPr>
              <w:t xml:space="preserve">价格</w:t>
            </w:r>
            <w:r/>
          </w:p>
        </w:tc>
      </w:tr>
      <w:tr>
        <w:trPr/>
        <w:tc>
          <w:tcPr>
            <w:tcW w:w="204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3"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r>
      <w:tr>
        <w:trPr/>
        <w:tc>
          <w:tcPr>
            <w:tcW w:w="204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c>
          <w:tcPr>
            <w:tcW w:w="2293" w:type="dxa"/>
            <w:vAlign w:val="top"/>
            <w:textDirection w:val="lrTb"/>
            <w:noWrap w:val="false"/>
          </w:tcPr>
          <w:p>
            <w:pPr>
              <w:pStyle w:val="692"/>
              <w:spacing w:line="360" w:lineRule="auto"/>
              <w:rPr>
                <w:rFonts w:ascii="宋体" w:hAnsi="宋体" w:cs="宋体"/>
                <w:bCs/>
                <w:sz w:val="24"/>
              </w:rPr>
            </w:pPr>
            <w:r>
              <w:rPr>
                <w:rFonts w:ascii="宋体" w:hAnsi="宋体" w:cs="宋体"/>
                <w:bCs/>
                <w:sz w:val="24"/>
              </w:rPr>
            </w:r>
            <w:r/>
          </w:p>
        </w:tc>
      </w:tr>
    </w:tbl>
    <w:p>
      <w:pPr>
        <w:pStyle w:val="692"/>
        <w:spacing w:line="0" w:lineRule="atLeast"/>
        <w:rPr>
          <w:rFonts w:hint="eastAsia" w:ascii="宋体" w:hAnsi="宋体"/>
          <w:sz w:val="24"/>
          <w:szCs w:val="24"/>
        </w:rPr>
      </w:pPr>
      <w:r>
        <w:rPr>
          <w:rFonts w:hint="eastAsia" w:ascii="宋体" w:hAnsi="宋体"/>
          <w:sz w:val="24"/>
          <w:szCs w:val="24"/>
        </w:rPr>
      </w:r>
      <w:r/>
    </w:p>
    <w:p>
      <w:pPr>
        <w:pStyle w:val="692"/>
        <w:spacing w:line="0" w:lineRule="atLeast"/>
        <w:rPr>
          <w:rFonts w:hint="eastAsia" w:ascii="宋体" w:hAnsi="宋体"/>
          <w:sz w:val="24"/>
          <w:szCs w:val="24"/>
        </w:rPr>
      </w:pPr>
      <w:r>
        <w:rPr>
          <w:rFonts w:hint="eastAsia"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9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bookmarkStart w:id="133" w:name="OLE_LINK25"/>
      <w:r/>
      <w:bookmarkStart w:id="134" w:name="OLE_LINK26"/>
      <w:r>
        <w:rPr>
          <w:rFonts w:hint="eastAsia" w:ascii="宋体" w:hAnsi="宋体"/>
          <w:b/>
          <w:sz w:val="24"/>
          <w:szCs w:val="24"/>
        </w:rPr>
        <w:t xml:space="preserve">技术要求响应及偏离表</w:t>
      </w:r>
      <w:bookmarkEnd w:id="133"/>
      <w:r/>
      <w:bookmarkEnd w:id="134"/>
      <w:r>
        <w:rPr>
          <w:rFonts w:hint="eastAsia" w:ascii="宋体" w:hAnsi="宋体"/>
          <w:b/>
          <w:sz w:val="24"/>
          <w:szCs w:val="24"/>
        </w:rPr>
        <w:t xml:space="preserve">（采购包号：**）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bl>
    <w:p>
      <w:pPr>
        <w:pStyle w:val="69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2"/>
        <w:spacing w:line="400" w:lineRule="exact"/>
        <w:rPr>
          <w:rFonts w:ascii="宋体" w:hAnsi="宋体"/>
          <w:sz w:val="24"/>
          <w:szCs w:val="24"/>
        </w:rPr>
      </w:pP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2"/>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92"/>
        <w:spacing w:line="400" w:lineRule="exact"/>
        <w:rPr>
          <w:rFonts w:hint="eastAsia" w:ascii="宋体" w:hAnsi="宋体"/>
          <w:sz w:val="24"/>
          <w:szCs w:val="24"/>
        </w:rPr>
      </w:pPr>
      <w:r>
        <w:rPr>
          <w:rFonts w:hint="eastAsia" w:ascii="宋体" w:hAnsi="宋体"/>
          <w:sz w:val="24"/>
          <w:szCs w:val="24"/>
        </w:rPr>
      </w:r>
      <w:r/>
    </w:p>
    <w:p>
      <w:pPr>
        <w:pStyle w:val="692"/>
        <w:spacing w:line="400" w:lineRule="exact"/>
        <w:rPr>
          <w:rFonts w:hint="eastAsia" w:ascii="宋体" w:hAnsi="宋体"/>
          <w:sz w:val="24"/>
          <w:szCs w:val="24"/>
        </w:rPr>
      </w:pPr>
      <w:r>
        <w:rPr>
          <w:rFonts w:hint="eastAsia" w:ascii="宋体" w:hAnsi="宋体"/>
          <w:sz w:val="24"/>
          <w:szCs w:val="24"/>
        </w:rPr>
      </w:r>
      <w:r/>
    </w:p>
    <w:p>
      <w:pPr>
        <w:pStyle w:val="69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bl>
    <w:p>
      <w:pPr>
        <w:pStyle w:val="69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2"/>
        <w:spacing w:line="400" w:lineRule="exact"/>
        <w:rPr>
          <w:rFonts w:ascii="宋体" w:hAnsi="宋体"/>
          <w:sz w:val="24"/>
          <w:szCs w:val="24"/>
        </w:rPr>
      </w:pP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2"/>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69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92"/>
        <w:rPr>
          <w:rFonts w:hint="eastAsia" w:ascii="宋体" w:hAnsi="宋体"/>
          <w:b/>
          <w:sz w:val="24"/>
        </w:rPr>
      </w:pPr>
      <w:r>
        <w:rPr>
          <w:rFonts w:hint="eastAsia" w:ascii="宋体" w:hAnsi="宋体"/>
          <w:b/>
          <w:sz w:val="24"/>
        </w:rPr>
      </w:r>
      <w:r/>
    </w:p>
    <w:p>
      <w:pPr>
        <w:pStyle w:val="692"/>
        <w:ind w:firstLine="480"/>
        <w:spacing w:line="440" w:lineRule="exact"/>
        <w:rPr>
          <w:rFonts w:ascii="宋体" w:hAnsi="宋体"/>
          <w:sz w:val="24"/>
        </w:rPr>
      </w:pPr>
      <w:r>
        <w:rPr>
          <w:rFonts w:ascii="宋体" w:hAnsi="宋体"/>
          <w:sz w:val="24"/>
        </w:rPr>
      </w:r>
      <w:r/>
    </w:p>
    <w:p>
      <w:pPr>
        <w:pStyle w:val="692"/>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692"/>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692"/>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92"/>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92"/>
        <w:spacing w:line="460" w:lineRule="exact"/>
        <w:rPr>
          <w:rFonts w:hint="eastAsia" w:ascii="宋体" w:hAnsi="宋体"/>
          <w:bCs/>
          <w:sz w:val="24"/>
        </w:rPr>
      </w:pPr>
      <w:r>
        <w:rPr>
          <w:rFonts w:hint="eastAsia" w:ascii="宋体" w:hAnsi="宋体"/>
          <w:bCs/>
          <w:sz w:val="24"/>
        </w:rPr>
        <w:t xml:space="preserve">                                     </w:t>
      </w:r>
      <w:r/>
    </w:p>
    <w:p>
      <w:pPr>
        <w:pStyle w:val="692"/>
        <w:ind w:left="480"/>
        <w:rPr>
          <w:rFonts w:ascii="宋体" w:hAnsi="宋体"/>
          <w:b/>
          <w:sz w:val="24"/>
        </w:rPr>
      </w:pPr>
      <w:r>
        <w:rPr>
          <w:rFonts w:ascii="宋体" w:hAnsi="宋体"/>
          <w:b/>
          <w:sz w:val="24"/>
        </w:rPr>
      </w:r>
      <w:r/>
    </w:p>
    <w:p>
      <w:pPr>
        <w:pStyle w:val="692"/>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692"/>
        <w:jc w:val="center"/>
        <w:spacing w:line="460" w:lineRule="exact"/>
        <w:rPr>
          <w:rFonts w:ascii="宋体" w:hAnsi="宋体"/>
          <w:b/>
          <w:bCs/>
          <w:sz w:val="24"/>
        </w:rPr>
      </w:pPr>
      <w:r>
        <w:rPr>
          <w:rFonts w:ascii="宋体" w:hAnsi="宋体"/>
          <w:b/>
          <w:bCs/>
          <w:sz w:val="24"/>
        </w:rPr>
      </w:r>
      <w:r/>
    </w:p>
    <w:p>
      <w:pPr>
        <w:pStyle w:val="692"/>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92"/>
        <w:ind w:left="480"/>
        <w:rPr>
          <w:rFonts w:ascii="宋体" w:hAnsi="宋体"/>
          <w:b/>
          <w:sz w:val="24"/>
        </w:rPr>
      </w:pPr>
      <w:r>
        <w:rPr>
          <w:rFonts w:ascii="宋体" w:hAnsi="宋体"/>
          <w:b/>
          <w:sz w:val="24"/>
        </w:rPr>
      </w:r>
      <w:r/>
    </w:p>
    <w:p>
      <w:pPr>
        <w:pStyle w:val="692"/>
        <w:ind w:firstLine="480"/>
        <w:spacing w:line="460" w:lineRule="exact"/>
        <w:rPr>
          <w:rFonts w:ascii="宋体" w:hAnsi="宋体"/>
          <w:b/>
          <w:sz w:val="24"/>
        </w:rPr>
      </w:pPr>
      <w:r>
        <w:rPr>
          <w:rFonts w:ascii="宋体" w:hAnsi="宋体"/>
          <w:b/>
          <w:sz w:val="24"/>
        </w:rPr>
      </w:r>
      <w:r/>
    </w:p>
    <w:p>
      <w:pPr>
        <w:pStyle w:val="692"/>
        <w:ind w:firstLine="480"/>
        <w:spacing w:line="460" w:lineRule="exact"/>
        <w:rPr>
          <w:rFonts w:ascii="宋体" w:hAnsi="宋体"/>
          <w:b/>
          <w:sz w:val="24"/>
        </w:rPr>
      </w:pPr>
      <w:r>
        <w:rPr>
          <w:rFonts w:ascii="宋体" w:hAnsi="宋体"/>
          <w:b/>
          <w:sz w:val="24"/>
        </w:rPr>
      </w:r>
      <w:r/>
    </w:p>
    <w:p>
      <w:pPr>
        <w:pStyle w:val="692"/>
        <w:ind w:firstLine="480"/>
        <w:spacing w:line="460" w:lineRule="exact"/>
        <w:rPr>
          <w:rFonts w:hint="eastAsia" w:ascii="宋体" w:hAnsi="宋体"/>
          <w:b/>
          <w:sz w:val="24"/>
        </w:rPr>
      </w:pPr>
      <w:r>
        <w:rPr>
          <w:rFonts w:hint="eastAsia" w:ascii="宋体" w:hAnsi="宋体"/>
          <w:b/>
          <w:sz w:val="24"/>
        </w:rPr>
      </w:r>
      <w:r/>
    </w:p>
    <w:p>
      <w:pPr>
        <w:pStyle w:val="692"/>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692"/>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本授权书声明：____________（投标人名称）授权________________（被授权人的姓名）为我方就采购编号为JSZC-320000-SCZX-G20**-****，</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pStyle w:val="692"/>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692"/>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92"/>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92"/>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692"/>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92"/>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92"/>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92"/>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pStyle w:val="692"/>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692"/>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78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78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8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8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8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8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4"/>
        <w:ind w:left="420"/>
        <w:spacing w:before="0" w:after="0" w:line="420" w:lineRule="exact"/>
        <w:rPr>
          <w:rFonts w:hint="eastAsia" w:ascii="宋体" w:hAnsi="宋体"/>
          <w:szCs w:val="21"/>
        </w:rPr>
      </w:pPr>
      <w:r>
        <w:rPr>
          <w:rFonts w:hint="eastAsia" w:ascii="宋体" w:hAnsi="宋体"/>
          <w:szCs w:val="21"/>
        </w:rPr>
        <w:t xml:space="preserve">地          址：</w:t>
      </w:r>
      <w:r/>
    </w:p>
    <w:p>
      <w:pPr>
        <w:pStyle w:val="784"/>
        <w:ind w:left="420"/>
        <w:spacing w:before="0" w:after="0" w:line="420" w:lineRule="exact"/>
        <w:rPr>
          <w:rFonts w:hint="eastAsia" w:ascii="宋体" w:hAnsi="宋体"/>
          <w:szCs w:val="21"/>
        </w:rPr>
      </w:pPr>
      <w:r>
        <w:rPr>
          <w:rFonts w:hint="eastAsia" w:ascii="宋体" w:hAnsi="宋体"/>
          <w:szCs w:val="21"/>
        </w:rPr>
        <w:t xml:space="preserve">邮          编：</w:t>
      </w:r>
      <w:r/>
    </w:p>
    <w:p>
      <w:pPr>
        <w:pStyle w:val="784"/>
        <w:ind w:left="420"/>
        <w:spacing w:before="0" w:after="0" w:line="420" w:lineRule="exact"/>
        <w:rPr>
          <w:rFonts w:hint="eastAsia" w:ascii="宋体" w:hAnsi="宋体"/>
          <w:szCs w:val="21"/>
        </w:rPr>
      </w:pPr>
      <w:r>
        <w:rPr>
          <w:rFonts w:hint="eastAsia" w:ascii="宋体" w:hAnsi="宋体"/>
          <w:szCs w:val="21"/>
        </w:rPr>
        <w:t xml:space="preserve">电          话：</w:t>
      </w:r>
      <w:r/>
    </w:p>
    <w:p>
      <w:pPr>
        <w:pStyle w:val="784"/>
        <w:ind w:left="420"/>
        <w:spacing w:before="0" w:after="0" w:line="420" w:lineRule="exact"/>
        <w:rPr>
          <w:rFonts w:hint="eastAsia" w:ascii="宋体" w:hAnsi="宋体"/>
          <w:szCs w:val="21"/>
        </w:rPr>
      </w:pPr>
      <w:r>
        <w:rPr>
          <w:rFonts w:hint="eastAsia" w:ascii="宋体" w:hAnsi="宋体"/>
          <w:szCs w:val="21"/>
        </w:rPr>
        <w:t xml:space="preserve">传          真：</w:t>
      </w:r>
      <w:r/>
    </w:p>
    <w:p>
      <w:pPr>
        <w:pStyle w:val="78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4"/>
        <w:ind w:left="420"/>
        <w:spacing w:before="0" w:after="0" w:line="420" w:lineRule="exact"/>
        <w:rPr>
          <w:rFonts w:hint="eastAsia" w:ascii="宋体" w:hAnsi="宋体"/>
          <w:szCs w:val="21"/>
        </w:rPr>
      </w:pPr>
      <w:r>
        <w:rPr>
          <w:rFonts w:hint="eastAsia" w:ascii="宋体" w:hAnsi="宋体"/>
          <w:szCs w:val="21"/>
        </w:rPr>
        <w:t xml:space="preserve">账          号： </w:t>
      </w:r>
      <w:r/>
    </w:p>
    <w:p>
      <w:pPr>
        <w:pStyle w:val="692"/>
        <w:jc w:val="right"/>
        <w:spacing w:line="400" w:lineRule="exact"/>
        <w:rPr>
          <w:rFonts w:ascii="宋体" w:hAnsi="宋体"/>
          <w:sz w:val="24"/>
        </w:rPr>
      </w:pPr>
      <w:r>
        <w:rPr>
          <w:rFonts w:hint="eastAsia" w:ascii="宋体" w:hAnsi="宋体"/>
          <w:sz w:val="24"/>
        </w:rPr>
        <w:t xml:space="preserve">供应商全称（加盖CA电子公章）：</w:t>
      </w:r>
      <w:r>
        <w:rPr>
          <w:rFonts w:ascii="宋体" w:hAnsi="宋体"/>
          <w:sz w:val="24"/>
        </w:rPr>
      </w:r>
      <w:r/>
    </w:p>
    <w:p>
      <w:pPr>
        <w:pStyle w:val="692"/>
        <w:ind w:firstLine="480"/>
        <w:jc w:val="center"/>
        <w:spacing w:line="400" w:lineRule="exact"/>
        <w:rPr>
          <w:rFonts w:hint="eastAsia" w:ascii="宋体" w:hAnsi="宋体"/>
          <w:sz w:val="24"/>
        </w:rPr>
      </w:pPr>
      <w:r>
        <w:rPr>
          <w:rFonts w:hint="eastAsia" w:ascii="宋体" w:hAnsi="宋体"/>
          <w:sz w:val="24"/>
        </w:rPr>
        <w:t xml:space="preserve">                                      日      期：___年____月____日</w:t>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spacing w:line="460" w:lineRule="exact"/>
        <w:rPr>
          <w:rFonts w:hint="eastAsia" w:ascii="黑体" w:hAnsi="黑体" w:eastAsia="黑体"/>
          <w:b/>
          <w:sz w:val="32"/>
          <w:szCs w:val="32"/>
        </w:rPr>
      </w:pPr>
      <w:r/>
      <w:bookmarkEnd w:id="130"/>
      <w:r/>
      <w:bookmarkEnd w:id="131"/>
      <w:r/>
      <w:bookmarkEnd w:id="132"/>
      <w:r/>
      <w:bookmarkStart w:id="135" w:name="_Toc120614284"/>
      <w:r>
        <w:rPr>
          <w:rFonts w:ascii="黑体" w:hAnsi="黑体" w:eastAsia="黑体"/>
          <w:b/>
          <w:sz w:val="32"/>
          <w:szCs w:val="32"/>
        </w:rPr>
        <w:br w:type="page" w:clear="all"/>
      </w:r>
      <w:r>
        <w:rPr>
          <w:rFonts w:hint="eastAsia" w:ascii="黑体" w:hAnsi="黑体" w:eastAsia="黑体"/>
          <w:b/>
          <w:sz w:val="32"/>
          <w:szCs w:val="32"/>
        </w:rPr>
      </w:r>
      <w:r/>
    </w:p>
    <w:p>
      <w:pPr>
        <w:pStyle w:val="692"/>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692"/>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92"/>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92"/>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92"/>
        <w:ind w:firstLine="360"/>
        <w:spacing w:line="400" w:lineRule="exact"/>
        <w:rPr>
          <w:rFonts w:hint="eastAsia" w:ascii="宋体" w:hAnsi="宋体"/>
          <w:sz w:val="24"/>
          <w:szCs w:val="24"/>
        </w:rPr>
      </w:pPr>
      <w:r>
        <w:rPr>
          <w:rFonts w:hint="eastAsia" w:ascii="宋体" w:hAnsi="宋体"/>
          <w:sz w:val="24"/>
          <w:szCs w:val="24"/>
        </w:rPr>
        <w:t xml:space="preserve">……</w:t>
      </w:r>
      <w:r/>
    </w:p>
    <w:p>
      <w:pPr>
        <w:pStyle w:val="692"/>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2"/>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2"/>
        <w:ind w:right="720"/>
        <w:spacing w:line="400" w:lineRule="exact"/>
        <w:rPr>
          <w:rFonts w:hint="eastAsia" w:ascii="宋体" w:hAnsi="宋体"/>
          <w:sz w:val="24"/>
          <w:szCs w:val="24"/>
        </w:rPr>
      </w:pPr>
      <w:r>
        <w:rPr>
          <w:rFonts w:hint="eastAsia" w:ascii="宋体" w:hAnsi="宋体"/>
          <w:sz w:val="24"/>
          <w:szCs w:val="24"/>
        </w:rPr>
      </w:r>
      <w:r/>
    </w:p>
    <w:p>
      <w:pPr>
        <w:pStyle w:val="692"/>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692"/>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692"/>
        <w:ind w:firstLine="480"/>
        <w:spacing w:line="400" w:lineRule="exact"/>
        <w:rPr>
          <w:rFonts w:hint="eastAsia" w:ascii="宋体" w:hAnsi="宋体"/>
          <w:sz w:val="24"/>
          <w:szCs w:val="24"/>
        </w:rPr>
      </w:pPr>
      <w:r>
        <w:rPr>
          <w:rFonts w:hint="eastAsia" w:ascii="宋体" w:hAnsi="宋体"/>
          <w:sz w:val="24"/>
          <w:szCs w:val="24"/>
        </w:rPr>
      </w:r>
      <w:r/>
    </w:p>
    <w:p>
      <w:pPr>
        <w:pStyle w:val="692"/>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2"/>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92"/>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92"/>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692"/>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sz w:val="24"/>
          <w:szCs w:val="24"/>
        </w:rPr>
      </w:r>
      <w:r/>
    </w:p>
    <w:p>
      <w:pPr>
        <w:pStyle w:val="692"/>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692"/>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2"/>
        <w:ind w:firstLine="480"/>
        <w:spacing w:line="0" w:lineRule="atLeast"/>
        <w:rPr>
          <w:rFonts w:hint="eastAsia" w:ascii="宋体" w:hAnsi="宋体"/>
          <w:sz w:val="24"/>
        </w:rPr>
      </w:pPr>
      <w:r>
        <w:rPr>
          <w:rFonts w:hint="eastAsia" w:ascii="宋体" w:hAnsi="宋体"/>
          <w:sz w:val="24"/>
        </w:rPr>
      </w:r>
      <w:r/>
    </w:p>
    <w:p>
      <w:pPr>
        <w:pStyle w:val="692"/>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92"/>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92"/>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92"/>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9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2"/>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2"/>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9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2"/>
              <w:jc w:val="center"/>
              <w:spacing w:line="400" w:lineRule="exact"/>
              <w:rPr>
                <w:rFonts w:hint="eastAsia" w:ascii="宋体" w:hAnsi="宋体"/>
                <w:sz w:val="24"/>
                <w:szCs w:val="24"/>
              </w:rPr>
            </w:pPr>
            <w:r>
              <w:rPr>
                <w:rFonts w:hint="eastAsia" w:ascii="宋体" w:hAnsi="宋体"/>
                <w:sz w:val="24"/>
                <w:szCs w:val="24"/>
              </w:rPr>
            </w:r>
            <w:r/>
          </w:p>
        </w:tc>
      </w:tr>
    </w:tbl>
    <w:p>
      <w:pPr>
        <w:pStyle w:val="692"/>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92"/>
        <w:spacing w:line="400" w:lineRule="exact"/>
        <w:rPr>
          <w:rFonts w:ascii="宋体" w:hAnsi="宋体"/>
          <w:sz w:val="24"/>
          <w:szCs w:val="24"/>
        </w:rPr>
      </w:pP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2"/>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9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92"/>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92"/>
        <w:spacing w:line="400" w:lineRule="exact"/>
        <w:rPr>
          <w:rFonts w:hint="eastAsia" w:ascii="宋体" w:hAnsi="宋体"/>
          <w:sz w:val="24"/>
          <w:szCs w:val="24"/>
        </w:rPr>
      </w:pPr>
      <w:r>
        <w:rPr>
          <w:rFonts w:hint="eastAsia" w:ascii="宋体" w:hAnsi="宋体"/>
          <w:sz w:val="24"/>
          <w:szCs w:val="24"/>
        </w:rPr>
      </w:r>
      <w:r/>
    </w:p>
    <w:p>
      <w:pPr>
        <w:pStyle w:val="692"/>
        <w:jc w:val="center"/>
        <w:spacing w:line="400" w:lineRule="exact"/>
        <w:rPr>
          <w:rFonts w:hint="eastAsia" w:ascii="宋体" w:hAnsi="宋体" w:cs="宋体"/>
          <w:b/>
          <w:sz w:val="28"/>
          <w:szCs w:val="28"/>
        </w:rPr>
      </w:pPr>
      <w:r>
        <w:rPr>
          <w:rFonts w:hint="eastAsia" w:ascii="宋体" w:hAnsi="宋体" w:cs="宋体"/>
          <w:b/>
          <w:sz w:val="28"/>
          <w:szCs w:val="28"/>
        </w:rPr>
      </w:r>
      <w:r/>
    </w:p>
    <w:p>
      <w:pPr>
        <w:pStyle w:val="69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757"/>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71"/>
          <w:rFonts w:hint="eastAsia" w:ascii="方正仿宋_GBK" w:hAnsi="方正仿宋_GBK" w:eastAsia="方正仿宋_GBK" w:cs="方正仿宋_GBK"/>
          <w:i w:val="0"/>
          <w:sz w:val="28"/>
          <w:szCs w:val="28"/>
          <w:u w:val="single"/>
          <w:shd w:val="clear" w:color="auto" w:fill="ffffff"/>
        </w:rPr>
        <w:t xml:space="preserve">（产品名称1）</w:t>
      </w:r>
      <w:r>
        <w:rPr>
          <w:rStyle w:val="77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71"/>
          <w:rFonts w:hint="eastAsia" w:ascii="方正仿宋_GBK" w:hAnsi="方正仿宋_GBK" w:eastAsia="方正仿宋_GBK" w:cs="方正仿宋_GBK"/>
          <w:i w:val="0"/>
          <w:sz w:val="28"/>
          <w:szCs w:val="28"/>
          <w:u w:val="single"/>
          <w:shd w:val="clear" w:color="auto" w:fill="ffffff"/>
        </w:rPr>
        <w:t xml:space="preserve">（厂名）</w:t>
      </w:r>
      <w:r>
        <w:rPr>
          <w:rStyle w:val="77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7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7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7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7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57"/>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757"/>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7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rPr>
          <w:rFonts w:hint="eastAsia"/>
        </w:rPr>
      </w:pPr>
      <w:r>
        <w:rPr>
          <w:rFonts w:hint="eastAsia"/>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pStyle w:val="692"/>
        <w:rPr>
          <w:rFonts w:hint="eastAsia" w:ascii="宋体" w:hAnsi="宋体" w:cs="仿宋"/>
          <w:b/>
          <w:bCs/>
          <w:sz w:val="32"/>
          <w:szCs w:val="32"/>
        </w:rPr>
      </w:pPr>
      <w:r/>
      <w:bookmarkEnd w:id="85"/>
      <w:r/>
      <w:bookmarkEnd w:id="86"/>
      <w:r/>
      <w:bookmarkEnd w:id="135"/>
      <w:r>
        <w:rPr>
          <w:rFonts w:hint="eastAsia" w:ascii="宋体" w:hAnsi="宋体" w:cs="仿宋"/>
          <w:b/>
          <w:bCs/>
          <w:sz w:val="32"/>
          <w:szCs w:val="32"/>
        </w:rPr>
      </w:r>
      <w:r/>
    </w:p>
    <w:p>
      <w:pPr>
        <w:pStyle w:val="69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07"/>
        <w:rPr>
          <w:rFonts w:hint="eastAsia"/>
          <w:sz w:val="24"/>
          <w:szCs w:val="24"/>
        </w:rPr>
      </w:pPr>
      <w:r>
        <w:rPr>
          <w:rFonts w:hint="eastAsia"/>
          <w:sz w:val="24"/>
          <w:szCs w:val="24"/>
        </w:rPr>
      </w:r>
      <w:r/>
    </w:p>
    <w:p>
      <w:pPr>
        <w:pStyle w:val="70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
    <w:panose1 w:val="02010609060101010101"/>
  </w:font>
  <w:font w:name="等线 Light">
    <w:panose1 w:val="0201060003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9"/>
        <w:rFonts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3</w:t>
    </w:r>
    <w:r>
      <w:rPr>
        <w:rFonts w:ascii="宋体" w:hAnsi="宋体"/>
      </w:rPr>
      <w:fldChar w:fldCharType="end"/>
    </w:r>
    <w:r>
      <w:rPr>
        <w:rStyle w:val="769"/>
        <w:rFonts w:ascii="宋体" w:hAnsi="宋体"/>
      </w:rPr>
    </w:r>
    <w:r/>
  </w:p>
  <w:p>
    <w:pPr>
      <w:pStyle w:val="74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2"/>
        <w:ind w:left="420" w:hanging="312"/>
      </w:pPr>
      <w:rPr>
        <w:rFonts w:ascii="黑体" w:hAnsi="黑体" w:eastAsia="黑体" w:cs="黑体"/>
        <w:spacing w:val="-2"/>
        <w:sz w:val="18"/>
        <w:szCs w:val="18"/>
      </w:rPr>
    </w:lvl>
    <w:lvl w:ilvl="1">
      <w:start w:val="0"/>
      <w:numFmt w:val="bullet"/>
      <w:isLgl w:val="false"/>
      <w:suff w:val="tab"/>
      <w:lvlText w:val="•"/>
      <w:lvlJc w:val="left"/>
      <w:pPr>
        <w:pStyle w:val="692"/>
        <w:ind w:left="675" w:hanging="312"/>
      </w:pPr>
    </w:lvl>
    <w:lvl w:ilvl="2">
      <w:start w:val="0"/>
      <w:numFmt w:val="bullet"/>
      <w:isLgl w:val="false"/>
      <w:suff w:val="tab"/>
      <w:lvlText w:val="•"/>
      <w:lvlJc w:val="left"/>
      <w:pPr>
        <w:pStyle w:val="692"/>
        <w:ind w:left="930" w:hanging="312"/>
      </w:pPr>
    </w:lvl>
    <w:lvl w:ilvl="3">
      <w:start w:val="0"/>
      <w:numFmt w:val="bullet"/>
      <w:isLgl w:val="false"/>
      <w:suff w:val="tab"/>
      <w:lvlText w:val="•"/>
      <w:lvlJc w:val="left"/>
      <w:pPr>
        <w:pStyle w:val="692"/>
        <w:ind w:left="1185" w:hanging="312"/>
      </w:pPr>
    </w:lvl>
    <w:lvl w:ilvl="4">
      <w:start w:val="0"/>
      <w:numFmt w:val="bullet"/>
      <w:isLgl w:val="false"/>
      <w:suff w:val="tab"/>
      <w:lvlText w:val="•"/>
      <w:lvlJc w:val="left"/>
      <w:pPr>
        <w:pStyle w:val="692"/>
        <w:ind w:left="1440" w:hanging="312"/>
      </w:pPr>
    </w:lvl>
    <w:lvl w:ilvl="5">
      <w:start w:val="0"/>
      <w:numFmt w:val="bullet"/>
      <w:isLgl w:val="false"/>
      <w:suff w:val="tab"/>
      <w:lvlText w:val="•"/>
      <w:lvlJc w:val="left"/>
      <w:pPr>
        <w:pStyle w:val="692"/>
        <w:ind w:left="1696" w:hanging="312"/>
      </w:pPr>
    </w:lvl>
    <w:lvl w:ilvl="6">
      <w:start w:val="0"/>
      <w:numFmt w:val="bullet"/>
      <w:isLgl w:val="false"/>
      <w:suff w:val="tab"/>
      <w:lvlText w:val="•"/>
      <w:lvlJc w:val="left"/>
      <w:pPr>
        <w:pStyle w:val="692"/>
        <w:ind w:left="1951" w:hanging="312"/>
      </w:pPr>
    </w:lvl>
    <w:lvl w:ilvl="7">
      <w:start w:val="0"/>
      <w:numFmt w:val="bullet"/>
      <w:isLgl w:val="false"/>
      <w:suff w:val="tab"/>
      <w:lvlText w:val="•"/>
      <w:lvlJc w:val="left"/>
      <w:pPr>
        <w:pStyle w:val="692"/>
        <w:ind w:left="2206" w:hanging="312"/>
      </w:pPr>
    </w:lvl>
    <w:lvl w:ilvl="8">
      <w:start w:val="0"/>
      <w:numFmt w:val="bullet"/>
      <w:isLgl w:val="false"/>
      <w:suff w:val="tab"/>
      <w:lvlText w:val="•"/>
      <w:lvlJc w:val="left"/>
      <w:pPr>
        <w:pStyle w:val="692"/>
        <w:ind w:left="2461" w:hanging="312"/>
      </w:pPr>
    </w:lvl>
  </w:abstractNum>
  <w:abstractNum w:abstractNumId="1">
    <w:multiLevelType w:val="hybridMultilevel"/>
    <w:lvl w:ilvl="0">
      <w:start w:val="1"/>
      <w:numFmt w:val="lowerLetter"/>
      <w:isLgl w:val="false"/>
      <w:suff w:val="tab"/>
      <w:lvlText w:val="%1)"/>
      <w:lvlJc w:val="left"/>
      <w:pPr>
        <w:pStyle w:val="692"/>
        <w:ind w:left="108" w:hanging="269"/>
      </w:pPr>
      <w:rPr>
        <w:rFonts w:ascii="黑体" w:hAnsi="黑体" w:eastAsia="黑体" w:cs="黑体"/>
        <w:spacing w:val="-16"/>
        <w:sz w:val="18"/>
        <w:szCs w:val="18"/>
      </w:rPr>
    </w:lvl>
    <w:lvl w:ilvl="1">
      <w:start w:val="0"/>
      <w:numFmt w:val="bullet"/>
      <w:isLgl w:val="false"/>
      <w:suff w:val="tab"/>
      <w:lvlText w:val="•"/>
      <w:lvlJc w:val="left"/>
      <w:pPr>
        <w:pStyle w:val="692"/>
        <w:ind w:left="387" w:hanging="269"/>
      </w:pPr>
    </w:lvl>
    <w:lvl w:ilvl="2">
      <w:start w:val="0"/>
      <w:numFmt w:val="bullet"/>
      <w:isLgl w:val="false"/>
      <w:suff w:val="tab"/>
      <w:lvlText w:val="•"/>
      <w:lvlJc w:val="left"/>
      <w:pPr>
        <w:pStyle w:val="692"/>
        <w:ind w:left="674" w:hanging="269"/>
      </w:pPr>
    </w:lvl>
    <w:lvl w:ilvl="3">
      <w:start w:val="0"/>
      <w:numFmt w:val="bullet"/>
      <w:isLgl w:val="false"/>
      <w:suff w:val="tab"/>
      <w:lvlText w:val="•"/>
      <w:lvlJc w:val="left"/>
      <w:pPr>
        <w:pStyle w:val="692"/>
        <w:ind w:left="961" w:hanging="269"/>
      </w:pPr>
    </w:lvl>
    <w:lvl w:ilvl="4">
      <w:start w:val="0"/>
      <w:numFmt w:val="bullet"/>
      <w:isLgl w:val="false"/>
      <w:suff w:val="tab"/>
      <w:lvlText w:val="•"/>
      <w:lvlJc w:val="left"/>
      <w:pPr>
        <w:pStyle w:val="692"/>
        <w:ind w:left="1248" w:hanging="269"/>
      </w:pPr>
    </w:lvl>
    <w:lvl w:ilvl="5">
      <w:start w:val="0"/>
      <w:numFmt w:val="bullet"/>
      <w:isLgl w:val="false"/>
      <w:suff w:val="tab"/>
      <w:lvlText w:val="•"/>
      <w:lvlJc w:val="left"/>
      <w:pPr>
        <w:pStyle w:val="692"/>
        <w:ind w:left="1536" w:hanging="269"/>
      </w:pPr>
    </w:lvl>
    <w:lvl w:ilvl="6">
      <w:start w:val="0"/>
      <w:numFmt w:val="bullet"/>
      <w:isLgl w:val="false"/>
      <w:suff w:val="tab"/>
      <w:lvlText w:val="•"/>
      <w:lvlJc w:val="left"/>
      <w:pPr>
        <w:pStyle w:val="692"/>
        <w:ind w:left="1823" w:hanging="269"/>
      </w:pPr>
    </w:lvl>
    <w:lvl w:ilvl="7">
      <w:start w:val="0"/>
      <w:numFmt w:val="bullet"/>
      <w:isLgl w:val="false"/>
      <w:suff w:val="tab"/>
      <w:lvlText w:val="•"/>
      <w:lvlJc w:val="left"/>
      <w:pPr>
        <w:pStyle w:val="692"/>
        <w:ind w:left="2110" w:hanging="269"/>
      </w:pPr>
    </w:lvl>
    <w:lvl w:ilvl="8">
      <w:start w:val="0"/>
      <w:numFmt w:val="bullet"/>
      <w:isLgl w:val="false"/>
      <w:suff w:val="tab"/>
      <w:lvlText w:val="•"/>
      <w:lvlJc w:val="left"/>
      <w:pPr>
        <w:pStyle w:val="692"/>
        <w:ind w:left="2397" w:hanging="269"/>
      </w:pPr>
    </w:lvl>
  </w:abstractNum>
  <w:abstractNum w:abstractNumId="2">
    <w:multiLevelType w:val="hybridMultilevel"/>
    <w:lvl w:ilvl="0">
      <w:start w:val="5"/>
      <w:numFmt w:val="decimal"/>
      <w:isLgl w:val="false"/>
      <w:suff w:val="tab"/>
      <w:lvlText w:val="%1."/>
      <w:lvlJc w:val="left"/>
      <w:pPr>
        <w:pStyle w:val="6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6"/>
      <w:isLgl w:val="false"/>
      <w:suff w:val="tab"/>
      <w:lvlText w:val="附录%1."/>
      <w:lvlJc w:val="left"/>
      <w:pPr>
        <w:pStyle w:val="6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pStyle w:val="692"/>
        <w:ind w:left="377" w:hanging="269"/>
      </w:pPr>
      <w:rPr>
        <w:rFonts w:ascii="黑体" w:hAnsi="黑体" w:eastAsia="黑体" w:cs="黑体"/>
        <w:spacing w:val="-2"/>
        <w:sz w:val="18"/>
        <w:szCs w:val="18"/>
      </w:rPr>
    </w:lvl>
    <w:lvl w:ilvl="1">
      <w:start w:val="0"/>
      <w:numFmt w:val="bullet"/>
      <w:isLgl w:val="false"/>
      <w:suff w:val="tab"/>
      <w:lvlText w:val="•"/>
      <w:lvlJc w:val="left"/>
      <w:pPr>
        <w:pStyle w:val="692"/>
        <w:ind w:left="639" w:hanging="269"/>
      </w:pPr>
    </w:lvl>
    <w:lvl w:ilvl="2">
      <w:start w:val="0"/>
      <w:numFmt w:val="bullet"/>
      <w:isLgl w:val="false"/>
      <w:suff w:val="tab"/>
      <w:lvlText w:val="•"/>
      <w:lvlJc w:val="left"/>
      <w:pPr>
        <w:pStyle w:val="692"/>
        <w:ind w:left="898" w:hanging="269"/>
      </w:pPr>
    </w:lvl>
    <w:lvl w:ilvl="3">
      <w:start w:val="0"/>
      <w:numFmt w:val="bullet"/>
      <w:isLgl w:val="false"/>
      <w:suff w:val="tab"/>
      <w:lvlText w:val="•"/>
      <w:lvlJc w:val="left"/>
      <w:pPr>
        <w:pStyle w:val="692"/>
        <w:ind w:left="1157" w:hanging="269"/>
      </w:pPr>
    </w:lvl>
    <w:lvl w:ilvl="4">
      <w:start w:val="0"/>
      <w:numFmt w:val="bullet"/>
      <w:isLgl w:val="false"/>
      <w:suff w:val="tab"/>
      <w:lvlText w:val="•"/>
      <w:lvlJc w:val="left"/>
      <w:pPr>
        <w:pStyle w:val="692"/>
        <w:ind w:left="1416" w:hanging="269"/>
      </w:pPr>
    </w:lvl>
    <w:lvl w:ilvl="5">
      <w:start w:val="0"/>
      <w:numFmt w:val="bullet"/>
      <w:isLgl w:val="false"/>
      <w:suff w:val="tab"/>
      <w:lvlText w:val="•"/>
      <w:lvlJc w:val="left"/>
      <w:pPr>
        <w:pStyle w:val="692"/>
        <w:ind w:left="1676" w:hanging="269"/>
      </w:pPr>
    </w:lvl>
    <w:lvl w:ilvl="6">
      <w:start w:val="0"/>
      <w:numFmt w:val="bullet"/>
      <w:isLgl w:val="false"/>
      <w:suff w:val="tab"/>
      <w:lvlText w:val="•"/>
      <w:lvlJc w:val="left"/>
      <w:pPr>
        <w:pStyle w:val="692"/>
        <w:ind w:left="1935" w:hanging="269"/>
      </w:pPr>
    </w:lvl>
    <w:lvl w:ilvl="7">
      <w:start w:val="0"/>
      <w:numFmt w:val="bullet"/>
      <w:isLgl w:val="false"/>
      <w:suff w:val="tab"/>
      <w:lvlText w:val="•"/>
      <w:lvlJc w:val="left"/>
      <w:pPr>
        <w:pStyle w:val="692"/>
        <w:ind w:left="2194" w:hanging="269"/>
      </w:pPr>
    </w:lvl>
    <w:lvl w:ilvl="8">
      <w:start w:val="0"/>
      <w:numFmt w:val="bullet"/>
      <w:isLgl w:val="false"/>
      <w:suff w:val="tab"/>
      <w:lvlText w:val="•"/>
      <w:lvlJc w:val="left"/>
      <w:pPr>
        <w:pStyle w:val="692"/>
        <w:ind w:left="2453" w:hanging="269"/>
      </w:pPr>
    </w:lvl>
  </w:abstractNum>
  <w:abstractNum w:abstractNumId="5">
    <w:multiLevelType w:val="hybridMultilevel"/>
    <w:lvl w:ilvl="0">
      <w:start w:val="1"/>
      <w:numFmt w:val="lowerLetter"/>
      <w:isLgl w:val="false"/>
      <w:suff w:val="tab"/>
      <w:lvlText w:val="%1）"/>
      <w:lvlJc w:val="left"/>
      <w:pPr>
        <w:pStyle w:val="692"/>
        <w:ind w:left="108" w:hanging="270"/>
      </w:pPr>
      <w:rPr>
        <w:rFonts w:ascii="黑体" w:hAnsi="黑体" w:eastAsia="黑体" w:cs="黑体"/>
        <w:spacing w:val="-16"/>
        <w:sz w:val="16"/>
        <w:szCs w:val="16"/>
      </w:rPr>
    </w:lvl>
    <w:lvl w:ilvl="1">
      <w:start w:val="0"/>
      <w:numFmt w:val="bullet"/>
      <w:isLgl w:val="false"/>
      <w:suff w:val="tab"/>
      <w:lvlText w:val="•"/>
      <w:lvlJc w:val="left"/>
      <w:pPr>
        <w:pStyle w:val="692"/>
        <w:ind w:left="387" w:hanging="270"/>
      </w:pPr>
    </w:lvl>
    <w:lvl w:ilvl="2">
      <w:start w:val="0"/>
      <w:numFmt w:val="bullet"/>
      <w:isLgl w:val="false"/>
      <w:suff w:val="tab"/>
      <w:lvlText w:val="•"/>
      <w:lvlJc w:val="left"/>
      <w:pPr>
        <w:pStyle w:val="692"/>
        <w:ind w:left="674" w:hanging="270"/>
      </w:pPr>
    </w:lvl>
    <w:lvl w:ilvl="3">
      <w:start w:val="0"/>
      <w:numFmt w:val="bullet"/>
      <w:isLgl w:val="false"/>
      <w:suff w:val="tab"/>
      <w:lvlText w:val="•"/>
      <w:lvlJc w:val="left"/>
      <w:pPr>
        <w:pStyle w:val="692"/>
        <w:ind w:left="961" w:hanging="270"/>
      </w:pPr>
    </w:lvl>
    <w:lvl w:ilvl="4">
      <w:start w:val="0"/>
      <w:numFmt w:val="bullet"/>
      <w:isLgl w:val="false"/>
      <w:suff w:val="tab"/>
      <w:lvlText w:val="•"/>
      <w:lvlJc w:val="left"/>
      <w:pPr>
        <w:pStyle w:val="692"/>
        <w:ind w:left="1248" w:hanging="270"/>
      </w:pPr>
    </w:lvl>
    <w:lvl w:ilvl="5">
      <w:start w:val="0"/>
      <w:numFmt w:val="bullet"/>
      <w:isLgl w:val="false"/>
      <w:suff w:val="tab"/>
      <w:lvlText w:val="•"/>
      <w:lvlJc w:val="left"/>
      <w:pPr>
        <w:pStyle w:val="692"/>
        <w:ind w:left="1536" w:hanging="270"/>
      </w:pPr>
    </w:lvl>
    <w:lvl w:ilvl="6">
      <w:start w:val="0"/>
      <w:numFmt w:val="bullet"/>
      <w:isLgl w:val="false"/>
      <w:suff w:val="tab"/>
      <w:lvlText w:val="•"/>
      <w:lvlJc w:val="left"/>
      <w:pPr>
        <w:pStyle w:val="692"/>
        <w:ind w:left="1823" w:hanging="270"/>
      </w:pPr>
    </w:lvl>
    <w:lvl w:ilvl="7">
      <w:start w:val="0"/>
      <w:numFmt w:val="bullet"/>
      <w:isLgl w:val="false"/>
      <w:suff w:val="tab"/>
      <w:lvlText w:val="•"/>
      <w:lvlJc w:val="left"/>
      <w:pPr>
        <w:pStyle w:val="692"/>
        <w:ind w:left="2110" w:hanging="270"/>
      </w:pPr>
    </w:lvl>
    <w:lvl w:ilvl="8">
      <w:start w:val="0"/>
      <w:numFmt w:val="bullet"/>
      <w:isLgl w:val="false"/>
      <w:suff w:val="tab"/>
      <w:lvlText w:val="•"/>
      <w:lvlJc w:val="left"/>
      <w:pPr>
        <w:pStyle w:val="692"/>
        <w:ind w:left="2397" w:hanging="270"/>
      </w:pPr>
    </w:lvl>
  </w:abstractNum>
  <w:abstractNum w:abstractNumId="6">
    <w:multiLevelType w:val="hybridMultilevel"/>
    <w:lvl w:ilvl="0">
      <w:start w:val="1"/>
      <w:numFmt w:val="lowerLetter"/>
      <w:isLgl w:val="false"/>
      <w:suff w:val="tab"/>
      <w:lvlText w:val="%1)"/>
      <w:lvlJc w:val="left"/>
      <w:pPr>
        <w:pStyle w:val="692"/>
        <w:ind w:left="108" w:hanging="269"/>
      </w:pPr>
      <w:rPr>
        <w:rFonts w:ascii="黑体" w:hAnsi="黑体" w:eastAsia="黑体" w:cs="黑体"/>
        <w:spacing w:val="-47"/>
        <w:sz w:val="18"/>
        <w:szCs w:val="18"/>
      </w:rPr>
    </w:lvl>
    <w:lvl w:ilvl="1">
      <w:start w:val="0"/>
      <w:numFmt w:val="bullet"/>
      <w:isLgl w:val="false"/>
      <w:suff w:val="tab"/>
      <w:lvlText w:val="•"/>
      <w:lvlJc w:val="left"/>
      <w:pPr>
        <w:pStyle w:val="692"/>
        <w:ind w:left="387" w:hanging="269"/>
      </w:pPr>
    </w:lvl>
    <w:lvl w:ilvl="2">
      <w:start w:val="0"/>
      <w:numFmt w:val="bullet"/>
      <w:isLgl w:val="false"/>
      <w:suff w:val="tab"/>
      <w:lvlText w:val="•"/>
      <w:lvlJc w:val="left"/>
      <w:pPr>
        <w:pStyle w:val="692"/>
        <w:ind w:left="674" w:hanging="269"/>
      </w:pPr>
    </w:lvl>
    <w:lvl w:ilvl="3">
      <w:start w:val="0"/>
      <w:numFmt w:val="bullet"/>
      <w:isLgl w:val="false"/>
      <w:suff w:val="tab"/>
      <w:lvlText w:val="•"/>
      <w:lvlJc w:val="left"/>
      <w:pPr>
        <w:pStyle w:val="692"/>
        <w:ind w:left="961" w:hanging="269"/>
      </w:pPr>
    </w:lvl>
    <w:lvl w:ilvl="4">
      <w:start w:val="0"/>
      <w:numFmt w:val="bullet"/>
      <w:isLgl w:val="false"/>
      <w:suff w:val="tab"/>
      <w:lvlText w:val="•"/>
      <w:lvlJc w:val="left"/>
      <w:pPr>
        <w:pStyle w:val="692"/>
        <w:ind w:left="1248" w:hanging="269"/>
      </w:pPr>
    </w:lvl>
    <w:lvl w:ilvl="5">
      <w:start w:val="0"/>
      <w:numFmt w:val="bullet"/>
      <w:isLgl w:val="false"/>
      <w:suff w:val="tab"/>
      <w:lvlText w:val="•"/>
      <w:lvlJc w:val="left"/>
      <w:pPr>
        <w:pStyle w:val="692"/>
        <w:ind w:left="1536" w:hanging="269"/>
      </w:pPr>
    </w:lvl>
    <w:lvl w:ilvl="6">
      <w:start w:val="0"/>
      <w:numFmt w:val="bullet"/>
      <w:isLgl w:val="false"/>
      <w:suff w:val="tab"/>
      <w:lvlText w:val="•"/>
      <w:lvlJc w:val="left"/>
      <w:pPr>
        <w:pStyle w:val="692"/>
        <w:ind w:left="1823" w:hanging="269"/>
      </w:pPr>
    </w:lvl>
    <w:lvl w:ilvl="7">
      <w:start w:val="0"/>
      <w:numFmt w:val="bullet"/>
      <w:isLgl w:val="false"/>
      <w:suff w:val="tab"/>
      <w:lvlText w:val="•"/>
      <w:lvlJc w:val="left"/>
      <w:pPr>
        <w:pStyle w:val="692"/>
        <w:ind w:left="2110" w:hanging="269"/>
      </w:pPr>
    </w:lvl>
    <w:lvl w:ilvl="8">
      <w:start w:val="0"/>
      <w:numFmt w:val="bullet"/>
      <w:isLgl w:val="false"/>
      <w:suff w:val="tab"/>
      <w:lvlText w:val="•"/>
      <w:lvlJc w:val="left"/>
      <w:pPr>
        <w:pStyle w:val="692"/>
        <w:ind w:left="2397" w:hanging="269"/>
      </w:pPr>
    </w:lvl>
  </w:abstractNum>
  <w:abstractNum w:abstractNumId="7">
    <w:multiLevelType w:val="hybridMultilevel"/>
    <w:lvl w:ilvl="0">
      <w:start w:val="1"/>
      <w:numFmt w:val="decimal"/>
      <w:pStyle w:val="793"/>
      <w:isLgl w:val="false"/>
      <w:suff w:val="tab"/>
      <w:lvlText w:val="%1."/>
      <w:lvlJc w:val="left"/>
      <w:pPr>
        <w:pStyle w:val="692"/>
        <w:ind w:left="709" w:hanging="709"/>
        <w:tabs>
          <w:tab w:val="num" w:pos="709" w:leader="none"/>
        </w:tabs>
      </w:pPr>
      <w:rPr>
        <w:rFonts w:hint="eastAsia"/>
      </w:rPr>
    </w:lvl>
    <w:lvl w:ilvl="1">
      <w:start w:val="1"/>
      <w:numFmt w:val="decimal"/>
      <w:isLgl w:val="false"/>
      <w:suff w:val="tab"/>
      <w:lvlText w:val="%1.%2"/>
      <w:lvlJc w:val="left"/>
      <w:pPr>
        <w:pStyle w:val="692"/>
        <w:ind w:left="709" w:hanging="709"/>
        <w:tabs>
          <w:tab w:val="num" w:pos="709" w:leader="none"/>
        </w:tabs>
      </w:pPr>
      <w:rPr>
        <w:rFonts w:hint="eastAsia"/>
      </w:rPr>
    </w:lvl>
    <w:lvl w:ilvl="2">
      <w:start w:val="1"/>
      <w:numFmt w:val="decimal"/>
      <w:isLgl w:val="false"/>
      <w:suff w:val="tab"/>
      <w:lvlText w:val="%1.%2.%3."/>
      <w:lvlJc w:val="left"/>
      <w:pPr>
        <w:pStyle w:val="692"/>
        <w:ind w:left="425" w:hanging="425"/>
        <w:tabs>
          <w:tab w:val="num" w:pos="425" w:leader="none"/>
        </w:tabs>
      </w:pPr>
      <w:rPr>
        <w:rFonts w:hint="eastAsia"/>
      </w:rPr>
    </w:lvl>
    <w:lvl w:ilvl="3">
      <w:start w:val="1"/>
      <w:numFmt w:val="decimal"/>
      <w:isLgl w:val="false"/>
      <w:suff w:val="tab"/>
      <w:lvlText w:val="%1.%2.%3.%4."/>
      <w:lvlJc w:val="left"/>
      <w:pPr>
        <w:pStyle w:val="692"/>
        <w:ind w:left="851" w:hanging="851"/>
        <w:tabs>
          <w:tab w:val="num" w:pos="851" w:leader="none"/>
        </w:tabs>
      </w:pPr>
      <w:rPr>
        <w:rFonts w:hint="eastAsia"/>
      </w:rPr>
    </w:lvl>
    <w:lvl w:ilvl="4">
      <w:start w:val="1"/>
      <w:numFmt w:val="decimal"/>
      <w:isLgl w:val="false"/>
      <w:suff w:val="tab"/>
      <w:lvlText w:val="%1.%2.%3.%4.%5."/>
      <w:lvlJc w:val="left"/>
      <w:pPr>
        <w:pStyle w:val="692"/>
        <w:ind w:left="992" w:hanging="992"/>
        <w:tabs>
          <w:tab w:val="num" w:pos="992" w:leader="none"/>
        </w:tabs>
      </w:pPr>
      <w:rPr>
        <w:rFonts w:hint="eastAsia"/>
      </w:rPr>
    </w:lvl>
    <w:lvl w:ilvl="5">
      <w:start w:val="1"/>
      <w:numFmt w:val="decimal"/>
      <w:isLgl w:val="false"/>
      <w:suff w:val="tab"/>
      <w:lvlText w:val="%1.%2.%3.%4.%5.%6."/>
      <w:lvlJc w:val="left"/>
      <w:pPr>
        <w:pStyle w:val="692"/>
        <w:ind w:left="1134" w:hanging="1134"/>
        <w:tabs>
          <w:tab w:val="num" w:pos="1134" w:leader="none"/>
        </w:tabs>
      </w:pPr>
      <w:rPr>
        <w:rFonts w:hint="eastAsia"/>
      </w:rPr>
    </w:lvl>
    <w:lvl w:ilvl="6">
      <w:start w:val="1"/>
      <w:numFmt w:val="decimal"/>
      <w:isLgl w:val="false"/>
      <w:suff w:val="tab"/>
      <w:lvlText w:val="%1.%2.%3.%4.%5.%6.%7."/>
      <w:lvlJc w:val="left"/>
      <w:pPr>
        <w:pStyle w:val="692"/>
        <w:ind w:left="1276" w:hanging="1276"/>
        <w:tabs>
          <w:tab w:val="num" w:pos="1276" w:leader="none"/>
        </w:tabs>
      </w:pPr>
      <w:rPr>
        <w:rFonts w:hint="eastAsia"/>
      </w:rPr>
    </w:lvl>
    <w:lvl w:ilvl="7">
      <w:start w:val="1"/>
      <w:numFmt w:val="decimal"/>
      <w:isLgl w:val="false"/>
      <w:suff w:val="tab"/>
      <w:lvlText w:val="%1.%2.%3.%4.%5.%6.%7.%8."/>
      <w:lvlJc w:val="left"/>
      <w:pPr>
        <w:pStyle w:val="692"/>
        <w:ind w:left="1418" w:hanging="1418"/>
        <w:tabs>
          <w:tab w:val="num" w:pos="1418" w:leader="none"/>
        </w:tabs>
      </w:pPr>
      <w:rPr>
        <w:rFonts w:hint="eastAsia"/>
      </w:rPr>
    </w:lvl>
    <w:lvl w:ilvl="8">
      <w:start w:val="1"/>
      <w:numFmt w:val="decimal"/>
      <w:isLgl w:val="false"/>
      <w:suff w:val="tab"/>
      <w:lvlText w:val="%1.%2.%3.%4.%5.%6.%7.%8.%9."/>
      <w:lvlJc w:val="left"/>
      <w:pPr>
        <w:pStyle w:val="692"/>
        <w:ind w:left="1559" w:hanging="1559"/>
        <w:tabs>
          <w:tab w:val="num" w:pos="1559" w:leader="none"/>
        </w:tabs>
      </w:pPr>
      <w:rPr>
        <w:rFonts w:hint="eastAsia"/>
      </w:rPr>
    </w:lvl>
  </w:abstractNum>
  <w:abstractNum w:abstractNumId="8">
    <w:multiLevelType w:val="hybridMultilevel"/>
    <w:lvl w:ilvl="0">
      <w:start w:val="1"/>
      <w:numFmt w:val="lowerLetter"/>
      <w:isLgl w:val="false"/>
      <w:suff w:val="tab"/>
      <w:lvlText w:val="%1)"/>
      <w:lvlJc w:val="left"/>
      <w:pPr>
        <w:pStyle w:val="692"/>
        <w:ind w:left="108" w:hanging="269"/>
      </w:pPr>
      <w:rPr>
        <w:rFonts w:ascii="黑体" w:hAnsi="黑体" w:eastAsia="黑体" w:cs="黑体"/>
        <w:spacing w:val="-16"/>
        <w:sz w:val="18"/>
        <w:szCs w:val="18"/>
      </w:rPr>
    </w:lvl>
    <w:lvl w:ilvl="1">
      <w:start w:val="0"/>
      <w:numFmt w:val="bullet"/>
      <w:isLgl w:val="false"/>
      <w:suff w:val="tab"/>
      <w:lvlText w:val="•"/>
      <w:lvlJc w:val="left"/>
      <w:pPr>
        <w:pStyle w:val="692"/>
        <w:ind w:left="387" w:hanging="269"/>
      </w:pPr>
    </w:lvl>
    <w:lvl w:ilvl="2">
      <w:start w:val="0"/>
      <w:numFmt w:val="bullet"/>
      <w:isLgl w:val="false"/>
      <w:suff w:val="tab"/>
      <w:lvlText w:val="•"/>
      <w:lvlJc w:val="left"/>
      <w:pPr>
        <w:pStyle w:val="692"/>
        <w:ind w:left="674" w:hanging="269"/>
      </w:pPr>
    </w:lvl>
    <w:lvl w:ilvl="3">
      <w:start w:val="0"/>
      <w:numFmt w:val="bullet"/>
      <w:isLgl w:val="false"/>
      <w:suff w:val="tab"/>
      <w:lvlText w:val="•"/>
      <w:lvlJc w:val="left"/>
      <w:pPr>
        <w:pStyle w:val="692"/>
        <w:ind w:left="961" w:hanging="269"/>
      </w:pPr>
    </w:lvl>
    <w:lvl w:ilvl="4">
      <w:start w:val="0"/>
      <w:numFmt w:val="bullet"/>
      <w:isLgl w:val="false"/>
      <w:suff w:val="tab"/>
      <w:lvlText w:val="•"/>
      <w:lvlJc w:val="left"/>
      <w:pPr>
        <w:pStyle w:val="692"/>
        <w:ind w:left="1248" w:hanging="269"/>
      </w:pPr>
    </w:lvl>
    <w:lvl w:ilvl="5">
      <w:start w:val="0"/>
      <w:numFmt w:val="bullet"/>
      <w:isLgl w:val="false"/>
      <w:suff w:val="tab"/>
      <w:lvlText w:val="•"/>
      <w:lvlJc w:val="left"/>
      <w:pPr>
        <w:pStyle w:val="692"/>
        <w:ind w:left="1536" w:hanging="269"/>
      </w:pPr>
    </w:lvl>
    <w:lvl w:ilvl="6">
      <w:start w:val="0"/>
      <w:numFmt w:val="bullet"/>
      <w:isLgl w:val="false"/>
      <w:suff w:val="tab"/>
      <w:lvlText w:val="•"/>
      <w:lvlJc w:val="left"/>
      <w:pPr>
        <w:pStyle w:val="692"/>
        <w:ind w:left="1823" w:hanging="269"/>
      </w:pPr>
    </w:lvl>
    <w:lvl w:ilvl="7">
      <w:start w:val="0"/>
      <w:numFmt w:val="bullet"/>
      <w:isLgl w:val="false"/>
      <w:suff w:val="tab"/>
      <w:lvlText w:val="•"/>
      <w:lvlJc w:val="left"/>
      <w:pPr>
        <w:pStyle w:val="692"/>
        <w:ind w:left="2110" w:hanging="269"/>
      </w:pPr>
    </w:lvl>
    <w:lvl w:ilvl="8">
      <w:start w:val="0"/>
      <w:numFmt w:val="bullet"/>
      <w:isLgl w:val="false"/>
      <w:suff w:val="tab"/>
      <w:lvlText w:val="•"/>
      <w:lvlJc w:val="left"/>
      <w:pPr>
        <w:pStyle w:val="692"/>
        <w:ind w:left="2397" w:hanging="269"/>
      </w:pPr>
    </w:lvl>
  </w:abstractNum>
  <w:abstractNum w:abstractNumId="9">
    <w:multiLevelType w:val="hybridMultilevel"/>
    <w:lvl w:ilvl="0">
      <w:start w:val="21"/>
      <w:numFmt w:val="decimal"/>
      <w:isLgl w:val="false"/>
      <w:suff w:val="tab"/>
      <w:lvlText w:val="%1)"/>
      <w:lvlJc w:val="left"/>
      <w:pPr>
        <w:pStyle w:val="692"/>
        <w:ind w:left="379" w:hanging="271"/>
      </w:pPr>
      <w:rPr>
        <w:rFonts w:ascii="黑体" w:hAnsi="黑体" w:eastAsia="黑体" w:cs="黑体"/>
        <w:spacing w:val="-2"/>
        <w:sz w:val="16"/>
        <w:szCs w:val="16"/>
      </w:rPr>
    </w:lvl>
    <w:lvl w:ilvl="1">
      <w:start w:val="0"/>
      <w:numFmt w:val="bullet"/>
      <w:isLgl w:val="false"/>
      <w:suff w:val="tab"/>
      <w:lvlText w:val="•"/>
      <w:lvlJc w:val="left"/>
      <w:pPr>
        <w:pStyle w:val="692"/>
        <w:ind w:left="639" w:hanging="271"/>
      </w:pPr>
    </w:lvl>
    <w:lvl w:ilvl="2">
      <w:start w:val="0"/>
      <w:numFmt w:val="bullet"/>
      <w:isLgl w:val="false"/>
      <w:suff w:val="tab"/>
      <w:lvlText w:val="•"/>
      <w:lvlJc w:val="left"/>
      <w:pPr>
        <w:pStyle w:val="692"/>
        <w:ind w:left="898" w:hanging="271"/>
      </w:pPr>
    </w:lvl>
    <w:lvl w:ilvl="3">
      <w:start w:val="0"/>
      <w:numFmt w:val="bullet"/>
      <w:isLgl w:val="false"/>
      <w:suff w:val="tab"/>
      <w:lvlText w:val="•"/>
      <w:lvlJc w:val="left"/>
      <w:pPr>
        <w:pStyle w:val="692"/>
        <w:ind w:left="1157" w:hanging="271"/>
      </w:pPr>
    </w:lvl>
    <w:lvl w:ilvl="4">
      <w:start w:val="0"/>
      <w:numFmt w:val="bullet"/>
      <w:isLgl w:val="false"/>
      <w:suff w:val="tab"/>
      <w:lvlText w:val="•"/>
      <w:lvlJc w:val="left"/>
      <w:pPr>
        <w:pStyle w:val="692"/>
        <w:ind w:left="1416" w:hanging="271"/>
      </w:pPr>
    </w:lvl>
    <w:lvl w:ilvl="5">
      <w:start w:val="0"/>
      <w:numFmt w:val="bullet"/>
      <w:isLgl w:val="false"/>
      <w:suff w:val="tab"/>
      <w:lvlText w:val="•"/>
      <w:lvlJc w:val="left"/>
      <w:pPr>
        <w:pStyle w:val="692"/>
        <w:ind w:left="1676" w:hanging="271"/>
      </w:pPr>
    </w:lvl>
    <w:lvl w:ilvl="6">
      <w:start w:val="0"/>
      <w:numFmt w:val="bullet"/>
      <w:isLgl w:val="false"/>
      <w:suff w:val="tab"/>
      <w:lvlText w:val="•"/>
      <w:lvlJc w:val="left"/>
      <w:pPr>
        <w:pStyle w:val="692"/>
        <w:ind w:left="1935" w:hanging="271"/>
      </w:pPr>
    </w:lvl>
    <w:lvl w:ilvl="7">
      <w:start w:val="0"/>
      <w:numFmt w:val="bullet"/>
      <w:isLgl w:val="false"/>
      <w:suff w:val="tab"/>
      <w:lvlText w:val="•"/>
      <w:lvlJc w:val="left"/>
      <w:pPr>
        <w:pStyle w:val="692"/>
        <w:ind w:left="2194" w:hanging="271"/>
      </w:pPr>
    </w:lvl>
    <w:lvl w:ilvl="8">
      <w:start w:val="0"/>
      <w:numFmt w:val="bullet"/>
      <w:isLgl w:val="false"/>
      <w:suff w:val="tab"/>
      <w:lvlText w:val="•"/>
      <w:lvlJc w:val="left"/>
      <w:pPr>
        <w:pStyle w:val="692"/>
        <w:ind w:left="2453" w:hanging="271"/>
      </w:pPr>
    </w:lvl>
  </w:abstractNum>
  <w:abstractNum w:abstractNumId="10">
    <w:multiLevelType w:val="hybridMultilevel"/>
    <w:lvl w:ilvl="0">
      <w:start w:val="1"/>
      <w:numFmt w:val="chineseCountingThousand"/>
      <w:isLgl w:val="false"/>
      <w:suff w:val="nothing"/>
      <w:lvlText w:val="第%1章 "/>
      <w:lvlJc w:val="left"/>
      <w:pPr>
        <w:pStyle w:val="692"/>
        <w:ind w:left="0" w:firstLine="0"/>
      </w:pPr>
      <w:rPr>
        <w:rFonts w:hint="eastAsia"/>
      </w:rPr>
    </w:lvl>
    <w:lvl w:ilvl="1">
      <w:start w:val="1"/>
      <w:numFmt w:val="decimal"/>
      <w:isLgl w:val="false"/>
      <w:suff w:val="nothing"/>
      <w:lvlText w:val="%2、"/>
      <w:lvlJc w:val="left"/>
      <w:pPr>
        <w:pStyle w:val="692"/>
        <w:ind w:left="0" w:firstLine="0"/>
      </w:pPr>
      <w:rPr>
        <w:rFonts w:hint="eastAsia"/>
      </w:rPr>
    </w:lvl>
    <w:lvl w:ilvl="2">
      <w:start w:val="1"/>
      <w:numFmt w:val="decimal"/>
      <w:isLgl w:val="false"/>
      <w:suff w:val="nothing"/>
      <w:lvlText w:val="%2.%3 "/>
      <w:lvlJc w:val="left"/>
      <w:pPr>
        <w:pStyle w:val="692"/>
        <w:ind w:left="0" w:firstLine="0"/>
      </w:pPr>
      <w:rPr>
        <w:rFonts w:hint="eastAsia"/>
      </w:rPr>
    </w:lvl>
    <w:lvl w:ilvl="3">
      <w:start w:val="1"/>
      <w:numFmt w:val="decimal"/>
      <w:isLgl w:val="false"/>
      <w:suff w:val="nothing"/>
      <w:lvlText w:val="%2.%3.%4 "/>
      <w:lvlJc w:val="left"/>
      <w:pPr>
        <w:pStyle w:val="692"/>
        <w:ind w:left="0" w:firstLine="0"/>
      </w:pPr>
      <w:rPr>
        <w:rFonts w:hint="eastAsia"/>
      </w:rPr>
    </w:lvl>
    <w:lvl w:ilvl="4">
      <w:start w:val="1"/>
      <w:numFmt w:val="decimal"/>
      <w:isLgl w:val="false"/>
      <w:suff w:val="nothing"/>
      <w:lvlText w:val="%2.%3.%4.%5 "/>
      <w:lvlJc w:val="left"/>
      <w:pPr>
        <w:pStyle w:val="692"/>
        <w:ind w:left="0" w:firstLine="0"/>
      </w:pPr>
      <w:rPr>
        <w:rFonts w:hint="eastAsia"/>
      </w:rPr>
    </w:lvl>
    <w:lvl w:ilvl="5">
      <w:start w:val="1"/>
      <w:numFmt w:val="decimal"/>
      <w:pStyle w:val="698"/>
      <w:isLgl w:val="false"/>
      <w:suff w:val="nothing"/>
      <w:lvlText w:val=""/>
      <w:lvlJc w:val="left"/>
      <w:pPr>
        <w:pStyle w:val="692"/>
        <w:ind w:left="0" w:firstLine="0"/>
      </w:pPr>
      <w:rPr>
        <w:rFonts w:hint="eastAsia"/>
      </w:rPr>
    </w:lvl>
    <w:lvl w:ilvl="6">
      <w:start w:val="1"/>
      <w:numFmt w:val="decimal"/>
      <w:pStyle w:val="699"/>
      <w:isLgl w:val="false"/>
      <w:suff w:val="nothing"/>
      <w:lvlText w:val=""/>
      <w:lvlJc w:val="left"/>
      <w:pPr>
        <w:pStyle w:val="692"/>
        <w:ind w:left="0" w:firstLine="0"/>
      </w:pPr>
      <w:rPr>
        <w:rFonts w:hint="eastAsia"/>
      </w:rPr>
    </w:lvl>
    <w:lvl w:ilvl="7">
      <w:start w:val="1"/>
      <w:numFmt w:val="decimal"/>
      <w:pStyle w:val="700"/>
      <w:isLgl w:val="false"/>
      <w:suff w:val="nothing"/>
      <w:lvlText w:val=""/>
      <w:lvlJc w:val="left"/>
      <w:pPr>
        <w:pStyle w:val="692"/>
        <w:ind w:left="0" w:firstLine="0"/>
      </w:pPr>
      <w:rPr>
        <w:rFonts w:hint="eastAsia"/>
      </w:rPr>
    </w:lvl>
    <w:lvl w:ilvl="8">
      <w:start w:val="1"/>
      <w:numFmt w:val="decimal"/>
      <w:pStyle w:val="701"/>
      <w:isLgl w:val="false"/>
      <w:suff w:val="nothing"/>
      <w:lvlText w:val=""/>
      <w:lvlJc w:val="left"/>
      <w:pPr>
        <w:pStyle w:val="692"/>
        <w:ind w:left="0" w:firstLine="0"/>
      </w:pPr>
      <w:rPr>
        <w:rFonts w:hint="eastAsia"/>
      </w:rPr>
    </w:lvl>
  </w:abstractNum>
  <w:abstractNum w:abstractNumId="11">
    <w:multiLevelType w:val="hybridMultilevel"/>
    <w:lvl w:ilvl="0">
      <w:start w:val="1"/>
      <w:numFmt w:val="lowerLetter"/>
      <w:isLgl w:val="false"/>
      <w:suff w:val="tab"/>
      <w:lvlText w:val="%1)"/>
      <w:lvlJc w:val="left"/>
      <w:pPr>
        <w:pStyle w:val="692"/>
        <w:ind w:left="108" w:hanging="269"/>
      </w:pPr>
      <w:rPr>
        <w:rFonts w:ascii="黑体" w:hAnsi="黑体" w:eastAsia="黑体" w:cs="黑体"/>
        <w:spacing w:val="-47"/>
        <w:sz w:val="18"/>
        <w:szCs w:val="18"/>
      </w:rPr>
    </w:lvl>
    <w:lvl w:ilvl="1">
      <w:start w:val="0"/>
      <w:numFmt w:val="bullet"/>
      <w:isLgl w:val="false"/>
      <w:suff w:val="tab"/>
      <w:lvlText w:val="•"/>
      <w:lvlJc w:val="left"/>
      <w:pPr>
        <w:pStyle w:val="692"/>
        <w:ind w:left="387" w:hanging="269"/>
      </w:pPr>
    </w:lvl>
    <w:lvl w:ilvl="2">
      <w:start w:val="0"/>
      <w:numFmt w:val="bullet"/>
      <w:isLgl w:val="false"/>
      <w:suff w:val="tab"/>
      <w:lvlText w:val="•"/>
      <w:lvlJc w:val="left"/>
      <w:pPr>
        <w:pStyle w:val="692"/>
        <w:ind w:left="674" w:hanging="269"/>
      </w:pPr>
    </w:lvl>
    <w:lvl w:ilvl="3">
      <w:start w:val="0"/>
      <w:numFmt w:val="bullet"/>
      <w:isLgl w:val="false"/>
      <w:suff w:val="tab"/>
      <w:lvlText w:val="•"/>
      <w:lvlJc w:val="left"/>
      <w:pPr>
        <w:pStyle w:val="692"/>
        <w:ind w:left="961" w:hanging="269"/>
      </w:pPr>
    </w:lvl>
    <w:lvl w:ilvl="4">
      <w:start w:val="0"/>
      <w:numFmt w:val="bullet"/>
      <w:isLgl w:val="false"/>
      <w:suff w:val="tab"/>
      <w:lvlText w:val="•"/>
      <w:lvlJc w:val="left"/>
      <w:pPr>
        <w:pStyle w:val="692"/>
        <w:ind w:left="1248" w:hanging="269"/>
      </w:pPr>
    </w:lvl>
    <w:lvl w:ilvl="5">
      <w:start w:val="0"/>
      <w:numFmt w:val="bullet"/>
      <w:isLgl w:val="false"/>
      <w:suff w:val="tab"/>
      <w:lvlText w:val="•"/>
      <w:lvlJc w:val="left"/>
      <w:pPr>
        <w:pStyle w:val="692"/>
        <w:ind w:left="1536" w:hanging="269"/>
      </w:pPr>
    </w:lvl>
    <w:lvl w:ilvl="6">
      <w:start w:val="0"/>
      <w:numFmt w:val="bullet"/>
      <w:isLgl w:val="false"/>
      <w:suff w:val="tab"/>
      <w:lvlText w:val="•"/>
      <w:lvlJc w:val="left"/>
      <w:pPr>
        <w:pStyle w:val="692"/>
        <w:ind w:left="1823" w:hanging="269"/>
      </w:pPr>
    </w:lvl>
    <w:lvl w:ilvl="7">
      <w:start w:val="0"/>
      <w:numFmt w:val="bullet"/>
      <w:isLgl w:val="false"/>
      <w:suff w:val="tab"/>
      <w:lvlText w:val="•"/>
      <w:lvlJc w:val="left"/>
      <w:pPr>
        <w:pStyle w:val="692"/>
        <w:ind w:left="2110" w:hanging="269"/>
      </w:pPr>
    </w:lvl>
    <w:lvl w:ilvl="8">
      <w:start w:val="0"/>
      <w:numFmt w:val="bullet"/>
      <w:isLgl w:val="false"/>
      <w:suff w:val="tab"/>
      <w:lvlText w:val="•"/>
      <w:lvlJc w:val="left"/>
      <w:pPr>
        <w:pStyle w:val="692"/>
        <w:ind w:left="2397" w:hanging="269"/>
      </w:pPr>
    </w:lvl>
  </w:abstractNum>
  <w:abstractNum w:abstractNumId="12">
    <w:multiLevelType w:val="hybridMultilevel"/>
    <w:lvl w:ilvl="0">
      <w:start w:val="1"/>
      <w:numFmt w:val="japaneseCounting"/>
      <w:isLgl w:val="false"/>
      <w:suff w:val="tab"/>
      <w:lvlText w:val="第%1章"/>
      <w:lvlJc w:val="left"/>
      <w:pPr>
        <w:pStyle w:val="6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7"/>
  </w:num>
  <w:num w:numId="4">
    <w:abstractNumId w:val="12"/>
  </w:num>
  <w:num w:numId="5">
    <w:abstractNumId w:val="2"/>
  </w:num>
  <w:num w:numId="6">
    <w:abstractNumId w:val="6"/>
  </w:num>
  <w:num w:numId="7">
    <w:abstractNumId w:val="0"/>
  </w:num>
  <w:num w:numId="8">
    <w:abstractNumId w:val="9"/>
  </w:num>
  <w:num w:numId="9">
    <w:abstractNumId w:val="5"/>
  </w:num>
  <w:num w:numId="10">
    <w:abstractNumId w:val="1"/>
  </w:num>
  <w:num w:numId="11">
    <w:abstractNumId w:val="8"/>
  </w:num>
  <w:num w:numId="12">
    <w:abstractNumId w:val="11"/>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2"/>
    <w:next w:val="6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2"/>
    <w:next w:val="6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sz w:val="21"/>
      <w:szCs w:val="21"/>
      <w:lang w:val="en-US" w:eastAsia="zh-CN" w:bidi="ar-SA"/>
    </w:rPr>
  </w:style>
  <w:style w:type="paragraph" w:styleId="693">
    <w:name w:val="标题 1"/>
    <w:basedOn w:val="692"/>
    <w:next w:val="692"/>
    <w:link w:val="705"/>
    <w:qFormat/>
    <w:pPr>
      <w:jc w:val="center"/>
      <w:keepNext/>
      <w:outlineLvl w:val="0"/>
    </w:pPr>
    <w:rPr>
      <w:rFonts w:ascii="楷体_GB2312" w:eastAsia="楷体_GB2312"/>
      <w:sz w:val="28"/>
      <w:szCs w:val="28"/>
    </w:rPr>
  </w:style>
  <w:style w:type="paragraph" w:styleId="694">
    <w:name w:val="标题 2"/>
    <w:basedOn w:val="692"/>
    <w:next w:val="707"/>
    <w:link w:val="706"/>
    <w:qFormat/>
    <w:pPr>
      <w:jc w:val="center"/>
      <w:keepLines/>
      <w:keepNext/>
      <w:spacing w:before="260" w:after="260" w:line="416" w:lineRule="auto"/>
      <w:outlineLvl w:val="1"/>
    </w:pPr>
    <w:rPr>
      <w:rFonts w:ascii="Arial" w:hAnsi="Arial" w:eastAsia="幼圆" w:cs="Arial"/>
      <w:b/>
      <w:bCs/>
      <w:sz w:val="44"/>
      <w:szCs w:val="44"/>
    </w:rPr>
  </w:style>
  <w:style w:type="paragraph" w:styleId="695">
    <w:name w:val="标题 3"/>
    <w:basedOn w:val="692"/>
    <w:next w:val="707"/>
    <w:link w:val="709"/>
    <w:qFormat/>
    <w:pPr>
      <w:keepLines/>
      <w:keepNext/>
      <w:spacing w:before="260" w:after="260" w:line="416" w:lineRule="auto"/>
      <w:outlineLvl w:val="2"/>
    </w:pPr>
    <w:rPr>
      <w:b/>
      <w:bCs/>
      <w:sz w:val="32"/>
      <w:szCs w:val="32"/>
    </w:rPr>
  </w:style>
  <w:style w:type="paragraph" w:styleId="696">
    <w:name w:val="标题 4"/>
    <w:basedOn w:val="692"/>
    <w:next w:val="707"/>
    <w:link w:val="710"/>
    <w:qFormat/>
    <w:pPr>
      <w:keepLines/>
      <w:keepNext/>
      <w:spacing w:before="280" w:after="290" w:line="376" w:lineRule="auto"/>
      <w:outlineLvl w:val="3"/>
    </w:pPr>
    <w:rPr>
      <w:rFonts w:ascii="Arial" w:hAnsi="Arial" w:eastAsia="黑体" w:cs="Arial"/>
      <w:b/>
      <w:bCs/>
      <w:sz w:val="28"/>
      <w:szCs w:val="28"/>
    </w:rPr>
  </w:style>
  <w:style w:type="paragraph" w:styleId="697">
    <w:name w:val="标题 5"/>
    <w:basedOn w:val="692"/>
    <w:next w:val="707"/>
    <w:link w:val="711"/>
    <w:qFormat/>
    <w:pPr>
      <w:keepNext/>
      <w:outlineLvl w:val="4"/>
    </w:pPr>
    <w:rPr>
      <w:rFonts w:ascii="宋体"/>
      <w:color w:val="000000"/>
      <w:sz w:val="28"/>
      <w:szCs w:val="28"/>
    </w:rPr>
  </w:style>
  <w:style w:type="paragraph" w:styleId="698">
    <w:name w:val="标题 6"/>
    <w:basedOn w:val="692"/>
    <w:next w:val="692"/>
    <w:link w:val="712"/>
    <w:qFormat/>
    <w:pPr>
      <w:numPr>
        <w:ilvl w:val="5"/>
        <w:numId w:val="1"/>
      </w:numPr>
      <w:keepLines/>
      <w:keepNext/>
      <w:spacing w:before="240" w:after="64" w:line="320" w:lineRule="auto"/>
      <w:outlineLvl w:val="5"/>
    </w:pPr>
    <w:rPr>
      <w:rFonts w:ascii="Arial" w:hAnsi="Arial" w:eastAsia="黑体"/>
      <w:b/>
      <w:bCs/>
      <w:sz w:val="24"/>
      <w:szCs w:val="24"/>
    </w:rPr>
  </w:style>
  <w:style w:type="paragraph" w:styleId="699">
    <w:name w:val="标题 7"/>
    <w:basedOn w:val="692"/>
    <w:next w:val="692"/>
    <w:link w:val="713"/>
    <w:qFormat/>
    <w:pPr>
      <w:numPr>
        <w:ilvl w:val="6"/>
        <w:numId w:val="1"/>
      </w:numPr>
      <w:keepLines/>
      <w:keepNext/>
      <w:spacing w:before="240" w:after="64" w:line="320" w:lineRule="auto"/>
      <w:outlineLvl w:val="6"/>
    </w:pPr>
    <w:rPr>
      <w:b/>
      <w:bCs/>
      <w:sz w:val="24"/>
      <w:szCs w:val="24"/>
    </w:rPr>
  </w:style>
  <w:style w:type="paragraph" w:styleId="700">
    <w:name w:val="标题 8"/>
    <w:basedOn w:val="692"/>
    <w:next w:val="692"/>
    <w:link w:val="714"/>
    <w:qFormat/>
    <w:pPr>
      <w:numPr>
        <w:ilvl w:val="7"/>
        <w:numId w:val="1"/>
      </w:numPr>
      <w:keepLines/>
      <w:keepNext/>
      <w:spacing w:before="240" w:after="64" w:line="320" w:lineRule="auto"/>
      <w:outlineLvl w:val="7"/>
    </w:pPr>
    <w:rPr>
      <w:rFonts w:ascii="Arial" w:hAnsi="Arial" w:eastAsia="黑体"/>
      <w:sz w:val="24"/>
      <w:szCs w:val="24"/>
    </w:rPr>
  </w:style>
  <w:style w:type="paragraph" w:styleId="701">
    <w:name w:val="标题 9"/>
    <w:basedOn w:val="692"/>
    <w:next w:val="692"/>
    <w:link w:val="715"/>
    <w:qFormat/>
    <w:pPr>
      <w:numPr>
        <w:ilvl w:val="8"/>
        <w:numId w:val="1"/>
      </w:numPr>
      <w:keepLines/>
      <w:keepNext/>
      <w:spacing w:before="240" w:after="64" w:line="320" w:lineRule="auto"/>
      <w:outlineLvl w:val="8"/>
    </w:pPr>
    <w:rPr>
      <w:rFonts w:ascii="Arial" w:hAnsi="Arial" w:eastAsia="黑体"/>
    </w:rPr>
  </w:style>
  <w:style w:type="character" w:styleId="702">
    <w:name w:val="默认段落字体"/>
    <w:next w:val="702"/>
    <w:link w:val="692"/>
    <w:uiPriority w:val="1"/>
    <w:unhideWhenUsed/>
  </w:style>
  <w:style w:type="table" w:styleId="703">
    <w:name w:val="普通表格"/>
    <w:next w:val="703"/>
    <w:link w:val="692"/>
    <w:uiPriority w:val="99"/>
    <w:unhideWhenUsed/>
    <w:tblPr/>
  </w:style>
  <w:style w:type="numbering" w:styleId="704">
    <w:name w:val="无列表"/>
    <w:next w:val="704"/>
    <w:link w:val="692"/>
    <w:uiPriority w:val="99"/>
    <w:semiHidden/>
    <w:unhideWhenUsed/>
  </w:style>
  <w:style w:type="character" w:styleId="705">
    <w:name w:val="标题 1 字符"/>
    <w:next w:val="705"/>
    <w:link w:val="693"/>
    <w:rPr>
      <w:rFonts w:ascii="楷体_GB2312" w:hAnsi="Times New Roman" w:eastAsia="楷体_GB2312" w:cs="Times New Roman"/>
      <w:sz w:val="28"/>
      <w:szCs w:val="28"/>
    </w:rPr>
  </w:style>
  <w:style w:type="character" w:styleId="706">
    <w:name w:val="标题 2 字符"/>
    <w:next w:val="706"/>
    <w:link w:val="694"/>
    <w:rPr>
      <w:rFonts w:ascii="Arial" w:hAnsi="Arial" w:eastAsia="幼圆" w:cs="Arial"/>
      <w:b/>
      <w:bCs/>
      <w:sz w:val="44"/>
      <w:szCs w:val="44"/>
    </w:rPr>
  </w:style>
  <w:style w:type="paragraph" w:styleId="707">
    <w:name w:val="正文缩进"/>
    <w:basedOn w:val="692"/>
    <w:next w:val="707"/>
    <w:link w:val="708"/>
    <w:pPr>
      <w:ind w:firstLine="420"/>
    </w:pPr>
  </w:style>
  <w:style w:type="character" w:styleId="708">
    <w:name w:val="正文缩进 字符"/>
    <w:next w:val="708"/>
    <w:link w:val="707"/>
    <w:rPr>
      <w:rFonts w:ascii="Times New Roman" w:hAnsi="Times New Roman" w:eastAsia="宋体" w:cs="Times New Roman"/>
      <w:szCs w:val="21"/>
    </w:rPr>
  </w:style>
  <w:style w:type="character" w:styleId="709">
    <w:name w:val="标题 3 字符"/>
    <w:next w:val="709"/>
    <w:link w:val="695"/>
    <w:rPr>
      <w:rFonts w:ascii="Times New Roman" w:hAnsi="Times New Roman" w:eastAsia="宋体" w:cs="Times New Roman"/>
      <w:b/>
      <w:bCs/>
      <w:sz w:val="32"/>
      <w:szCs w:val="32"/>
    </w:rPr>
  </w:style>
  <w:style w:type="character" w:styleId="710">
    <w:name w:val="标题 4 字符"/>
    <w:next w:val="710"/>
    <w:link w:val="696"/>
    <w:rPr>
      <w:rFonts w:ascii="Arial" w:hAnsi="Arial" w:eastAsia="黑体" w:cs="Arial"/>
      <w:b/>
      <w:bCs/>
      <w:sz w:val="28"/>
      <w:szCs w:val="28"/>
    </w:rPr>
  </w:style>
  <w:style w:type="character" w:styleId="711">
    <w:name w:val="标题 5 字符"/>
    <w:next w:val="711"/>
    <w:link w:val="697"/>
    <w:rPr>
      <w:rFonts w:ascii="宋体" w:hAnsi="Times New Roman" w:eastAsia="宋体" w:cs="Times New Roman"/>
      <w:color w:val="000000"/>
      <w:sz w:val="28"/>
      <w:szCs w:val="28"/>
    </w:rPr>
  </w:style>
  <w:style w:type="character" w:styleId="712">
    <w:name w:val="标题 6 字符"/>
    <w:next w:val="712"/>
    <w:link w:val="698"/>
    <w:rPr>
      <w:rFonts w:ascii="Arial" w:hAnsi="Arial" w:eastAsia="黑体" w:cs="Times New Roman"/>
      <w:b/>
      <w:bCs/>
      <w:sz w:val="24"/>
      <w:szCs w:val="24"/>
    </w:rPr>
  </w:style>
  <w:style w:type="character" w:styleId="713">
    <w:name w:val="标题 7 字符"/>
    <w:next w:val="713"/>
    <w:link w:val="699"/>
    <w:rPr>
      <w:rFonts w:ascii="Times New Roman" w:hAnsi="Times New Roman" w:eastAsia="宋体" w:cs="Times New Roman"/>
      <w:b/>
      <w:bCs/>
      <w:sz w:val="24"/>
      <w:szCs w:val="24"/>
    </w:rPr>
  </w:style>
  <w:style w:type="character" w:styleId="714">
    <w:name w:val="标题 8 字符"/>
    <w:next w:val="714"/>
    <w:link w:val="700"/>
    <w:rPr>
      <w:rFonts w:ascii="Arial" w:hAnsi="Arial" w:eastAsia="黑体" w:cs="Times New Roman"/>
      <w:sz w:val="24"/>
      <w:szCs w:val="24"/>
    </w:rPr>
  </w:style>
  <w:style w:type="character" w:styleId="715">
    <w:name w:val="标题 9 字符"/>
    <w:next w:val="715"/>
    <w:link w:val="701"/>
    <w:rPr>
      <w:rFonts w:ascii="Arial" w:hAnsi="Arial" w:eastAsia="黑体" w:cs="Times New Roman"/>
      <w:szCs w:val="21"/>
    </w:rPr>
  </w:style>
  <w:style w:type="paragraph" w:styleId="716">
    <w:name w:val="列表 3"/>
    <w:basedOn w:val="692"/>
    <w:next w:val="716"/>
    <w:link w:val="692"/>
    <w:pPr>
      <w:ind w:left="100" w:hanging="200"/>
    </w:pPr>
  </w:style>
  <w:style w:type="paragraph" w:styleId="717">
    <w:name w:val="toc 7"/>
    <w:basedOn w:val="692"/>
    <w:next w:val="692"/>
    <w:link w:val="692"/>
    <w:semiHidden/>
    <w:pPr>
      <w:ind w:left="1260"/>
      <w:jc w:val="left"/>
    </w:pPr>
  </w:style>
  <w:style w:type="paragraph" w:styleId="718">
    <w:name w:val="文档结构图"/>
    <w:basedOn w:val="692"/>
    <w:next w:val="718"/>
    <w:link w:val="719"/>
    <w:semiHidden/>
    <w:pPr>
      <w:shd w:val="clear" w:color="auto" w:fill="000080"/>
    </w:pPr>
  </w:style>
  <w:style w:type="character" w:styleId="719">
    <w:name w:val="文档结构图 字符"/>
    <w:next w:val="719"/>
    <w:link w:val="718"/>
    <w:semiHidden/>
    <w:rPr>
      <w:rFonts w:ascii="Times New Roman" w:hAnsi="Times New Roman" w:eastAsia="宋体" w:cs="Times New Roman"/>
      <w:szCs w:val="21"/>
      <w:shd w:val="clear" w:color="auto" w:fill="000080"/>
    </w:rPr>
  </w:style>
  <w:style w:type="paragraph" w:styleId="720">
    <w:name w:val="批注文字"/>
    <w:basedOn w:val="692"/>
    <w:next w:val="720"/>
    <w:link w:val="721"/>
    <w:semiHidden/>
    <w:pPr>
      <w:jc w:val="left"/>
    </w:pPr>
  </w:style>
  <w:style w:type="character" w:styleId="721">
    <w:name w:val="批注文字 字符"/>
    <w:next w:val="721"/>
    <w:link w:val="720"/>
    <w:semiHidden/>
    <w:rPr>
      <w:rFonts w:ascii="Times New Roman" w:hAnsi="Times New Roman" w:eastAsia="宋体" w:cs="Times New Roman"/>
      <w:szCs w:val="21"/>
    </w:rPr>
  </w:style>
  <w:style w:type="paragraph" w:styleId="722">
    <w:name w:val="正文文本 3"/>
    <w:basedOn w:val="692"/>
    <w:next w:val="722"/>
    <w:link w:val="723"/>
    <w:rPr>
      <w:rFonts w:ascii="仿宋_GB2312" w:hAnsi="Arial" w:eastAsia="仿宋_GB2312"/>
      <w:sz w:val="32"/>
      <w:szCs w:val="32"/>
    </w:rPr>
  </w:style>
  <w:style w:type="character" w:styleId="723">
    <w:name w:val="正文文本 3 字符"/>
    <w:next w:val="723"/>
    <w:link w:val="722"/>
    <w:rPr>
      <w:rFonts w:ascii="仿宋_GB2312" w:hAnsi="Arial" w:eastAsia="仿宋_GB2312" w:cs="Times New Roman"/>
      <w:sz w:val="32"/>
      <w:szCs w:val="32"/>
    </w:rPr>
  </w:style>
  <w:style w:type="paragraph" w:styleId="724">
    <w:name w:val="正文文本"/>
    <w:basedOn w:val="692"/>
    <w:next w:val="724"/>
    <w:link w:val="725"/>
    <w:uiPriority w:val="1"/>
    <w:qFormat/>
    <w:rPr>
      <w:rFonts w:ascii="楷体_GB2312" w:hAnsi="Arial" w:eastAsia="楷体_GB2312"/>
      <w:sz w:val="28"/>
      <w:szCs w:val="28"/>
    </w:rPr>
  </w:style>
  <w:style w:type="character" w:styleId="725">
    <w:name w:val="正文文本 字符"/>
    <w:next w:val="725"/>
    <w:link w:val="724"/>
    <w:uiPriority w:val="1"/>
    <w:rPr>
      <w:rFonts w:ascii="楷体_GB2312" w:hAnsi="Arial" w:eastAsia="楷体_GB2312" w:cs="Times New Roman"/>
      <w:sz w:val="28"/>
      <w:szCs w:val="28"/>
    </w:rPr>
  </w:style>
  <w:style w:type="paragraph" w:styleId="726">
    <w:name w:val="正文文本缩进"/>
    <w:basedOn w:val="692"/>
    <w:next w:val="726"/>
    <w:link w:val="727"/>
    <w:pPr>
      <w:ind w:firstLine="645"/>
    </w:pPr>
    <w:rPr>
      <w:rFonts w:ascii="楷体_GB2312" w:eastAsia="楷体_GB2312"/>
      <w:sz w:val="32"/>
      <w:szCs w:val="32"/>
    </w:rPr>
  </w:style>
  <w:style w:type="character" w:styleId="727">
    <w:name w:val="正文文本缩进 字符"/>
    <w:next w:val="727"/>
    <w:link w:val="726"/>
    <w:rPr>
      <w:rFonts w:ascii="楷体_GB2312" w:hAnsi="Times New Roman" w:eastAsia="楷体_GB2312" w:cs="Times New Roman"/>
      <w:sz w:val="32"/>
      <w:szCs w:val="32"/>
    </w:rPr>
  </w:style>
  <w:style w:type="paragraph" w:styleId="728">
    <w:name w:val="列表 2"/>
    <w:basedOn w:val="692"/>
    <w:next w:val="728"/>
    <w:link w:val="692"/>
    <w:pPr>
      <w:ind w:left="100" w:hanging="200"/>
    </w:pPr>
  </w:style>
  <w:style w:type="paragraph" w:styleId="729">
    <w:name w:val="toc 5"/>
    <w:basedOn w:val="692"/>
    <w:next w:val="692"/>
    <w:link w:val="692"/>
    <w:semiHidden/>
    <w:pPr>
      <w:ind w:left="840"/>
      <w:jc w:val="left"/>
    </w:pPr>
  </w:style>
  <w:style w:type="paragraph" w:styleId="730">
    <w:name w:val="toc 3"/>
    <w:basedOn w:val="692"/>
    <w:next w:val="692"/>
    <w:link w:val="692"/>
    <w:semiHidden/>
    <w:pPr>
      <w:ind w:left="420"/>
      <w:jc w:val="left"/>
    </w:pPr>
    <w:rPr>
      <w:i/>
      <w:iCs/>
      <w:szCs w:val="24"/>
    </w:rPr>
  </w:style>
  <w:style w:type="paragraph" w:styleId="731">
    <w:name w:val="纯文本"/>
    <w:basedOn w:val="692"/>
    <w:next w:val="731"/>
    <w:link w:val="732"/>
    <w:rPr>
      <w:rFonts w:ascii="宋体" w:hAnsi="Courier New" w:cs="Courier New"/>
    </w:rPr>
  </w:style>
  <w:style w:type="character" w:styleId="732">
    <w:name w:val="纯文本 字符"/>
    <w:next w:val="732"/>
    <w:link w:val="731"/>
    <w:rPr>
      <w:rFonts w:ascii="宋体" w:hAnsi="Courier New" w:eastAsia="宋体" w:cs="Courier New"/>
      <w:szCs w:val="21"/>
    </w:rPr>
  </w:style>
  <w:style w:type="paragraph" w:styleId="733">
    <w:name w:val="toc 8"/>
    <w:basedOn w:val="692"/>
    <w:next w:val="692"/>
    <w:link w:val="692"/>
    <w:semiHidden/>
    <w:pPr>
      <w:ind w:left="1470"/>
      <w:jc w:val="left"/>
    </w:pPr>
  </w:style>
  <w:style w:type="paragraph" w:styleId="734">
    <w:name w:val="日期"/>
    <w:basedOn w:val="692"/>
    <w:next w:val="692"/>
    <w:link w:val="735"/>
    <w:rPr>
      <w:sz w:val="24"/>
      <w:szCs w:val="24"/>
    </w:rPr>
  </w:style>
  <w:style w:type="character" w:styleId="735">
    <w:name w:val="日期 字符"/>
    <w:next w:val="735"/>
    <w:link w:val="734"/>
    <w:rPr>
      <w:rFonts w:ascii="Times New Roman" w:hAnsi="Times New Roman" w:eastAsia="宋体" w:cs="Times New Roman"/>
      <w:sz w:val="24"/>
      <w:szCs w:val="24"/>
    </w:rPr>
  </w:style>
  <w:style w:type="paragraph" w:styleId="736">
    <w:name w:val="正文文本缩进 2"/>
    <w:basedOn w:val="692"/>
    <w:next w:val="736"/>
    <w:link w:val="737"/>
    <w:pPr>
      <w:ind w:left="630" w:firstLine="645"/>
    </w:pPr>
    <w:rPr>
      <w:rFonts w:ascii="Arial" w:hAnsi="Arial" w:eastAsia="仿宋_GB2312" w:cs="Arial"/>
      <w:sz w:val="32"/>
      <w:szCs w:val="32"/>
    </w:rPr>
  </w:style>
  <w:style w:type="character" w:styleId="737">
    <w:name w:val="正文文本缩进 2 字符"/>
    <w:next w:val="737"/>
    <w:link w:val="736"/>
    <w:rPr>
      <w:rFonts w:ascii="Arial" w:hAnsi="Arial" w:eastAsia="仿宋_GB2312" w:cs="Arial"/>
      <w:sz w:val="32"/>
      <w:szCs w:val="32"/>
    </w:rPr>
  </w:style>
  <w:style w:type="paragraph" w:styleId="738">
    <w:name w:val="批注框文本"/>
    <w:basedOn w:val="692"/>
    <w:next w:val="738"/>
    <w:link w:val="739"/>
    <w:semiHidden/>
    <w:rPr>
      <w:sz w:val="18"/>
      <w:szCs w:val="18"/>
    </w:rPr>
  </w:style>
  <w:style w:type="character" w:styleId="739">
    <w:name w:val="批注框文本 字符"/>
    <w:next w:val="739"/>
    <w:link w:val="738"/>
    <w:semiHidden/>
    <w:rPr>
      <w:rFonts w:ascii="Times New Roman" w:hAnsi="Times New Roman" w:eastAsia="宋体" w:cs="Times New Roman"/>
      <w:sz w:val="18"/>
      <w:szCs w:val="18"/>
    </w:rPr>
  </w:style>
  <w:style w:type="paragraph" w:styleId="740">
    <w:name w:val="页脚"/>
    <w:basedOn w:val="692"/>
    <w:next w:val="740"/>
    <w:link w:val="741"/>
    <w:pPr>
      <w:jc w:val="left"/>
      <w:tabs>
        <w:tab w:val="center" w:pos="4153" w:leader="none"/>
        <w:tab w:val="right" w:pos="8306" w:leader="none"/>
      </w:tabs>
    </w:pPr>
    <w:rPr>
      <w:sz w:val="18"/>
      <w:szCs w:val="18"/>
    </w:rPr>
  </w:style>
  <w:style w:type="character" w:styleId="741">
    <w:name w:val="页脚 字符"/>
    <w:next w:val="741"/>
    <w:link w:val="740"/>
    <w:rPr>
      <w:rFonts w:ascii="Times New Roman" w:hAnsi="Times New Roman" w:eastAsia="宋体" w:cs="Times New Roman"/>
      <w:sz w:val="18"/>
      <w:szCs w:val="18"/>
    </w:rPr>
  </w:style>
  <w:style w:type="paragraph" w:styleId="742">
    <w:name w:val="页眉"/>
    <w:basedOn w:val="692"/>
    <w:next w:val="742"/>
    <w:link w:val="743"/>
    <w:pPr>
      <w:jc w:val="center"/>
      <w:tabs>
        <w:tab w:val="center" w:pos="4153" w:leader="none"/>
        <w:tab w:val="right" w:pos="8306" w:leader="none"/>
      </w:tabs>
      <w:pBdr>
        <w:bottom w:val="single" w:color="000000" w:sz="6" w:space="1"/>
      </w:pBdr>
    </w:pPr>
    <w:rPr>
      <w:sz w:val="18"/>
      <w:szCs w:val="18"/>
    </w:rPr>
  </w:style>
  <w:style w:type="character" w:styleId="743">
    <w:name w:val="页眉 字符"/>
    <w:next w:val="743"/>
    <w:link w:val="742"/>
    <w:rPr>
      <w:rFonts w:ascii="Times New Roman" w:hAnsi="Times New Roman" w:eastAsia="宋体" w:cs="Times New Roman"/>
      <w:sz w:val="18"/>
      <w:szCs w:val="18"/>
    </w:rPr>
  </w:style>
  <w:style w:type="paragraph" w:styleId="744">
    <w:name w:val="toc 1"/>
    <w:basedOn w:val="692"/>
    <w:next w:val="692"/>
    <w:link w:val="692"/>
    <w:semiHidden/>
    <w:pPr>
      <w:jc w:val="left"/>
      <w:spacing w:before="120" w:after="120" w:line="400" w:lineRule="exact"/>
      <w:tabs>
        <w:tab w:val="right" w:pos="8720" w:leader="dot"/>
      </w:tabs>
    </w:pPr>
    <w:rPr>
      <w:rFonts w:ascii="宋体" w:hAnsi="宋体"/>
      <w:caps/>
      <w:sz w:val="24"/>
      <w:szCs w:val="24"/>
    </w:rPr>
  </w:style>
  <w:style w:type="paragraph" w:styleId="745">
    <w:name w:val="toc 4"/>
    <w:basedOn w:val="692"/>
    <w:next w:val="692"/>
    <w:link w:val="692"/>
    <w:semiHidden/>
    <w:pPr>
      <w:ind w:left="630"/>
      <w:jc w:val="left"/>
    </w:pPr>
  </w:style>
  <w:style w:type="paragraph" w:styleId="746">
    <w:name w:val="副标题"/>
    <w:basedOn w:val="692"/>
    <w:next w:val="692"/>
    <w:link w:val="747"/>
    <w:uiPriority w:val="11"/>
    <w:qFormat/>
    <w:pPr>
      <w:numPr>
        <w:ilvl w:val="1"/>
        <w:numId w:val="0"/>
      </w:numPr>
      <w:jc w:val="center"/>
      <w:spacing w:after="160" w:line="278" w:lineRule="auto"/>
    </w:pPr>
    <w:rPr>
      <w:rFonts w:ascii="等线 Light" w:hAnsi="等线 Light" w:eastAsia="等线 Light" w:cs="Times New Roman"/>
      <w:color w:val="595959"/>
      <w:spacing w:val="15"/>
      <w:sz w:val="28"/>
      <w:szCs w:val="28"/>
    </w:rPr>
  </w:style>
  <w:style w:type="character" w:styleId="747">
    <w:name w:val="副标题 字符"/>
    <w:next w:val="747"/>
    <w:link w:val="746"/>
    <w:uiPriority w:val="11"/>
    <w:rPr>
      <w:rFonts w:ascii="等线 Light" w:hAnsi="等线 Light" w:eastAsia="等线 Light"/>
      <w:color w:val="595959"/>
      <w:spacing w:val="15"/>
      <w:sz w:val="28"/>
      <w:szCs w:val="28"/>
    </w:rPr>
  </w:style>
  <w:style w:type="paragraph" w:styleId="748">
    <w:name w:val="列表"/>
    <w:basedOn w:val="692"/>
    <w:next w:val="748"/>
    <w:link w:val="692"/>
    <w:pPr>
      <w:ind w:left="200" w:hanging="200"/>
    </w:pPr>
  </w:style>
  <w:style w:type="paragraph" w:styleId="749">
    <w:name w:val="toc 6"/>
    <w:basedOn w:val="692"/>
    <w:next w:val="692"/>
    <w:link w:val="692"/>
    <w:semiHidden/>
    <w:pPr>
      <w:ind w:left="1050"/>
      <w:jc w:val="left"/>
    </w:pPr>
  </w:style>
  <w:style w:type="paragraph" w:styleId="750">
    <w:name w:val="正文文本缩进 3"/>
    <w:basedOn w:val="692"/>
    <w:next w:val="750"/>
    <w:link w:val="751"/>
    <w:pPr>
      <w:ind w:left="645" w:firstLine="645"/>
    </w:pPr>
    <w:rPr>
      <w:rFonts w:ascii="Arial" w:hAnsi="Arial" w:eastAsia="仿宋_GB2312" w:cs="Arial"/>
      <w:color w:val="ffff00"/>
      <w:sz w:val="32"/>
      <w:szCs w:val="32"/>
    </w:rPr>
  </w:style>
  <w:style w:type="character" w:styleId="751">
    <w:name w:val="正文文本缩进 3 字符"/>
    <w:next w:val="751"/>
    <w:link w:val="750"/>
    <w:rPr>
      <w:rFonts w:ascii="Arial" w:hAnsi="Arial" w:eastAsia="仿宋_GB2312" w:cs="Arial"/>
      <w:color w:val="ffff00"/>
      <w:sz w:val="32"/>
      <w:szCs w:val="32"/>
    </w:rPr>
  </w:style>
  <w:style w:type="paragraph" w:styleId="752">
    <w:name w:val="图表目录"/>
    <w:basedOn w:val="692"/>
    <w:next w:val="692"/>
    <w:link w:val="692"/>
    <w:semiHidden/>
    <w:pPr>
      <w:ind w:left="840" w:hanging="420"/>
    </w:pPr>
  </w:style>
  <w:style w:type="paragraph" w:styleId="753">
    <w:name w:val="toc 2"/>
    <w:basedOn w:val="692"/>
    <w:next w:val="692"/>
    <w:link w:val="692"/>
    <w:semiHidden/>
    <w:pPr>
      <w:ind w:left="210"/>
      <w:jc w:val="left"/>
    </w:pPr>
    <w:rPr>
      <w:smallCaps/>
      <w:szCs w:val="24"/>
    </w:rPr>
  </w:style>
  <w:style w:type="paragraph" w:styleId="754">
    <w:name w:val="toc 9"/>
    <w:basedOn w:val="692"/>
    <w:next w:val="692"/>
    <w:link w:val="692"/>
    <w:semiHidden/>
    <w:pPr>
      <w:ind w:left="1680"/>
      <w:jc w:val="left"/>
    </w:pPr>
  </w:style>
  <w:style w:type="paragraph" w:styleId="755">
    <w:name w:val="正文文本 2"/>
    <w:basedOn w:val="692"/>
    <w:next w:val="755"/>
    <w:link w:val="756"/>
    <w:pPr>
      <w:jc w:val="center"/>
      <w:widowControl/>
    </w:pPr>
    <w:rPr>
      <w:rFonts w:ascii="楷体_GB2312" w:eastAsia="楷体_GB2312"/>
      <w:sz w:val="28"/>
      <w:szCs w:val="28"/>
    </w:rPr>
  </w:style>
  <w:style w:type="character" w:styleId="756">
    <w:name w:val="正文文本 2 字符"/>
    <w:next w:val="756"/>
    <w:link w:val="755"/>
    <w:rPr>
      <w:rFonts w:ascii="楷体_GB2312" w:hAnsi="Times New Roman" w:eastAsia="楷体_GB2312" w:cs="Times New Roman"/>
      <w:sz w:val="28"/>
      <w:szCs w:val="28"/>
    </w:rPr>
  </w:style>
  <w:style w:type="paragraph" w:styleId="757">
    <w:name w:val="普通(网站)"/>
    <w:basedOn w:val="692"/>
    <w:next w:val="757"/>
    <w:link w:val="692"/>
    <w:uiPriority w:val="99"/>
    <w:qFormat/>
    <w:pPr>
      <w:jc w:val="left"/>
      <w:spacing w:before="100" w:beforeAutospacing="1" w:after="100" w:afterAutospacing="1"/>
      <w:widowControl/>
    </w:pPr>
    <w:rPr>
      <w:rFonts w:ascii="宋体" w:hAnsi="宋体" w:cs="宋体"/>
      <w:sz w:val="24"/>
      <w:szCs w:val="24"/>
    </w:rPr>
  </w:style>
  <w:style w:type="paragraph" w:styleId="758">
    <w:name w:val="索引 1"/>
    <w:basedOn w:val="692"/>
    <w:next w:val="692"/>
    <w:link w:val="692"/>
    <w:semiHidden/>
    <w:pPr>
      <w:spacing w:line="240" w:lineRule="atLeast"/>
    </w:pPr>
    <w:rPr>
      <w:b/>
      <w:bCs/>
    </w:rPr>
  </w:style>
  <w:style w:type="paragraph" w:styleId="759">
    <w:name w:val="标题"/>
    <w:basedOn w:val="692"/>
    <w:next w:val="692"/>
    <w:link w:val="760"/>
    <w:uiPriority w:val="10"/>
    <w:qFormat/>
    <w:pPr>
      <w:contextualSpacing/>
      <w:jc w:val="center"/>
      <w:spacing w:after="80"/>
    </w:pPr>
    <w:rPr>
      <w:rFonts w:ascii="等线 Light" w:hAnsi="等线 Light" w:eastAsia="等线 Light" w:cs="Times New Roman"/>
      <w:spacing w:val="-10"/>
      <w:sz w:val="56"/>
      <w:szCs w:val="56"/>
    </w:rPr>
  </w:style>
  <w:style w:type="character" w:styleId="760">
    <w:name w:val="标题 字符"/>
    <w:next w:val="760"/>
    <w:link w:val="759"/>
    <w:uiPriority w:val="10"/>
    <w:rPr>
      <w:rFonts w:ascii="等线 Light" w:hAnsi="等线 Light" w:eastAsia="等线 Light"/>
      <w:spacing w:val="-10"/>
      <w:sz w:val="56"/>
      <w:szCs w:val="56"/>
    </w:rPr>
  </w:style>
  <w:style w:type="paragraph" w:styleId="761">
    <w:name w:val="批注主题"/>
    <w:basedOn w:val="720"/>
    <w:next w:val="720"/>
    <w:link w:val="762"/>
    <w:semiHidden/>
    <w:rPr>
      <w:b/>
      <w:bCs/>
    </w:rPr>
  </w:style>
  <w:style w:type="character" w:styleId="762">
    <w:name w:val="批注主题 字符"/>
    <w:next w:val="762"/>
    <w:link w:val="761"/>
    <w:semiHidden/>
    <w:rPr>
      <w:rFonts w:ascii="Times New Roman" w:hAnsi="Times New Roman" w:eastAsia="宋体" w:cs="Times New Roman"/>
      <w:b/>
      <w:bCs/>
      <w:szCs w:val="21"/>
    </w:rPr>
  </w:style>
  <w:style w:type="paragraph" w:styleId="763">
    <w:name w:val="正文文本首行缩进"/>
    <w:basedOn w:val="692"/>
    <w:next w:val="763"/>
    <w:link w:val="764"/>
    <w:pPr>
      <w:ind w:firstLine="200"/>
      <w:spacing w:line="360" w:lineRule="auto"/>
    </w:pPr>
    <w:rPr>
      <w:rFonts w:ascii="仿宋_GB2312" w:eastAsia="仿宋_GB2312"/>
      <w:sz w:val="30"/>
      <w:szCs w:val="30"/>
    </w:rPr>
  </w:style>
  <w:style w:type="character" w:styleId="764">
    <w:name w:val="正文文本首行缩进 字符"/>
    <w:next w:val="764"/>
    <w:link w:val="763"/>
    <w:rPr>
      <w:rFonts w:ascii="仿宋_GB2312" w:hAnsi="Times New Roman" w:eastAsia="仿宋_GB2312" w:cs="Times New Roman"/>
      <w:sz w:val="30"/>
      <w:szCs w:val="30"/>
    </w:rPr>
  </w:style>
  <w:style w:type="paragraph" w:styleId="765">
    <w:name w:val="正文文本首行缩进 2"/>
    <w:basedOn w:val="726"/>
    <w:next w:val="765"/>
    <w:link w:val="766"/>
    <w:pPr>
      <w:ind w:firstLine="420"/>
      <w:spacing w:line="360" w:lineRule="auto"/>
    </w:pPr>
    <w:rPr>
      <w:rFonts w:ascii="宋体" w:hAnsi="宋体" w:eastAsia="宋体"/>
      <w:sz w:val="21"/>
      <w:szCs w:val="20"/>
    </w:rPr>
  </w:style>
  <w:style w:type="character" w:styleId="766">
    <w:name w:val="正文文本首行缩进 2 字符"/>
    <w:next w:val="766"/>
    <w:link w:val="765"/>
    <w:rPr>
      <w:rFonts w:ascii="宋体" w:hAnsi="宋体" w:eastAsia="宋体" w:cs="Times New Roman"/>
      <w:sz w:val="32"/>
      <w:szCs w:val="20"/>
    </w:rPr>
  </w:style>
  <w:style w:type="table" w:styleId="767">
    <w:name w:val="网格型"/>
    <w:basedOn w:val="703"/>
    <w:next w:val="767"/>
    <w:link w:val="692"/>
    <w:pPr>
      <w:jc w:val="both"/>
      <w:widowControl w:val="off"/>
    </w:pPr>
    <w:rPr>
      <w:rFonts w:ascii="Times New Roman" w:hAnsi="Times New Roman" w:eastAsia="宋体" w:cs="Times New Roman"/>
      <w:sz w:val="20"/>
      <w:szCs w:val="20"/>
    </w:rPr>
    <w:tblPr/>
  </w:style>
  <w:style w:type="character" w:styleId="768">
    <w:name w:val="要点"/>
    <w:next w:val="768"/>
    <w:link w:val="692"/>
    <w:qFormat/>
    <w:rPr>
      <w:b/>
      <w:bCs/>
    </w:rPr>
  </w:style>
  <w:style w:type="character" w:styleId="769">
    <w:name w:val="页码"/>
    <w:next w:val="769"/>
    <w:link w:val="692"/>
  </w:style>
  <w:style w:type="character" w:styleId="770">
    <w:name w:val="访问过的超链接"/>
    <w:next w:val="770"/>
    <w:link w:val="692"/>
    <w:rPr>
      <w:color w:val="800080"/>
      <w:u w:val="single"/>
    </w:rPr>
  </w:style>
  <w:style w:type="character" w:styleId="771">
    <w:name w:val="强调"/>
    <w:next w:val="771"/>
    <w:link w:val="692"/>
    <w:qFormat/>
    <w:rPr>
      <w:i/>
    </w:rPr>
  </w:style>
  <w:style w:type="character" w:styleId="772">
    <w:name w:val="超链接"/>
    <w:next w:val="772"/>
    <w:link w:val="692"/>
    <w:rPr>
      <w:color w:val="0000ff"/>
      <w:u w:val="single"/>
    </w:rPr>
  </w:style>
  <w:style w:type="character" w:styleId="773">
    <w:name w:val="批注引用"/>
    <w:next w:val="773"/>
    <w:link w:val="692"/>
    <w:semiHidden/>
    <w:rPr>
      <w:sz w:val="21"/>
      <w:szCs w:val="21"/>
    </w:rPr>
  </w:style>
  <w:style w:type="character" w:styleId="774">
    <w:name w:val="font5 Char"/>
    <w:next w:val="774"/>
    <w:link w:val="692"/>
    <w:rPr>
      <w:rFonts w:ascii="宋体" w:hAnsi="宋体" w:eastAsia="宋体"/>
      <w:sz w:val="28"/>
      <w:szCs w:val="28"/>
      <w:lang w:val="en-US" w:eastAsia="zh-CN" w:bidi="ar-SA"/>
    </w:rPr>
  </w:style>
  <w:style w:type="character" w:styleId="775">
    <w:name w:val="二级目录 Char"/>
    <w:next w:val="775"/>
    <w:link w:val="776"/>
    <w:rPr>
      <w:b/>
      <w:sz w:val="30"/>
      <w:szCs w:val="28"/>
    </w:rPr>
  </w:style>
  <w:style w:type="paragraph" w:styleId="776">
    <w:name w:val="二级目录"/>
    <w:next w:val="692"/>
    <w:link w:val="775"/>
    <w:pPr>
      <w:numPr>
        <w:ilvl w:val="0"/>
        <w:numId w:val="2"/>
      </w:numPr>
      <w:tabs>
        <w:tab w:val="left" w:pos="907" w:leader="none"/>
        <w:tab w:val="left" w:pos="1145" w:leader="none"/>
      </w:tabs>
      <w:outlineLvl w:val="1"/>
    </w:pPr>
    <w:rPr>
      <w:b/>
      <w:sz w:val="30"/>
      <w:szCs w:val="28"/>
      <w:lang w:val="en-US" w:eastAsia="zh-CN" w:bidi="ar-SA"/>
    </w:rPr>
  </w:style>
  <w:style w:type="character" w:styleId="777">
    <w:name w:val="列出段落 Char,Bullet List Char,numbered Char,FooterText Char,List Paragraph1 Char,Paragraphe de liste1 Char"/>
    <w:next w:val="777"/>
    <w:link w:val="778"/>
    <w:rPr>
      <w:rFonts w:ascii="Calibri" w:hAnsi="Calibri"/>
      <w:sz w:val="24"/>
      <w:szCs w:val="24"/>
      <w:lang w:eastAsia="en-US" w:bidi="en-US"/>
    </w:rPr>
  </w:style>
  <w:style w:type="paragraph" w:styleId="778">
    <w:name w:val="列出段落1"/>
    <w:basedOn w:val="692"/>
    <w:next w:val="778"/>
    <w:link w:val="777"/>
    <w:qFormat/>
    <w:pPr>
      <w:contextualSpacing/>
      <w:ind w:left="720"/>
      <w:jc w:val="left"/>
      <w:widowControl/>
    </w:pPr>
    <w:rPr>
      <w:rFonts w:ascii="Calibri" w:hAnsi="Calibri" w:eastAsia="宋体" w:cs="Times New Roman"/>
      <w:sz w:val="24"/>
      <w:szCs w:val="24"/>
      <w:lang w:eastAsia="en-US" w:bidi="en-US"/>
    </w:rPr>
  </w:style>
  <w:style w:type="paragraph" w:styleId="779">
    <w:name w:val="Body Text(ch)"/>
    <w:basedOn w:val="692"/>
    <w:next w:val="724"/>
    <w:link w:val="692"/>
    <w:pPr>
      <w:spacing w:after="120"/>
    </w:pPr>
    <w:rPr>
      <w:rFonts w:ascii="宋体" w:hAnsi="Arial"/>
      <w:bCs/>
      <w:iCs/>
      <w:szCs w:val="24"/>
    </w:rPr>
  </w:style>
  <w:style w:type="paragraph" w:styleId="780">
    <w:name w:val="xl27"/>
    <w:basedOn w:val="692"/>
    <w:next w:val="780"/>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1">
    <w:name w:val="xl26"/>
    <w:basedOn w:val="692"/>
    <w:next w:val="781"/>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2">
    <w:name w:val="Char"/>
    <w:basedOn w:val="692"/>
    <w:next w:val="782"/>
    <w:link w:val="692"/>
    <w:pPr>
      <w:ind w:firstLine="200"/>
      <w:tabs>
        <w:tab w:val="left" w:pos="360" w:leader="none"/>
      </w:tabs>
    </w:pPr>
    <w:rPr>
      <w:sz w:val="28"/>
      <w:szCs w:val="30"/>
    </w:rPr>
  </w:style>
  <w:style w:type="paragraph" w:styleId="783">
    <w:name w:val=" Char"/>
    <w:basedOn w:val="718"/>
    <w:next w:val="783"/>
    <w:link w:val="692"/>
    <w:rPr>
      <w:rFonts w:ascii="Tahoma" w:hAnsi="Tahoma"/>
      <w:sz w:val="24"/>
      <w:szCs w:val="24"/>
    </w:rPr>
  </w:style>
  <w:style w:type="paragraph" w:styleId="784">
    <w:name w:val="普通正文"/>
    <w:basedOn w:val="692"/>
    <w:next w:val="784"/>
    <w:link w:val="692"/>
    <w:pPr>
      <w:ind w:firstLine="480"/>
      <w:jc w:val="left"/>
      <w:spacing w:before="120" w:after="120" w:line="360" w:lineRule="auto"/>
    </w:pPr>
    <w:rPr>
      <w:rFonts w:ascii="Arial" w:hAnsi="Arial"/>
      <w:sz w:val="24"/>
      <w:szCs w:val="24"/>
    </w:rPr>
  </w:style>
  <w:style w:type="paragraph" w:styleId="785">
    <w:name w:val="table_lines"/>
    <w:basedOn w:val="692"/>
    <w:next w:val="785"/>
    <w:link w:val="692"/>
    <w:pPr>
      <w:jc w:val="left"/>
      <w:widowControl/>
    </w:pPr>
    <w:rPr>
      <w:sz w:val="20"/>
      <w:szCs w:val="20"/>
      <w:lang w:val="de-DE" w:eastAsia="de-DE"/>
    </w:rPr>
  </w:style>
  <w:style w:type="paragraph" w:styleId="786">
    <w:name w:val="附录1"/>
    <w:next w:val="786"/>
    <w:link w:val="692"/>
    <w:pPr>
      <w:numPr>
        <w:ilvl w:val="0"/>
        <w:numId w:val="2"/>
      </w:numPr>
      <w:spacing w:before="240" w:line="600" w:lineRule="atLeast"/>
      <w:tabs>
        <w:tab w:val="left" w:pos="907" w:leader="none"/>
      </w:tabs>
    </w:pPr>
    <w:rPr>
      <w:b/>
      <w:i/>
      <w:sz w:val="28"/>
      <w:lang w:val="en-US" w:eastAsia="zh-CN" w:bidi="ar-SA"/>
    </w:rPr>
  </w:style>
  <w:style w:type="paragraph" w:styleId="787">
    <w:name w:val="font7"/>
    <w:basedOn w:val="692"/>
    <w:next w:val="787"/>
    <w:link w:val="692"/>
    <w:pPr>
      <w:jc w:val="left"/>
      <w:spacing w:before="100" w:beforeAutospacing="1" w:after="100" w:afterAutospacing="1"/>
      <w:widowControl/>
    </w:pPr>
    <w:rPr>
      <w:rFonts w:hint="eastAsia" w:ascii="宋体" w:hAnsi="宋体"/>
      <w:sz w:val="18"/>
      <w:szCs w:val="18"/>
    </w:rPr>
  </w:style>
  <w:style w:type="paragraph" w:styleId="788">
    <w:name w:val=" Char Char Char Char"/>
    <w:basedOn w:val="718"/>
    <w:next w:val="788"/>
    <w:link w:val="692"/>
    <w:pPr>
      <w:spacing w:line="360" w:lineRule="auto"/>
    </w:pPr>
    <w:rPr>
      <w:rFonts w:ascii="Tahoma" w:hAnsi="Tahoma"/>
      <w:sz w:val="24"/>
      <w:szCs w:val="24"/>
    </w:rPr>
  </w:style>
  <w:style w:type="paragraph" w:styleId="789">
    <w:name w:val="列表段落"/>
    <w:basedOn w:val="692"/>
    <w:next w:val="789"/>
    <w:link w:val="692"/>
    <w:uiPriority w:val="1"/>
    <w:qFormat/>
    <w:pPr>
      <w:contextualSpacing/>
      <w:ind w:left="720"/>
      <w:jc w:val="left"/>
      <w:widowControl/>
    </w:pPr>
    <w:rPr>
      <w:rFonts w:ascii="Calibri" w:hAnsi="Calibri"/>
      <w:sz w:val="24"/>
      <w:szCs w:val="24"/>
      <w:lang w:eastAsia="en-US" w:bidi="en-US"/>
    </w:rPr>
  </w:style>
  <w:style w:type="paragraph" w:styleId="790">
    <w:name w:val="4"/>
    <w:basedOn w:val="692"/>
    <w:next w:val="750"/>
    <w:link w:val="692"/>
    <w:pPr>
      <w:ind w:firstLine="420"/>
      <w:spacing w:line="360" w:lineRule="auto"/>
    </w:pPr>
    <w:rPr>
      <w:color w:val="ff0000"/>
      <w:sz w:val="24"/>
      <w:szCs w:val="24"/>
    </w:rPr>
  </w:style>
  <w:style w:type="paragraph" w:styleId="791">
    <w:name w:val="普通 (Web)"/>
    <w:basedOn w:val="692"/>
    <w:next w:val="791"/>
    <w:link w:val="692"/>
    <w:pPr>
      <w:jc w:val="left"/>
      <w:spacing w:before="100" w:beforeAutospacing="1" w:after="100" w:afterAutospacing="1"/>
      <w:widowControl/>
    </w:pPr>
    <w:rPr>
      <w:rFonts w:ascii="宋体" w:hAnsi="宋体"/>
      <w:sz w:val="24"/>
      <w:szCs w:val="24"/>
    </w:rPr>
  </w:style>
  <w:style w:type="paragraph" w:styleId="792">
    <w:name w:val=" Char Char Char Char Char Char Char Char Char Char"/>
    <w:basedOn w:val="692"/>
    <w:next w:val="792"/>
    <w:link w:val="692"/>
    <w:pPr>
      <w:spacing w:line="360" w:lineRule="auto"/>
    </w:pPr>
    <w:rPr>
      <w:sz w:val="24"/>
      <w:szCs w:val="20"/>
    </w:rPr>
  </w:style>
  <w:style w:type="paragraph" w:styleId="793">
    <w:name w:val="样式1"/>
    <w:basedOn w:val="692"/>
    <w:next w:val="793"/>
    <w:link w:val="692"/>
    <w:pPr>
      <w:numPr>
        <w:ilvl w:val="0"/>
        <w:numId w:val="3"/>
      </w:numPr>
      <w:tabs>
        <w:tab w:val="left" w:pos="709" w:leader="none"/>
      </w:tabs>
    </w:pPr>
    <w:rPr>
      <w:rFonts w:ascii="宋体" w:hAnsi="宋体"/>
    </w:rPr>
  </w:style>
  <w:style w:type="paragraph" w:styleId="794">
    <w:name w:val="font6"/>
    <w:basedOn w:val="692"/>
    <w:next w:val="794"/>
    <w:link w:val="692"/>
    <w:pPr>
      <w:jc w:val="left"/>
      <w:spacing w:before="100" w:beforeAutospacing="1" w:after="100" w:afterAutospacing="1"/>
      <w:widowControl/>
    </w:pPr>
    <w:rPr>
      <w:rFonts w:hint="eastAsia" w:ascii="宋体" w:hAnsi="宋体"/>
      <w:sz w:val="28"/>
      <w:szCs w:val="28"/>
      <w:u w:val="single"/>
    </w:rPr>
  </w:style>
  <w:style w:type="paragraph" w:styleId="795">
    <w:name w:val="xl25"/>
    <w:basedOn w:val="692"/>
    <w:next w:val="795"/>
    <w:link w:val="6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name w:val="图标"/>
    <w:basedOn w:val="692"/>
    <w:next w:val="692"/>
    <w:link w:val="69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7">
    <w:name w:val="标题3"/>
    <w:basedOn w:val="692"/>
    <w:next w:val="692"/>
    <w:link w:val="692"/>
    <w:pPr>
      <w:ind w:firstLine="624"/>
      <w:spacing w:line="590" w:lineRule="atLeast"/>
    </w:pPr>
    <w:rPr>
      <w:rFonts w:ascii="方正黑体_GBK" w:eastAsia="方正黑体_GBK"/>
      <w:sz w:val="32"/>
      <w:szCs w:val="32"/>
    </w:rPr>
  </w:style>
  <w:style w:type="paragraph" w:styleId="798">
    <w:name w:val="xl24"/>
    <w:basedOn w:val="692"/>
    <w:next w:val="798"/>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9">
    <w:name w:val="xl29"/>
    <w:basedOn w:val="692"/>
    <w:next w:val="799"/>
    <w:link w:val="69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0">
    <w:name w:val="Char Char Char Char Char Char Char Char"/>
    <w:basedOn w:val="692"/>
    <w:next w:val="800"/>
    <w:link w:val="692"/>
    <w:pPr>
      <w:jc w:val="left"/>
      <w:spacing w:after="160" w:line="240" w:lineRule="exact"/>
      <w:widowControl/>
    </w:pPr>
    <w:rPr>
      <w:rFonts w:ascii="Verdana" w:hAnsi="Verdana"/>
      <w:sz w:val="20"/>
      <w:szCs w:val="20"/>
      <w:lang w:eastAsia="en-US"/>
    </w:rPr>
  </w:style>
  <w:style w:type="paragraph" w:styleId="801">
    <w:name w:val="xl28"/>
    <w:basedOn w:val="692"/>
    <w:next w:val="801"/>
    <w:link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2">
    <w:name w:val=" Char Char Char Char Char Char Char Char"/>
    <w:basedOn w:val="692"/>
    <w:next w:val="802"/>
    <w:link w:val="692"/>
    <w:pPr>
      <w:jc w:val="left"/>
      <w:spacing w:after="160" w:line="240" w:lineRule="exact"/>
      <w:widowControl/>
    </w:pPr>
    <w:rPr>
      <w:rFonts w:ascii="Verdana" w:hAnsi="Verdana"/>
      <w:sz w:val="20"/>
      <w:szCs w:val="20"/>
      <w:lang w:eastAsia="en-US"/>
    </w:rPr>
  </w:style>
  <w:style w:type="paragraph" w:styleId="803">
    <w:name w:val="xl30"/>
    <w:basedOn w:val="692"/>
    <w:next w:val="803"/>
    <w:link w:val="692"/>
    <w:pPr>
      <w:jc w:val="center"/>
      <w:spacing w:before="100" w:beforeAutospacing="1" w:after="100" w:afterAutospacing="1"/>
      <w:widowControl/>
    </w:pPr>
    <w:rPr>
      <w:rFonts w:ascii="宋体" w:hAnsi="宋体"/>
      <w:b/>
      <w:bCs/>
      <w:sz w:val="36"/>
      <w:szCs w:val="36"/>
    </w:rPr>
  </w:style>
  <w:style w:type="paragraph" w:styleId="804">
    <w:name w:val="Char Char Char Char"/>
    <w:basedOn w:val="718"/>
    <w:next w:val="804"/>
    <w:link w:val="692"/>
    <w:pPr>
      <w:spacing w:line="360" w:lineRule="auto"/>
    </w:pPr>
    <w:rPr>
      <w:rFonts w:ascii="Tahoma" w:hAnsi="Tahoma"/>
      <w:sz w:val="24"/>
      <w:szCs w:val="24"/>
    </w:rPr>
  </w:style>
  <w:style w:type="paragraph" w:styleId="805">
    <w:name w:val="table_1stline"/>
    <w:basedOn w:val="692"/>
    <w:next w:val="805"/>
    <w:link w:val="692"/>
    <w:pPr>
      <w:jc w:val="left"/>
      <w:spacing w:before="120"/>
      <w:widowControl/>
    </w:pPr>
    <w:rPr>
      <w:bCs/>
      <w:sz w:val="20"/>
      <w:szCs w:val="20"/>
      <w:lang w:val="de-DE" w:eastAsia="de-DE"/>
    </w:rPr>
  </w:style>
  <w:style w:type="paragraph" w:styleId="806">
    <w:name w:val="font5"/>
    <w:basedOn w:val="692"/>
    <w:next w:val="806"/>
    <w:link w:val="692"/>
    <w:pPr>
      <w:jc w:val="left"/>
      <w:spacing w:before="100" w:beforeAutospacing="1" w:after="100" w:afterAutospacing="1"/>
      <w:widowControl/>
    </w:pPr>
    <w:rPr>
      <w:rFonts w:hint="eastAsia" w:ascii="宋体" w:hAnsi="宋体"/>
      <w:sz w:val="28"/>
      <w:szCs w:val="28"/>
    </w:rPr>
  </w:style>
  <w:style w:type="paragraph" w:styleId="807">
    <w:name w:val="标题1"/>
    <w:basedOn w:val="692"/>
    <w:next w:val="692"/>
    <w:link w:val="692"/>
    <w:pPr>
      <w:jc w:val="center"/>
      <w:spacing w:line="700" w:lineRule="atLeast"/>
      <w:tabs>
        <w:tab w:val="left" w:pos="9193" w:leader="none"/>
        <w:tab w:val="left" w:pos="9827" w:leader="none"/>
      </w:tabs>
    </w:pPr>
    <w:rPr>
      <w:rFonts w:ascii="方正小标宋_GBK" w:eastAsia="方正小标宋_GBK"/>
      <w:sz w:val="44"/>
      <w:szCs w:val="20"/>
    </w:rPr>
  </w:style>
  <w:style w:type="paragraph" w:styleId="808">
    <w:name w:val="修订"/>
    <w:next w:val="808"/>
    <w:link w:val="692"/>
    <w:uiPriority w:val="99"/>
    <w:semiHidden/>
    <w:rPr>
      <w:sz w:val="21"/>
      <w:szCs w:val="21"/>
      <w:lang w:val="en-US" w:eastAsia="zh-CN" w:bidi="ar-SA"/>
    </w:rPr>
  </w:style>
  <w:style w:type="paragraph" w:styleId="809">
    <w:name w:val="无间隔"/>
    <w:next w:val="809"/>
    <w:link w:val="692"/>
    <w:uiPriority w:val="99"/>
    <w:qFormat/>
    <w:pPr>
      <w:jc w:val="both"/>
      <w:widowControl w:val="off"/>
    </w:pPr>
    <w:rPr>
      <w:sz w:val="21"/>
      <w:szCs w:val="21"/>
      <w:lang w:val="en-US" w:eastAsia="zh-CN" w:bidi="ar-SA"/>
    </w:rPr>
  </w:style>
  <w:style w:type="paragraph" w:styleId="810">
    <w:name w:val="0正文"/>
    <w:next w:val="810"/>
    <w:link w:val="692"/>
    <w:qFormat/>
    <w:pPr>
      <w:ind w:firstLine="200"/>
    </w:pPr>
    <w:rPr>
      <w:sz w:val="21"/>
      <w:szCs w:val="21"/>
      <w:lang w:val="en-US" w:eastAsia="zh-CN" w:bidi="ar-SA"/>
    </w:rPr>
  </w:style>
  <w:style w:type="paragraph" w:styleId="811">
    <w:name w:val="标题11"/>
    <w:basedOn w:val="692"/>
    <w:next w:val="692"/>
    <w:link w:val="692"/>
    <w:qFormat/>
    <w:pPr>
      <w:jc w:val="left"/>
      <w:spacing w:line="360" w:lineRule="auto"/>
      <w:outlineLvl w:val="2"/>
    </w:pPr>
    <w:rPr>
      <w:rFonts w:ascii="宋体" w:hAnsi="宋体"/>
      <w:b/>
      <w:bCs/>
      <w:sz w:val="28"/>
      <w:szCs w:val="32"/>
    </w:rPr>
  </w:style>
  <w:style w:type="paragraph" w:styleId="812">
    <w:name w:val="标题 21"/>
    <w:basedOn w:val="692"/>
    <w:next w:val="692"/>
    <w:link w:val="692"/>
    <w:qFormat/>
    <w:pPr>
      <w:jc w:val="center"/>
      <w:keepLines/>
      <w:keepNext/>
      <w:spacing w:before="260" w:after="260" w:line="416" w:lineRule="auto"/>
      <w:outlineLvl w:val="1"/>
    </w:pPr>
    <w:rPr>
      <w:rFonts w:ascii="Arial" w:hAnsi="Arial" w:eastAsia="幼圆" w:cs="Arial"/>
      <w:b/>
      <w:bCs/>
      <w:sz w:val="44"/>
      <w:szCs w:val="44"/>
    </w:rPr>
  </w:style>
  <w:style w:type="table" w:styleId="813">
    <w:name w:val="网格型1"/>
    <w:basedOn w:val="703"/>
    <w:next w:val="813"/>
    <w:link w:val="692"/>
    <w:uiPriority w:val="39"/>
    <w:unhideWhenUsed/>
    <w:qFormat/>
    <w:rPr>
      <w:rFonts w:ascii="Times New Roman" w:hAnsi="Times New Roman"/>
    </w:rPr>
    <w:tblPr/>
  </w:style>
  <w:style w:type="table" w:styleId="814">
    <w:name w:val="Table Normal"/>
    <w:next w:val="814"/>
    <w:link w:val="692"/>
    <w:uiPriority w:val="2"/>
    <w:unhideWhenUsed/>
    <w:qFormat/>
    <w:rPr>
      <w:lang w:val="en-US" w:eastAsia="zh-CN" w:bidi="ar-SA"/>
    </w:rPr>
    <w:tblPr/>
  </w:style>
  <w:style w:type="paragraph" w:styleId="815">
    <w:name w:val="Table Paragraph"/>
    <w:basedOn w:val="692"/>
    <w:next w:val="815"/>
    <w:link w:val="692"/>
    <w:uiPriority w:val="1"/>
    <w:qFormat/>
    <w:pPr>
      <w:jc w:val="left"/>
    </w:pPr>
    <w:rPr>
      <w:rFonts w:ascii="黑体" w:hAnsi="黑体" w:eastAsia="黑体" w:cs="黑体"/>
      <w:sz w:val="22"/>
      <w:szCs w:val="22"/>
      <w:lang w:eastAsia="en-US"/>
    </w:rPr>
  </w:style>
  <w:style w:type="paragraph" w:styleId="816">
    <w:name w:val="引用"/>
    <w:basedOn w:val="692"/>
    <w:next w:val="692"/>
    <w:link w:val="817"/>
    <w:uiPriority w:val="29"/>
    <w:qFormat/>
    <w:pPr>
      <w:jc w:val="center"/>
      <w:spacing w:before="160" w:after="160" w:line="278" w:lineRule="auto"/>
    </w:pPr>
    <w:rPr>
      <w:rFonts w:ascii="等线" w:hAnsi="等线" w:eastAsia="等线" w:cs="Times New Roman"/>
      <w:i/>
      <w:iCs/>
      <w:color w:val="404040"/>
      <w:sz w:val="22"/>
      <w:szCs w:val="24"/>
    </w:rPr>
  </w:style>
  <w:style w:type="character" w:styleId="817">
    <w:name w:val="引用 字符"/>
    <w:next w:val="817"/>
    <w:link w:val="816"/>
    <w:uiPriority w:val="29"/>
    <w:rPr>
      <w:rFonts w:ascii="等线" w:hAnsi="等线" w:eastAsia="等线"/>
      <w:i/>
      <w:iCs/>
      <w:color w:val="404040"/>
      <w:sz w:val="22"/>
      <w:szCs w:val="24"/>
    </w:rPr>
  </w:style>
  <w:style w:type="character" w:styleId="818">
    <w:name w:val="明显强调"/>
    <w:next w:val="818"/>
    <w:link w:val="692"/>
    <w:uiPriority w:val="21"/>
    <w:qFormat/>
    <w:rPr>
      <w:i/>
      <w:iCs/>
      <w:color w:val="0f4761"/>
    </w:rPr>
  </w:style>
  <w:style w:type="paragraph" w:styleId="819">
    <w:name w:val="明显引用"/>
    <w:basedOn w:val="692"/>
    <w:next w:val="692"/>
    <w:link w:val="820"/>
    <w:uiPriority w:val="30"/>
    <w:qFormat/>
    <w:pPr>
      <w:ind w:left="864" w:right="864"/>
      <w:jc w:val="center"/>
      <w:spacing w:before="360" w:after="360" w:line="278" w:lineRule="auto"/>
      <w:pBdr>
        <w:top w:val="single" w:color="0F4761" w:sz="4" w:space="10"/>
        <w:bottom w:val="single" w:color="0F4761" w:sz="4" w:space="10"/>
      </w:pBdr>
    </w:pPr>
    <w:rPr>
      <w:rFonts w:ascii="等线" w:hAnsi="等线" w:eastAsia="等线" w:cs="Times New Roman"/>
      <w:i/>
      <w:iCs/>
      <w:color w:val="0f4761"/>
      <w:sz w:val="22"/>
      <w:szCs w:val="24"/>
    </w:rPr>
  </w:style>
  <w:style w:type="character" w:styleId="820">
    <w:name w:val="明显引用 字符"/>
    <w:next w:val="820"/>
    <w:link w:val="819"/>
    <w:uiPriority w:val="30"/>
    <w:rPr>
      <w:rFonts w:ascii="等线" w:hAnsi="等线" w:eastAsia="等线"/>
      <w:i/>
      <w:iCs/>
      <w:color w:val="0f4761"/>
      <w:sz w:val="22"/>
      <w:szCs w:val="24"/>
    </w:rPr>
  </w:style>
  <w:style w:type="character" w:styleId="821">
    <w:name w:val="明显参考"/>
    <w:next w:val="821"/>
    <w:link w:val="692"/>
    <w:uiPriority w:val="32"/>
    <w:qFormat/>
    <w:rPr>
      <w:b/>
      <w:bCs/>
      <w:smallCaps/>
      <w:color w:val="0f4761"/>
      <w:spacing w:val="5"/>
    </w:rPr>
  </w:style>
  <w:style w:type="character" w:styleId="13668" w:default="1">
    <w:name w:val="Default Paragraph Font"/>
    <w:uiPriority w:val="1"/>
    <w:semiHidden/>
    <w:unhideWhenUsed/>
  </w:style>
  <w:style w:type="numbering" w:styleId="13669" w:default="1">
    <w:name w:val="No List"/>
    <w:uiPriority w:val="99"/>
    <w:semiHidden/>
    <w:unhideWhenUsed/>
  </w:style>
  <w:style w:type="table" w:styleId="136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张文怡</cp:lastModifiedBy>
  <cp:revision>36</cp:revision>
  <dcterms:created xsi:type="dcterms:W3CDTF">2026-07-09T08:56:00Z</dcterms:created>
  <dcterms:modified xsi:type="dcterms:W3CDTF">2026-07-31T06:48:06Z</dcterms:modified>
  <cp:version>917504</cp:version>
</cp:coreProperties>
</file>