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8"/>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JSZC-320500-SZSD-G2026-0029</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highlight w:val="none"/>
        </w:rPr>
      </w:r>
      <w:r/>
    </w:p>
    <w:p>
      <w:pPr>
        <w:ind w:firstLine="1276"/>
        <w:jc w:val="left"/>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携带者筛查检测服务项目</w:t>
      </w:r>
      <w:r>
        <w:rPr>
          <w:color w:val="000000" w:themeColor="text1"/>
          <w:highlight w:val="none"/>
        </w:rPr>
      </w:r>
      <w:r/>
    </w:p>
    <w:p>
      <w:pPr>
        <w:ind w:firstLine="1276"/>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招标书……………………………………………………3</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45</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55</w:t>
      </w:r>
      <w:r>
        <w:rPr>
          <w:color w:val="000000" w:themeColor="text1"/>
          <w:highlight w:val="none"/>
        </w:rPr>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JSZC-320500-SZSD-G2026-0029</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携带者筛查检测服务项目</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highlight w:val="none"/>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¥31170.00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携带者筛查检测服务项目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JSZC-320500-SZSD-G2026-0029</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rPr>
              <w:t xml:space="preserve">点30分（北京时间）前递交投标文件。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JSZC-320500-SZSD-G2026-0029</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携带者筛查检测服务项目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贰佰肆拾柒万元整（¥2470000.00）</w:t>
      </w:r>
      <w:r>
        <w:rPr>
          <w:color w:val="000000" w:themeColor="text1"/>
          <w:highlight w:val="none"/>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贰佰肆拾柒万元整（¥2470000.00）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2026年7月23日9</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31150"/>
      <w:r>
        <w:rPr>
          <w:color w:val="000000" w:themeColor="text1"/>
          <w:highlight w:val="none"/>
        </w:rPr>
      </w:r>
      <w:bookmarkStart w:id="1" w:name="_Toc25608"/>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20"/>
      <w:r>
        <w:rPr>
          <w:color w:val="000000" w:themeColor="text1"/>
          <w:highlight w:val="none"/>
        </w:rPr>
      </w:r>
      <w:bookmarkStart w:id="3" w:name="OLE_LINK11"/>
      <w:r>
        <w:rPr>
          <w:color w:val="000000" w:themeColor="text1"/>
          <w:highlight w:val="none"/>
        </w:rPr>
      </w:r>
      <w:bookmarkStart w:id="4" w:name="OLE_LINK25"/>
      <w:r>
        <w:rPr>
          <w:rFonts w:hint="eastAsia" w:ascii="宋体" w:hAnsi="宋体" w:cs="宋体"/>
          <w:color w:val="000000" w:themeColor="text1"/>
          <w:sz w:val="24"/>
          <w:szCs w:val="24"/>
          <w:highlight w:val="none"/>
        </w:rPr>
        <w:t xml:space="preserve">异常低价投标审查</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highlight w:val="none"/>
        </w:rPr>
      </w:r>
      <w:bookmarkStart w:id="6" w:name="OLE_LINK4"/>
      <w:r>
        <w:rPr>
          <w:color w:val="000000" w:themeColor="text1"/>
          <w:highlight w:val="none"/>
        </w:rPr>
      </w:r>
      <w:bookmarkStart w:id="7" w:name="OLE_LINK3"/>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10"/>
      <w:r>
        <w:rPr>
          <w:color w:val="000000" w:themeColor="text1"/>
          <w:highlight w:val="none"/>
        </w:rPr>
      </w:r>
      <w:bookmarkStart w:id="9" w:name="OLE_LINK9"/>
      <w:r>
        <w:rPr>
          <w:rFonts w:hint="eastAsia" w:ascii="宋体" w:hAnsi="宋体" w:cs="宋体"/>
          <w:color w:val="000000" w:themeColor="text1"/>
          <w:sz w:val="24"/>
          <w:szCs w:val="24"/>
          <w:highlight w:val="none"/>
        </w:rPr>
        <w:t xml:space="preserve">，</w:t>
      </w:r>
      <w:bookmarkEnd w:id="8"/>
      <w:r>
        <w:rPr>
          <w:color w:val="000000" w:themeColor="text1"/>
          <w:highlight w:val="none"/>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7"/>
      <w:r>
        <w:rPr>
          <w:color w:val="000000" w:themeColor="text1"/>
          <w:highlight w:val="none"/>
        </w:rPr>
      </w:r>
      <w:bookmarkStart w:id="11" w:name="OLE_LINK8"/>
      <w:r>
        <w:rPr>
          <w:rFonts w:hint="eastAsia" w:ascii="宋体" w:hAnsi="宋体" w:cs="宋体"/>
          <w:color w:val="000000" w:themeColor="text1"/>
          <w:sz w:val="24"/>
          <w:szCs w:val="24"/>
          <w:highlight w:val="none"/>
          <w:lang w:val="en-US"/>
        </w:rPr>
        <w:t xml:space="preserve">薪资</w:t>
      </w:r>
      <w:bookmarkEnd w:id="10"/>
      <w:r>
        <w:rPr>
          <w:color w:val="000000" w:themeColor="text1"/>
          <w:highlight w:val="none"/>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highlight w:val="none"/>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pStyle w:val="970"/>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highlight w:val="none"/>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highlight w:val="none"/>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spacing w:line="360" w:lineRule="auto"/>
        <w:rPr>
          <w:rFonts w:ascii="宋体" w:hAnsi="宋体" w:cs="宋体"/>
          <w:bCs/>
          <w:color w:val="000000" w:themeColor="text1"/>
          <w:sz w:val="24"/>
          <w:szCs w:val="24"/>
          <w:highlight w:val="none"/>
        </w:rPr>
      </w:pPr>
      <w:r>
        <w:rPr>
          <w:color w:val="000000" w:themeColor="text1"/>
          <w:highlight w:val="none"/>
        </w:rPr>
      </w:r>
      <w:bookmarkStart w:id="13" w:name="OLE_LINK21"/>
      <w:r>
        <w:rPr>
          <w:color w:val="000000" w:themeColor="text1"/>
          <w:highlight w:val="none"/>
        </w:rPr>
      </w:r>
      <w:bookmarkStart w:id="14" w:name="OLE_LINK23"/>
      <w:r>
        <w:rPr>
          <w:color w:val="000000" w:themeColor="text1"/>
          <w:highlight w:val="none"/>
        </w:rPr>
      </w:r>
      <w:bookmarkStart w:id="15" w:name="OLE_LINK26"/>
      <w:r>
        <w:rPr>
          <w:color w:val="000000" w:themeColor="text1"/>
          <w:highlight w:val="none"/>
        </w:rPr>
      </w:r>
      <w:bookmarkStart w:id="16" w:name="OLE_LINK24"/>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highlight w:val="none"/>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1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携带者筛查检测服务项目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74"/>
        <w:ind w:firstLine="600"/>
        <w:keepLines w:val="0"/>
        <w:pageBreakBefore w:val="0"/>
        <w:spacing w:line="36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苏州市立医院的委托，就其携带者筛查检测服务项目的政府采购进行国内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JSZC-320500-SZSD-G2026-0029</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携带者筛查检测服务项目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贰佰肆拾柒万元整（¥2470000.00）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贰佰肆拾柒万元整（¥2470000.00）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1、服务内容</w:t>
      </w:r>
      <w:r>
        <w:rPr>
          <w:rFonts w:hint="eastAsia" w:ascii="宋体" w:hAnsi="宋体" w:cs="宋体"/>
          <w:b/>
          <w:bCs/>
          <w:color w:val="000000" w:themeColor="text1"/>
          <w:sz w:val="24"/>
          <w:highlight w:val="none"/>
          <w:lang w:eastAsia="zh-CN"/>
        </w:rPr>
        <w:t xml:space="preserve">：</w:t>
      </w:r>
      <w:r>
        <w:rPr>
          <w:color w:val="000000" w:themeColor="text1"/>
          <w:highlight w:val="none"/>
        </w:rPr>
      </w:r>
      <w:r/>
    </w:p>
    <w:tbl>
      <w:tblPr>
        <w:tblStyle w:val="785"/>
        <w:tblW w:w="5178" w:type="pct"/>
        <w:tblInd w:w="21" w:type="dxa"/>
        <w:tblLayout w:type="fixed"/>
        <w:tblCellMar>
          <w:left w:w="108" w:type="dxa"/>
          <w:top w:w="0" w:type="dxa"/>
          <w:right w:w="108" w:type="dxa"/>
          <w:bottom w:w="0" w:type="dxa"/>
        </w:tblCellMar>
        <w:tblLook w:val="04A0" w:firstRow="1" w:lastRow="0" w:firstColumn="1" w:lastColumn="0" w:noHBand="0" w:noVBand="1"/>
      </w:tblPr>
      <w:tblGrid>
        <w:gridCol w:w="793"/>
        <w:gridCol w:w="1423"/>
        <w:gridCol w:w="1048"/>
        <w:gridCol w:w="846"/>
        <w:gridCol w:w="1020"/>
        <w:gridCol w:w="1440"/>
        <w:gridCol w:w="1020"/>
        <w:gridCol w:w="1230"/>
      </w:tblGrid>
      <w:tr>
        <w:trPr>
          <w:trHeight w:val="397"/>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携带者筛查（普通版）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800</w:t>
            </w:r>
            <w:r>
              <w:rPr>
                <w:color w:val="000000" w:themeColor="text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特殊</w:t>
            </w:r>
            <w:r>
              <w:rPr>
                <w:color w:val="000000" w:themeColor="text1"/>
                <w:highlight w:val="none"/>
              </w:rPr>
            </w:r>
            <w:r/>
          </w:p>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方法学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血液/组织样本等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MLPA/RNA-seq/Q-PCR/Long-PCR</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配套检测，除能完成规定检测方法外，还需</w:t>
            </w:r>
            <w:r>
              <w:rPr>
                <w:rFonts w:hint="eastAsia" w:ascii="宋体" w:hAnsi="宋体" w:cs="宋体"/>
                <w:color w:val="000000" w:themeColor="text1"/>
                <w:sz w:val="24"/>
                <w:szCs w:val="24"/>
                <w:highlight w:val="none"/>
                <w:lang w:eastAsia="zh-CN" w:bidi="ar"/>
              </w:rPr>
              <w:t xml:space="preserve">具备其他</w:t>
            </w:r>
            <w:r>
              <w:rPr>
                <w:rFonts w:hint="eastAsia" w:ascii="宋体" w:hAnsi="宋体" w:cs="宋体"/>
                <w:color w:val="000000" w:themeColor="text1"/>
                <w:sz w:val="24"/>
                <w:szCs w:val="24"/>
                <w:highlight w:val="none"/>
                <w:lang w:bidi="ar"/>
              </w:rPr>
              <w:t xml:space="preserve">特殊情况的检测能力。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10</w:t>
            </w:r>
            <w:r>
              <w:rPr>
                <w:rFonts w:hint="eastAsia" w:ascii="宋体" w:hAnsi="宋体" w:cs="宋体"/>
                <w:color w:val="000000" w:themeColor="text1"/>
                <w:sz w:val="24"/>
                <w:szCs w:val="24"/>
                <w:highlight w:val="none"/>
                <w:lang w:bidi="ar"/>
              </w:rPr>
              <w:t xml:space="preserve">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w:t>
            </w:r>
            <w:r>
              <w:rPr>
                <w:rFonts w:hint="eastAsia" w:ascii="宋体" w:hAnsi="宋体" w:cs="宋体"/>
                <w:color w:val="000000" w:themeColor="text1"/>
                <w:sz w:val="24"/>
                <w:szCs w:val="24"/>
                <w:highlight w:val="none"/>
                <w:lang w:bidi="ar"/>
              </w:rPr>
              <w:t xml:space="preserve">00</w:t>
            </w:r>
            <w:r>
              <w:rPr>
                <w:color w:val="000000" w:themeColor="text1"/>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rFonts w:hint="eastAsia" w:ascii="宋体" w:hAnsi="宋体" w:cs="宋体"/>
          <w:b/>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测序量、平均测序深度和覆盖率</w:t>
      </w:r>
      <w:r>
        <w:rPr>
          <w:rFonts w:hint="eastAsia" w:ascii="宋体" w:hAnsi="宋体" w:eastAsia="宋体" w:cs="宋体"/>
          <w:color w:val="000000" w:themeColor="text1"/>
          <w:sz w:val="24"/>
          <w:szCs w:val="24"/>
          <w:highlight w:val="none"/>
          <w:lang w:val="en-US" w:eastAsia="zh-CN"/>
        </w:rPr>
        <w:t xml:space="preserve">要求：</w:t>
      </w:r>
      <w:r>
        <w:rPr>
          <w:rFonts w:hint="eastAsia" w:ascii="宋体" w:hAnsi="宋体" w:eastAsia="宋体" w:cs="宋体"/>
          <w:color w:val="000000" w:themeColor="text1"/>
          <w:sz w:val="24"/>
          <w:szCs w:val="24"/>
          <w:highlight w:val="none"/>
        </w:rPr>
        <w:t xml:space="preserve">单个样本的测序数据量在</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Gb以上；Q30≥</w:t>
      </w:r>
      <w:r>
        <w:rPr>
          <w:rFonts w:hint="eastAsia" w:ascii="宋体" w:hAnsi="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rPr>
        <w:t xml:space="preserve">%；比对率≥99%；污染度＜5%；目标变异位点平均测序深度≥150X、30X≥99%；线粒体区域位点1000X覆盖度的碱基占比≥99%。</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检测范围及报告要求：包含200至300种遗传病相关的200至300个致病基因的外显子区域（CDS±25bp）。</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采用靶向捕获+高通量测序技术</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目标疾病致病基因的至少30000个致病性变异和可能致病性变异，提供相应详细基因及位点列表。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rPr>
          <w:rFonts w:hint="eastAsia" w:ascii="宋体" w:hAnsi="宋体" w:eastAsia="宋体" w:cs="宋体"/>
          <w:color w:val="000000" w:themeColor="text1"/>
          <w:sz w:val="24"/>
          <w:szCs w:val="24"/>
          <w:highlight w:val="none"/>
        </w:rPr>
        <w:t xml:space="preserve">至少包含DMD≥2个连续外显子的拷贝数变异；SMN1的7号外显子缺失；HBA1/HBA2的-α3.7；-α4.2；--SEA的缺失；SLC25A13基因ins3kb和ins6kb变异；CFTR c.1210-12T[5]特殊变异。</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rPr>
        <w:t xml:space="preserve">提供阳性位点对应基因的全长一代测序、点突变验证、基因拷贝数验证等技术验证服务。</w:t>
      </w:r>
      <w:r>
        <w:rPr>
          <w:color w:val="000000" w:themeColor="text1"/>
          <w:highlight w:val="none"/>
        </w:rPr>
      </w:r>
      <w:r/>
    </w:p>
    <w:p>
      <w:pPr>
        <w:pStyle w:val="786"/>
        <w:ind w:left="0" w:firstLine="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2.6 能够为携带者筛查结果为双阳性高危风险夫妇提供胚胎植入前遗传学单基因遗传病阻断技术的完整解决方案。</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2.7</w:t>
      </w:r>
      <w:r>
        <w:rPr>
          <w:rFonts w:hint="eastAsia" w:ascii="宋体" w:hAnsi="宋体" w:cs="宋体"/>
          <w:color w:val="000000" w:themeColor="text1"/>
          <w:sz w:val="24"/>
          <w:highlight w:val="none"/>
        </w:rPr>
        <w:t xml:space="preserve">提供生信分析完整的配套软件，包含实验室管理、数据分析以及遗传解读等模块，并可实现携带者筛查项目从测序数据下机到生成最终分析报告的全流程自动化处理。对有疑问的报告，可在软件上进行人工处理，提供相关操作流程证明材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2.8</w:t>
      </w:r>
      <w:r>
        <w:rPr>
          <w:rFonts w:hint="eastAsia" w:ascii="宋体" w:hAnsi="宋体" w:cs="宋体"/>
          <w:color w:val="000000" w:themeColor="text1"/>
          <w:sz w:val="24"/>
          <w:highlight w:val="none"/>
        </w:rPr>
        <w:t xml:space="preserve">报告周期</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收到样本后</w:t>
      </w:r>
      <w:r>
        <w:rPr>
          <w:rFonts w:hint="eastAsia" w:ascii="宋体" w:hAnsi="宋体" w:cs="宋体"/>
          <w:color w:val="000000" w:themeColor="text1"/>
          <w:sz w:val="24"/>
          <w:highlight w:val="none"/>
        </w:rPr>
        <w:t xml:space="preserve">不超过2</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个工作日</w:t>
      </w:r>
      <w:r>
        <w:rPr>
          <w:rFonts w:hint="eastAsia" w:ascii="宋体" w:hAnsi="宋体" w:cs="宋体"/>
          <w:color w:val="000000" w:themeColor="text1"/>
          <w:sz w:val="24"/>
          <w:highlight w:val="none"/>
          <w:lang w:val="en-US" w:eastAsia="zh-CN"/>
        </w:rPr>
        <w:t xml:space="preserve">出报告</w:t>
      </w:r>
      <w:r>
        <w:rPr>
          <w:rFonts w:hint="eastAsia" w:ascii="宋体" w:hAnsi="宋体" w:cs="宋体"/>
          <w:color w:val="000000" w:themeColor="text1"/>
          <w:sz w:val="24"/>
          <w:highlight w:val="none"/>
        </w:rPr>
        <w:t xml:space="preserve">(含验证)。</w:t>
      </w:r>
      <w:r>
        <w:rPr>
          <w:color w:val="000000" w:themeColor="text1"/>
          <w:highlight w:val="none"/>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highlight w:val="none"/>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highlight w:val="none"/>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highlight w:val="none"/>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highlight w:val="none"/>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highlight w:val="none"/>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6.9中标单位应配专人在技术上与采购方对接，对接人应具有一定权限，对报告中出现的问题进行及时修改、申请验证，以及具有协调中标单位报告发放进度的能力。</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携带者筛查检测服务项目</w:t>
      </w:r>
      <w:r>
        <w:rPr>
          <w:rFonts w:hint="eastAsia" w:ascii="宋体" w:hAnsi="宋体" w:cs="宋体"/>
          <w:color w:val="000000" w:themeColor="text1"/>
          <w:sz w:val="24"/>
          <w:szCs w:val="24"/>
          <w:highlight w:val="none"/>
        </w:rPr>
        <w:t xml:space="preserve">  </w:t>
      </w:r>
      <w:r>
        <w:rPr>
          <w:color w:val="000000" w:themeColor="text1"/>
          <w:highlight w:val="none"/>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两年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日至2028年  月  日</w:t>
      </w:r>
      <w:r>
        <w:rPr>
          <w:rFonts w:hint="eastAsia" w:ascii="宋体" w:hAnsi="宋体"/>
          <w:bCs/>
          <w:color w:val="000000" w:themeColor="text1"/>
          <w:sz w:val="24"/>
          <w:szCs w:val="20"/>
          <w:highlight w:val="none"/>
          <w:lang w:val="zh-CN"/>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highlight w:val="none"/>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highlight w:val="none"/>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highlight w:val="none"/>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highlight w:val="none"/>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、合同的生效：本合同（采购编号：JSZC-320500-SZSD-G2026-0029）经甲乙双方签字并加盖公章（或合同章）后即生效，生效后网上备案。</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highlight w:val="none"/>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highlight w:val="none"/>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highlight w:val="none"/>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highlight w:val="none"/>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highlight w:val="none"/>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highlight w:val="none"/>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highlight w:val="none"/>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bookmarkStart w:id="19" w:name="_GoBack"/>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bookmarkEnd w:id="19"/>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吴靓</cp:lastModifiedBy>
  <cp:revision>14</cp:revision>
  <dcterms:created xsi:type="dcterms:W3CDTF">2025-11-18T04:16:00Z</dcterms:created>
  <dcterms:modified xsi:type="dcterms:W3CDTF">2026-07-01T06:51:38Z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7A7528CA3AA54C8D8A6AD1B64E936A8B_13</vt:lpwstr>
  </property>
  <property fmtid="{D5CDD505-2E9C-101B-9397-08002B2CF9AE}" pid="4" name="KSOTemplateDocerSaveRecord">
    <vt:lpwstr>eyJoZGlkIjoiOTlhNDliM2I1ODI1ZDA2NDllOGVkY2I2ZTkwYjJiZTYiLCJ1c2VySWQiOiIzODU3NzkzMjgifQ==</vt:lpwstr>
  </property>
</Properties>
</file>