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ind w:firstLine="964"/>
        <w:jc w:val="both"/>
        <w:spacing w:line="480" w:lineRule="exact"/>
        <w:rPr>
          <w:rFonts w:hint="eastAsia" w:ascii="宋体" w:hAnsi="宋体"/>
          <w:b/>
          <w:color w:val="000000"/>
          <w:sz w:val="48"/>
          <w:highlight w:val="none"/>
          <w:lang w:val="en-US" w:eastAsia="zh-CN"/>
        </w:rPr>
      </w:pPr>
      <w:r>
        <w:rPr>
          <w:rFonts w:hint="eastAsia" w:ascii="宋体" w:hAnsi="宋体"/>
          <w:b/>
          <w:color w:val="000000"/>
          <w:sz w:val="4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-770889</wp:posOffset>
                </wp:positionH>
                <wp:positionV relativeFrom="paragraph">
                  <wp:posOffset>-717549</wp:posOffset>
                </wp:positionV>
                <wp:extent cx="7586980" cy="1073086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0" t="24" r="0" b="24"/>
                        <a:stretch/>
                      </pic:blipFill>
                      <pic:spPr bwMode="auto">
                        <a:xfrm>
                          <a:off x="0" y="0"/>
                          <a:ext cx="7586980" cy="10730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60.7pt;mso-position-horizontal:absolute;mso-position-vertical-relative:text;margin-top:-56.5pt;mso-position-vertical:absolute;width:597.4pt;height:844.9pt;mso-wrap-distance-left:9.0pt;mso-wrap-distance-top:0.0pt;mso-wrap-distance-right:9.0pt;mso-wrap-distance-bottom:0.0pt;" stroked="f">
                <v:path textboxrect="0,0,0,0"/>
                <v:imagedata r:id="rId20" o:title=""/>
              </v:shape>
            </w:pict>
          </mc:Fallback>
        </mc:AlternateContent>
      </w:r>
      <w:r>
        <w:rPr>
          <w:rFonts w:hint="eastAsia" w:ascii="宋体" w:hAnsi="宋体"/>
          <w:b/>
          <w:color w:val="000000"/>
          <w:sz w:val="48"/>
          <w:highlight w:val="none"/>
          <w:lang w:val="en-US" w:eastAsia="zh-CN"/>
        </w:rPr>
      </w:r>
      <w:r/>
    </w:p>
    <w:p>
      <w:pPr>
        <w:pStyle w:val="885"/>
        <w:ind w:firstLine="964"/>
        <w:jc w:val="both"/>
        <w:spacing w:line="480" w:lineRule="exact"/>
        <w:rPr>
          <w:rFonts w:ascii="宋体" w:hAnsi="宋体"/>
          <w:b/>
          <w:color w:val="000000"/>
          <w:sz w:val="48"/>
          <w:highlight w:val="none"/>
          <w:lang w:val="en-US" w:eastAsia="zh-CN"/>
        </w:rPr>
      </w:pP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ascii="宋体" w:hAnsi="宋体"/>
          <w:b/>
          <w:color w:val="000000"/>
          <w:sz w:val="48"/>
          <w:highlight w:val="none"/>
          <w:lang w:val="en-US" w:eastAsia="zh-CN"/>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r>
      <w:r/>
    </w:p>
    <w:p>
      <w:pPr>
        <w:pStyle w:val="885"/>
        <w:ind w:firstLine="964"/>
        <w:jc w:val="center"/>
        <w:spacing w:line="480" w:lineRule="exact"/>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885"/>
        <w:spacing w:line="480" w:lineRule="exact"/>
        <w:rPr>
          <w:rFonts w:ascii="宋体" w:hAnsi="宋体"/>
          <w:color w:val="000000"/>
          <w:sz w:val="28"/>
          <w:highlight w:val="none"/>
        </w:rPr>
      </w:pPr>
      <w:r>
        <w:rPr>
          <w:rFonts w:ascii="宋体" w:hAnsi="宋体"/>
          <w:color w:val="000000"/>
          <w:sz w:val="28"/>
          <w:highlight w:val="none"/>
        </w:rPr>
      </w:r>
      <w:r/>
    </w:p>
    <w:p>
      <w:pPr>
        <w:pStyle w:val="885"/>
        <w:ind w:firstLine="60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rPr>
      </w:r>
      <w:r/>
    </w:p>
    <w:p>
      <w:pPr>
        <w:pStyle w:val="885"/>
        <w:ind w:firstLine="6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第二章 投标人须知…………………………………………</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885"/>
        <w:ind w:firstLine="6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一、投标人须知前附表……………………………………</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rPr>
          <w:rFonts w:hint="eastAsia" w:ascii="宋体" w:hAnsi="宋体" w:eastAsia="宋体"/>
          <w:color w:val="000000"/>
          <w:sz w:val="30"/>
          <w:highlight w:val="none"/>
          <w:lang w:eastAsia="zh-CN"/>
        </w:rPr>
      </w:r>
      <w:r/>
    </w:p>
    <w:p>
      <w:pPr>
        <w:pStyle w:val="885"/>
        <w:ind w:firstLine="600"/>
        <w:jc w:val="left"/>
        <w:spacing w:line="8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7</w:t>
      </w:r>
      <w:r>
        <w:rPr>
          <w:rFonts w:hint="eastAsia" w:ascii="宋体" w:hAnsi="宋体"/>
          <w:color w:val="000000"/>
          <w:sz w:val="30"/>
          <w:highlight w:val="none"/>
        </w:rPr>
        <w:t xml:space="preserve">     </w:t>
      </w:r>
      <w:r>
        <w:rPr>
          <w:rFonts w:ascii="宋体" w:hAnsi="宋体"/>
          <w:color w:val="000000"/>
          <w:sz w:val="30"/>
          <w:highlight w:val="none"/>
        </w:rPr>
      </w:r>
      <w:r/>
    </w:p>
    <w:p>
      <w:pPr>
        <w:pStyle w:val="885"/>
        <w:ind w:firstLine="6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8</w:t>
      </w:r>
      <w:r>
        <w:rPr>
          <w:rFonts w:hint="eastAsia" w:ascii="宋体" w:hAnsi="宋体" w:eastAsia="宋体"/>
          <w:color w:val="000000"/>
          <w:sz w:val="30"/>
          <w:highlight w:val="none"/>
          <w:lang w:eastAsia="zh-CN"/>
        </w:rPr>
      </w:r>
      <w:r/>
    </w:p>
    <w:p>
      <w:pPr>
        <w:pStyle w:val="885"/>
        <w:ind w:firstLine="6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9</w:t>
      </w:r>
      <w:r>
        <w:rPr>
          <w:rFonts w:hint="eastAsia" w:ascii="宋体" w:hAnsi="宋体" w:eastAsia="宋体"/>
          <w:color w:val="000000"/>
          <w:sz w:val="30"/>
          <w:highlight w:val="none"/>
          <w:lang w:eastAsia="zh-CN"/>
        </w:rPr>
      </w:r>
      <w:r/>
    </w:p>
    <w:p>
      <w:pPr>
        <w:pStyle w:val="885"/>
        <w:ind w:firstLine="60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五、开标及资格审查………………………</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4                                                                                                                                                                                                        </w:t>
      </w:r>
      <w:r>
        <w:rPr>
          <w:rFonts w:hint="eastAsia" w:ascii="宋体" w:hAnsi="宋体"/>
          <w:color w:val="000000"/>
          <w:sz w:val="30"/>
          <w:highlight w:val="none"/>
          <w:lang w:val="en-US" w:eastAsia="zh-CN"/>
        </w:rPr>
        <w:t xml:space="preserve">                                                                                                                                                                                                                                                                </w:t>
      </w:r>
      <w:r>
        <w:rPr>
          <w:rFonts w:hint="eastAsia" w:ascii="宋体" w:hAnsi="宋体"/>
          <w:color w:val="000000"/>
          <w:sz w:val="30"/>
          <w:highlight w:val="none"/>
          <w:lang w:val="en-US" w:eastAsia="zh-CN"/>
        </w:rPr>
        <w:t xml:space="preserve">                                                                                                                                                                                                                                                                </w:t>
      </w:r>
      <w:r>
        <w:rPr>
          <w:rFonts w:ascii="宋体" w:hAnsi="宋体" w:eastAsia="宋体"/>
          <w:color w:val="000000"/>
          <w:sz w:val="30"/>
          <w:highlight w:val="none"/>
          <w:lang w:val="en-US" w:eastAsia="zh-CN"/>
        </w:rPr>
      </w:r>
      <w:r/>
    </w:p>
    <w:p>
      <w:pPr>
        <w:pStyle w:val="885"/>
        <w:ind w:firstLine="6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885"/>
        <w:ind w:firstLine="60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18</w:t>
      </w:r>
      <w:r>
        <w:rPr>
          <w:rFonts w:ascii="宋体" w:hAnsi="宋体" w:eastAsia="宋体"/>
          <w:color w:val="000000"/>
          <w:sz w:val="30"/>
          <w:highlight w:val="none"/>
          <w:lang w:val="en-US" w:eastAsia="zh-CN"/>
        </w:rPr>
      </w:r>
      <w:r/>
    </w:p>
    <w:p>
      <w:pPr>
        <w:pStyle w:val="885"/>
        <w:ind w:firstLine="60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23</w:t>
      </w:r>
      <w:r>
        <w:rPr>
          <w:rFonts w:ascii="宋体" w:hAnsi="宋体" w:eastAsia="宋体"/>
          <w:color w:val="000000"/>
          <w:sz w:val="30"/>
          <w:highlight w:val="none"/>
          <w:lang w:val="en-US" w:eastAsia="zh-CN"/>
        </w:rPr>
      </w:r>
      <w:r/>
    </w:p>
    <w:p>
      <w:pPr>
        <w:pStyle w:val="885"/>
        <w:ind w:firstLine="600"/>
        <w:jc w:val="left"/>
        <w:spacing w:line="800" w:lineRule="exact"/>
        <w:rPr>
          <w:rFonts w:ascii="宋体" w:hAnsi="宋体"/>
          <w:color w:val="000000"/>
          <w:sz w:val="30"/>
          <w:highlight w:val="none"/>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42</w:t>
      </w:r>
      <w:r>
        <w:rPr>
          <w:rFonts w:hint="eastAsia" w:ascii="宋体" w:hAnsi="宋体"/>
          <w:color w:val="000000"/>
          <w:sz w:val="30"/>
          <w:highlight w:val="none"/>
        </w:rPr>
        <w:t xml:space="preserve">   </w:t>
      </w:r>
      <w:r>
        <w:rPr>
          <w:rFonts w:ascii="宋体" w:hAnsi="宋体"/>
          <w:color w:val="000000"/>
          <w:sz w:val="30"/>
          <w:highlight w:val="none"/>
        </w:rPr>
      </w:r>
      <w:r/>
    </w:p>
    <w:p>
      <w:pPr>
        <w:pStyle w:val="885"/>
        <w:ind w:firstLine="60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45</w:t>
      </w:r>
      <w:r>
        <w:rPr>
          <w:rFonts w:ascii="宋体" w:hAnsi="宋体" w:eastAsia="宋体"/>
          <w:color w:val="000000"/>
          <w:sz w:val="30"/>
          <w:highlight w:val="none"/>
          <w:lang w:val="en-US" w:eastAsia="zh-CN"/>
        </w:rPr>
      </w:r>
      <w:r/>
    </w:p>
    <w:p>
      <w:pPr>
        <w:pStyle w:val="885"/>
        <w:ind w:firstLine="60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50</w:t>
      </w:r>
      <w:r>
        <w:rPr>
          <w:rFonts w:ascii="宋体" w:hAnsi="宋体" w:eastAsia="宋体"/>
          <w:color w:val="000000"/>
          <w:sz w:val="30"/>
          <w:highlight w:val="none"/>
          <w:lang w:val="en-US" w:eastAsia="zh-CN"/>
        </w:rPr>
      </w:r>
      <w:r/>
    </w:p>
    <w:p>
      <w:pPr>
        <w:pStyle w:val="1089"/>
        <w:ind w:firstLine="482"/>
        <w:rPr>
          <w:rFonts w:hint="eastAsia" w:ascii="宋体" w:hAnsi="宋体"/>
          <w:b/>
          <w:color w:val="000000"/>
          <w:sz w:val="48"/>
          <w:highlight w:val="none"/>
        </w:rPr>
      </w:pPr>
      <w:r>
        <w:rPr>
          <w:rFonts w:hint="eastAsia" w:ascii="宋体" w:hAnsi="宋体"/>
          <w:b/>
          <w:color w:val="000000"/>
          <w:sz w:val="48"/>
          <w:highlight w:val="none"/>
        </w:rPr>
      </w:r>
      <w:r/>
    </w:p>
    <w:p>
      <w:pPr>
        <w:pStyle w:val="885"/>
        <w:rPr>
          <w:rFonts w:hint="eastAsia" w:ascii="宋体" w:hAnsi="宋体"/>
          <w:b/>
          <w:color w:val="000000"/>
          <w:sz w:val="48"/>
          <w:highlight w:val="none"/>
        </w:rPr>
      </w:pPr>
      <w:r>
        <w:rPr>
          <w:rFonts w:hint="eastAsia" w:ascii="宋体" w:hAnsi="宋体"/>
          <w:b/>
          <w:color w:val="000000"/>
          <w:sz w:val="48"/>
          <w:highlight w:val="none"/>
        </w:rPr>
      </w:r>
      <w:r/>
    </w:p>
    <w:p>
      <w:pPr>
        <w:pStyle w:val="885"/>
        <w:rPr>
          <w:rFonts w:hint="eastAsia"/>
          <w:color w:val="000000"/>
          <w:highlight w:val="none"/>
        </w:rPr>
        <w:sectPr>
          <w:footerReference w:type="default" r:id="rId14"/>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highlight w:val="none"/>
        </w:rPr>
      </w:r>
      <w:r/>
    </w:p>
    <w:p>
      <w:pPr>
        <w:pStyle w:val="1077"/>
        <w:numPr>
          <w:ilvl w:val="0"/>
          <w:numId w:val="1"/>
        </w:numPr>
        <w:ind w:firstLine="964"/>
        <w:jc w:val="center"/>
        <w:keepLines w:val="0"/>
        <w:keepNext w:val="0"/>
        <w:pageBreakBefore w:val="0"/>
        <w:spacing w:before="120" w:after="120" w:line="460" w:lineRule="exact"/>
        <w:rPr>
          <w:rFonts w:hint="eastAsia" w:hAnsi="宋体"/>
          <w:b/>
          <w:color w:val="000000"/>
          <w:sz w:val="48"/>
          <w:szCs w:val="24"/>
          <w:highlight w:val="none"/>
        </w:rPr>
        <w:outlineLvl w:val="0"/>
      </w:pPr>
      <w:r>
        <w:rPr>
          <w:rFonts w:hint="eastAsia" w:hAnsi="宋体"/>
          <w:b/>
          <w:color w:val="000000"/>
          <w:sz w:val="48"/>
          <w:szCs w:val="24"/>
          <w:highlight w:val="none"/>
        </w:rPr>
        <w:t xml:space="preserve">招标公告</w:t>
      </w:r>
      <w:r>
        <w:rPr>
          <w:rFonts w:hint="eastAsia" w:hAnsi="宋体"/>
          <w:b/>
          <w:color w:val="000000"/>
          <w:sz w:val="48"/>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885"/>
              <w:ind w:firstLine="482"/>
              <w:jc w:val="left"/>
              <w:keepLines w:val="0"/>
              <w:keepNext w:val="0"/>
              <w:pageBreakBefore w:val="0"/>
              <w:spacing w:line="460" w:lineRule="exact"/>
              <w:widowControl/>
              <w:rPr>
                <w:rFonts w:ascii="宋体" w:hAnsi="宋体" w:eastAsia="宋体"/>
                <w:b/>
                <w:bCs/>
                <w:color w:val="000000"/>
                <w:sz w:val="24"/>
                <w:highlight w:val="none"/>
                <w:lang w:val="en-US" w:eastAsia="zh-CN" w:bidi="ar-SA"/>
              </w:rPr>
            </w:pPr>
            <w:r>
              <w:rPr>
                <w:rFonts w:ascii="宋体" w:hAnsi="宋体" w:eastAsia="宋体"/>
                <w:b/>
                <w:bCs/>
                <w:color w:val="000000"/>
                <w:sz w:val="24"/>
                <w:highlight w:val="none"/>
                <w:lang w:val="en-US" w:eastAsia="zh-CN" w:bidi="ar-SA"/>
              </w:rPr>
              <w:t xml:space="preserve">项目概况</w:t>
            </w:r>
            <w:r>
              <w:rPr>
                <w:rFonts w:ascii="宋体" w:hAnsi="宋体" w:eastAsia="宋体"/>
                <w:b/>
                <w:bCs/>
                <w:color w:val="000000"/>
                <w:sz w:val="24"/>
                <w:highlight w:val="none"/>
                <w:lang w:val="en-US" w:eastAsia="zh-CN" w:bidi="ar-SA"/>
              </w:rPr>
            </w:r>
            <w:r/>
          </w:p>
          <w:p>
            <w:pPr>
              <w:pStyle w:val="885"/>
              <w:ind w:firstLine="480"/>
              <w:jc w:val="left"/>
              <w:keepLines w:val="0"/>
              <w:keepNext w:val="0"/>
              <w:pageBreakBefore w:val="0"/>
              <w:spacing w:line="460" w:lineRule="exact"/>
              <w:widowControl/>
              <w:rPr>
                <w:rFonts w:ascii="宋体" w:hAnsi="宋体" w:eastAsia="宋体" w:cs="Arial"/>
                <w:bCs/>
                <w:color w:val="000000"/>
                <w:sz w:val="24"/>
                <w:szCs w:val="24"/>
                <w:highlight w:val="none"/>
                <w:lang w:val="en-US" w:eastAsia="zh-CN" w:bidi="ar-SA"/>
              </w:rPr>
            </w:pPr>
            <w:r>
              <w:rPr>
                <w:rFonts w:hint="eastAsia" w:ascii="宋体" w:hAnsi="宋体" w:eastAsia="宋体"/>
                <w:bCs/>
                <w:color w:val="000000"/>
                <w:sz w:val="24"/>
                <w:highlight w:val="none"/>
                <w:lang w:val="en-US" w:eastAsia="zh-CN" w:bidi="ar-SA"/>
              </w:rPr>
              <w:t xml:space="preserve">江苏省建湖高级中学科学教育实验教室采购</w:t>
            </w:r>
            <w:r>
              <w:rPr>
                <w:rFonts w:hint="eastAsia" w:ascii="宋体" w:hAnsi="宋体" w:eastAsia="宋体" w:cs="Arial"/>
                <w:bCs/>
                <w:color w:val="000000"/>
                <w:sz w:val="24"/>
                <w:szCs w:val="20"/>
                <w:highlight w:val="none"/>
                <w:lang w:val="en-US" w:eastAsia="zh-CN" w:bidi="ar-SA"/>
              </w:rPr>
              <w:t xml:space="preserve">项目</w:t>
            </w:r>
            <w:r>
              <w:rPr>
                <w:rFonts w:hint="eastAsia" w:ascii="宋体" w:hAnsi="宋体" w:eastAsia="宋体"/>
                <w:bCs/>
                <w:color w:val="000000"/>
                <w:sz w:val="24"/>
                <w:highlight w:val="none"/>
                <w:lang w:val="en-US" w:eastAsia="zh-CN" w:bidi="ar-SA"/>
              </w:rPr>
              <w:t xml:space="preserve">JSZC-320925-ZZJT-G2026-0012</w:t>
            </w:r>
            <w:r>
              <w:rPr>
                <w:rFonts w:ascii="宋体" w:hAnsi="宋体" w:eastAsia="宋体"/>
                <w:bCs/>
                <w:color w:val="000000"/>
                <w:sz w:val="24"/>
                <w:highlight w:val="none"/>
                <w:lang w:val="en-US" w:eastAsia="zh-CN" w:bidi="ar-SA"/>
              </w:rPr>
              <w:t xml:space="preserve">的潜在投标人应在</w:t>
            </w:r>
            <w:r>
              <w:rPr>
                <w:rFonts w:hint="eastAsia" w:ascii="宋体" w:hAnsi="宋体" w:eastAsia="宋体"/>
                <w:bCs/>
                <w:color w:val="000000"/>
                <w:sz w:val="24"/>
                <w:highlight w:val="none"/>
                <w:lang w:val="en-US" w:eastAsia="zh-CN" w:bidi="ar-SA"/>
              </w:rPr>
              <w:t xml:space="preserve">“苏采云”系统内免费下载（投标人必须在苏采云系统中获取采购文件，方能参与政府采购项目）</w:t>
            </w:r>
            <w:r>
              <w:rPr>
                <w:rFonts w:ascii="宋体" w:hAnsi="宋体" w:eastAsia="宋体"/>
                <w:bCs/>
                <w:color w:val="000000"/>
                <w:sz w:val="24"/>
                <w:highlight w:val="none"/>
                <w:lang w:val="en-US" w:eastAsia="zh-CN" w:bidi="ar-SA"/>
              </w:rPr>
              <w:t xml:space="preserve">，</w:t>
            </w:r>
            <w:r>
              <w:rPr>
                <w:rFonts w:ascii="宋体" w:hAnsi="宋体" w:eastAsia="宋体"/>
                <w:b/>
                <w:bCs/>
                <w:color w:val="000000"/>
                <w:sz w:val="24"/>
                <w:highlight w:val="none"/>
                <w:lang w:val="en-US" w:eastAsia="zh-CN" w:bidi="ar-SA"/>
              </w:rPr>
              <w:t xml:space="preserve">并于</w:t>
            </w:r>
            <w:r>
              <w:rPr>
                <w:rFonts w:hint="eastAsia" w:ascii="宋体" w:hAnsi="宋体" w:eastAsia="宋体"/>
                <w:b/>
                <w:bCs/>
                <w:color w:val="000000"/>
                <w:sz w:val="24"/>
                <w:highlight w:val="none"/>
                <w:lang w:val="en-US" w:eastAsia="zh-CN" w:bidi="ar-SA"/>
              </w:rPr>
              <w:t xml:space="preserve">2026</w:t>
            </w:r>
            <w:r>
              <w:rPr>
                <w:rFonts w:ascii="宋体" w:hAnsi="宋体" w:eastAsia="宋体"/>
                <w:b/>
                <w:bCs/>
                <w:color w:val="000000"/>
                <w:sz w:val="24"/>
                <w:highlight w:val="none"/>
                <w:lang w:val="en-US" w:eastAsia="zh-CN" w:bidi="ar-SA"/>
              </w:rPr>
              <w:t xml:space="preserve">年</w:t>
            </w:r>
            <w:r>
              <w:rPr>
                <w:rFonts w:hint="eastAsia" w:ascii="宋体" w:hAnsi="宋体" w:eastAsia="宋体"/>
                <w:b/>
                <w:bCs/>
                <w:color w:val="000000"/>
                <w:sz w:val="24"/>
                <w:highlight w:val="none"/>
                <w:lang w:val="en-US" w:eastAsia="zh-CN" w:bidi="ar-SA"/>
              </w:rPr>
              <w:t xml:space="preserve">7</w:t>
            </w:r>
            <w:r>
              <w:rPr>
                <w:rFonts w:ascii="宋体" w:hAnsi="宋体" w:eastAsia="宋体"/>
                <w:b/>
                <w:bCs/>
                <w:color w:val="000000"/>
                <w:sz w:val="24"/>
                <w:highlight w:val="none"/>
                <w:lang w:val="en-US" w:eastAsia="zh-CN" w:bidi="ar-SA"/>
              </w:rPr>
              <w:t xml:space="preserve">月</w:t>
            </w:r>
            <w:r>
              <w:rPr>
                <w:rFonts w:ascii="宋体" w:hAnsi="宋体" w:eastAsia="宋体"/>
                <w:b/>
                <w:bCs/>
                <w:color w:val="000000"/>
                <w:sz w:val="24"/>
                <w:highlight w:val="none"/>
                <w:lang w:val="en-US" w:eastAsia="zh-CN" w:bidi="ar-SA"/>
              </w:rPr>
              <w:t xml:space="preserve">31日</w:t>
            </w:r>
            <w:r>
              <w:rPr>
                <w:rFonts w:hint="eastAsia" w:ascii="宋体" w:hAnsi="宋体" w:eastAsia="宋体"/>
                <w:b/>
                <w:bCs/>
                <w:color w:val="000000"/>
                <w:sz w:val="24"/>
                <w:highlight w:val="none"/>
                <w:lang w:val="en-US" w:eastAsia="zh-CN" w:bidi="ar-SA"/>
              </w:rPr>
              <w:t xml:space="preserve">9:00</w:t>
            </w:r>
            <w:r>
              <w:rPr>
                <w:rFonts w:ascii="宋体" w:hAnsi="宋体" w:eastAsia="宋体"/>
                <w:b/>
                <w:bCs/>
                <w:color w:val="000000"/>
                <w:sz w:val="24"/>
                <w:highlight w:val="none"/>
                <w:lang w:val="en-US" w:eastAsia="zh-CN" w:bidi="ar-SA"/>
              </w:rPr>
              <w:t xml:space="preserve">分（北京时间）前</w:t>
            </w:r>
            <w:r>
              <w:rPr>
                <w:rFonts w:hint="eastAsia" w:ascii="宋体" w:hAnsi="宋体" w:eastAsia="宋体"/>
                <w:b/>
                <w:bCs/>
                <w:color w:val="000000"/>
                <w:sz w:val="24"/>
                <w:highlight w:val="none"/>
                <w:lang w:val="en-US" w:eastAsia="zh-CN" w:bidi="ar-SA"/>
              </w:rPr>
              <w:t xml:space="preserve">递交</w:t>
            </w:r>
            <w:r>
              <w:rPr>
                <w:rFonts w:ascii="宋体" w:hAnsi="宋体" w:eastAsia="宋体"/>
                <w:b/>
                <w:bCs/>
                <w:color w:val="000000"/>
                <w:sz w:val="24"/>
                <w:highlight w:val="none"/>
                <w:lang w:val="en-US" w:eastAsia="zh-CN" w:bidi="ar-SA"/>
              </w:rPr>
              <w:t xml:space="preserve">投标文件。</w:t>
            </w:r>
            <w:r>
              <w:rPr>
                <w:rFonts w:ascii="宋体" w:hAnsi="宋体" w:eastAsia="宋体" w:cs="Arial"/>
                <w:bCs/>
                <w:color w:val="000000"/>
                <w:sz w:val="24"/>
                <w:szCs w:val="24"/>
                <w:highlight w:val="none"/>
                <w:lang w:val="en-US" w:eastAsia="zh-CN" w:bidi="ar-SA"/>
              </w:rPr>
            </w:r>
            <w:r/>
          </w:p>
        </w:tc>
      </w:tr>
    </w:tbl>
    <w:p>
      <w:pPr>
        <w:pStyle w:val="885"/>
        <w:ind w:firstLine="482"/>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一、项目基本情况</w:t>
      </w:r>
      <w:r>
        <w:rPr>
          <w:rFonts w:ascii="宋体" w:hAnsi="宋体" w:cs="Arial"/>
          <w:b/>
          <w:bCs w:val="0"/>
          <w:color w:val="000000"/>
          <w:sz w:val="24"/>
          <w:szCs w:val="24"/>
          <w:highlight w:val="none"/>
        </w:rPr>
      </w:r>
      <w:r/>
    </w:p>
    <w:p>
      <w:pPr>
        <w:pStyle w:val="885"/>
        <w:ind w:firstLine="480"/>
        <w:jc w:val="left"/>
        <w:keepLines w:val="0"/>
        <w:keepNext w:val="0"/>
        <w:pageBreakBefore w:val="0"/>
        <w:spacing w:line="480" w:lineRule="exact"/>
        <w:widowControl/>
        <w:rPr>
          <w:rFonts w:hint="eastAsia" w:ascii="宋体" w:hAnsi="宋体" w:eastAsia="宋体" w:cs="Times New Roman"/>
          <w:bCs/>
          <w:color w:val="0000ff"/>
          <w:sz w:val="24"/>
          <w:highlight w:val="none"/>
          <w:lang w:eastAsia="zh-CN"/>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w:t>
      </w:r>
      <w:r>
        <w:rPr>
          <w:rFonts w:hint="eastAsia" w:ascii="宋体" w:hAnsi="宋体" w:eastAsia="宋体" w:cs="Times New Roman"/>
          <w:bCs/>
          <w:color w:val="000000"/>
          <w:sz w:val="24"/>
          <w:highlight w:val="none"/>
          <w:lang w:eastAsia="zh-CN"/>
        </w:rPr>
        <w:t xml:space="preserve">JSZC-320925-ZZJT-G2026-0012</w:t>
      </w:r>
      <w:r>
        <w:rPr>
          <w:rFonts w:hint="eastAsia" w:ascii="宋体" w:hAnsi="宋体" w:eastAsia="宋体" w:cs="Times New Roman"/>
          <w:bCs/>
          <w:color w:val="0000ff"/>
          <w:sz w:val="24"/>
          <w:highlight w:val="none"/>
          <w:lang w:eastAsia="zh-CN"/>
        </w:rPr>
      </w:r>
      <w:r/>
    </w:p>
    <w:p>
      <w:pPr>
        <w:pStyle w:val="885"/>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江苏省建湖高级中学科学教育实验教室采购</w:t>
      </w:r>
      <w:r>
        <w:rPr>
          <w:rFonts w:hint="eastAsia" w:ascii="宋体" w:hAnsi="宋体" w:eastAsia="宋体" w:cs="Arial"/>
          <w:bCs/>
          <w:color w:val="000000"/>
          <w:sz w:val="24"/>
          <w:szCs w:val="20"/>
          <w:highlight w:val="none"/>
          <w:lang w:val="en-US" w:eastAsia="zh-CN" w:bidi="ar-SA"/>
        </w:rPr>
        <w:t xml:space="preserve">项目</w:t>
      </w:r>
      <w:r>
        <w:rPr>
          <w:rFonts w:hint="eastAsia" w:ascii="宋体" w:hAnsi="宋体" w:cs="宋体"/>
          <w:color w:val="000000"/>
          <w:sz w:val="24"/>
          <w:highlight w:val="none"/>
          <w:lang w:eastAsia="zh-CN"/>
        </w:rPr>
      </w:r>
      <w:r/>
    </w:p>
    <w:p>
      <w:pPr>
        <w:pStyle w:val="885"/>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预算金额：</w:t>
      </w:r>
      <w:r>
        <w:rPr>
          <w:rFonts w:hint="eastAsia" w:ascii="宋体" w:hAnsi="宋体" w:cs="Arial"/>
          <w:bCs/>
          <w:color w:val="000000"/>
          <w:sz w:val="24"/>
          <w:szCs w:val="24"/>
          <w:highlight w:val="none"/>
          <w:lang w:val="en-US" w:eastAsia="zh-CN"/>
        </w:rPr>
        <w:t xml:space="preserve">300</w:t>
      </w:r>
      <w:r>
        <w:rPr>
          <w:rFonts w:hint="eastAsia" w:ascii="宋体" w:hAnsi="宋体" w:cs="Arial"/>
          <w:bCs/>
          <w:color w:val="000000"/>
          <w:sz w:val="24"/>
          <w:szCs w:val="24"/>
          <w:highlight w:val="none"/>
        </w:rPr>
        <w:t xml:space="preserve">万元；</w:t>
      </w:r>
      <w:r>
        <w:rPr>
          <w:rFonts w:hint="eastAsia" w:ascii="宋体" w:hAnsi="宋体" w:cs="Arial"/>
          <w:bCs/>
          <w:color w:val="000000"/>
          <w:sz w:val="24"/>
          <w:szCs w:val="24"/>
          <w:highlight w:val="none"/>
        </w:rPr>
      </w:r>
      <w:r/>
    </w:p>
    <w:p>
      <w:pPr>
        <w:pStyle w:val="885"/>
        <w:ind w:firstLine="480"/>
        <w:jc w:val="left"/>
        <w:keepLines w:val="0"/>
        <w:keepNext w:val="0"/>
        <w:pageBreakBefore w:val="0"/>
        <w:spacing w:line="500" w:lineRule="exact"/>
        <w:widowControl/>
        <w:rPr>
          <w:rFonts w:hint="eastAsia" w:ascii="宋体" w:hAnsi="宋体" w:eastAsia="宋体" w:cs="宋体"/>
          <w:color w:val="000000"/>
          <w:sz w:val="24"/>
          <w:highlight w:val="none"/>
          <w:lang w:eastAsia="zh-CN"/>
        </w:rPr>
      </w:pPr>
      <w:r>
        <w:rPr>
          <w:rFonts w:hint="eastAsia" w:ascii="宋体" w:hAnsi="宋体" w:cs="Arial"/>
          <w:bCs/>
          <w:color w:val="000000"/>
          <w:sz w:val="24"/>
          <w:szCs w:val="24"/>
          <w:highlight w:val="none"/>
        </w:rPr>
        <w:t xml:space="preserve">最高限价（如有）：</w:t>
      </w:r>
      <w:r>
        <w:rPr>
          <w:rFonts w:hint="eastAsia" w:ascii="宋体" w:hAnsi="宋体" w:cs="Arial"/>
          <w:bCs/>
          <w:color w:val="000000"/>
          <w:sz w:val="24"/>
          <w:szCs w:val="24"/>
          <w:highlight w:val="none"/>
          <w:lang w:val="en-US" w:eastAsia="zh-CN"/>
        </w:rPr>
        <w:t xml:space="preserve">300</w:t>
      </w:r>
      <w:r>
        <w:rPr>
          <w:rFonts w:hint="eastAsia" w:ascii="宋体" w:hAnsi="宋体" w:cs="Arial"/>
          <w:bCs/>
          <w:color w:val="000000"/>
          <w:sz w:val="24"/>
          <w:szCs w:val="24"/>
          <w:highlight w:val="none"/>
        </w:rPr>
        <w:t xml:space="preserve">万元。高于该最高限价的作无效标论处；</w:t>
      </w:r>
      <w:r>
        <w:rPr>
          <w:rFonts w:hint="eastAsia" w:ascii="宋体" w:hAnsi="宋体" w:eastAsia="宋体" w:cs="宋体"/>
          <w:color w:val="000000"/>
          <w:sz w:val="24"/>
          <w:highlight w:val="none"/>
          <w:lang w:eastAsia="zh-CN"/>
        </w:rPr>
      </w:r>
      <w:r/>
    </w:p>
    <w:p>
      <w:pPr>
        <w:pStyle w:val="885"/>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eastAsia="宋体" w:cs="Arial"/>
          <w:bCs/>
          <w:color w:val="000000"/>
          <w:sz w:val="24"/>
          <w:szCs w:val="20"/>
          <w:highlight w:val="none"/>
          <w:lang w:val="en-US" w:eastAsia="zh-CN" w:bidi="ar-SA"/>
        </w:rPr>
        <w:t xml:space="preserve">采购需求：江苏省建湖高级中学科学教育实验教室采购项目</w:t>
      </w:r>
      <w:r>
        <w:rPr>
          <w:rFonts w:hint="eastAsia" w:ascii="宋体" w:hAnsi="宋体" w:cs="Arial"/>
          <w:bCs/>
          <w:color w:val="000000"/>
          <w:sz w:val="24"/>
          <w:szCs w:val="24"/>
          <w:highlight w:val="none"/>
        </w:rPr>
        <w:t xml:space="preserve">采购范围内所有产品的供货、运输（送达至采购方指定地点并卸货）、安装、调试及售后</w:t>
      </w:r>
      <w:r>
        <w:rPr>
          <w:rFonts w:hint="eastAsia" w:ascii="宋体" w:hAnsi="宋体" w:cs="Arial"/>
          <w:bCs/>
          <w:color w:val="000000"/>
          <w:sz w:val="24"/>
          <w:szCs w:val="24"/>
          <w:highlight w:val="none"/>
          <w:lang w:val="en-US" w:eastAsia="zh-CN"/>
        </w:rPr>
        <w:t xml:space="preserve">培训</w:t>
      </w:r>
      <w:r>
        <w:rPr>
          <w:rFonts w:hint="eastAsia" w:ascii="宋体" w:hAnsi="宋体" w:cs="Arial"/>
          <w:bCs/>
          <w:color w:val="000000"/>
          <w:sz w:val="24"/>
          <w:szCs w:val="24"/>
          <w:highlight w:val="none"/>
        </w:rPr>
        <w:t xml:space="preserve">服务等内容，详见招标文件；</w:t>
      </w:r>
      <w:r>
        <w:rPr>
          <w:rFonts w:hint="eastAsia" w:ascii="宋体" w:hAnsi="宋体" w:cs="Arial"/>
          <w:bCs/>
          <w:color w:val="000000"/>
          <w:sz w:val="24"/>
          <w:szCs w:val="24"/>
          <w:highlight w:val="none"/>
        </w:rPr>
      </w:r>
      <w:r/>
    </w:p>
    <w:p>
      <w:pPr>
        <w:pStyle w:val="885"/>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eastAsia="zh-CN"/>
        </w:rPr>
        <w:t xml:space="preserve">合同履行期限</w:t>
      </w:r>
      <w:r>
        <w:rPr>
          <w:rFonts w:hint="eastAsia" w:ascii="宋体" w:hAnsi="宋体" w:cs="Arial"/>
          <w:bCs/>
          <w:color w:val="000000"/>
          <w:sz w:val="24"/>
          <w:szCs w:val="24"/>
          <w:highlight w:val="none"/>
        </w:rPr>
        <w:t xml:space="preserve">：合同签订后60天内完成项目（含安装调试）并通过验收；</w:t>
      </w:r>
      <w:r>
        <w:rPr>
          <w:rFonts w:hint="eastAsia" w:ascii="宋体" w:hAnsi="宋体" w:cs="Arial"/>
          <w:bCs/>
          <w:color w:val="000000"/>
          <w:sz w:val="24"/>
          <w:szCs w:val="24"/>
          <w:highlight w:val="none"/>
        </w:rPr>
      </w:r>
      <w:r/>
    </w:p>
    <w:p>
      <w:pPr>
        <w:pStyle w:val="885"/>
        <w:ind w:firstLine="480"/>
        <w:jc w:val="left"/>
        <w:keepLines w:val="0"/>
        <w:keepNext w:val="0"/>
        <w:pageBreakBefore w:val="0"/>
        <w:spacing w:line="500" w:lineRule="exact"/>
        <w:widowControl/>
        <w:rPr>
          <w:rFonts w:hint="eastAsia" w:ascii="宋体" w:hAnsi="宋体" w:eastAsia="宋体" w:cs="Arial"/>
          <w:bCs/>
          <w:color w:val="000000"/>
          <w:sz w:val="24"/>
          <w:highlight w:val="none"/>
          <w:lang w:eastAsia="zh-CN"/>
        </w:rPr>
      </w:pPr>
      <w:r>
        <w:rPr>
          <w:rFonts w:hint="eastAsia" w:ascii="宋体" w:hAnsi="宋体" w:cs="Arial"/>
          <w:color w:val="000000"/>
          <w:sz w:val="24"/>
          <w:highlight w:val="none"/>
        </w:rPr>
        <w:t xml:space="preserve">质保期：</w:t>
      </w:r>
      <w:r>
        <w:rPr>
          <w:rFonts w:hint="eastAsia" w:ascii="宋体" w:hAnsi="宋体" w:cs="Arial"/>
          <w:color w:val="000000"/>
          <w:sz w:val="24"/>
          <w:highlight w:val="none"/>
          <w:lang w:val="en-US" w:eastAsia="zh-CN"/>
        </w:rPr>
        <w:t xml:space="preserve">3</w:t>
      </w:r>
      <w:r>
        <w:rPr>
          <w:rFonts w:hint="eastAsia" w:ascii="宋体" w:hAnsi="宋体" w:cs="Arial"/>
          <w:bCs/>
          <w:color w:val="000000"/>
          <w:sz w:val="24"/>
          <w:highlight w:val="none"/>
        </w:rPr>
        <w:t xml:space="preserve">年</w:t>
      </w:r>
      <w:r>
        <w:rPr>
          <w:rFonts w:hint="eastAsia" w:ascii="宋体" w:hAnsi="宋体" w:cs="Arial"/>
          <w:bCs/>
          <w:color w:val="000000"/>
          <w:sz w:val="24"/>
          <w:highlight w:val="none"/>
          <w:lang w:eastAsia="zh-CN"/>
        </w:rPr>
        <w:t xml:space="preserve">；</w:t>
      </w:r>
      <w:r>
        <w:rPr>
          <w:rFonts w:hint="eastAsia" w:ascii="宋体" w:hAnsi="宋体" w:eastAsia="宋体" w:cs="Arial"/>
          <w:bCs/>
          <w:color w:val="000000"/>
          <w:sz w:val="24"/>
          <w:highlight w:val="none"/>
          <w:lang w:eastAsia="zh-CN"/>
        </w:rPr>
      </w:r>
      <w:r/>
    </w:p>
    <w:p>
      <w:pPr>
        <w:pStyle w:val="885"/>
        <w:ind w:firstLine="480"/>
        <w:jc w:val="left"/>
        <w:keepLines w:val="0"/>
        <w:keepNext w:val="0"/>
        <w:pageBreakBefore w:val="0"/>
        <w:spacing w:line="50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本项目（是/否）接受联合体投标：不接受联合体。</w:t>
      </w:r>
      <w:r>
        <w:rPr>
          <w:rFonts w:ascii="宋体" w:hAnsi="宋体" w:cs="Arial"/>
          <w:bCs/>
          <w:color w:val="000000"/>
          <w:sz w:val="24"/>
          <w:szCs w:val="24"/>
          <w:highlight w:val="none"/>
        </w:rPr>
      </w:r>
      <w:r/>
    </w:p>
    <w:p>
      <w:pPr>
        <w:pStyle w:val="885"/>
        <w:ind w:firstLine="482"/>
        <w:jc w:val="left"/>
        <w:keepLines w:val="0"/>
        <w:keepNext w:val="0"/>
        <w:pageBreakBefore w:val="0"/>
        <w:spacing w:line="48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二、申请人的资格要求</w:t>
      </w:r>
      <w:r>
        <w:rPr>
          <w:rFonts w:ascii="宋体" w:hAnsi="宋体" w:cs="Arial"/>
          <w:b/>
          <w:bCs w:val="0"/>
          <w:color w:val="000000"/>
          <w:sz w:val="24"/>
          <w:szCs w:val="24"/>
          <w:highlight w:val="none"/>
        </w:rPr>
      </w:r>
      <w:r/>
    </w:p>
    <w:p>
      <w:pPr>
        <w:pStyle w:val="885"/>
        <w:ind w:firstLine="482"/>
        <w:jc w:val="left"/>
        <w:keepLines w:val="0"/>
        <w:keepNext w:val="0"/>
        <w:pageBreakBefore w:val="0"/>
        <w:spacing w:line="480" w:lineRule="exact"/>
        <w:widowControl/>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（一） 满足《中华人民共和国政府采购法》第二十二条规定：</w:t>
      </w:r>
      <w:r>
        <w:rPr>
          <w:rFonts w:hint="eastAsia" w:ascii="宋体" w:hAnsi="宋体" w:cs="宋体"/>
          <w:b/>
          <w:color w:val="000000"/>
          <w:sz w:val="24"/>
          <w:highlight w:val="none"/>
          <w:lang w:val="en-US" w:eastAsia="zh-CN"/>
        </w:rPr>
      </w:r>
      <w:r/>
    </w:p>
    <w:p>
      <w:pPr>
        <w:pStyle w:val="885"/>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885"/>
        <w:numPr>
          <w:ilvl w:val="0"/>
          <w:numId w:val="0"/>
        </w:numPr>
        <w:ind w:firstLine="480"/>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2.上一年度的财务状况报表</w:t>
      </w:r>
      <w:r>
        <w:rPr>
          <w:rFonts w:hint="eastAsia" w:ascii="宋体" w:hAnsi="宋体" w:cs="Arial"/>
          <w:bCs/>
          <w:color w:val="000000"/>
          <w:sz w:val="24"/>
          <w:szCs w:val="24"/>
          <w:highlight w:val="none"/>
        </w:rPr>
        <w:t xml:space="preserve">（成立不满一年无需提供）</w:t>
      </w:r>
      <w:r>
        <w:rPr>
          <w:rFonts w:hint="eastAsia" w:ascii="宋体" w:hAnsi="宋体" w:cs="Arial"/>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p>
      <w:pPr>
        <w:pStyle w:val="885"/>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b w:val="0"/>
          <w:bCs w:val="0"/>
          <w:color w:val="000000"/>
          <w:sz w:val="24"/>
          <w:szCs w:val="24"/>
          <w:highlight w:val="none"/>
          <w:lang w:val="en-US" w:eastAsia="zh-CN" w:bidi="ar-SA"/>
        </w:rPr>
      </w:r>
      <w:r/>
    </w:p>
    <w:p>
      <w:pPr>
        <w:pStyle w:val="885"/>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4.具备履行合同所必需的设备和专业技术能力的书面声明（格式附后）；</w:t>
      </w:r>
      <w:r>
        <w:rPr>
          <w:rFonts w:hint="eastAsia" w:ascii="宋体" w:hAnsi="宋体" w:cs="宋体"/>
          <w:b w:val="0"/>
          <w:bCs w:val="0"/>
          <w:color w:val="000000"/>
          <w:sz w:val="24"/>
          <w:szCs w:val="24"/>
          <w:highlight w:val="none"/>
          <w:lang w:val="en-US" w:eastAsia="zh-CN" w:bidi="ar-SA"/>
        </w:rPr>
      </w:r>
      <w:r/>
    </w:p>
    <w:p>
      <w:pPr>
        <w:pStyle w:val="885"/>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5.参加政府采购活动前3年内在经营活动中没有重大违法记录的书面声明（格式附后）；</w:t>
      </w:r>
      <w:r>
        <w:rPr>
          <w:rFonts w:hint="eastAsia" w:ascii="宋体" w:hAnsi="宋体" w:cs="宋体"/>
          <w:b w:val="0"/>
          <w:bCs w:val="0"/>
          <w:color w:val="000000"/>
          <w:sz w:val="24"/>
          <w:szCs w:val="24"/>
          <w:highlight w:val="none"/>
          <w:lang w:val="en-US" w:eastAsia="zh-CN" w:bidi="ar-SA"/>
        </w:rPr>
      </w:r>
      <w:r/>
    </w:p>
    <w:p>
      <w:pPr>
        <w:pStyle w:val="885"/>
        <w:ind w:firstLine="480"/>
        <w:jc w:val="left"/>
        <w:keepLines w:val="0"/>
        <w:keepNext w:val="0"/>
        <w:pageBreakBefore w:val="0"/>
        <w:spacing w:line="480" w:lineRule="exact"/>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6.法律、行政法规规定的其他条件。</w:t>
      </w:r>
      <w:r>
        <w:rPr>
          <w:rFonts w:hint="eastAsia" w:ascii="宋体" w:hAnsi="宋体" w:cs="宋体"/>
          <w:b w:val="0"/>
          <w:bCs w:val="0"/>
          <w:color w:val="000000"/>
          <w:sz w:val="24"/>
          <w:szCs w:val="24"/>
          <w:highlight w:val="none"/>
          <w:lang w:val="en-US" w:eastAsia="zh-CN" w:bidi="ar-SA"/>
        </w:rPr>
      </w:r>
      <w:r/>
    </w:p>
    <w:p>
      <w:pPr>
        <w:pStyle w:val="885"/>
        <w:ind w:firstLine="482"/>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落实政府采购政策需满足的资格要求（详见招标文件第四章）：</w:t>
      </w:r>
      <w:r>
        <w:rPr>
          <w:rFonts w:hint="eastAsia" w:ascii="宋体" w:hAnsi="宋体" w:cs="宋体"/>
          <w:bCs/>
          <w:color w:val="000000"/>
          <w:sz w:val="24"/>
          <w:highlight w:val="none"/>
        </w:rPr>
      </w:r>
      <w:r/>
    </w:p>
    <w:p>
      <w:pPr>
        <w:pStyle w:val="885"/>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1.政策采购促进中小企业发展；</w:t>
      </w:r>
      <w:r>
        <w:rPr>
          <w:rFonts w:hint="eastAsia" w:ascii="宋体" w:hAnsi="宋体"/>
          <w:color w:val="000000"/>
          <w:sz w:val="24"/>
        </w:rPr>
      </w:r>
      <w:r/>
    </w:p>
    <w:p>
      <w:pPr>
        <w:pStyle w:val="885"/>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2.政府采购促进残疾人福利单位发展；</w:t>
      </w:r>
      <w:r>
        <w:rPr>
          <w:rFonts w:hint="eastAsia" w:ascii="宋体" w:hAnsi="宋体"/>
          <w:color w:val="000000"/>
          <w:sz w:val="24"/>
        </w:rPr>
      </w:r>
      <w:r/>
    </w:p>
    <w:p>
      <w:pPr>
        <w:pStyle w:val="885"/>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3.政府采购促进监狱和戒毒企业发展；</w:t>
      </w:r>
      <w:r>
        <w:rPr>
          <w:rFonts w:hint="eastAsia" w:ascii="宋体" w:hAnsi="宋体"/>
          <w:color w:val="000000"/>
          <w:sz w:val="24"/>
        </w:rPr>
      </w:r>
      <w:r/>
    </w:p>
    <w:p>
      <w:pPr>
        <w:pStyle w:val="885"/>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4.政府采购鼓励采购节能环保产品；</w:t>
      </w:r>
      <w:r>
        <w:rPr>
          <w:rFonts w:hint="eastAsia" w:ascii="宋体" w:hAnsi="宋体"/>
          <w:color w:val="000000"/>
          <w:sz w:val="24"/>
        </w:rPr>
      </w:r>
      <w:r/>
    </w:p>
    <w:p>
      <w:pPr>
        <w:pStyle w:val="885"/>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olor w:val="000000"/>
          <w:sz w:val="24"/>
        </w:rPr>
      </w:r>
      <w:r/>
    </w:p>
    <w:p>
      <w:pPr>
        <w:pStyle w:val="885"/>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6.政府采购鼓励优先采购节能产品、环境标志产品：严格执行政府采购关于支持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olor w:val="000000"/>
          <w:sz w:val="24"/>
        </w:rPr>
      </w:r>
      <w:r/>
    </w:p>
    <w:p>
      <w:pPr>
        <w:pStyle w:val="885"/>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olor w:val="000000"/>
          <w:sz w:val="24"/>
        </w:rPr>
      </w:r>
      <w:r/>
    </w:p>
    <w:p>
      <w:pPr>
        <w:pStyle w:val="885"/>
        <w:ind w:firstLine="480"/>
        <w:jc w:val="left"/>
        <w:spacing w:line="480" w:lineRule="exact"/>
        <w:widowControl/>
        <w:rPr>
          <w:rFonts w:ascii="宋体" w:hAnsi="宋体" w:cs="宋体"/>
          <w:bCs/>
          <w:color w:val="000000"/>
          <w:sz w:val="24"/>
        </w:rPr>
      </w:pPr>
      <w:r>
        <w:rPr>
          <w:rFonts w:hint="eastAsia" w:ascii="宋体" w:hAnsi="宋体"/>
          <w:color w:val="000000"/>
          <w:sz w:val="24"/>
        </w:rPr>
        <w:t xml:space="preserve">8.执行数据中心采购相关政策：若涉及到数据中心采购，应按照“关于印发《绿色数据中心政府采购需求标准（试行）》的通知（财库〔2023〕7号）”执行。</w:t>
      </w:r>
      <w:r>
        <w:rPr>
          <w:rFonts w:ascii="宋体" w:hAnsi="宋体" w:cs="宋体"/>
          <w:bCs/>
          <w:color w:val="000000"/>
          <w:sz w:val="24"/>
        </w:rPr>
      </w:r>
      <w:r/>
    </w:p>
    <w:p>
      <w:pPr>
        <w:pStyle w:val="885"/>
        <w:ind w:firstLine="482"/>
        <w:jc w:val="left"/>
        <w:keepLines w:val="0"/>
        <w:keepNext w:val="0"/>
        <w:pageBreakBefore w:val="0"/>
        <w:spacing w:line="48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三</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rPr>
        <w:t xml:space="preserve">本项目的特定资格要求：</w:t>
      </w:r>
      <w:r>
        <w:rPr>
          <w:rFonts w:hint="eastAsia" w:ascii="宋体" w:hAnsi="宋体" w:cs="Arial"/>
          <w:b/>
          <w:bCs w:val="0"/>
          <w:color w:val="000000"/>
          <w:sz w:val="24"/>
          <w:szCs w:val="24"/>
          <w:highlight w:val="none"/>
        </w:rPr>
      </w:r>
      <w:r/>
    </w:p>
    <w:p>
      <w:pPr>
        <w:pStyle w:val="885"/>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885"/>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885"/>
        <w:ind w:firstLine="480"/>
        <w:jc w:val="left"/>
        <w:keepLines w:val="0"/>
        <w:keepNext w:val="0"/>
        <w:pageBreakBefore w:val="0"/>
        <w:spacing w:line="480" w:lineRule="exact"/>
        <w:widowControl/>
        <w:rPr>
          <w:color w:val="000000"/>
          <w:highlight w:val="none"/>
        </w:rPr>
      </w:pPr>
      <w:r>
        <w:rPr>
          <w:rFonts w:hint="eastAsia" w:ascii="宋体" w:hAnsi="宋体" w:cs="Arial"/>
          <w:bCs/>
          <w:color w:val="000000"/>
          <w:sz w:val="24"/>
          <w:szCs w:val="24"/>
          <w:highlight w:val="none"/>
          <w:shd w:val="clear" w:color="auto" w:fill="auto"/>
          <w:lang w:val="en-US" w:eastAsia="zh-CN"/>
        </w:rPr>
        <w:t xml:space="preserve">3.</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color w:val="000000"/>
          <w:highlight w:val="none"/>
        </w:rPr>
      </w:r>
      <w:r/>
    </w:p>
    <w:p>
      <w:pPr>
        <w:pStyle w:val="885"/>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885"/>
        <w:ind w:firstLine="480"/>
        <w:jc w:val="left"/>
        <w:keepLines w:val="0"/>
        <w:keepNext w:val="0"/>
        <w:pageBreakBefore w:val="0"/>
        <w:spacing w:line="480" w:lineRule="exact"/>
        <w:widowControl/>
        <w:rPr>
          <w:rFonts w:hint="eastAsia" w:ascii="宋体" w:hAnsi="宋体" w:cs="宋体"/>
          <w:bCs/>
          <w:color w:val="000000"/>
          <w:sz w:val="24"/>
          <w:highlight w:val="none"/>
        </w:rPr>
      </w:pPr>
      <w:r/>
      <w:bookmarkStart w:id="0" w:name="_Toc42249844"/>
      <w:r/>
      <w:bookmarkStart w:id="1" w:name="QLCZYSX_1"/>
      <w:r/>
      <w:bookmarkStart w:id="2" w:name="_Toc42249797"/>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rPr>
          <w:rFonts w:hint="eastAsia" w:ascii="宋体" w:hAnsi="宋体" w:cs="宋体"/>
          <w:bCs/>
          <w:color w:val="000000"/>
          <w:sz w:val="24"/>
          <w:highlight w:val="none"/>
        </w:rPr>
      </w:r>
      <w:r/>
    </w:p>
    <w:p>
      <w:pPr>
        <w:pStyle w:val="885"/>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885"/>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885"/>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885"/>
        <w:ind w:firstLine="482"/>
        <w:jc w:val="left"/>
        <w:keepLines w:val="0"/>
        <w:keepNext w:val="0"/>
        <w:pageBreakBefore w:val="0"/>
        <w:spacing w:line="480" w:lineRule="exact"/>
        <w:widowControl/>
        <w:rPr>
          <w:rFonts w:hint="eastAsia" w:ascii="宋体" w:hAnsi="宋体" w:cs="宋体"/>
          <w:b/>
          <w:bCs/>
          <w:color w:val="000000"/>
          <w:sz w:val="24"/>
          <w:highlight w:val="none"/>
        </w:rPr>
      </w:pPr>
      <w:r/>
      <w:bookmarkEnd w:id="0"/>
      <w:r/>
      <w:bookmarkEnd w:id="1"/>
      <w:r/>
      <w:bookmarkEnd w:id="2"/>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885"/>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2026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31 9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885"/>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885"/>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885"/>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885"/>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885"/>
        <w:ind w:left="0" w:right="0" w:firstLine="480"/>
        <w:jc w:val="left"/>
        <w:keepLines w:val="0"/>
        <w:keepNext w:val="0"/>
        <w:pageBreakBefore w:val="0"/>
        <w:spacing w:before="0" w:beforeAutospacing="0" w:after="0" w:afterAutospacing="0" w:line="460" w:lineRule="exact"/>
        <w:shd w:val="clear" w:color="auto" w:fill="auto"/>
        <w:widowControl/>
        <w:rPr>
          <w:rFonts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1.招标文件获取方式：本项目采用网上注册登记方式</w:t>
      </w:r>
      <w:r>
        <w:rPr>
          <w:rFonts w:ascii="微软雅黑" w:hAnsi="微软雅黑" w:eastAsia="微软雅黑" w:cs="微软雅黑"/>
          <w:i w:val="0"/>
          <w:iCs w:val="0"/>
          <w:caps w:val="0"/>
          <w:color w:val="000000"/>
          <w:spacing w:val="0"/>
          <w:sz w:val="21"/>
          <w:szCs w:val="21"/>
          <w:highlight w:val="none"/>
        </w:rPr>
      </w:r>
      <w:r/>
    </w:p>
    <w:p>
      <w:pPr>
        <w:pStyle w:val="88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i w:val="0"/>
          <w:iCs w:val="0"/>
          <w:caps w:val="0"/>
          <w:color w:val="000000"/>
          <w:spacing w:val="0"/>
          <w:sz w:val="21"/>
          <w:szCs w:val="21"/>
          <w:highlight w:val="none"/>
        </w:rPr>
      </w:r>
      <w:r/>
    </w:p>
    <w:p>
      <w:pPr>
        <w:pStyle w:val="88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1.2潜在投标人访问“苏采云”系统的网络地址和方法：“苏采云”系统的网址：http://jszfcg.jsczt.cn/。</w:t>
      </w:r>
      <w:r>
        <w:rPr>
          <w:rFonts w:hint="eastAsia" w:ascii="微软雅黑" w:hAnsi="微软雅黑" w:eastAsia="微软雅黑" w:cs="微软雅黑"/>
          <w:i w:val="0"/>
          <w:iCs w:val="0"/>
          <w:caps w:val="0"/>
          <w:color w:val="000000"/>
          <w:spacing w:val="0"/>
          <w:sz w:val="21"/>
          <w:szCs w:val="21"/>
          <w:highlight w:val="none"/>
        </w:rPr>
      </w:r>
      <w:r/>
    </w:p>
    <w:p>
      <w:pPr>
        <w:pStyle w:val="88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i w:val="0"/>
          <w:iCs w:val="0"/>
          <w:caps w:val="0"/>
          <w:color w:val="000000"/>
          <w:spacing w:val="0"/>
          <w:sz w:val="21"/>
          <w:szCs w:val="21"/>
          <w:highlight w:val="none"/>
        </w:rPr>
      </w:r>
      <w:r/>
    </w:p>
    <w:p>
      <w:pPr>
        <w:pStyle w:val="88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i w:val="0"/>
          <w:iCs w:val="0"/>
          <w:caps w:val="0"/>
          <w:color w:val="000000"/>
          <w:spacing w:val="0"/>
          <w:sz w:val="21"/>
          <w:szCs w:val="21"/>
          <w:highlight w:val="none"/>
        </w:rPr>
      </w:r>
      <w:r/>
    </w:p>
    <w:p>
      <w:pPr>
        <w:pStyle w:val="88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1.5招标代理机构（采购代理机构）将数据电文形式的招标文件加载至“苏采云”系统，供潜在供应商下载或者查阅。</w:t>
      </w:r>
      <w:r>
        <w:rPr>
          <w:rFonts w:hint="eastAsia" w:ascii="微软雅黑" w:hAnsi="微软雅黑" w:eastAsia="微软雅黑" w:cs="微软雅黑"/>
          <w:i w:val="0"/>
          <w:iCs w:val="0"/>
          <w:caps w:val="0"/>
          <w:color w:val="000000"/>
          <w:spacing w:val="0"/>
          <w:sz w:val="21"/>
          <w:szCs w:val="21"/>
          <w:highlight w:val="none"/>
        </w:rPr>
      </w:r>
      <w:r/>
    </w:p>
    <w:p>
      <w:pPr>
        <w:pStyle w:val="88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i w:val="0"/>
          <w:iCs w:val="0"/>
          <w:caps w:val="0"/>
          <w:color w:val="000000"/>
          <w:spacing w:val="0"/>
          <w:sz w:val="21"/>
          <w:szCs w:val="21"/>
          <w:highlight w:val="none"/>
        </w:rPr>
      </w:r>
      <w:r/>
    </w:p>
    <w:p>
      <w:pPr>
        <w:pStyle w:val="885"/>
        <w:ind w:left="0" w:right="0" w:firstLine="482"/>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如潜在投标人未按上述要求操作，将自行承担所产生的风险。</w:t>
      </w:r>
      <w:r>
        <w:rPr>
          <w:rFonts w:hint="eastAsia" w:ascii="微软雅黑" w:hAnsi="微软雅黑" w:eastAsia="微软雅黑" w:cs="微软雅黑"/>
          <w:i w:val="0"/>
          <w:iCs w:val="0"/>
          <w:caps w:val="0"/>
          <w:color w:val="000000"/>
          <w:spacing w:val="0"/>
          <w:sz w:val="21"/>
          <w:szCs w:val="21"/>
          <w:highlight w:val="none"/>
        </w:rPr>
      </w:r>
      <w:r/>
    </w:p>
    <w:p>
      <w:pPr>
        <w:pStyle w:val="88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i w:val="0"/>
          <w:iCs w:val="0"/>
          <w:caps w:val="0"/>
          <w:color w:val="000000"/>
          <w:spacing w:val="0"/>
          <w:sz w:val="21"/>
          <w:szCs w:val="21"/>
          <w:highlight w:val="none"/>
        </w:rPr>
      </w:r>
      <w:r/>
    </w:p>
    <w:p>
      <w:pPr>
        <w:pStyle w:val="88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3.投标人如在投标过程中存在以下行为，将被列入不良行为记录名单。</w:t>
      </w:r>
      <w:r>
        <w:rPr>
          <w:rFonts w:hint="eastAsia" w:ascii="微软雅黑" w:hAnsi="微软雅黑" w:eastAsia="微软雅黑" w:cs="微软雅黑"/>
          <w:i w:val="0"/>
          <w:iCs w:val="0"/>
          <w:caps w:val="0"/>
          <w:color w:val="000000"/>
          <w:spacing w:val="0"/>
          <w:sz w:val="21"/>
          <w:szCs w:val="21"/>
          <w:highlight w:val="none"/>
        </w:rPr>
      </w:r>
      <w:r/>
    </w:p>
    <w:p>
      <w:pPr>
        <w:pStyle w:val="88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3.1提供虚假材料谋取中标成交的或采取不正当手段诋毁、排挤其他供应商的；</w:t>
      </w:r>
      <w:r>
        <w:rPr>
          <w:rFonts w:hint="eastAsia" w:ascii="微软雅黑" w:hAnsi="微软雅黑" w:eastAsia="微软雅黑" w:cs="微软雅黑"/>
          <w:i w:val="0"/>
          <w:iCs w:val="0"/>
          <w:caps w:val="0"/>
          <w:color w:val="000000"/>
          <w:spacing w:val="0"/>
          <w:sz w:val="21"/>
          <w:szCs w:val="21"/>
          <w:highlight w:val="none"/>
        </w:rPr>
      </w:r>
      <w:r/>
    </w:p>
    <w:p>
      <w:pPr>
        <w:pStyle w:val="88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3.2投标人递交无竞争力投标文件的。</w:t>
      </w:r>
      <w:r>
        <w:rPr>
          <w:rFonts w:hint="eastAsia" w:ascii="微软雅黑" w:hAnsi="微软雅黑" w:eastAsia="微软雅黑" w:cs="微软雅黑"/>
          <w:i w:val="0"/>
          <w:iCs w:val="0"/>
          <w:caps w:val="0"/>
          <w:color w:val="000000"/>
          <w:spacing w:val="0"/>
          <w:sz w:val="21"/>
          <w:szCs w:val="21"/>
          <w:highlight w:val="none"/>
        </w:rPr>
      </w:r>
      <w:r/>
    </w:p>
    <w:p>
      <w:pPr>
        <w:pStyle w:val="88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4.投标人存在串通投标、以他人名义投标、弄虚作假等违法违规行为，或者无正当理由放弃投标、中标资格，造成项目招标失败的，不得参加该项目重新招标的投标。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i w:val="0"/>
          <w:iCs w:val="0"/>
          <w:caps w:val="0"/>
          <w:color w:val="000000"/>
          <w:spacing w:val="0"/>
          <w:sz w:val="21"/>
          <w:szCs w:val="21"/>
          <w:highlight w:val="none"/>
        </w:rPr>
      </w:r>
      <w:r/>
    </w:p>
    <w:p>
      <w:pPr>
        <w:pStyle w:val="885"/>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5.因供应商的系统环境、操作等原因导致报名、开评标过程中出现问题由供应商自行承担负责。</w:t>
      </w:r>
      <w:r>
        <w:rPr>
          <w:rFonts w:hint="eastAsia" w:ascii="微软雅黑" w:hAnsi="微软雅黑" w:eastAsia="微软雅黑" w:cs="微软雅黑"/>
          <w:i w:val="0"/>
          <w:iCs w:val="0"/>
          <w:caps w:val="0"/>
          <w:color w:val="000000"/>
          <w:spacing w:val="0"/>
          <w:sz w:val="21"/>
          <w:szCs w:val="21"/>
          <w:highlight w:val="none"/>
        </w:rPr>
      </w:r>
      <w:r/>
    </w:p>
    <w:p>
      <w:pPr>
        <w:pStyle w:val="885"/>
        <w:ind w:firstLine="480"/>
        <w:keepLines w:val="0"/>
        <w:keepNext w:val="0"/>
        <w:pageBreakBefore w:val="0"/>
        <w:spacing w:line="460" w:lineRule="exact"/>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6.除单一来源采购项目外，为采购项目提供整体设计、规范编制或者项目管理、监理、检测等服务的供应商，不得再参加该采购项目的其他采购活动。</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885"/>
        <w:ind w:firstLine="482"/>
        <w:keepLines w:val="0"/>
        <w:keepNext w:val="0"/>
        <w:pageBreakBefore w:val="0"/>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88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ascii="宋体" w:hAnsi="宋体" w:cs="宋体"/>
          <w:bCs/>
          <w:color w:val="000000"/>
          <w:sz w:val="24"/>
          <w:highlight w:val="none"/>
        </w:rPr>
      </w:r>
      <w:r/>
    </w:p>
    <w:p>
      <w:pPr>
        <w:pStyle w:val="88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单位名称：</w:t>
      </w:r>
      <w:r>
        <w:rPr>
          <w:rFonts w:hint="eastAsia" w:ascii="宋体" w:hAnsi="宋体" w:cs="宋体"/>
          <w:bCs/>
          <w:color w:val="000000"/>
          <w:sz w:val="24"/>
          <w:highlight w:val="none"/>
          <w:lang w:val="en-US" w:eastAsia="zh-CN"/>
        </w:rPr>
        <w:t xml:space="preserve">江苏省建湖高级中学</w:t>
      </w:r>
      <w:r>
        <w:rPr>
          <w:rFonts w:ascii="宋体" w:hAnsi="宋体" w:cs="宋体"/>
          <w:bCs/>
          <w:color w:val="000000"/>
          <w:sz w:val="24"/>
          <w:highlight w:val="none"/>
        </w:rPr>
      </w:r>
      <w:r/>
    </w:p>
    <w:p>
      <w:pPr>
        <w:pStyle w:val="88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单位地址：</w:t>
      </w:r>
      <w:r>
        <w:rPr>
          <w:rFonts w:hint="eastAsia" w:ascii="宋体" w:hAnsi="宋体"/>
          <w:bCs/>
          <w:color w:val="000000"/>
          <w:sz w:val="24"/>
          <w:lang w:eastAsia="zh-CN"/>
        </w:rPr>
        <w:t xml:space="preserve">建湖县湖中南路985号</w:t>
      </w:r>
      <w:r>
        <w:rPr>
          <w:rFonts w:ascii="宋体" w:hAnsi="宋体" w:cs="宋体"/>
          <w:bCs/>
          <w:color w:val="000000"/>
          <w:sz w:val="24"/>
          <w:highlight w:val="none"/>
        </w:rPr>
      </w:r>
      <w:r/>
    </w:p>
    <w:p>
      <w:pPr>
        <w:pStyle w:val="88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联系人：</w:t>
      </w:r>
      <w:r>
        <w:rPr>
          <w:rFonts w:hint="eastAsia" w:cs="宋体"/>
          <w:i w:val="0"/>
          <w:iCs w:val="0"/>
          <w:caps w:val="0"/>
          <w:color w:val="333333"/>
          <w:spacing w:val="0"/>
          <w:sz w:val="24"/>
          <w:szCs w:val="24"/>
          <w:highlight w:val="none"/>
          <w:shd w:val="clear" w:color="auto" w:fill="ffffff"/>
          <w:lang w:val="en-US" w:eastAsia="zh-CN"/>
        </w:rPr>
        <w:t xml:space="preserve">朱先生</w:t>
      </w:r>
      <w:r>
        <w:rPr>
          <w:rFonts w:ascii="宋体" w:hAnsi="宋体" w:cs="宋体"/>
          <w:bCs/>
          <w:color w:val="000000"/>
          <w:sz w:val="24"/>
          <w:highlight w:val="none"/>
        </w:rPr>
      </w:r>
      <w:r/>
    </w:p>
    <w:p>
      <w:pPr>
        <w:pStyle w:val="88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联系电话：</w:t>
      </w:r>
      <w:r>
        <w:rPr>
          <w:rFonts w:hint="eastAsia" w:ascii="宋体" w:hAnsi="宋体" w:cs="宋体"/>
          <w:bCs/>
          <w:color w:val="000000"/>
          <w:sz w:val="24"/>
          <w:lang w:eastAsia="zh-CN"/>
        </w:rPr>
        <w:t xml:space="preserve">15950305858</w:t>
      </w:r>
      <w:r>
        <w:rPr>
          <w:rFonts w:ascii="宋体" w:hAnsi="宋体" w:cs="宋体"/>
          <w:bCs/>
          <w:color w:val="000000"/>
          <w:sz w:val="24"/>
          <w:highlight w:val="none"/>
        </w:rPr>
      </w:r>
      <w:r/>
    </w:p>
    <w:p>
      <w:pPr>
        <w:pStyle w:val="88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2.采购代理机构信息（如有）</w:t>
      </w:r>
      <w:r>
        <w:rPr>
          <w:rFonts w:ascii="宋体" w:hAnsi="宋体" w:cs="宋体"/>
          <w:bCs/>
          <w:color w:val="000000"/>
          <w:sz w:val="24"/>
          <w:highlight w:val="none"/>
        </w:rPr>
      </w:r>
      <w:r/>
    </w:p>
    <w:p>
      <w:pPr>
        <w:pStyle w:val="885"/>
        <w:ind w:firstLine="480"/>
        <w:jc w:val="left"/>
        <w:spacing w:line="46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单位名称：</w:t>
      </w:r>
      <w:bookmarkStart w:id="3" w:name="OLE_LINK9"/>
      <w:r>
        <w:rPr>
          <w:rFonts w:hint="eastAsia" w:ascii="宋体" w:hAnsi="宋体"/>
          <w:bCs/>
          <w:color w:val="000000"/>
          <w:sz w:val="24"/>
          <w:highlight w:val="none"/>
          <w:lang w:eastAsia="zh-CN"/>
        </w:rPr>
        <w:t xml:space="preserve">中证房地产评估造价集团有限公司</w:t>
      </w:r>
      <w:bookmarkEnd w:id="3"/>
      <w:r>
        <w:rPr>
          <w:rFonts w:hint="eastAsia" w:ascii="宋体" w:hAnsi="宋体" w:eastAsia="宋体" w:cs="宋体"/>
          <w:bCs/>
          <w:color w:val="000000"/>
          <w:sz w:val="24"/>
          <w:highlight w:val="none"/>
          <w:lang w:eastAsia="zh-CN"/>
        </w:rPr>
      </w:r>
      <w:r/>
    </w:p>
    <w:p>
      <w:pPr>
        <w:pStyle w:val="885"/>
        <w:ind w:firstLine="480"/>
        <w:jc w:val="left"/>
        <w:spacing w:line="460" w:lineRule="exact"/>
        <w:widowControl/>
        <w:rPr>
          <w:rFonts w:ascii="宋体" w:hAnsi="宋体" w:eastAsia="宋体" w:cs="Arial"/>
          <w:color w:val="000000"/>
          <w:sz w:val="24"/>
          <w:highlight w:val="none"/>
          <w:lang w:val="en-US" w:eastAsia="zh-CN"/>
        </w:rPr>
      </w:pPr>
      <w:r>
        <w:rPr>
          <w:rFonts w:hint="eastAsia" w:ascii="宋体" w:hAnsi="宋体" w:cs="宋体"/>
          <w:bCs/>
          <w:color w:val="000000"/>
          <w:sz w:val="24"/>
          <w:highlight w:val="none"/>
        </w:rPr>
        <w:t xml:space="preserve">单位地址：建湖县人民南路612-2号三楼301室</w:t>
      </w:r>
      <w:r>
        <w:rPr>
          <w:rFonts w:ascii="宋体" w:hAnsi="宋体" w:eastAsia="宋体" w:cs="Arial"/>
          <w:color w:val="000000"/>
          <w:sz w:val="24"/>
          <w:highlight w:val="none"/>
          <w:lang w:val="en-US" w:eastAsia="zh-CN"/>
        </w:rPr>
      </w:r>
      <w:r/>
    </w:p>
    <w:p>
      <w:pPr>
        <w:pStyle w:val="885"/>
        <w:ind w:firstLine="480"/>
        <w:jc w:val="left"/>
        <w:spacing w:line="460" w:lineRule="exact"/>
        <w:widowControl/>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联系人：</w:t>
      </w:r>
      <w:r>
        <w:rPr>
          <w:rFonts w:hint="eastAsia" w:cs="宋体"/>
          <w:i w:val="0"/>
          <w:iCs w:val="0"/>
          <w:caps w:val="0"/>
          <w:color w:val="333333"/>
          <w:spacing w:val="0"/>
          <w:sz w:val="24"/>
          <w:szCs w:val="24"/>
          <w:highlight w:val="none"/>
          <w:shd w:val="clear" w:color="auto" w:fill="ffffff"/>
          <w:lang w:val="en-US" w:eastAsia="zh-CN"/>
        </w:rPr>
        <w:t xml:space="preserve">刘</w:t>
      </w:r>
      <w:r>
        <w:rPr>
          <w:rFonts w:hint="eastAsia" w:ascii="宋体" w:hAnsi="宋体" w:cs="宋体"/>
          <w:bCs/>
          <w:color w:val="000000"/>
          <w:sz w:val="24"/>
          <w:highlight w:val="none"/>
        </w:rPr>
        <w:t xml:space="preserve">先生</w:t>
      </w:r>
      <w:r>
        <w:rPr>
          <w:rFonts w:ascii="宋体" w:hAnsi="宋体" w:eastAsia="宋体" w:cs="宋体"/>
          <w:bCs/>
          <w:color w:val="000000"/>
          <w:sz w:val="24"/>
          <w:highlight w:val="none"/>
          <w:lang w:val="en-US" w:eastAsia="zh-CN"/>
        </w:rPr>
      </w:r>
      <w:r/>
    </w:p>
    <w:p>
      <w:pPr>
        <w:pStyle w:val="885"/>
        <w:ind w:firstLine="480"/>
        <w:jc w:val="left"/>
        <w:spacing w:line="460" w:lineRule="exact"/>
        <w:widowControl/>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联系电话：</w:t>
      </w:r>
      <w:bookmarkStart w:id="4" w:name="OLE_LINK4"/>
      <w:r>
        <w:rPr>
          <w:rFonts w:hint="eastAsia" w:ascii="宋体" w:hAnsi="宋体" w:cs="宋体"/>
          <w:sz w:val="24"/>
          <w:highlight w:val="none"/>
          <w:shd w:val="clear" w:color="auto" w:fill="ffffff"/>
        </w:rPr>
        <w:t xml:space="preserve">1</w:t>
      </w:r>
      <w:r>
        <w:rPr>
          <w:rFonts w:hint="eastAsia" w:ascii="宋体" w:hAnsi="宋体" w:cs="宋体"/>
          <w:sz w:val="24"/>
          <w:highlight w:val="none"/>
          <w:shd w:val="clear" w:color="auto" w:fill="ffffff"/>
          <w:lang w:val="en-US" w:eastAsia="zh-CN"/>
        </w:rPr>
        <w:t xml:space="preserve">5371198992</w:t>
      </w:r>
      <w:r>
        <w:rPr>
          <w:rFonts w:ascii="宋体" w:hAnsi="宋体" w:eastAsia="宋体" w:cs="宋体"/>
          <w:bCs/>
          <w:color w:val="000000"/>
          <w:sz w:val="24"/>
          <w:highlight w:val="none"/>
          <w:lang w:val="en-US" w:eastAsia="zh-CN"/>
        </w:rPr>
      </w:r>
      <w:r/>
    </w:p>
    <w:p>
      <w:pPr>
        <w:pStyle w:val="885"/>
        <w:ind w:firstLine="480"/>
        <w:jc w:val="left"/>
        <w:spacing w:line="460" w:lineRule="exact"/>
        <w:widowControl/>
        <w:rPr>
          <w:rFonts w:ascii="宋体" w:hAnsi="宋体" w:cs="宋体"/>
          <w:bCs/>
          <w:color w:val="000000"/>
          <w:sz w:val="24"/>
          <w:highlight w:val="none"/>
        </w:rPr>
      </w:pPr>
      <w:r/>
      <w:bookmarkEnd w:id="4"/>
      <w:r>
        <w:rPr>
          <w:rFonts w:hint="eastAsia" w:ascii="宋体" w:hAnsi="宋体" w:cs="宋体"/>
          <w:bCs/>
          <w:color w:val="000000"/>
          <w:sz w:val="24"/>
          <w:highlight w:val="none"/>
        </w:rPr>
        <w:t xml:space="preserve">3.项目联系方式</w:t>
      </w:r>
      <w:r>
        <w:rPr>
          <w:rFonts w:ascii="宋体" w:hAnsi="宋体" w:cs="宋体"/>
          <w:bCs/>
          <w:color w:val="000000"/>
          <w:sz w:val="24"/>
          <w:highlight w:val="none"/>
        </w:rPr>
      </w:r>
      <w:r/>
    </w:p>
    <w:p>
      <w:pPr>
        <w:pStyle w:val="88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项目联系人：</w:t>
      </w:r>
      <w:r>
        <w:rPr>
          <w:rFonts w:hint="eastAsia" w:cs="宋体"/>
          <w:i w:val="0"/>
          <w:iCs w:val="0"/>
          <w:caps w:val="0"/>
          <w:color w:val="333333"/>
          <w:spacing w:val="0"/>
          <w:sz w:val="24"/>
          <w:szCs w:val="24"/>
          <w:highlight w:val="none"/>
          <w:shd w:val="clear" w:color="auto" w:fill="ffffff"/>
          <w:lang w:val="en-US" w:eastAsia="zh-CN"/>
        </w:rPr>
        <w:t xml:space="preserve">刘</w:t>
      </w:r>
      <w:r>
        <w:rPr>
          <w:rFonts w:hint="eastAsia" w:ascii="宋体" w:hAnsi="宋体" w:cs="宋体"/>
          <w:bCs/>
          <w:color w:val="000000"/>
          <w:sz w:val="24"/>
          <w:highlight w:val="none"/>
        </w:rPr>
        <w:t xml:space="preserve">先生</w:t>
      </w:r>
      <w:r>
        <w:rPr>
          <w:rFonts w:ascii="宋体" w:hAnsi="宋体" w:cs="宋体"/>
          <w:bCs/>
          <w:color w:val="000000"/>
          <w:sz w:val="24"/>
          <w:highlight w:val="none"/>
        </w:rPr>
      </w:r>
      <w:r/>
    </w:p>
    <w:p>
      <w:pPr>
        <w:pStyle w:val="885"/>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电话：</w:t>
      </w:r>
      <w:r>
        <w:rPr>
          <w:rFonts w:hint="eastAsia" w:ascii="宋体" w:hAnsi="宋体" w:cs="宋体"/>
          <w:sz w:val="24"/>
          <w:highlight w:val="none"/>
          <w:shd w:val="clear" w:color="auto" w:fill="ffffff"/>
        </w:rPr>
        <w:t xml:space="preserve">1</w:t>
      </w:r>
      <w:r>
        <w:rPr>
          <w:rFonts w:hint="eastAsia" w:ascii="宋体" w:hAnsi="宋体" w:cs="宋体"/>
          <w:sz w:val="24"/>
          <w:highlight w:val="none"/>
          <w:shd w:val="clear" w:color="auto" w:fill="ffffff"/>
          <w:lang w:val="en-US" w:eastAsia="zh-CN"/>
        </w:rPr>
        <w:t xml:space="preserve">5371198992</w:t>
      </w:r>
      <w:r>
        <w:rPr>
          <w:rFonts w:ascii="宋体" w:hAnsi="宋体" w:cs="宋体"/>
          <w:bCs/>
          <w:color w:val="000000"/>
          <w:sz w:val="24"/>
          <w:highlight w:val="none"/>
        </w:rPr>
      </w:r>
      <w:r/>
    </w:p>
    <w:p>
      <w:pPr>
        <w:pStyle w:val="885"/>
        <w:ind w:firstLine="883"/>
        <w:jc w:val="center"/>
        <w:keepLines w:val="0"/>
        <w:keepNext w:val="0"/>
        <w:pageBreakBefore w:val="0"/>
        <w:spacing w:line="460" w:lineRule="exact"/>
        <w:widowControl w:val="off"/>
        <w:rPr>
          <w:rFonts w:ascii="黑体" w:hAnsi="黑体" w:eastAsia="黑体" w:cs="黑体"/>
          <w:b/>
          <w:color w:val="000000"/>
          <w:sz w:val="40"/>
          <w:szCs w:val="40"/>
          <w:highlight w:val="none"/>
        </w:rPr>
      </w:pPr>
      <w:r>
        <w:rPr>
          <w:rFonts w:hint="eastAsia" w:ascii="宋体" w:hAnsi="宋体" w:eastAsia="宋体" w:cs="宋体"/>
          <w:b/>
          <w:color w:val="000000"/>
          <w:sz w:val="44"/>
          <w:szCs w:val="44"/>
          <w:highlight w:val="none"/>
          <w:lang w:eastAsia="zh-CN"/>
        </w:rPr>
        <w:br w:type="page" w:clear="all"/>
      </w:r>
      <w:r>
        <w:rPr>
          <w:rFonts w:hint="eastAsia" w:ascii="宋体" w:hAnsi="宋体" w:cs="宋体"/>
          <w:b/>
          <w:color w:val="000000"/>
          <w:sz w:val="44"/>
          <w:szCs w:val="44"/>
          <w:highlight w:val="none"/>
        </w:rPr>
        <w:t xml:space="preserve">第二章  投标须知</w:t>
      </w:r>
      <w:r>
        <w:rPr>
          <w:rFonts w:ascii="黑体" w:hAnsi="黑体" w:eastAsia="黑体" w:cs="黑体"/>
          <w:b/>
          <w:color w:val="000000"/>
          <w:sz w:val="40"/>
          <w:szCs w:val="40"/>
          <w:highlight w:val="none"/>
        </w:rPr>
      </w:r>
      <w:r/>
    </w:p>
    <w:p>
      <w:pPr>
        <w:pStyle w:val="885"/>
        <w:ind w:left="238" w:firstLine="723"/>
        <w:jc w:val="center"/>
        <w:spacing w:before="120" w:after="120"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885"/>
              <w:jc w:val="center"/>
              <w:spacing w:line="48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项目名称</w:t>
            </w:r>
            <w:r>
              <w:rPr>
                <w:rFonts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ind w:firstLine="1200"/>
              <w:jc w:val="left"/>
              <w:spacing w:line="480" w:lineRule="exact"/>
              <w:widowControl/>
              <w:rPr>
                <w:rFonts w:hint="eastAsia" w:ascii="宋体" w:hAnsi="宋体" w:eastAsia="宋体" w:cs="宋体"/>
                <w:bCs/>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江苏省建湖高级中学科学教育实验教室采购</w:t>
            </w:r>
            <w:r>
              <w:rPr>
                <w:rFonts w:hint="eastAsia" w:ascii="宋体" w:hAnsi="宋体" w:eastAsia="宋体" w:cs="Arial"/>
                <w:bCs/>
                <w:color w:val="000000"/>
                <w:sz w:val="24"/>
                <w:szCs w:val="20"/>
                <w:highlight w:val="none"/>
                <w:lang w:val="en-US" w:eastAsia="zh-CN" w:bidi="ar-SA"/>
              </w:rPr>
              <w:t xml:space="preserve">项目</w:t>
            </w:r>
            <w:r>
              <w:rPr>
                <w:rFonts w:hint="eastAsia" w:ascii="宋体" w:hAnsi="宋体" w:eastAsia="宋体" w:cs="宋体"/>
                <w:bCs/>
                <w:color w:val="000000"/>
                <w:sz w:val="24"/>
                <w:highlight w:val="none"/>
                <w:lang w:val="en-US" w:eastAsia="zh-CN" w:bidi="ar-SA"/>
              </w:rPr>
            </w:r>
            <w:r/>
          </w:p>
        </w:tc>
      </w:tr>
      <w:tr>
        <w:trPr>
          <w:trHeight w:val="605"/>
        </w:trPr>
        <w:tc>
          <w:tcPr>
            <w:tcW w:w="2183" w:type="dxa"/>
            <w:vAlign w:val="center"/>
            <w:textDirection w:val="lrTb"/>
            <w:noWrap/>
          </w:tcPr>
          <w:p>
            <w:pPr>
              <w:pStyle w:val="885"/>
              <w:jc w:val="center"/>
              <w:spacing w:line="48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采购需求</w:t>
            </w:r>
            <w:r>
              <w:rPr>
                <w:rFonts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ind w:firstLine="480"/>
              <w:jc w:val="both"/>
              <w:keepLines w:val="0"/>
              <w:keepNext w:val="0"/>
              <w:pageBreakBefore w:val="0"/>
              <w:spacing w:line="460" w:lineRule="exact"/>
              <w:widowControl/>
              <w:rPr>
                <w:rFonts w:hint="eastAsia" w:ascii="宋体" w:hAnsi="宋体" w:eastAsia="宋体" w:cs="宋体"/>
                <w:color w:val="000000"/>
                <w:sz w:val="24"/>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江苏省建湖高级中学科学教育实验教室采购项目</w:t>
            </w:r>
            <w:r>
              <w:rPr>
                <w:rFonts w:hint="eastAsia" w:ascii="宋体" w:hAnsi="宋体" w:eastAsia="宋体" w:cs="Arial"/>
                <w:bCs/>
                <w:color w:val="000000"/>
                <w:sz w:val="24"/>
                <w:szCs w:val="24"/>
                <w:highlight w:val="none"/>
                <w:lang w:val="en-US" w:eastAsia="zh-CN" w:bidi="ar-SA"/>
              </w:rPr>
              <w:t xml:space="preserve">采购范围内所有产品的供货、运输（送达至采购方指定地点并卸货）、安装、调试及售后培训服务等内容，详见招标文件</w:t>
            </w:r>
            <w:r>
              <w:rPr>
                <w:rFonts w:hint="eastAsia" w:ascii="宋体" w:hAnsi="宋体" w:eastAsia="宋体" w:cs="宋体"/>
                <w:color w:val="000000"/>
                <w:sz w:val="24"/>
                <w:highlight w:val="none"/>
                <w:lang w:val="en-US" w:eastAsia="zh-CN" w:bidi="ar-SA"/>
              </w:rPr>
              <w:t xml:space="preserve">；</w:t>
            </w:r>
            <w:r>
              <w:rPr>
                <w:rFonts w:hint="eastAsia" w:ascii="宋体" w:hAnsi="宋体" w:eastAsia="宋体" w:cs="宋体"/>
                <w:color w:val="000000"/>
                <w:sz w:val="24"/>
                <w:highlight w:val="none"/>
                <w:lang w:val="en-US" w:eastAsia="zh-CN" w:bidi="ar-SA"/>
              </w:rPr>
            </w:r>
            <w:r/>
          </w:p>
        </w:tc>
      </w:tr>
      <w:tr>
        <w:trPr>
          <w:trHeight w:val="511"/>
        </w:trPr>
        <w:tc>
          <w:tcPr>
            <w:tcW w:w="2183" w:type="dxa"/>
            <w:vAlign w:val="center"/>
            <w:textDirection w:val="lrTb"/>
            <w:noWrap/>
          </w:tcPr>
          <w:p>
            <w:pPr>
              <w:pStyle w:val="885"/>
              <w:jc w:val="center"/>
              <w:spacing w:line="48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项目地点</w:t>
            </w:r>
            <w:r>
              <w:rPr>
                <w:rFonts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jc w:val="center"/>
              <w:widowControl w:val="off"/>
              <w:rPr>
                <w:rFonts w:ascii="宋体" w:hAnsi="宋体" w:eastAsia="宋体"/>
                <w:b/>
                <w:color w:val="000000"/>
                <w:spacing w:val="14"/>
                <w:sz w:val="24"/>
                <w:highlight w:val="none"/>
                <w:shd w:val="clear" w:color="auto" w:fill="ffffff"/>
                <w:lang w:val="en-US" w:eastAsia="zh-CN" w:bidi="ar-SA"/>
              </w:rPr>
            </w:pPr>
            <w:r>
              <w:rPr>
                <w:rFonts w:hint="eastAsia" w:ascii="宋体" w:hAnsi="宋体" w:eastAsia="宋体"/>
                <w:bCs/>
                <w:color w:val="000000"/>
                <w:spacing w:val="14"/>
                <w:sz w:val="24"/>
                <w:highlight w:val="none"/>
                <w:shd w:val="clear" w:color="auto" w:fill="ffffff"/>
                <w:lang w:val="en-US" w:eastAsia="zh-CN" w:bidi="ar-SA"/>
              </w:rPr>
              <w:t xml:space="preserve">采购人指定地点</w:t>
            </w:r>
            <w:r>
              <w:rPr>
                <w:rFonts w:ascii="宋体" w:hAnsi="宋体" w:eastAsia="宋体"/>
                <w:b/>
                <w:color w:val="000000"/>
                <w:spacing w:val="14"/>
                <w:sz w:val="24"/>
                <w:highlight w:val="none"/>
                <w:shd w:val="clear" w:color="auto" w:fill="ffffff"/>
                <w:lang w:val="en-US" w:eastAsia="zh-CN" w:bidi="ar-SA"/>
              </w:rPr>
            </w:r>
            <w:r/>
          </w:p>
        </w:tc>
      </w:tr>
      <w:tr>
        <w:trPr>
          <w:trHeight w:val="592"/>
        </w:trPr>
        <w:tc>
          <w:tcPr>
            <w:tcW w:w="2183" w:type="dxa"/>
            <w:vAlign w:val="center"/>
            <w:textDirection w:val="lrTb"/>
            <w:noWrap/>
          </w:tcPr>
          <w:p>
            <w:pPr>
              <w:pStyle w:val="885"/>
              <w:jc w:val="center"/>
              <w:spacing w:line="48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标段划分</w:t>
            </w:r>
            <w:r>
              <w:rPr>
                <w:rFonts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ind w:firstLine="3360"/>
              <w:jc w:val="both"/>
              <w:keepLines w:val="0"/>
              <w:keepNext w:val="0"/>
              <w:pageBreakBefore w:val="0"/>
              <w:spacing w:line="500" w:lineRule="exact"/>
              <w:widowControl/>
              <w:rPr>
                <w:rFonts w:ascii="宋体" w:hAnsi="宋体" w:eastAsia="宋体"/>
                <w:bCs/>
                <w:color w:val="000000"/>
                <w:sz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一个标段</w:t>
            </w:r>
            <w:r>
              <w:rPr>
                <w:rFonts w:ascii="宋体" w:hAnsi="宋体" w:eastAsia="宋体"/>
                <w:bCs/>
                <w:color w:val="000000"/>
                <w:sz w:val="24"/>
                <w:highlight w:val="none"/>
                <w:lang w:val="en-US" w:eastAsia="zh-CN" w:bidi="ar-SA"/>
              </w:rPr>
            </w:r>
            <w:r/>
          </w:p>
        </w:tc>
      </w:tr>
      <w:tr>
        <w:trPr>
          <w:trHeight w:val="624" w:hRule="exact"/>
        </w:trPr>
        <w:tc>
          <w:tcPr>
            <w:tcW w:w="2183" w:type="dxa"/>
            <w:vAlign w:val="center"/>
            <w:textDirection w:val="lrTb"/>
            <w:noWrap/>
          </w:tcPr>
          <w:p>
            <w:pPr>
              <w:pStyle w:val="885"/>
              <w:jc w:val="center"/>
              <w:spacing w:line="32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采购单位联系人</w:t>
            </w:r>
            <w:r>
              <w:rPr>
                <w:rFonts w:ascii="宋体" w:hAnsi="宋体" w:eastAsia="宋体"/>
                <w:bCs/>
                <w:color w:val="000000"/>
                <w:sz w:val="24"/>
                <w:highlight w:val="none"/>
                <w:lang w:val="en-US" w:eastAsia="zh-CN" w:bidi="ar-SA"/>
              </w:rPr>
            </w:r>
            <w:r/>
          </w:p>
        </w:tc>
        <w:tc>
          <w:tcPr>
            <w:tcW w:w="2284" w:type="dxa"/>
            <w:vAlign w:val="center"/>
            <w:textDirection w:val="lrTb"/>
            <w:noWrap/>
          </w:tcPr>
          <w:p>
            <w:pPr>
              <w:pStyle w:val="885"/>
              <w:jc w:val="center"/>
              <w:spacing w:line="320" w:lineRule="exact"/>
              <w:widowControl w:val="off"/>
              <w:rPr>
                <w:rFonts w:ascii="宋体" w:hAnsi="宋体" w:eastAsia="新宋体"/>
                <w:bCs/>
                <w:color w:val="000000"/>
                <w:sz w:val="24"/>
                <w:highlight w:val="none"/>
                <w:lang w:val="en-US" w:eastAsia="zh-CN" w:bidi="ar-SA"/>
              </w:rPr>
            </w:pPr>
            <w:r>
              <w:rPr>
                <w:rFonts w:hint="eastAsia" w:eastAsia="宋体" w:cs="宋体"/>
                <w:i w:val="0"/>
                <w:iCs w:val="0"/>
                <w:caps w:val="0"/>
                <w:color w:val="333333"/>
                <w:spacing w:val="0"/>
                <w:sz w:val="24"/>
                <w:szCs w:val="24"/>
                <w:highlight w:val="none"/>
                <w:shd w:val="clear" w:color="auto" w:fill="ffffff"/>
                <w:lang w:val="en-US" w:eastAsia="zh-CN" w:bidi="ar-SA"/>
              </w:rPr>
              <w:t xml:space="preserve">朱先生</w:t>
            </w:r>
            <w:r>
              <w:rPr>
                <w:rFonts w:ascii="宋体" w:hAnsi="宋体" w:eastAsia="新宋体"/>
                <w:bCs/>
                <w:color w:val="000000"/>
                <w:sz w:val="24"/>
                <w:highlight w:val="none"/>
                <w:lang w:val="en-US" w:eastAsia="zh-CN" w:bidi="ar-SA"/>
              </w:rPr>
            </w:r>
            <w:r/>
          </w:p>
        </w:tc>
        <w:tc>
          <w:tcPr>
            <w:tcW w:w="1624" w:type="dxa"/>
            <w:vAlign w:val="center"/>
            <w:textDirection w:val="lrTb"/>
            <w:noWrap/>
          </w:tcPr>
          <w:p>
            <w:pPr>
              <w:pStyle w:val="885"/>
              <w:jc w:val="center"/>
              <w:spacing w:line="32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电  话</w:t>
            </w:r>
            <w:r>
              <w:rPr>
                <w:rFonts w:ascii="宋体" w:hAnsi="宋体" w:eastAsia="宋体"/>
                <w:bCs/>
                <w:color w:val="000000"/>
                <w:sz w:val="24"/>
                <w:highlight w:val="none"/>
                <w:lang w:val="en-US" w:eastAsia="zh-CN" w:bidi="ar-SA"/>
              </w:rPr>
            </w:r>
            <w:r/>
          </w:p>
        </w:tc>
        <w:tc>
          <w:tcPr>
            <w:tcW w:w="4057" w:type="dxa"/>
            <w:vAlign w:val="center"/>
            <w:textDirection w:val="lrTb"/>
            <w:noWrap/>
          </w:tcPr>
          <w:p>
            <w:pPr>
              <w:pStyle w:val="885"/>
              <w:jc w:val="center"/>
              <w:spacing w:line="320" w:lineRule="exact"/>
              <w:widowControl w:val="off"/>
              <w:rPr>
                <w:rFonts w:hint="eastAsia" w:ascii="宋体" w:hAnsi="宋体" w:eastAsia="宋体"/>
                <w:bCs/>
                <w:color w:val="000000"/>
                <w:sz w:val="24"/>
                <w:highlight w:val="none"/>
                <w:lang w:val="en-US" w:eastAsia="zh-CN" w:bidi="ar-SA"/>
              </w:rPr>
            </w:pPr>
            <w:r>
              <w:rPr>
                <w:rFonts w:hint="eastAsia" w:ascii="宋体" w:hAnsi="宋体" w:eastAsia="宋体" w:cs="宋体"/>
                <w:bCs/>
                <w:color w:val="000000"/>
                <w:sz w:val="24"/>
                <w:lang w:val="en-US" w:eastAsia="zh-CN" w:bidi="ar-SA"/>
              </w:rPr>
              <w:t xml:space="preserve">15950305858</w:t>
            </w:r>
            <w:r>
              <w:rPr>
                <w:rFonts w:hint="eastAsia" w:ascii="宋体" w:hAnsi="宋体" w:eastAsia="宋体"/>
                <w:bCs/>
                <w:color w:val="000000"/>
                <w:sz w:val="24"/>
                <w:highlight w:val="none"/>
                <w:lang w:val="en-US" w:eastAsia="zh-CN" w:bidi="ar-SA"/>
              </w:rPr>
            </w:r>
            <w:r/>
          </w:p>
        </w:tc>
      </w:tr>
      <w:tr>
        <w:trPr>
          <w:trHeight w:val="624" w:hRule="exact"/>
        </w:trPr>
        <w:tc>
          <w:tcPr>
            <w:tcW w:w="2183" w:type="dxa"/>
            <w:vAlign w:val="center"/>
            <w:textDirection w:val="lrTb"/>
            <w:noWrap/>
          </w:tcPr>
          <w:p>
            <w:pPr>
              <w:pStyle w:val="885"/>
              <w:jc w:val="center"/>
              <w:spacing w:line="32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代理机构联系人</w:t>
            </w:r>
            <w:r>
              <w:rPr>
                <w:rFonts w:ascii="宋体" w:hAnsi="宋体" w:eastAsia="宋体"/>
                <w:bCs/>
                <w:color w:val="000000"/>
                <w:sz w:val="24"/>
                <w:highlight w:val="none"/>
                <w:lang w:val="en-US" w:eastAsia="zh-CN" w:bidi="ar-SA"/>
              </w:rPr>
            </w:r>
            <w:r/>
          </w:p>
        </w:tc>
        <w:tc>
          <w:tcPr>
            <w:tcW w:w="2284" w:type="dxa"/>
            <w:vAlign w:val="center"/>
            <w:textDirection w:val="lrTb"/>
            <w:noWrap/>
          </w:tcPr>
          <w:p>
            <w:pPr>
              <w:pStyle w:val="885"/>
              <w:jc w:val="center"/>
              <w:spacing w:line="320" w:lineRule="exact"/>
              <w:widowControl w:val="off"/>
              <w:rPr>
                <w:rFonts w:hint="eastAsia" w:ascii="宋体" w:hAnsi="宋体" w:eastAsia="宋体"/>
                <w:bCs/>
                <w:color w:val="000000"/>
                <w:sz w:val="24"/>
                <w:highlight w:val="none"/>
                <w:lang w:val="en-US" w:eastAsia="zh-CN" w:bidi="ar-SA"/>
              </w:rPr>
            </w:pPr>
            <w:r>
              <w:rPr>
                <w:rFonts w:hint="eastAsia" w:eastAsia="宋体" w:cs="宋体"/>
                <w:i w:val="0"/>
                <w:iCs w:val="0"/>
                <w:caps w:val="0"/>
                <w:color w:val="333333"/>
                <w:spacing w:val="0"/>
                <w:sz w:val="24"/>
                <w:szCs w:val="24"/>
                <w:highlight w:val="none"/>
                <w:shd w:val="clear" w:color="auto" w:fill="ffffff"/>
                <w:lang w:val="en-US" w:eastAsia="zh-CN" w:bidi="ar-SA"/>
              </w:rPr>
              <w:t xml:space="preserve">刘</w:t>
            </w:r>
            <w:r>
              <w:rPr>
                <w:rFonts w:hint="eastAsia" w:ascii="宋体" w:hAnsi="宋体" w:eastAsia="宋体" w:cs="宋体"/>
                <w:bCs/>
                <w:color w:val="000000"/>
                <w:sz w:val="24"/>
                <w:highlight w:val="none"/>
                <w:lang w:val="en-US" w:eastAsia="zh-CN" w:bidi="ar-SA"/>
              </w:rPr>
              <w:t xml:space="preserve">先生</w:t>
            </w:r>
            <w:r>
              <w:rPr>
                <w:rFonts w:hint="eastAsia" w:ascii="宋体" w:hAnsi="宋体" w:eastAsia="宋体"/>
                <w:bCs/>
                <w:color w:val="000000"/>
                <w:sz w:val="24"/>
                <w:highlight w:val="none"/>
                <w:lang w:val="en-US" w:eastAsia="zh-CN" w:bidi="ar-SA"/>
              </w:rPr>
            </w:r>
            <w:r/>
          </w:p>
        </w:tc>
        <w:tc>
          <w:tcPr>
            <w:tcW w:w="1624" w:type="dxa"/>
            <w:vAlign w:val="center"/>
            <w:textDirection w:val="lrTb"/>
            <w:noWrap/>
          </w:tcPr>
          <w:p>
            <w:pPr>
              <w:pStyle w:val="885"/>
              <w:jc w:val="center"/>
              <w:spacing w:line="32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电  话</w:t>
            </w:r>
            <w:r>
              <w:rPr>
                <w:rFonts w:ascii="宋体" w:hAnsi="宋体" w:eastAsia="宋体"/>
                <w:bCs/>
                <w:color w:val="000000"/>
                <w:sz w:val="24"/>
                <w:highlight w:val="none"/>
                <w:lang w:val="en-US" w:eastAsia="zh-CN" w:bidi="ar-SA"/>
              </w:rPr>
            </w:r>
            <w:r/>
          </w:p>
        </w:tc>
        <w:tc>
          <w:tcPr>
            <w:tcW w:w="4057" w:type="dxa"/>
            <w:vAlign w:val="center"/>
            <w:textDirection w:val="lrTb"/>
            <w:noWrap/>
          </w:tcPr>
          <w:p>
            <w:pPr>
              <w:pStyle w:val="885"/>
              <w:jc w:val="center"/>
              <w:spacing w:line="320" w:lineRule="exact"/>
              <w:widowControl w:val="off"/>
              <w:rPr>
                <w:rFonts w:hint="eastAsia" w:ascii="宋体" w:hAnsi="宋体" w:eastAsia="宋体"/>
                <w:bCs/>
                <w:color w:val="000000"/>
                <w:sz w:val="24"/>
                <w:highlight w:val="none"/>
                <w:lang w:val="en-US" w:eastAsia="zh-CN" w:bidi="ar-SA"/>
              </w:rPr>
            </w:pPr>
            <w:r>
              <w:rPr>
                <w:rFonts w:hint="eastAsia" w:ascii="宋体" w:hAnsi="宋体" w:eastAsia="宋体" w:cs="宋体"/>
                <w:sz w:val="24"/>
                <w:highlight w:val="none"/>
                <w:shd w:val="clear" w:color="auto" w:fill="ffffff"/>
                <w:lang w:val="en-US" w:eastAsia="zh-CN" w:bidi="ar-SA"/>
              </w:rPr>
              <w:t xml:space="preserve">15371198992</w:t>
            </w:r>
            <w:r>
              <w:rPr>
                <w:rFonts w:hint="eastAsia" w:ascii="宋体" w:hAnsi="宋体" w:eastAsia="宋体"/>
                <w:bCs/>
                <w:color w:val="000000"/>
                <w:sz w:val="24"/>
                <w:highlight w:val="none"/>
                <w:lang w:val="en-US" w:eastAsia="zh-CN" w:bidi="ar-SA"/>
              </w:rPr>
            </w:r>
            <w:r/>
          </w:p>
        </w:tc>
      </w:tr>
      <w:tr>
        <w:trPr>
          <w:trHeight w:val="893" w:hRule="exact"/>
        </w:trPr>
        <w:tc>
          <w:tcPr>
            <w:tcW w:w="2183" w:type="dxa"/>
            <w:vAlign w:val="center"/>
            <w:textDirection w:val="lrTb"/>
            <w:noWrap/>
          </w:tcPr>
          <w:p>
            <w:pPr>
              <w:pStyle w:val="885"/>
              <w:jc w:val="center"/>
              <w:spacing w:line="48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投标保证金</w:t>
            </w:r>
            <w:r>
              <w:rPr>
                <w:rFonts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ind w:firstLine="241"/>
              <w:jc w:val="both"/>
              <w:spacing w:line="400" w:lineRule="exact"/>
              <w:widowControl w:val="off"/>
              <w:rPr>
                <w:rFonts w:ascii="宋体" w:hAnsi="宋体" w:eastAsia="宋体"/>
                <w:bCs/>
                <w:color w:val="000000"/>
                <w:sz w:val="24"/>
                <w:highlight w:val="none"/>
                <w:lang w:val="en-US" w:eastAsia="zh-CN" w:bidi="ar-SA"/>
              </w:rPr>
            </w:pPr>
            <w:r>
              <w:rPr>
                <w:rFonts w:hint="eastAsia" w:ascii="宋体" w:hAnsi="宋体" w:eastAsia="宋体"/>
                <w:b/>
                <w:bCs/>
                <w:color w:val="000000"/>
                <w:sz w:val="24"/>
                <w:highlight w:val="none"/>
                <w:lang w:val="en-US" w:eastAsia="zh-CN" w:bidi="ar-SA"/>
              </w:rPr>
              <w:t xml:space="preserve">为贯彻落实苏财购[2020]52号文件精神，该项目投标人可免交投标保证金。</w:t>
            </w:r>
            <w:r>
              <w:rPr>
                <w:rFonts w:ascii="宋体" w:hAnsi="宋体" w:eastAsia="宋体"/>
                <w:bCs/>
                <w:color w:val="000000"/>
                <w:sz w:val="24"/>
                <w:highlight w:val="none"/>
                <w:lang w:val="en-US" w:eastAsia="zh-CN" w:bidi="ar-SA"/>
              </w:rPr>
            </w:r>
            <w:r/>
          </w:p>
        </w:tc>
      </w:tr>
      <w:tr>
        <w:trPr>
          <w:trHeight w:val="794"/>
        </w:trPr>
        <w:tc>
          <w:tcPr>
            <w:tcW w:w="2183" w:type="dxa"/>
            <w:vAlign w:val="center"/>
            <w:textDirection w:val="lrTb"/>
            <w:noWrap/>
          </w:tcPr>
          <w:p>
            <w:pPr>
              <w:pStyle w:val="885"/>
              <w:jc w:val="center"/>
              <w:spacing w:line="48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履约保证金</w:t>
            </w:r>
            <w:r>
              <w:rPr>
                <w:rFonts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ind w:firstLine="480"/>
              <w:jc w:val="left"/>
              <w:spacing w:line="34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中标单位在签订合同前，须向采购人交纳中标价5%的履约保证金，</w:t>
            </w:r>
            <w:r>
              <w:rPr>
                <w:rFonts w:hint="eastAsia" w:ascii="宋体" w:hAnsi="宋体" w:eastAsia="宋体"/>
                <w:bCs/>
                <w:color w:val="000000"/>
                <w:sz w:val="24"/>
                <w:highlight w:val="none"/>
                <w:lang w:val="en-US" w:eastAsia="zh-CN" w:bidi="ar-SA"/>
              </w:rPr>
              <w:t xml:space="preserve">在供货结束验收合格后退还</w:t>
            </w:r>
            <w:r>
              <w:rPr>
                <w:rFonts w:hint="eastAsia" w:ascii="宋体" w:hAnsi="宋体" w:eastAsia="宋体" w:cs="宋体"/>
                <w:color w:val="000000"/>
                <w:sz w:val="24"/>
                <w:highlight w:val="none"/>
                <w:lang w:val="en-US" w:eastAsia="zh-CN" w:bidi="ar-SA"/>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eastAsia="宋体"/>
                <w:b/>
                <w:bCs/>
                <w:color w:val="000000"/>
                <w:sz w:val="24"/>
                <w:highlight w:val="none"/>
                <w:lang w:val="en-US" w:eastAsia="zh-CN" w:bidi="ar-SA"/>
              </w:rPr>
              <w:t xml:space="preserve">采购人降低履约保证金比例为中标价的2.5%</w:t>
            </w:r>
            <w:r>
              <w:rPr>
                <w:rFonts w:hint="eastAsia" w:ascii="宋体" w:hAnsi="宋体" w:eastAsia="宋体" w:cs="宋体"/>
                <w:b/>
                <w:bCs/>
                <w:color w:val="000000"/>
                <w:sz w:val="24"/>
                <w:highlight w:val="none"/>
                <w:lang w:val="en-US" w:eastAsia="zh-CN" w:bidi="ar-SA"/>
              </w:rPr>
              <w:t xml:space="preserve">。依据《关于在全省政府采购领域推行电子履约保函（保险）的通知》，鼓励供应商自愿使用履约保函（保险）代替缴纳履约保证金。</w:t>
            </w:r>
            <w:r>
              <w:rPr>
                <w:rFonts w:ascii="宋体" w:hAnsi="宋体" w:eastAsia="宋体" w:cs="宋体"/>
                <w:color w:val="000000"/>
                <w:sz w:val="24"/>
                <w:highlight w:val="none"/>
                <w:lang w:val="en-US" w:eastAsia="zh-CN" w:bidi="ar-SA"/>
              </w:rPr>
            </w:r>
            <w:r/>
          </w:p>
        </w:tc>
      </w:tr>
      <w:tr>
        <w:trPr>
          <w:trHeight w:val="732"/>
        </w:trPr>
        <w:tc>
          <w:tcPr>
            <w:tcW w:w="2183" w:type="dxa"/>
            <w:vAlign w:val="center"/>
            <w:textDirection w:val="lrTb"/>
            <w:noWrap/>
          </w:tcPr>
          <w:p>
            <w:pPr>
              <w:pStyle w:val="885"/>
              <w:jc w:val="center"/>
              <w:spacing w:line="480" w:lineRule="exact"/>
              <w:widowControl w:val="off"/>
              <w:rPr>
                <w:rFonts w:hint="eastAsia" w:ascii="宋体" w:hAnsi="宋体" w:eastAsia="宋体" w:cs="Arial"/>
                <w:bCs/>
                <w:color w:val="000000"/>
                <w:sz w:val="24"/>
                <w:highlight w:val="none"/>
                <w:lang w:val="en-US" w:eastAsia="zh-CN" w:bidi="ar-SA"/>
              </w:rPr>
            </w:pPr>
            <w:r>
              <w:rPr>
                <w:rFonts w:hint="eastAsia" w:ascii="宋体" w:hAnsi="宋体" w:eastAsia="宋体" w:cs="Arial"/>
                <w:bCs/>
                <w:color w:val="000000"/>
                <w:sz w:val="24"/>
                <w:highlight w:val="none"/>
                <w:lang w:val="en-US" w:eastAsia="zh-CN" w:bidi="ar-SA"/>
              </w:rPr>
              <w:t xml:space="preserve">供货期</w:t>
            </w:r>
            <w:r>
              <w:rPr>
                <w:rFonts w:hint="eastAsia" w:ascii="宋体" w:hAnsi="宋体" w:eastAsia="宋体" w:cs="Arial"/>
                <w:bCs/>
                <w:color w:val="000000"/>
                <w:sz w:val="24"/>
                <w:highlight w:val="none"/>
                <w:lang w:val="en-US" w:eastAsia="zh-CN" w:bidi="ar-SA"/>
              </w:rPr>
            </w:r>
            <w:r/>
          </w:p>
        </w:tc>
        <w:tc>
          <w:tcPr>
            <w:gridSpan w:val="3"/>
            <w:tcW w:w="7965" w:type="dxa"/>
            <w:vAlign w:val="center"/>
            <w:textDirection w:val="lrTb"/>
            <w:noWrap/>
          </w:tcPr>
          <w:p>
            <w:pPr>
              <w:pStyle w:val="885"/>
              <w:jc w:val="center"/>
              <w:widowControl w:val="off"/>
              <w:rPr>
                <w:rFonts w:ascii="宋体" w:hAnsi="宋体" w:eastAsia="宋体" w:cs="Arial"/>
                <w:color w:val="000000"/>
                <w:sz w:val="24"/>
                <w:highlight w:val="none"/>
                <w:lang w:val="en-US" w:eastAsia="zh-CN" w:bidi="ar-SA"/>
              </w:rPr>
            </w:pPr>
            <w:r>
              <w:rPr>
                <w:rFonts w:hint="eastAsia" w:ascii="宋体" w:hAnsi="宋体" w:eastAsia="宋体" w:cs="Arial"/>
                <w:bCs/>
                <w:color w:val="000000"/>
                <w:sz w:val="24"/>
                <w:szCs w:val="24"/>
                <w:highlight w:val="none"/>
                <w:lang w:val="en-US" w:eastAsia="zh-CN" w:bidi="ar-SA"/>
              </w:rPr>
              <w:t xml:space="preserve">合同签订后60天内完成项目（含安装调试）并通过验收</w:t>
            </w:r>
            <w:r>
              <w:rPr>
                <w:rFonts w:ascii="宋体" w:hAnsi="宋体" w:eastAsia="宋体" w:cs="Arial"/>
                <w:color w:val="000000"/>
                <w:sz w:val="24"/>
                <w:highlight w:val="none"/>
                <w:lang w:val="en-US" w:eastAsia="zh-CN" w:bidi="ar-SA"/>
              </w:rPr>
            </w:r>
            <w:r/>
          </w:p>
        </w:tc>
      </w:tr>
      <w:tr>
        <w:trPr>
          <w:trHeight w:val="732"/>
        </w:trPr>
        <w:tc>
          <w:tcPr>
            <w:tcW w:w="2183" w:type="dxa"/>
            <w:vAlign w:val="center"/>
            <w:textDirection w:val="lrTb"/>
            <w:noWrap/>
          </w:tcPr>
          <w:p>
            <w:pPr>
              <w:pStyle w:val="885"/>
              <w:jc w:val="center"/>
              <w:spacing w:line="480" w:lineRule="exact"/>
              <w:widowControl w:val="off"/>
              <w:rPr>
                <w:rFonts w:hint="eastAsia" w:ascii="宋体" w:hAnsi="宋体" w:eastAsia="宋体" w:cs="Arial"/>
                <w:bCs/>
                <w:color w:val="000000"/>
                <w:sz w:val="24"/>
                <w:highlight w:val="none"/>
                <w:lang w:val="en-US" w:eastAsia="zh-CN" w:bidi="ar-SA"/>
              </w:rPr>
            </w:pPr>
            <w:r>
              <w:rPr>
                <w:rFonts w:hint="eastAsia" w:ascii="宋体" w:hAnsi="宋体" w:eastAsia="宋体" w:cs="Arial"/>
                <w:bCs/>
                <w:color w:val="000000"/>
                <w:sz w:val="24"/>
                <w:highlight w:val="none"/>
                <w:lang w:val="en-US" w:eastAsia="zh-CN" w:bidi="ar-SA"/>
              </w:rPr>
              <w:t xml:space="preserve">质保期</w:t>
            </w:r>
            <w:r>
              <w:rPr>
                <w:rFonts w:hint="eastAsia" w:ascii="宋体" w:hAnsi="宋体" w:eastAsia="宋体" w:cs="Arial"/>
                <w:bCs/>
                <w:color w:val="000000"/>
                <w:sz w:val="24"/>
                <w:highlight w:val="none"/>
                <w:lang w:val="en-US" w:eastAsia="zh-CN" w:bidi="ar-SA"/>
              </w:rPr>
            </w:r>
            <w:r/>
          </w:p>
        </w:tc>
        <w:tc>
          <w:tcPr>
            <w:gridSpan w:val="3"/>
            <w:tcW w:w="7965" w:type="dxa"/>
            <w:vAlign w:val="center"/>
            <w:textDirection w:val="lrTb"/>
            <w:noWrap/>
          </w:tcPr>
          <w:p>
            <w:pPr>
              <w:pStyle w:val="885"/>
              <w:ind w:firstLine="3600"/>
              <w:jc w:val="left"/>
              <w:spacing w:line="4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Arial"/>
                <w:bCs/>
                <w:color w:val="000000"/>
                <w:sz w:val="24"/>
                <w:highlight w:val="none"/>
                <w:lang w:val="en-US" w:eastAsia="zh-CN" w:bidi="ar-SA"/>
              </w:rPr>
              <w:t xml:space="preserve">3年</w:t>
            </w:r>
            <w:r>
              <w:rPr>
                <w:rFonts w:hint="eastAsia" w:ascii="宋体" w:hAnsi="宋体" w:eastAsia="宋体" w:cs="宋体"/>
                <w:color w:val="000000"/>
                <w:sz w:val="24"/>
                <w:szCs w:val="24"/>
                <w:highlight w:val="none"/>
                <w:lang w:val="en-US" w:eastAsia="zh-CN" w:bidi="ar-SA"/>
              </w:rPr>
            </w:r>
            <w:r/>
          </w:p>
        </w:tc>
      </w:tr>
      <w:tr>
        <w:trPr>
          <w:trHeight w:val="607" w:hRule="exact"/>
        </w:trPr>
        <w:tc>
          <w:tcPr>
            <w:tcW w:w="2183" w:type="dxa"/>
            <w:vAlign w:val="center"/>
            <w:textDirection w:val="lrTb"/>
            <w:noWrap/>
          </w:tcPr>
          <w:p>
            <w:pPr>
              <w:pStyle w:val="885"/>
              <w:jc w:val="center"/>
              <w:spacing w:line="48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投标有效期</w:t>
            </w:r>
            <w:r>
              <w:rPr>
                <w:rFonts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jc w:val="center"/>
              <w:spacing w:line="480" w:lineRule="exact"/>
              <w:widowControl w:val="off"/>
              <w:rPr>
                <w:rFonts w:ascii="宋体" w:hAnsi="宋体" w:eastAsia="宋体"/>
                <w:b/>
                <w:bCs/>
                <w:color w:val="000000"/>
                <w:sz w:val="24"/>
                <w:highlight w:val="none"/>
                <w:lang w:val="en-US" w:eastAsia="zh-CN" w:bidi="ar-SA"/>
              </w:rPr>
            </w:pPr>
            <w:r>
              <w:rPr>
                <w:rFonts w:hint="eastAsia" w:ascii="宋体" w:hAnsi="宋体" w:eastAsia="宋体"/>
                <w:color w:val="000000"/>
                <w:sz w:val="24"/>
                <w:highlight w:val="none"/>
                <w:lang w:val="en-US" w:eastAsia="zh-CN" w:bidi="ar-SA"/>
              </w:rPr>
              <w:t xml:space="preserve">投标截止日起</w:t>
            </w:r>
            <w:r>
              <w:rPr>
                <w:rFonts w:hint="eastAsia" w:ascii="宋体" w:hAnsi="宋体" w:eastAsia="宋体"/>
                <w:color w:val="000000"/>
                <w:sz w:val="24"/>
                <w:highlight w:val="none"/>
                <w:u w:val="single"/>
                <w:lang w:val="en-US" w:eastAsia="zh-CN" w:bidi="ar-SA"/>
              </w:rPr>
              <w:t xml:space="preserve"> 60 </w:t>
            </w:r>
            <w:r>
              <w:rPr>
                <w:rFonts w:hint="eastAsia" w:ascii="宋体" w:hAnsi="宋体" w:eastAsia="宋体"/>
                <w:color w:val="000000"/>
                <w:sz w:val="24"/>
                <w:highlight w:val="none"/>
                <w:lang w:val="en-US" w:eastAsia="zh-CN" w:bidi="ar-SA"/>
              </w:rPr>
              <w:t xml:space="preserve">天（日历天）</w:t>
            </w:r>
            <w:r>
              <w:rPr>
                <w:rFonts w:ascii="宋体" w:hAnsi="宋体" w:eastAsia="宋体"/>
                <w:b/>
                <w:bCs/>
                <w:color w:val="000000"/>
                <w:sz w:val="24"/>
                <w:highlight w:val="none"/>
                <w:lang w:val="en-US" w:eastAsia="zh-CN" w:bidi="ar-SA"/>
              </w:rPr>
            </w:r>
            <w:r/>
          </w:p>
        </w:tc>
      </w:tr>
      <w:tr>
        <w:trPr>
          <w:trHeight w:val="858"/>
        </w:trPr>
        <w:tc>
          <w:tcPr>
            <w:tcW w:w="2183" w:type="dxa"/>
            <w:vAlign w:val="center"/>
            <w:textDirection w:val="lrTb"/>
            <w:noWrap/>
          </w:tcPr>
          <w:p>
            <w:pPr>
              <w:pStyle w:val="885"/>
              <w:jc w:val="center"/>
              <w:spacing w:line="32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投标截止时间</w:t>
            </w:r>
            <w:r>
              <w:rPr>
                <w:rFonts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jc w:val="center"/>
              <w:spacing w:line="300" w:lineRule="exact"/>
              <w:widowControl w:val="off"/>
              <w:rPr>
                <w:rFonts w:ascii="宋体" w:hAnsi="宋体" w:eastAsia="宋体"/>
                <w:bCs/>
                <w:color w:val="000000"/>
                <w:sz w:val="21"/>
                <w:szCs w:val="21"/>
                <w:highlight w:val="none"/>
                <w:lang w:val="en-US" w:eastAsia="zh-CN" w:bidi="ar-SA"/>
              </w:rPr>
            </w:pPr>
            <w:r>
              <w:rPr>
                <w:rFonts w:hint="eastAsia" w:ascii="宋体" w:hAnsi="宋体" w:eastAsia="宋体" w:cs="宋体"/>
                <w:color w:val="000000"/>
                <w:sz w:val="24"/>
                <w:highlight w:val="none"/>
                <w:lang w:val="en-US" w:eastAsia="zh-CN" w:bidi="ar-SA"/>
              </w:rPr>
              <w:t xml:space="preserve">时间:</w:t>
            </w:r>
            <w:r>
              <w:rPr>
                <w:rFonts w:hint="eastAsia" w:ascii="宋体" w:hAnsi="宋体" w:eastAsia="宋体"/>
                <w:b/>
                <w:bCs/>
                <w:color w:val="000000"/>
                <w:sz w:val="24"/>
                <w:highlight w:val="none"/>
                <w:u w:val="single"/>
                <w:lang w:val="en-US" w:eastAsia="zh-CN" w:bidi="ar-SA"/>
              </w:rPr>
              <w:t xml:space="preserve">2026年7月31日9时00分 </w:t>
            </w:r>
            <w:r>
              <w:rPr>
                <w:rFonts w:ascii="宋体" w:hAnsi="宋体" w:eastAsia="宋体"/>
                <w:bCs/>
                <w:color w:val="000000"/>
                <w:sz w:val="21"/>
                <w:szCs w:val="21"/>
                <w:highlight w:val="none"/>
                <w:lang w:val="en-US" w:eastAsia="zh-CN" w:bidi="ar-SA"/>
              </w:rPr>
            </w:r>
            <w:r/>
          </w:p>
        </w:tc>
      </w:tr>
      <w:tr>
        <w:trPr>
          <w:trHeight w:val="925"/>
        </w:trPr>
        <w:tc>
          <w:tcPr>
            <w:tcW w:w="2183" w:type="dxa"/>
            <w:vAlign w:val="center"/>
            <w:textDirection w:val="lrTb"/>
            <w:noWrap/>
          </w:tcPr>
          <w:p>
            <w:pPr>
              <w:pStyle w:val="885"/>
              <w:jc w:val="center"/>
              <w:spacing w:line="32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开标时间及地点</w:t>
            </w:r>
            <w:r>
              <w:rPr>
                <w:rFonts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jc w:val="center"/>
              <w:spacing w:line="400" w:lineRule="exact"/>
              <w:widowControl w:val="off"/>
              <w:rPr>
                <w:rFonts w:ascii="宋体" w:hAnsi="宋体" w:eastAsia="宋体"/>
                <w:b/>
                <w:bCs/>
                <w:color w:val="000000"/>
                <w:sz w:val="24"/>
                <w:highlight w:val="none"/>
                <w:u w:val="single"/>
                <w:lang w:val="en-US" w:eastAsia="zh-CN" w:bidi="ar-SA"/>
              </w:rPr>
            </w:pPr>
            <w:r>
              <w:rPr>
                <w:rFonts w:hint="eastAsia" w:ascii="宋体" w:hAnsi="宋体" w:eastAsia="宋体" w:cs="宋体"/>
                <w:color w:val="000000"/>
                <w:sz w:val="24"/>
                <w:highlight w:val="none"/>
                <w:lang w:val="en-US" w:eastAsia="zh-CN" w:bidi="ar-SA"/>
              </w:rPr>
              <w:t xml:space="preserve">时间:</w:t>
            </w:r>
            <w:r>
              <w:rPr>
                <w:rFonts w:hint="eastAsia" w:ascii="宋体" w:hAnsi="宋体" w:eastAsia="宋体"/>
                <w:b/>
                <w:bCs/>
                <w:color w:val="000000"/>
                <w:sz w:val="24"/>
                <w:highlight w:val="none"/>
                <w:u w:val="single"/>
                <w:lang w:val="en-US" w:eastAsia="zh-CN" w:bidi="ar-SA"/>
              </w:rPr>
              <w:t xml:space="preserve"> 2026年7月31日9时00分</w:t>
            </w:r>
            <w:r>
              <w:rPr>
                <w:rFonts w:ascii="宋体" w:hAnsi="宋体" w:eastAsia="宋体"/>
                <w:b/>
                <w:bCs/>
                <w:color w:val="000000"/>
                <w:sz w:val="24"/>
                <w:highlight w:val="none"/>
                <w:u w:val="single"/>
                <w:lang w:val="en-US" w:eastAsia="zh-CN" w:bidi="ar-SA"/>
              </w:rPr>
            </w:r>
            <w:r/>
          </w:p>
          <w:p>
            <w:pPr>
              <w:pStyle w:val="885"/>
              <w:ind w:firstLine="480"/>
              <w:jc w:val="center"/>
              <w:spacing w:line="40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4"/>
                <w:highlight w:val="none"/>
                <w:lang w:val="en-US" w:eastAsia="zh-CN" w:bidi="ar-SA"/>
              </w:rPr>
              <w:t xml:space="preserve">地点:</w:t>
            </w:r>
            <w:r>
              <w:rPr>
                <w:rFonts w:hint="eastAsia" w:hAnsi="宋体" w:eastAsia="宋体"/>
                <w:bCs/>
                <w:color w:val="000000"/>
                <w:sz w:val="24"/>
                <w:highlight w:val="none"/>
                <w:lang w:val="en-US" w:eastAsia="zh-CN" w:bidi="ar-SA"/>
              </w:rPr>
              <w:t xml:space="preserve">建湖县公共资源交易中心不见面开标厅</w:t>
            </w:r>
            <w:r>
              <w:rPr>
                <w:rFonts w:ascii="宋体" w:hAnsi="宋体" w:eastAsia="宋体" w:cs="宋体"/>
                <w:color w:val="000000"/>
                <w:sz w:val="21"/>
                <w:szCs w:val="21"/>
                <w:highlight w:val="none"/>
                <w:lang w:val="en-US" w:eastAsia="zh-CN" w:bidi="ar-SA"/>
              </w:rPr>
            </w:r>
            <w:r/>
          </w:p>
        </w:tc>
      </w:tr>
      <w:tr>
        <w:trPr>
          <w:trHeight w:val="1180"/>
        </w:trPr>
        <w:tc>
          <w:tcPr>
            <w:tcW w:w="2183" w:type="dxa"/>
            <w:vAlign w:val="center"/>
            <w:textDirection w:val="lrTb"/>
            <w:noWrap/>
          </w:tcPr>
          <w:p>
            <w:pPr>
              <w:pStyle w:val="885"/>
              <w:jc w:val="center"/>
              <w:spacing w:line="320" w:lineRule="exact"/>
              <w:widowControl w:val="off"/>
              <w:rPr>
                <w:rFonts w:hint="eastAsia"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投标文件</w:t>
            </w:r>
            <w:r>
              <w:rPr>
                <w:rFonts w:hint="eastAsia"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jc w:val="center"/>
              <w:spacing w:line="30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b/>
                <w:bCs/>
                <w:color w:val="000000"/>
                <w:sz w:val="24"/>
                <w:szCs w:val="24"/>
                <w:highlight w:val="none"/>
                <w:lang w:val="en-US" w:eastAsia="zh-CN" w:bidi="ar-SA"/>
              </w:rPr>
              <w:t xml:space="preserve">电子投标文件一份</w:t>
            </w:r>
            <w:r>
              <w:rPr>
                <w:rFonts w:ascii="宋体" w:hAnsi="宋体" w:eastAsia="宋体"/>
                <w:b/>
                <w:bCs/>
                <w:color w:val="000000"/>
                <w:sz w:val="24"/>
                <w:szCs w:val="24"/>
                <w:highlight w:val="none"/>
                <w:lang w:val="en-US" w:eastAsia="zh-CN" w:bidi="ar-SA"/>
              </w:rPr>
              <w:t xml:space="preserve">(通过系统提交)；纸质投标文件正本一份，副本</w:t>
            </w:r>
            <w:r>
              <w:rPr>
                <w:rFonts w:hint="eastAsia" w:ascii="宋体" w:hAnsi="宋体" w:eastAsia="宋体"/>
                <w:b/>
                <w:bCs/>
                <w:color w:val="000000"/>
                <w:sz w:val="24"/>
                <w:szCs w:val="24"/>
                <w:highlight w:val="none"/>
                <w:lang w:val="en-US" w:eastAsia="zh-CN" w:bidi="ar-SA"/>
              </w:rPr>
              <w:t xml:space="preserve">贰</w:t>
            </w:r>
            <w:r>
              <w:rPr>
                <w:rFonts w:ascii="宋体" w:hAnsi="宋体" w:eastAsia="宋体"/>
                <w:b/>
                <w:bCs/>
                <w:color w:val="000000"/>
                <w:sz w:val="24"/>
                <w:szCs w:val="24"/>
                <w:highlight w:val="none"/>
                <w:lang w:val="en-US" w:eastAsia="zh-CN" w:bidi="ar-SA"/>
              </w:rPr>
              <w:t xml:space="preserve">份（评审结束后由中标人邮寄至</w:t>
            </w:r>
            <w:r>
              <w:rPr>
                <w:rFonts w:hint="eastAsia" w:ascii="宋体" w:hAnsi="宋体" w:eastAsia="宋体"/>
                <w:b/>
                <w:bCs/>
                <w:color w:val="000000"/>
                <w:sz w:val="24"/>
                <w:szCs w:val="24"/>
                <w:highlight w:val="none"/>
                <w:lang w:val="en-US" w:eastAsia="zh-CN" w:bidi="ar-SA"/>
              </w:rPr>
              <w:t xml:space="preserve">中证房地产评估造价集团有限公司</w:t>
            </w:r>
            <w:r>
              <w:rPr>
                <w:rFonts w:ascii="宋体" w:hAnsi="宋体" w:eastAsia="宋体"/>
                <w:b/>
                <w:bCs/>
                <w:color w:val="000000"/>
                <w:sz w:val="24"/>
                <w:szCs w:val="24"/>
                <w:highlight w:val="none"/>
                <w:lang w:val="en-US" w:eastAsia="zh-CN" w:bidi="ar-SA"/>
              </w:rPr>
              <w:t xml:space="preserve">，未中标单位不需要提供）。</w:t>
            </w:r>
            <w:r>
              <w:rPr>
                <w:rFonts w:ascii="宋体" w:hAnsi="宋体" w:eastAsia="宋体" w:cs="宋体"/>
                <w:b/>
                <w:color w:val="000000"/>
                <w:sz w:val="21"/>
                <w:szCs w:val="21"/>
                <w:highlight w:val="none"/>
                <w:lang w:val="en-US" w:eastAsia="zh-CN" w:bidi="ar-SA"/>
              </w:rPr>
            </w:r>
            <w:r/>
          </w:p>
        </w:tc>
      </w:tr>
      <w:tr>
        <w:trPr>
          <w:trHeight w:val="719"/>
        </w:trPr>
        <w:tc>
          <w:tcPr>
            <w:tcW w:w="2183" w:type="dxa"/>
            <w:vAlign w:val="center"/>
            <w:textDirection w:val="lrTb"/>
            <w:noWrap/>
          </w:tcPr>
          <w:p>
            <w:pPr>
              <w:pStyle w:val="885"/>
              <w:jc w:val="center"/>
              <w:spacing w:line="300" w:lineRule="exact"/>
              <w:widowControl w:val="off"/>
              <w:rPr>
                <w:rFonts w:ascii="宋体" w:hAnsi="宋体" w:eastAsia="宋体"/>
                <w:bCs/>
                <w:color w:val="000000"/>
                <w:sz w:val="24"/>
                <w:highlight w:val="none"/>
                <w:lang w:val="en-US" w:eastAsia="zh-CN" w:bidi="ar-SA"/>
              </w:rPr>
            </w:pPr>
            <w:r>
              <w:rPr>
                <w:rFonts w:hint="eastAsia" w:ascii="宋体" w:hAnsi="宋体" w:eastAsia="宋体"/>
                <w:bCs/>
                <w:sz w:val="24"/>
                <w:highlight w:val="none"/>
                <w:lang w:val="en-US" w:eastAsia="zh-CN" w:bidi="ar-SA"/>
              </w:rPr>
              <w:t xml:space="preserve">最高限价</w:t>
            </w:r>
            <w:r>
              <w:rPr>
                <w:rFonts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jc w:val="center"/>
              <w:spacing w:line="300" w:lineRule="exact"/>
              <w:widowControl w:val="off"/>
              <w:rPr>
                <w:rFonts w:hint="eastAsia" w:ascii="宋体" w:hAnsi="宋体" w:eastAsia="宋体"/>
                <w:b/>
                <w:bCs/>
                <w:color w:val="000000"/>
                <w:sz w:val="24"/>
                <w:highlight w:val="none"/>
                <w:lang w:val="en-US" w:eastAsia="zh-CN" w:bidi="ar-SA"/>
              </w:rPr>
            </w:pPr>
            <w:r>
              <w:rPr>
                <w:rFonts w:hint="eastAsia" w:ascii="宋体" w:hAnsi="宋体" w:eastAsia="宋体" w:cs="Arial"/>
                <w:bCs/>
                <w:color w:val="000000"/>
                <w:sz w:val="24"/>
                <w:szCs w:val="24"/>
                <w:highlight w:val="none"/>
                <w:lang w:val="en-US" w:eastAsia="zh-CN" w:bidi="ar-SA"/>
              </w:rPr>
              <w:t xml:space="preserve">300万元，</w:t>
            </w:r>
            <w:r>
              <w:rPr>
                <w:rFonts w:hint="eastAsia" w:ascii="宋体" w:hAnsi="宋体" w:eastAsia="宋体"/>
                <w:sz w:val="24"/>
                <w:highlight w:val="none"/>
                <w:lang w:val="en-US" w:eastAsia="zh-CN" w:bidi="ar-SA"/>
              </w:rPr>
              <w:t xml:space="preserve">高于该最高限价的作无效标论处</w:t>
            </w:r>
            <w:r>
              <w:rPr>
                <w:rFonts w:hint="eastAsia" w:ascii="宋体" w:hAnsi="宋体" w:eastAsia="宋体"/>
                <w:b/>
                <w:bCs/>
                <w:color w:val="000000"/>
                <w:sz w:val="24"/>
                <w:highlight w:val="none"/>
                <w:lang w:val="en-US" w:eastAsia="zh-CN" w:bidi="ar-SA"/>
              </w:rPr>
            </w:r>
            <w:r/>
          </w:p>
        </w:tc>
      </w:tr>
      <w:tr>
        <w:trPr>
          <w:trHeight w:val="586"/>
        </w:trPr>
        <w:tc>
          <w:tcPr>
            <w:tcW w:w="2183" w:type="dxa"/>
            <w:vAlign w:val="center"/>
            <w:textDirection w:val="lrTb"/>
            <w:noWrap/>
          </w:tcPr>
          <w:p>
            <w:pPr>
              <w:pStyle w:val="885"/>
              <w:jc w:val="center"/>
              <w:spacing w:line="48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评标办法</w:t>
            </w:r>
            <w:r>
              <w:rPr>
                <w:rFonts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jc w:val="center"/>
              <w:spacing w:line="480" w:lineRule="exact"/>
              <w:widowControl w:val="off"/>
              <w:rPr>
                <w:rFonts w:ascii="宋体" w:hAnsi="宋体" w:eastAsia="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t xml:space="preserve">综合评分法</w:t>
            </w:r>
            <w:r>
              <w:rPr>
                <w:rFonts w:ascii="宋体" w:hAnsi="宋体" w:eastAsia="宋体"/>
                <w:b/>
                <w:bCs/>
                <w:color w:val="000000"/>
                <w:sz w:val="24"/>
                <w:highlight w:val="none"/>
                <w:lang w:val="en-US" w:eastAsia="zh-CN" w:bidi="ar-SA"/>
              </w:rPr>
            </w:r>
            <w:r/>
          </w:p>
        </w:tc>
      </w:tr>
      <w:tr>
        <w:trPr>
          <w:trHeight w:val="1017"/>
        </w:trPr>
        <w:tc>
          <w:tcPr>
            <w:tcW w:w="2183" w:type="dxa"/>
            <w:vAlign w:val="center"/>
            <w:textDirection w:val="lrTb"/>
            <w:noWrap/>
          </w:tcPr>
          <w:p>
            <w:pPr>
              <w:pStyle w:val="885"/>
              <w:jc w:val="center"/>
              <w:spacing w:line="48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其他要求</w:t>
            </w:r>
            <w:r>
              <w:rPr>
                <w:rFonts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jc w:val="both"/>
              <w:spacing w:line="400" w:lineRule="exact"/>
              <w:widowControl w:val="off"/>
              <w:rPr>
                <w:rFonts w:hint="eastAsia" w:ascii="宋体" w:hAnsi="宋体" w:eastAsia="宋体" w:cs="宋体"/>
                <w:b/>
                <w:color w:val="000000"/>
                <w:spacing w:val="-2"/>
                <w:sz w:val="24"/>
                <w:highlight w:val="none"/>
                <w:lang w:val="en-US" w:eastAsia="zh-CN" w:bidi="ar-SA"/>
              </w:rPr>
            </w:pPr>
            <w:r>
              <w:rPr>
                <w:rFonts w:hint="eastAsia" w:ascii="宋体" w:hAnsi="宋体" w:eastAsia="宋体" w:cs="宋体"/>
                <w:b/>
                <w:bCs/>
                <w:color w:val="000000"/>
                <w:sz w:val="24"/>
                <w:highlight w:val="none"/>
                <w:lang w:val="en-US" w:eastAsia="zh-CN" w:bidi="ar-SA"/>
              </w:rPr>
              <w:t xml:space="preserve">投标人如在投标过程中提供虚假材料谋取中标成交的或采取不正当手段诋毁、排挤其他供应商的,将依法处理处罚。</w:t>
            </w:r>
            <w:r>
              <w:rPr>
                <w:rFonts w:hint="eastAsia" w:ascii="宋体" w:hAnsi="宋体" w:eastAsia="宋体" w:cs="宋体"/>
                <w:b/>
                <w:color w:val="000000"/>
                <w:spacing w:val="-2"/>
                <w:sz w:val="24"/>
                <w:highlight w:val="none"/>
                <w:lang w:val="en-US" w:eastAsia="zh-CN" w:bidi="ar-SA"/>
              </w:rPr>
            </w:r>
            <w:r/>
          </w:p>
        </w:tc>
      </w:tr>
      <w:tr>
        <w:trPr>
          <w:trHeight w:val="1353"/>
        </w:trPr>
        <w:tc>
          <w:tcPr>
            <w:tcW w:w="2183" w:type="dxa"/>
            <w:vAlign w:val="center"/>
            <w:textDirection w:val="lrTb"/>
            <w:noWrap/>
          </w:tcPr>
          <w:p>
            <w:pPr>
              <w:pStyle w:val="885"/>
              <w:jc w:val="center"/>
              <w:spacing w:line="48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质疑</w:t>
            </w:r>
            <w:r>
              <w:rPr>
                <w:rFonts w:ascii="宋体" w:hAnsi="宋体" w:eastAsia="宋体"/>
                <w:bCs/>
                <w:color w:val="000000"/>
                <w:sz w:val="24"/>
                <w:highlight w:val="none"/>
                <w:lang w:val="en-US" w:eastAsia="zh-CN" w:bidi="ar-SA"/>
              </w:rPr>
              <w:t xml:space="preserve">受理部门</w:t>
            </w:r>
            <w:r>
              <w:rPr>
                <w:rFonts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ind w:firstLine="480"/>
              <w:jc w:val="left"/>
              <w:spacing w:line="480" w:lineRule="exact"/>
              <w:widowControl w:val="off"/>
              <w:rPr>
                <w:rFonts w:hint="eastAsia" w:ascii="宋体" w:hAnsi="宋体" w:eastAsia="宋体" w:cs="Times New Roman"/>
                <w:bCs/>
                <w:color w:val="000000"/>
                <w:sz w:val="24"/>
                <w:highlight w:val="none"/>
                <w:lang w:val="en-US" w:eastAsia="zh-CN" w:bidi="ar-SA"/>
              </w:rPr>
            </w:pPr>
            <w:r>
              <w:rPr>
                <w:rFonts w:hint="eastAsia" w:ascii="宋体" w:hAnsi="宋体" w:eastAsia="宋体" w:cs="Times New Roman"/>
                <w:bCs/>
                <w:color w:val="000000"/>
                <w:sz w:val="24"/>
                <w:highlight w:val="none"/>
                <w:lang w:val="en-US" w:eastAsia="zh-CN" w:bidi="ar-SA"/>
              </w:rPr>
              <w:t xml:space="preserve">联系部门：江苏省建湖高级中学/中证房地产评估造价集团有限公司</w:t>
            </w:r>
            <w:r>
              <w:rPr>
                <w:rFonts w:hint="eastAsia" w:ascii="宋体" w:hAnsi="宋体" w:eastAsia="宋体" w:cs="Times New Roman"/>
                <w:bCs/>
                <w:color w:val="000000"/>
                <w:sz w:val="24"/>
                <w:highlight w:val="none"/>
                <w:lang w:val="en-US" w:eastAsia="zh-CN" w:bidi="ar-SA"/>
              </w:rPr>
            </w:r>
            <w:r/>
          </w:p>
          <w:p>
            <w:pPr>
              <w:pStyle w:val="885"/>
              <w:ind w:firstLine="480"/>
              <w:jc w:val="left"/>
              <w:spacing w:line="480" w:lineRule="exact"/>
              <w:widowControl w:val="off"/>
              <w:rPr>
                <w:rFonts w:hint="eastAsia" w:ascii="宋体" w:hAnsi="宋体" w:eastAsia="宋体" w:cs="Times New Roman"/>
                <w:bCs/>
                <w:color w:val="000000"/>
                <w:sz w:val="24"/>
                <w:highlight w:val="none"/>
                <w:lang w:val="en-US" w:eastAsia="zh-CN" w:bidi="ar-SA"/>
              </w:rPr>
            </w:pPr>
            <w:r>
              <w:rPr>
                <w:rFonts w:hint="eastAsia" w:ascii="宋体" w:hAnsi="宋体" w:eastAsia="宋体" w:cs="Times New Roman"/>
                <w:bCs/>
                <w:color w:val="000000"/>
                <w:sz w:val="24"/>
                <w:highlight w:val="none"/>
                <w:lang w:val="en-US" w:eastAsia="zh-CN" w:bidi="ar-SA"/>
              </w:rPr>
              <w:t xml:space="preserve">联系电话：15950305858/15371198992</w:t>
            </w:r>
            <w:r>
              <w:rPr>
                <w:rFonts w:hint="eastAsia" w:ascii="宋体" w:hAnsi="宋体" w:eastAsia="宋体" w:cs="Times New Roman"/>
                <w:bCs/>
                <w:color w:val="000000"/>
                <w:sz w:val="24"/>
                <w:highlight w:val="none"/>
                <w:lang w:val="en-US" w:eastAsia="zh-CN" w:bidi="ar-SA"/>
              </w:rPr>
            </w:r>
            <w:r/>
          </w:p>
          <w:p>
            <w:pPr>
              <w:pStyle w:val="885"/>
              <w:ind w:firstLine="480"/>
              <w:jc w:val="left"/>
              <w:spacing w:line="480" w:lineRule="exact"/>
              <w:widowControl w:val="off"/>
              <w:rPr>
                <w:rFonts w:hint="eastAsia" w:ascii="宋体" w:hAnsi="宋体" w:eastAsia="宋体"/>
                <w:b/>
                <w:bCs/>
                <w:color w:val="000000"/>
                <w:sz w:val="24"/>
                <w:highlight w:val="none"/>
                <w:lang w:val="en-US" w:eastAsia="zh-CN" w:bidi="ar-SA"/>
              </w:rPr>
            </w:pPr>
            <w:r>
              <w:rPr>
                <w:rFonts w:hint="eastAsia" w:ascii="宋体" w:hAnsi="宋体" w:eastAsia="宋体" w:cs="Times New Roman"/>
                <w:bCs/>
                <w:color w:val="000000"/>
                <w:sz w:val="24"/>
                <w:highlight w:val="none"/>
                <w:lang w:val="en-US" w:eastAsia="zh-CN" w:bidi="ar-SA"/>
              </w:rPr>
              <w:t xml:space="preserve">通讯地址：建湖县湖中南路985号/</w:t>
            </w:r>
            <w:r>
              <w:rPr>
                <w:rFonts w:hint="eastAsia" w:ascii="宋体" w:hAnsi="宋体" w:eastAsia="宋体" w:cs="宋体"/>
                <w:bCs/>
                <w:color w:val="000000"/>
                <w:sz w:val="24"/>
                <w:highlight w:val="none"/>
                <w:lang w:val="en-US" w:eastAsia="zh-CN" w:bidi="ar-SA"/>
              </w:rPr>
              <w:t xml:space="preserve">建湖县人民南路612-2号三楼301室</w:t>
            </w:r>
            <w:r>
              <w:rPr>
                <w:rFonts w:hint="eastAsia" w:ascii="宋体" w:hAnsi="宋体" w:eastAsia="宋体"/>
                <w:b/>
                <w:bCs/>
                <w:color w:val="000000"/>
                <w:sz w:val="24"/>
                <w:highlight w:val="none"/>
                <w:lang w:val="en-US" w:eastAsia="zh-CN" w:bidi="ar-SA"/>
              </w:rPr>
            </w:r>
            <w:r/>
          </w:p>
        </w:tc>
      </w:tr>
      <w:tr>
        <w:trPr>
          <w:trHeight w:val="1017"/>
        </w:trPr>
        <w:tc>
          <w:tcPr>
            <w:tcW w:w="2183" w:type="dxa"/>
            <w:vAlign w:val="center"/>
            <w:textDirection w:val="lrTb"/>
            <w:noWrap/>
          </w:tcPr>
          <w:p>
            <w:pPr>
              <w:pStyle w:val="885"/>
              <w:jc w:val="center"/>
              <w:spacing w:line="480" w:lineRule="exact"/>
              <w:widowControl w:val="off"/>
              <w:rPr>
                <w:rFonts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投诉</w:t>
            </w:r>
            <w:r>
              <w:rPr>
                <w:rFonts w:ascii="宋体" w:hAnsi="宋体" w:eastAsia="宋体"/>
                <w:bCs/>
                <w:color w:val="000000"/>
                <w:sz w:val="24"/>
                <w:highlight w:val="none"/>
                <w:lang w:val="en-US" w:eastAsia="zh-CN" w:bidi="ar-SA"/>
              </w:rPr>
              <w:t xml:space="preserve">受理部门</w:t>
            </w:r>
            <w:r>
              <w:rPr>
                <w:rFonts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ind w:firstLine="480"/>
              <w:jc w:val="both"/>
              <w:spacing w:line="440" w:lineRule="exact"/>
              <w:widowControl w:val="off"/>
              <w:rPr>
                <w:rFonts w:hint="eastAsia" w:ascii="宋体" w:hAnsi="宋体" w:eastAsia="宋体" w:cs="Arial"/>
                <w:color w:val="000000"/>
                <w:sz w:val="24"/>
                <w:highlight w:val="none"/>
                <w:lang w:val="en-US" w:eastAsia="zh-CN" w:bidi="ar-SA"/>
              </w:rPr>
            </w:pPr>
            <w:r>
              <w:rPr>
                <w:rFonts w:hint="eastAsia" w:ascii="宋体" w:hAnsi="宋体" w:eastAsia="宋体" w:cs="Arial"/>
                <w:color w:val="000000"/>
                <w:sz w:val="24"/>
                <w:highlight w:val="none"/>
                <w:lang w:val="en-US" w:eastAsia="zh-CN" w:bidi="ar-SA"/>
              </w:rPr>
              <w:t xml:space="preserve">联系部门：建湖县财政局</w:t>
            </w:r>
            <w:r>
              <w:rPr>
                <w:rFonts w:hint="eastAsia" w:ascii="宋体" w:hAnsi="宋体" w:eastAsia="宋体" w:cs="Arial"/>
                <w:color w:val="000000"/>
                <w:sz w:val="24"/>
                <w:highlight w:val="none"/>
                <w:lang w:val="en-US" w:eastAsia="zh-CN" w:bidi="ar-SA"/>
              </w:rPr>
            </w:r>
            <w:r/>
          </w:p>
          <w:p>
            <w:pPr>
              <w:pStyle w:val="885"/>
              <w:ind w:firstLine="480"/>
              <w:jc w:val="both"/>
              <w:spacing w:line="440" w:lineRule="exact"/>
              <w:widowControl w:val="off"/>
              <w:rPr>
                <w:rFonts w:ascii="宋体" w:hAnsi="宋体" w:eastAsia="宋体" w:cs="Arial"/>
                <w:color w:val="000000"/>
                <w:sz w:val="24"/>
                <w:highlight w:val="none"/>
                <w:lang w:val="en-US" w:eastAsia="zh-CN" w:bidi="ar-SA"/>
              </w:rPr>
            </w:pPr>
            <w:r>
              <w:rPr>
                <w:rFonts w:hint="eastAsia" w:ascii="宋体" w:hAnsi="宋体" w:eastAsia="宋体" w:cs="Arial"/>
                <w:color w:val="000000"/>
                <w:sz w:val="24"/>
                <w:highlight w:val="none"/>
                <w:lang w:val="en-US" w:eastAsia="zh-CN" w:bidi="ar-SA"/>
              </w:rPr>
              <w:t xml:space="preserve">通讯</w:t>
            </w:r>
            <w:r>
              <w:rPr>
                <w:rFonts w:ascii="宋体" w:hAnsi="宋体" w:eastAsia="宋体" w:cs="Arial"/>
                <w:color w:val="000000"/>
                <w:sz w:val="24"/>
                <w:highlight w:val="none"/>
                <w:lang w:val="en-US" w:eastAsia="zh-CN" w:bidi="ar-SA"/>
              </w:rPr>
              <w:t xml:space="preserve">地址：</w:t>
            </w:r>
            <w:r>
              <w:rPr>
                <w:rFonts w:hint="eastAsia" w:ascii="宋体" w:hAnsi="宋体" w:eastAsia="宋体" w:cs="Arial"/>
                <w:color w:val="000000"/>
                <w:sz w:val="24"/>
                <w:highlight w:val="none"/>
                <w:lang w:val="en-US" w:eastAsia="zh-CN" w:bidi="ar-SA"/>
              </w:rPr>
              <w:t xml:space="preserve">建湖县</w:t>
            </w:r>
            <w:r>
              <w:rPr>
                <w:rFonts w:ascii="宋体" w:hAnsi="宋体" w:eastAsia="宋体" w:cs="Arial"/>
                <w:color w:val="000000"/>
                <w:sz w:val="24"/>
                <w:highlight w:val="none"/>
                <w:lang w:val="en-US" w:eastAsia="zh-CN" w:bidi="ar-SA"/>
              </w:rPr>
              <w:t xml:space="preserve">双湖路建设大厦</w:t>
            </w:r>
            <w:r>
              <w:rPr>
                <w:rFonts w:ascii="宋体" w:hAnsi="宋体" w:eastAsia="宋体" w:cs="Arial"/>
                <w:color w:val="000000"/>
                <w:sz w:val="24"/>
                <w:highlight w:val="none"/>
                <w:lang w:val="en-US" w:eastAsia="zh-CN" w:bidi="ar-SA"/>
              </w:rPr>
            </w:r>
            <w:r/>
          </w:p>
          <w:p>
            <w:pPr>
              <w:pStyle w:val="885"/>
              <w:ind w:firstLine="480"/>
              <w:jc w:val="both"/>
              <w:spacing w:line="440" w:lineRule="exact"/>
              <w:widowControl w:val="off"/>
              <w:rPr>
                <w:rFonts w:ascii="宋体" w:hAnsi="宋体" w:eastAsia="宋体" w:cs="Arial"/>
                <w:color w:val="000000"/>
                <w:sz w:val="24"/>
                <w:highlight w:val="none"/>
                <w:lang w:val="en-US" w:eastAsia="zh-CN" w:bidi="ar-SA"/>
              </w:rPr>
            </w:pPr>
            <w:r>
              <w:rPr>
                <w:rFonts w:hint="eastAsia" w:ascii="宋体" w:hAnsi="宋体" w:eastAsia="宋体" w:cs="Arial"/>
                <w:color w:val="000000"/>
                <w:sz w:val="24"/>
                <w:highlight w:val="none"/>
                <w:lang w:val="en-US" w:eastAsia="zh-CN" w:bidi="ar-SA"/>
              </w:rPr>
              <w:t xml:space="preserve">联系方式：0515-86233622</w:t>
            </w:r>
            <w:r>
              <w:rPr>
                <w:rFonts w:ascii="宋体" w:hAnsi="宋体" w:eastAsia="宋体" w:cs="Arial"/>
                <w:color w:val="000000"/>
                <w:sz w:val="24"/>
                <w:highlight w:val="none"/>
                <w:lang w:val="en-US" w:eastAsia="zh-CN" w:bidi="ar-SA"/>
              </w:rPr>
            </w:r>
            <w:r/>
          </w:p>
        </w:tc>
      </w:tr>
      <w:tr>
        <w:trPr>
          <w:trHeight w:val="667"/>
        </w:trPr>
        <w:tc>
          <w:tcPr>
            <w:tcW w:w="2183" w:type="dxa"/>
            <w:vAlign w:val="center"/>
            <w:textDirection w:val="lrTb"/>
            <w:noWrap/>
          </w:tcPr>
          <w:p>
            <w:pPr>
              <w:pStyle w:val="885"/>
              <w:jc w:val="center"/>
              <w:spacing w:line="480" w:lineRule="exact"/>
              <w:widowControl w:val="off"/>
              <w:rPr>
                <w:rFonts w:hint="eastAsia"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软件技术支持</w:t>
            </w:r>
            <w:r>
              <w:rPr>
                <w:rFonts w:hint="eastAsia"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jc w:val="both"/>
              <w:spacing w:line="440" w:lineRule="exact"/>
              <w:widowControl w:val="off"/>
              <w:rPr>
                <w:rFonts w:hint="eastAsia" w:ascii="宋体" w:hAnsi="宋体" w:eastAsia="宋体" w:cs="Arial"/>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联系方式：</w:t>
            </w:r>
            <w:r>
              <w:rPr>
                <w:rFonts w:ascii="宋体" w:hAnsi="宋体" w:eastAsia="宋体"/>
                <w:bCs/>
                <w:color w:val="000000"/>
                <w:sz w:val="24"/>
                <w:highlight w:val="none"/>
                <w:lang w:val="en-US" w:eastAsia="zh-CN" w:bidi="ar-SA"/>
              </w:rPr>
              <w:t xml:space="preserve">0519-86722805</w:t>
            </w:r>
            <w:r>
              <w:rPr>
                <w:rFonts w:hint="eastAsia" w:ascii="宋体" w:hAnsi="宋体" w:eastAsia="宋体" w:cs="Arial"/>
                <w:color w:val="000000"/>
                <w:sz w:val="24"/>
                <w:highlight w:val="none"/>
                <w:lang w:val="en-US" w:eastAsia="zh-CN" w:bidi="ar-SA"/>
              </w:rPr>
            </w:r>
            <w:r/>
          </w:p>
        </w:tc>
      </w:tr>
      <w:tr>
        <w:trPr>
          <w:trHeight w:val="750"/>
        </w:trPr>
        <w:tc>
          <w:tcPr>
            <w:tcW w:w="2183" w:type="dxa"/>
            <w:vAlign w:val="center"/>
            <w:textDirection w:val="lrTb"/>
            <w:noWrap/>
          </w:tcPr>
          <w:p>
            <w:pPr>
              <w:pStyle w:val="885"/>
              <w:jc w:val="center"/>
              <w:spacing w:line="480" w:lineRule="exact"/>
              <w:widowControl w:val="off"/>
              <w:rPr>
                <w:rFonts w:hint="eastAsia" w:ascii="宋体" w:hAnsi="宋体" w:eastAsia="宋体"/>
                <w:bCs/>
                <w:color w:val="000000"/>
                <w:sz w:val="24"/>
                <w:highlight w:val="none"/>
                <w:lang w:val="en-US" w:eastAsia="zh-CN" w:bidi="ar-SA"/>
              </w:rPr>
            </w:pPr>
            <w:r>
              <w:rPr>
                <w:rFonts w:hint="eastAsia" w:ascii="宋体" w:hAnsi="宋体" w:eastAsia="宋体"/>
                <w:bCs/>
                <w:color w:val="000000"/>
                <w:sz w:val="24"/>
                <w:highlight w:val="none"/>
                <w:lang w:val="en-US" w:eastAsia="zh-CN" w:bidi="ar-SA"/>
              </w:rPr>
              <w:t xml:space="preserve">解释权</w:t>
            </w:r>
            <w:r>
              <w:rPr>
                <w:rFonts w:hint="eastAsia" w:ascii="宋体" w:hAnsi="宋体" w:eastAsia="宋体"/>
                <w:bCs/>
                <w:color w:val="000000"/>
                <w:sz w:val="24"/>
                <w:highlight w:val="none"/>
                <w:lang w:val="en-US" w:eastAsia="zh-CN" w:bidi="ar-SA"/>
              </w:rPr>
            </w:r>
            <w:r/>
          </w:p>
        </w:tc>
        <w:tc>
          <w:tcPr>
            <w:gridSpan w:val="3"/>
            <w:tcW w:w="7965" w:type="dxa"/>
            <w:vAlign w:val="center"/>
            <w:textDirection w:val="lrTb"/>
            <w:noWrap/>
          </w:tcPr>
          <w:p>
            <w:pPr>
              <w:pStyle w:val="885"/>
              <w:jc w:val="both"/>
              <w:spacing w:line="400" w:lineRule="exact"/>
              <w:widowControl w:val="off"/>
              <w:rPr>
                <w:rFonts w:hint="eastAsia" w:ascii="宋体" w:hAnsi="宋体" w:eastAsia="宋体"/>
                <w:bCs/>
                <w:color w:val="000000"/>
                <w:sz w:val="24"/>
                <w:highlight w:val="none"/>
                <w:lang w:val="en-US" w:eastAsia="zh-CN" w:bidi="ar-SA"/>
              </w:rPr>
            </w:pPr>
            <w:r>
              <w:rPr>
                <w:rFonts w:hint="eastAsia" w:ascii="宋体" w:hAnsi="宋体" w:eastAsia="宋体"/>
                <w:b w:val="0"/>
                <w:bCs w:val="0"/>
                <w:color w:val="000000"/>
                <w:sz w:val="24"/>
                <w:highlight w:val="none"/>
                <w:lang w:val="en-US" w:eastAsia="zh-CN" w:bidi="ar-SA"/>
              </w:rPr>
              <w:t xml:space="preserve">本采购文件的最终解释权归采购单位所有</w:t>
            </w:r>
            <w:r>
              <w:rPr>
                <w:rFonts w:hint="eastAsia" w:ascii="宋体" w:hAnsi="宋体" w:eastAsia="宋体"/>
                <w:bCs/>
                <w:color w:val="000000"/>
                <w:sz w:val="24"/>
                <w:highlight w:val="none"/>
                <w:lang w:val="en-US" w:eastAsia="zh-CN" w:bidi="ar-SA"/>
              </w:rPr>
            </w:r>
            <w:r/>
          </w:p>
        </w:tc>
      </w:tr>
    </w:tbl>
    <w:p>
      <w:pPr>
        <w:pStyle w:val="885"/>
        <w:jc w:val="both"/>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885"/>
        <w:ind w:firstLine="723"/>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ascii="宋体" w:hAnsi="宋体" w:cs="宋体"/>
          <w:b/>
          <w:color w:val="000000"/>
          <w:sz w:val="36"/>
          <w:szCs w:val="36"/>
          <w:highlight w:val="none"/>
        </w:rPr>
      </w:r>
      <w:r/>
    </w:p>
    <w:p>
      <w:pPr>
        <w:pStyle w:val="885"/>
        <w:ind w:firstLine="48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1.适用范围</w:t>
      </w:r>
      <w:r>
        <w:rPr>
          <w:rFonts w:ascii="宋体" w:hAnsi="宋体" w:cs="宋体"/>
          <w:b/>
          <w:color w:val="000000"/>
          <w:sz w:val="24"/>
          <w:highlight w:val="none"/>
        </w:rPr>
      </w:r>
      <w:r/>
    </w:p>
    <w:p>
      <w:pPr>
        <w:pStyle w:val="885"/>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1.1本次项目仅适用于招标文件中所叙述项目的</w:t>
      </w:r>
      <w:r>
        <w:rPr>
          <w:rFonts w:hint="eastAsia" w:ascii="宋体" w:hAnsi="宋体" w:cs="宋体"/>
          <w:color w:val="000000"/>
          <w:sz w:val="24"/>
          <w:highlight w:val="none"/>
          <w:lang w:val="en-US" w:eastAsia="zh-CN"/>
        </w:rPr>
        <w:t xml:space="preserve">货物</w:t>
      </w:r>
      <w:r>
        <w:rPr>
          <w:rFonts w:hint="eastAsia" w:ascii="宋体" w:hAnsi="宋体" w:cs="宋体"/>
          <w:color w:val="000000"/>
          <w:sz w:val="24"/>
          <w:highlight w:val="none"/>
        </w:rPr>
        <w:t xml:space="preserve">采购。</w:t>
      </w:r>
      <w:r>
        <w:rPr>
          <w:rFonts w:ascii="宋体" w:hAnsi="宋体" w:cs="宋体"/>
          <w:color w:val="000000"/>
          <w:sz w:val="24"/>
          <w:highlight w:val="none"/>
        </w:rPr>
      </w:r>
      <w:r/>
    </w:p>
    <w:p>
      <w:pPr>
        <w:pStyle w:val="885"/>
        <w:ind w:firstLine="48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2.定义</w:t>
      </w:r>
      <w:r>
        <w:rPr>
          <w:rFonts w:ascii="宋体" w:hAnsi="宋体" w:cs="宋体"/>
          <w:b/>
          <w:color w:val="000000"/>
          <w:sz w:val="24"/>
          <w:highlight w:val="none"/>
        </w:rPr>
      </w:r>
      <w:r/>
    </w:p>
    <w:p>
      <w:pPr>
        <w:pStyle w:val="885"/>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2.1“采购人”、“采购单位”系指本次采购项目的业主方。</w:t>
      </w:r>
      <w:r>
        <w:rPr>
          <w:rFonts w:ascii="宋体" w:hAnsi="宋体" w:cs="宋体"/>
          <w:color w:val="000000"/>
          <w:sz w:val="24"/>
          <w:highlight w:val="none"/>
        </w:rPr>
      </w:r>
      <w:r/>
    </w:p>
    <w:p>
      <w:pPr>
        <w:pStyle w:val="885"/>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2.2“采购代理机构”系指本次招标采购项目活动组织方。</w:t>
      </w:r>
      <w:r>
        <w:rPr>
          <w:rFonts w:ascii="宋体" w:hAnsi="宋体" w:cs="宋体"/>
          <w:color w:val="000000"/>
          <w:sz w:val="24"/>
          <w:highlight w:val="none"/>
        </w:rPr>
      </w:r>
      <w:r/>
    </w:p>
    <w:p>
      <w:pPr>
        <w:pStyle w:val="885"/>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2.3“投标人”系指获取了本招标文件，且已经提交或者准备提交本次投标文件的制造商或供货商。</w:t>
      </w:r>
      <w:r>
        <w:rPr>
          <w:rFonts w:hint="eastAsia" w:ascii="宋体" w:hAnsi="宋体" w:cs="宋体"/>
          <w:color w:val="000000"/>
          <w:sz w:val="24"/>
          <w:highlight w:val="none"/>
        </w:rPr>
      </w:r>
      <w:r/>
    </w:p>
    <w:p>
      <w:pPr>
        <w:pStyle w:val="885"/>
        <w:ind w:firstLine="480"/>
        <w:spacing w:line="480" w:lineRule="exact"/>
        <w:tabs>
          <w:tab w:val="left" w:pos="7665" w:leader="none"/>
        </w:tabs>
        <w:rPr>
          <w:rFonts w:ascii="宋体" w:hAnsi="宋体" w:cs="宋体"/>
          <w:color w:val="000000"/>
          <w:sz w:val="24"/>
          <w:highlight w:val="none"/>
        </w:rPr>
      </w:pPr>
      <w:r>
        <w:rPr>
          <w:rFonts w:ascii="宋体" w:hAnsi="宋体" w:eastAsia="宋体"/>
          <w:color w:val="000000"/>
          <w:sz w:val="24"/>
          <w:szCs w:val="20"/>
          <w:highlight w:val="none"/>
        </w:rPr>
        <w:t xml:space="preserve">2.4</w:t>
      </w:r>
      <w:r>
        <w:rPr>
          <w:rFonts w:hint="eastAsia" w:ascii="宋体" w:hAnsi="宋体" w:eastAsia="宋体"/>
          <w:color w:val="000000"/>
          <w:sz w:val="24"/>
          <w:szCs w:val="20"/>
          <w:highlight w:val="none"/>
        </w:rPr>
        <w:t xml:space="preserve">“投标文件有效期”系指投标截止日起60天（日历天）；</w:t>
      </w:r>
      <w:r>
        <w:rPr>
          <w:rFonts w:ascii="宋体" w:hAnsi="宋体" w:cs="宋体"/>
          <w:color w:val="000000"/>
          <w:sz w:val="24"/>
          <w:highlight w:val="none"/>
        </w:rPr>
      </w:r>
      <w:r/>
    </w:p>
    <w:p>
      <w:pPr>
        <w:pStyle w:val="885"/>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2.5不可抗力：不可预见、不能避免并且不能克服的客观情况。</w:t>
      </w:r>
      <w:r>
        <w:rPr>
          <w:rFonts w:ascii="宋体" w:hAnsi="宋体" w:cs="宋体"/>
          <w:color w:val="000000"/>
          <w:sz w:val="24"/>
          <w:highlight w:val="none"/>
        </w:rPr>
      </w:r>
      <w:r/>
    </w:p>
    <w:p>
      <w:pPr>
        <w:pStyle w:val="885"/>
        <w:ind w:firstLine="482"/>
        <w:spacing w:line="480" w:lineRule="exact"/>
        <w:tabs>
          <w:tab w:val="left" w:pos="7665" w:leader="none"/>
        </w:tabs>
        <w:rPr>
          <w:rFonts w:ascii="宋体" w:hAnsi="宋体" w:cs="宋体"/>
          <w:b/>
          <w:color w:val="000000"/>
          <w:sz w:val="36"/>
          <w:szCs w:val="36"/>
          <w:highlight w:val="none"/>
        </w:rPr>
      </w:pPr>
      <w:r>
        <w:rPr>
          <w:rFonts w:hint="eastAsia" w:ascii="宋体" w:hAnsi="宋体" w:cs="宋体"/>
          <w:b/>
          <w:color w:val="000000"/>
          <w:sz w:val="24"/>
          <w:highlight w:val="none"/>
        </w:rPr>
        <w:t xml:space="preserve">3.申请人的资格要求：</w:t>
      </w:r>
      <w:r>
        <w:rPr>
          <w:rFonts w:hint="eastAsia" w:ascii="宋体" w:hAnsi="宋体" w:cs="宋体"/>
          <w:b/>
          <w:color w:val="000000"/>
          <w:sz w:val="24"/>
          <w:highlight w:val="none"/>
          <w:lang w:val="en-US" w:eastAsia="zh-CN"/>
        </w:rPr>
        <w:t xml:space="preserve">详见招标公告</w:t>
      </w:r>
      <w:r>
        <w:rPr>
          <w:rFonts w:ascii="宋体" w:hAnsi="宋体" w:cs="宋体"/>
          <w:b/>
          <w:color w:val="000000"/>
          <w:sz w:val="36"/>
          <w:szCs w:val="36"/>
          <w:highlight w:val="none"/>
        </w:rPr>
      </w:r>
      <w:r/>
    </w:p>
    <w:p>
      <w:pPr>
        <w:pStyle w:val="885"/>
        <w:ind w:firstLine="723"/>
        <w:jc w:val="center"/>
        <w:spacing w:before="100" w:beforeAutospacing="1" w:after="100" w:afterAutospacing="1" w:line="48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ascii="宋体" w:hAnsi="宋体" w:cs="宋体"/>
          <w:b/>
          <w:color w:val="000000"/>
          <w:sz w:val="36"/>
          <w:szCs w:val="36"/>
          <w:highlight w:val="none"/>
        </w:rPr>
      </w:r>
      <w:r/>
    </w:p>
    <w:p>
      <w:pPr>
        <w:pStyle w:val="885"/>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招标文件的构成</w:t>
      </w:r>
      <w:r>
        <w:rPr>
          <w:rFonts w:hint="eastAsia" w:ascii="宋体" w:hAnsi="宋体"/>
          <w:b/>
          <w:color w:val="000000"/>
          <w:sz w:val="24"/>
          <w:highlight w:val="none"/>
        </w:rPr>
      </w:r>
      <w:r/>
    </w:p>
    <w:p>
      <w:pPr>
        <w:pStyle w:val="885"/>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highlight w:val="none"/>
        </w:rPr>
      </w:r>
      <w:r/>
    </w:p>
    <w:p>
      <w:pPr>
        <w:pStyle w:val="885"/>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rPr>
          <w:rFonts w:hint="eastAsia" w:ascii="宋体" w:hAnsi="宋体"/>
          <w:color w:val="000000"/>
          <w:sz w:val="24"/>
          <w:highlight w:val="none"/>
        </w:rPr>
      </w:r>
      <w:r/>
    </w:p>
    <w:p>
      <w:pPr>
        <w:pStyle w:val="885"/>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rPr>
          <w:rFonts w:hint="eastAsia" w:ascii="宋体" w:hAnsi="宋体"/>
          <w:color w:val="000000"/>
          <w:sz w:val="24"/>
          <w:highlight w:val="none"/>
        </w:rPr>
      </w:r>
      <w:r/>
    </w:p>
    <w:p>
      <w:pPr>
        <w:pStyle w:val="885"/>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885"/>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885"/>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rPr>
          <w:rFonts w:hint="eastAsia" w:ascii="宋体" w:hAnsi="宋体"/>
          <w:color w:val="000000"/>
          <w:sz w:val="24"/>
          <w:highlight w:val="none"/>
        </w:rPr>
      </w:r>
      <w:r/>
    </w:p>
    <w:p>
      <w:pPr>
        <w:pStyle w:val="885"/>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rPr>
          <w:rFonts w:hint="eastAsia" w:ascii="宋体" w:hAnsi="宋体"/>
          <w:color w:val="000000"/>
          <w:sz w:val="24"/>
          <w:highlight w:val="none"/>
        </w:rPr>
      </w:r>
      <w:r/>
    </w:p>
    <w:p>
      <w:pPr>
        <w:pStyle w:val="885"/>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highlight w:val="none"/>
        </w:rPr>
      </w:r>
      <w:r/>
    </w:p>
    <w:p>
      <w:pPr>
        <w:pStyle w:val="885"/>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885"/>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885"/>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885"/>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071"/>
        <w:ind w:firstLine="480"/>
        <w:spacing w:line="460" w:lineRule="exact"/>
        <w:rPr>
          <w:rFonts w:hint="eastAsia"/>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885"/>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5．招标文件的澄清、修改及补充：</w:t>
      </w:r>
      <w:r>
        <w:rPr>
          <w:rFonts w:hint="eastAsia" w:ascii="宋体" w:hAnsi="宋体"/>
          <w:b/>
          <w:bCs/>
          <w:color w:val="000000"/>
          <w:sz w:val="24"/>
          <w:highlight w:val="none"/>
        </w:rPr>
      </w:r>
      <w:r/>
    </w:p>
    <w:p>
      <w:pPr>
        <w:pStyle w:val="885"/>
        <w:ind w:left="-15" w:firstLine="480"/>
        <w:jc w:val="left"/>
        <w:keepLines w:val="0"/>
        <w:keepNext w:val="0"/>
        <w:pageBreakBefore w:val="0"/>
        <w:spacing w:line="480" w:lineRule="exact"/>
        <w:widowControl/>
        <w:tabs>
          <w:tab w:val="left" w:pos="766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5.1投标人在收到招标文件后，如有疑问需要澄清，应以规定的时间和方式（2026年7月30日17:00前）向采购人或代理机构提出，如在规定期限内未递交疑问或未按规定提交投标疑问的，则视为该投标人无疑问。</w:t>
      </w:r>
      <w:r>
        <w:rPr>
          <w:rFonts w:hint="eastAsia" w:ascii="宋体" w:hAnsi="宋体" w:eastAsia="宋体" w:cs="宋体"/>
          <w:color w:val="000000"/>
          <w:sz w:val="24"/>
          <w:szCs w:val="24"/>
          <w:highlight w:val="none"/>
          <w:lang w:val="en-US" w:eastAsia="zh-CN" w:bidi="ar-SA"/>
        </w:rPr>
      </w:r>
      <w:r/>
    </w:p>
    <w:p>
      <w:pPr>
        <w:pStyle w:val="885"/>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5.2在投标截止日期前，采购单位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p>
      <w:pPr>
        <w:pStyle w:val="885"/>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5.3标书以外的内容，一律拒绝答复。</w:t>
      </w:r>
      <w:r>
        <w:rPr>
          <w:rFonts w:ascii="宋体" w:hAnsi="宋体"/>
          <w:bCs/>
          <w:color w:val="000000"/>
          <w:sz w:val="24"/>
          <w:highlight w:val="none"/>
        </w:rPr>
      </w:r>
      <w:r/>
    </w:p>
    <w:p>
      <w:pPr>
        <w:pStyle w:val="885"/>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5.4投标人对采购人提供的采购文件所做出的推论、解释和结论，采购人概不负责。投标人由于对招标文件的任何推论和误解以及采购人对有关问题的口头解释所造成的后果，均由投标人自负。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highlight w:val="none"/>
        </w:rPr>
      </w:r>
      <w:r/>
    </w:p>
    <w:p>
      <w:pPr>
        <w:pStyle w:val="885"/>
        <w:ind w:firstLine="480"/>
        <w:jc w:val="left"/>
        <w:spacing w:line="480" w:lineRule="exact"/>
        <w:widowControl/>
        <w:rPr>
          <w:rFonts w:hint="eastAsia" w:ascii="宋体" w:hAnsi="宋体" w:cs="宋体"/>
          <w:bCs/>
          <w:color w:val="000000"/>
          <w:sz w:val="24"/>
          <w:highlight w:val="none"/>
        </w:rPr>
      </w:pPr>
      <w:r>
        <w:rPr>
          <w:rFonts w:ascii="宋体" w:hAnsi="宋体"/>
          <w:bCs/>
          <w:color w:val="000000"/>
          <w:sz w:val="24"/>
          <w:highlight w:val="none"/>
        </w:rPr>
        <w:t xml:space="preserve">5.5本采购文件的最终解释权归采购单位所有</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885"/>
        <w:ind w:firstLine="723"/>
        <w:jc w:val="center"/>
        <w:spacing w:before="280"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ascii="宋体" w:hAnsi="宋体" w:cs="宋体"/>
          <w:b/>
          <w:color w:val="000000"/>
          <w:sz w:val="36"/>
          <w:szCs w:val="32"/>
          <w:highlight w:val="none"/>
        </w:rPr>
      </w:r>
      <w:r/>
    </w:p>
    <w:p>
      <w:pPr>
        <w:pStyle w:val="885"/>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6</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投标文件的编制</w:t>
      </w:r>
      <w:r>
        <w:rPr>
          <w:rFonts w:hint="eastAsia" w:ascii="宋体" w:hAnsi="宋体"/>
          <w:b/>
          <w:bCs/>
          <w:color w:val="000000"/>
          <w:sz w:val="24"/>
          <w:highlight w:val="none"/>
        </w:rPr>
      </w:r>
      <w:r/>
    </w:p>
    <w:p>
      <w:pPr>
        <w:pStyle w:val="88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88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885"/>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88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6.2投标语言及计量单位  </w:t>
      </w:r>
      <w:r>
        <w:rPr>
          <w:rFonts w:ascii="宋体" w:hAnsi="宋体"/>
          <w:color w:val="000000"/>
          <w:sz w:val="24"/>
          <w:highlight w:val="none"/>
        </w:rPr>
      </w:r>
      <w:r/>
    </w:p>
    <w:p>
      <w:pPr>
        <w:pStyle w:val="88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88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88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88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88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6.3电子投标文件其他要求</w:t>
      </w:r>
      <w:r>
        <w:rPr>
          <w:rFonts w:ascii="宋体" w:hAnsi="宋体"/>
          <w:color w:val="000000"/>
          <w:sz w:val="24"/>
          <w:highlight w:val="none"/>
        </w:rPr>
      </w:r>
      <w:r/>
    </w:p>
    <w:p>
      <w:pPr>
        <w:pStyle w:val="885"/>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rPr>
          <w:rFonts w:ascii="宋体" w:hAnsi="宋体"/>
          <w:color w:val="000000"/>
          <w:sz w:val="24"/>
          <w:highlight w:val="none"/>
        </w:rPr>
      </w:r>
      <w:r/>
    </w:p>
    <w:p>
      <w:pPr>
        <w:pStyle w:val="88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rPr>
          <w:rFonts w:ascii="宋体" w:hAnsi="宋体"/>
          <w:color w:val="000000"/>
          <w:sz w:val="24"/>
          <w:highlight w:val="none"/>
        </w:rPr>
      </w:r>
      <w:r/>
    </w:p>
    <w:p>
      <w:pPr>
        <w:pStyle w:val="885"/>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rPr>
          <w:rFonts w:ascii="宋体" w:hAnsi="宋体"/>
          <w:color w:val="000000"/>
          <w:sz w:val="24"/>
          <w:highlight w:val="none"/>
        </w:rPr>
      </w:r>
      <w:r/>
    </w:p>
    <w:p>
      <w:pPr>
        <w:pStyle w:val="885"/>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highlight w:val="none"/>
        </w:rPr>
      </w:r>
      <w:r/>
    </w:p>
    <w:p>
      <w:pPr>
        <w:pStyle w:val="885"/>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1"/>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color w:val="000000"/>
          <w:sz w:val="24"/>
          <w:highlight w:val="none"/>
          <w:lang w:val="en-US" w:eastAsia="zh-CN"/>
        </w:rPr>
        <w:t xml:space="preserve">.</w:t>
      </w:r>
      <w:r>
        <w:rPr>
          <w:rFonts w:hint="eastAsia" w:ascii="宋体" w:hAnsi="宋体"/>
          <w:b/>
          <w:bCs/>
          <w:color w:val="000000"/>
          <w:sz w:val="24"/>
          <w:highlight w:val="none"/>
        </w:rPr>
        <w:t xml:space="preserve">为贯彻落实苏财购[2020]52号文件精神，该项目投标人免交投标保证金。</w:t>
      </w:r>
      <w:r>
        <w:rPr>
          <w:rFonts w:hint="eastAsia" w:ascii="宋体" w:hAnsi="宋体"/>
          <w:b/>
          <w:color w:val="000000"/>
          <w:sz w:val="24"/>
          <w:highlight w:val="none"/>
        </w:rPr>
      </w:r>
      <w:r/>
    </w:p>
    <w:p>
      <w:pPr>
        <w:pStyle w:val="885"/>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8.投标报价：</w:t>
      </w:r>
      <w:r>
        <w:rPr>
          <w:rFonts w:hint="eastAsia" w:ascii="宋体" w:hAnsi="宋体"/>
          <w:b/>
          <w:bCs/>
          <w:color w:val="000000"/>
          <w:sz w:val="24"/>
          <w:highlight w:val="none"/>
        </w:rPr>
      </w:r>
      <w:r/>
    </w:p>
    <w:p>
      <w:pPr>
        <w:pStyle w:val="885"/>
        <w:ind w:firstLine="482"/>
        <w:spacing w:line="48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w:t>
      </w:r>
      <w:r>
        <w:rPr>
          <w:rFonts w:hint="eastAsia" w:ascii="宋体" w:hAnsi="宋体"/>
          <w:color w:val="000000"/>
          <w:sz w:val="24"/>
          <w:highlight w:val="none"/>
          <w:lang w:val="en-US" w:eastAsia="zh-CN"/>
        </w:rPr>
        <w:t xml:space="preserve">服务</w:t>
      </w:r>
      <w:r>
        <w:rPr>
          <w:rFonts w:hint="eastAsia" w:ascii="宋体" w:hAnsi="宋体"/>
          <w:color w:val="000000"/>
          <w:sz w:val="24"/>
          <w:highlight w:val="none"/>
        </w:rPr>
        <w:t xml:space="preserve">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885"/>
        <w:ind w:firstLine="482"/>
        <w:spacing w:line="460" w:lineRule="exact"/>
        <w:rPr>
          <w:rFonts w:ascii="宋体" w:hAnsi="宋体"/>
          <w:b/>
          <w:color w:val="000000"/>
          <w:sz w:val="24"/>
          <w:highlight w:val="none"/>
        </w:rPr>
      </w:pPr>
      <w:r>
        <w:rPr>
          <w:rFonts w:hint="eastAsia" w:ascii="宋体" w:hAnsi="宋体"/>
          <w:b/>
          <w:color w:val="000000"/>
          <w:sz w:val="24"/>
          <w:highlight w:val="none"/>
        </w:rPr>
        <w:t xml:space="preserve">8.2</w:t>
      </w:r>
      <w:r>
        <w:rPr>
          <w:rFonts w:hint="eastAsia" w:ascii="宋体" w:hAnsi="宋体"/>
          <w:b/>
          <w:sz w:val="24"/>
          <w:highlight w:val="none"/>
          <w:lang w:val="en-US" w:eastAsia="zh-CN"/>
        </w:rPr>
        <w:t xml:space="preserve">最高限价</w:t>
      </w:r>
      <w:r>
        <w:rPr>
          <w:rFonts w:hint="eastAsia" w:ascii="宋体" w:hAnsi="宋体"/>
          <w:b/>
          <w:bCs/>
          <w:sz w:val="24"/>
          <w:highlight w:val="none"/>
        </w:rPr>
        <w:t xml:space="preserve">：</w:t>
      </w:r>
      <w:r>
        <w:rPr>
          <w:rFonts w:hint="eastAsia" w:ascii="宋体" w:hAnsi="宋体"/>
          <w:b/>
          <w:bCs/>
          <w:sz w:val="24"/>
          <w:highlight w:val="none"/>
          <w:lang w:val="en-US" w:eastAsia="zh-CN"/>
        </w:rPr>
        <w:t xml:space="preserve">300万元。高于该最高限价的作无效标论处。</w:t>
      </w:r>
      <w:r>
        <w:rPr>
          <w:rFonts w:ascii="宋体" w:hAnsi="宋体"/>
          <w:b/>
          <w:color w:val="000000"/>
          <w:sz w:val="24"/>
          <w:highlight w:val="none"/>
        </w:rPr>
      </w:r>
      <w:r/>
    </w:p>
    <w:p>
      <w:pPr>
        <w:pStyle w:val="885"/>
        <w:ind w:firstLine="482"/>
        <w:spacing w:line="480" w:lineRule="exact"/>
        <w:rPr>
          <w:rFonts w:hint="eastAsia" w:ascii="宋体" w:hAnsi="宋体"/>
          <w:bCs/>
          <w:color w:val="000000"/>
          <w:sz w:val="24"/>
          <w:highlight w:val="none"/>
        </w:rPr>
      </w:pPr>
      <w:r>
        <w:rPr>
          <w:rFonts w:hint="eastAsia" w:ascii="宋体" w:hAnsi="宋体"/>
          <w:b/>
          <w:color w:val="000000"/>
          <w:sz w:val="24"/>
          <w:highlight w:val="none"/>
        </w:rPr>
        <w:t xml:space="preserve">8.3投标报价</w:t>
      </w:r>
      <w:r>
        <w:rPr>
          <w:rFonts w:hint="eastAsia" w:ascii="宋体" w:hAnsi="宋体"/>
          <w:bCs/>
          <w:color w:val="000000"/>
          <w:sz w:val="24"/>
          <w:highlight w:val="none"/>
        </w:rPr>
      </w:r>
      <w:r/>
    </w:p>
    <w:p>
      <w:pPr>
        <w:pStyle w:val="885"/>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bCs/>
          <w:color w:val="000000"/>
          <w:sz w:val="24"/>
          <w:highlight w:val="none"/>
        </w:rPr>
        <w:t xml:space="preserve">8.3.1报价应包含以下内容：投标人应根据自己的实力和条件报价，投标报价应是招标文件所确定招标范围内全部工作内容的价格体现，以及为完成上述内容所必须的人工费、材料费、不可预见的费用、管理费、利润、税金和文件规定的其他各项应有的全部费用（综合报价）。对投标人认为没有考虑到的费用项目采购单位将不予支付，并认为此项费用已包含在投标报价中。</w:t>
      </w:r>
      <w:r>
        <w:rPr>
          <w:rFonts w:hint="eastAsia" w:ascii="宋体" w:hAnsi="宋体" w:eastAsia="宋体" w:cs="宋体"/>
          <w:color w:val="000000"/>
          <w:sz w:val="24"/>
          <w:szCs w:val="24"/>
          <w:highlight w:val="none"/>
          <w:lang w:val="en-US" w:eastAsia="zh-CN"/>
        </w:rPr>
      </w:r>
      <w:r/>
    </w:p>
    <w:p>
      <w:pPr>
        <w:pStyle w:val="885"/>
        <w:ind w:firstLine="480"/>
        <w:jc w:val="left"/>
        <w:spacing w:line="480" w:lineRule="exact"/>
        <w:widowControl/>
        <w:tabs>
          <w:tab w:val="left" w:pos="54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8.3.2开标一览表、投标价格表的报价一律用人民币（单位：元）填报。</w:t>
      </w:r>
      <w:r>
        <w:rPr>
          <w:rFonts w:hint="eastAsia" w:ascii="宋体" w:hAnsi="宋体" w:eastAsia="宋体" w:cs="Times New Roman"/>
          <w:bCs/>
          <w:color w:val="000000"/>
          <w:sz w:val="24"/>
          <w:highlight w:val="none"/>
        </w:rPr>
      </w:r>
      <w:r/>
    </w:p>
    <w:p>
      <w:pPr>
        <w:pStyle w:val="885"/>
        <w:ind w:left="2" w:firstLine="480"/>
        <w:spacing w:line="460" w:lineRule="exact"/>
        <w:rPr>
          <w:rFonts w:hint="eastAsia" w:ascii="宋体" w:hAnsi="宋体"/>
          <w:b/>
          <w:color w:val="000000"/>
          <w:sz w:val="24"/>
          <w:highlight w:val="none"/>
        </w:rPr>
      </w:pPr>
      <w:r>
        <w:rPr>
          <w:rFonts w:hint="eastAsia" w:ascii="宋体" w:hAnsi="宋体" w:eastAsia="宋体" w:cs="Times New Roman"/>
          <w:bCs/>
          <w:color w:val="000000"/>
          <w:sz w:val="24"/>
          <w:highlight w:val="none"/>
        </w:rPr>
        <w:t xml:space="preserve">8.4招标代理服务费：</w:t>
      </w:r>
      <w:r>
        <w:rPr>
          <w:rFonts w:hint="eastAsia" w:ascii="宋体" w:hAnsi="宋体" w:eastAsia="宋体" w:cs="宋体"/>
          <w:bCs/>
          <w:color w:val="000000"/>
          <w:sz w:val="24"/>
          <w:szCs w:val="24"/>
          <w:highlight w:val="none"/>
          <w:lang w:val="en-US" w:eastAsia="zh-CN"/>
        </w:rPr>
        <w:t xml:space="preserve">本项目招标代理费由采购人支付</w:t>
      </w:r>
      <w:r>
        <w:rPr>
          <w:rFonts w:hint="eastAsia" w:ascii="宋体" w:hAnsi="宋体" w:cs="宋体"/>
          <w:bCs/>
          <w:color w:val="000000"/>
          <w:sz w:val="24"/>
          <w:szCs w:val="24"/>
          <w:highlight w:val="none"/>
          <w:lang w:eastAsia="zh-CN"/>
        </w:rPr>
        <w:t xml:space="preserve">。</w:t>
      </w:r>
      <w:r>
        <w:rPr>
          <w:rFonts w:hint="eastAsia" w:ascii="宋体" w:hAnsi="宋体"/>
          <w:b/>
          <w:color w:val="000000"/>
          <w:sz w:val="24"/>
          <w:highlight w:val="none"/>
        </w:rPr>
      </w:r>
      <w:r/>
    </w:p>
    <w:p>
      <w:pPr>
        <w:pStyle w:val="1071"/>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highlight w:val="none"/>
        </w:rPr>
      </w:r>
      <w:r/>
    </w:p>
    <w:p>
      <w:pPr>
        <w:pStyle w:val="885"/>
        <w:ind w:firstLine="482"/>
        <w:jc w:val="left"/>
        <w:spacing w:line="480" w:lineRule="exact"/>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线上投标文件编制要求，请按照以下要求（包括但不限于以下要求）制作：</w:t>
      </w:r>
      <w:r>
        <w:rPr>
          <w:rFonts w:ascii="宋体" w:hAnsi="宋体"/>
          <w:b/>
          <w:bCs/>
          <w:color w:val="000000"/>
          <w:sz w:val="24"/>
          <w:highlight w:val="none"/>
        </w:rPr>
      </w:r>
      <w:r/>
    </w:p>
    <w:p>
      <w:pPr>
        <w:pStyle w:val="885"/>
        <w:ind w:firstLine="48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885"/>
        <w:ind w:firstLine="480"/>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rPr>
          <w:rFonts w:ascii="宋体" w:hAnsi="宋体"/>
          <w:bCs/>
          <w:color w:val="000000"/>
          <w:sz w:val="24"/>
          <w:highlight w:val="none"/>
        </w:rPr>
      </w:r>
      <w:r/>
    </w:p>
    <w:p>
      <w:pPr>
        <w:pStyle w:val="885"/>
        <w:ind w:firstLine="480"/>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rPr>
          <w:rFonts w:ascii="宋体" w:hAnsi="宋体"/>
          <w:bCs/>
          <w:color w:val="000000"/>
          <w:sz w:val="24"/>
          <w:highlight w:val="none"/>
        </w:rPr>
      </w:r>
      <w:r/>
    </w:p>
    <w:p>
      <w:pPr>
        <w:pStyle w:val="885"/>
        <w:ind w:firstLine="482"/>
        <w:jc w:val="left"/>
        <w:spacing w:line="480" w:lineRule="exact"/>
        <w:widowControl/>
        <w:tabs>
          <w:tab w:val="left" w:pos="540" w:leader="none"/>
        </w:tabs>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必须提供，且须加盖电子签章，否则投标无效）</w:t>
      </w:r>
      <w:r>
        <w:rPr>
          <w:rFonts w:hint="eastAsia" w:ascii="宋体" w:hAnsi="宋体" w:eastAsia="宋体"/>
          <w:b/>
          <w:color w:val="000000"/>
          <w:sz w:val="24"/>
          <w:highlight w:val="none"/>
          <w:lang w:eastAsia="zh-CN"/>
        </w:rPr>
      </w:r>
      <w:r/>
    </w:p>
    <w:p>
      <w:pPr>
        <w:pStyle w:val="885"/>
        <w:numPr>
          <w:ilvl w:val="0"/>
          <w:numId w:val="0"/>
        </w:numPr>
        <w:ind w:firstLine="480"/>
        <w:jc w:val="left"/>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w:t>
      </w:r>
      <w:r>
        <w:rPr>
          <w:rFonts w:hint="eastAsia" w:ascii="宋体" w:hAnsi="宋体"/>
          <w:color w:val="000000"/>
          <w:sz w:val="24"/>
          <w:highlight w:val="none"/>
          <w:lang w:val="en-US" w:eastAsia="zh-CN"/>
        </w:rPr>
        <w:t xml:space="preserve">彩色</w:t>
      </w:r>
      <w:r>
        <w:rPr>
          <w:rFonts w:hint="eastAsia" w:ascii="宋体" w:hAnsi="宋体"/>
          <w:color w:val="000000"/>
          <w:sz w:val="24"/>
          <w:highlight w:val="none"/>
        </w:rPr>
        <w:t xml:space="preserve">扫描件</w:t>
      </w:r>
      <w:r>
        <w:rPr>
          <w:rFonts w:ascii="宋体" w:hAnsi="宋体"/>
          <w:color w:val="000000"/>
          <w:sz w:val="24"/>
          <w:highlight w:val="none"/>
        </w:rPr>
        <w:t xml:space="preserve">；</w:t>
      </w:r>
      <w:r>
        <w:rPr>
          <w:rFonts w:ascii="宋体" w:hAnsi="宋体"/>
          <w:color w:val="000000"/>
          <w:sz w:val="24"/>
          <w:highlight w:val="none"/>
        </w:rPr>
      </w:r>
      <w:r/>
    </w:p>
    <w:p>
      <w:pPr>
        <w:pStyle w:val="885"/>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w:t>
      </w:r>
      <w:r>
        <w:rPr>
          <w:rFonts w:hint="eastAsia" w:ascii="宋体" w:hAnsi="宋体" w:cs="宋体"/>
          <w:b w:val="0"/>
          <w:bCs/>
          <w:color w:val="000000"/>
          <w:sz w:val="24"/>
          <w:highlight w:val="none"/>
        </w:rPr>
        <w:t xml:space="preserve">（至少提供资产负债表、利润表、现金流量表，投标人成立不满一年无需提供）</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85"/>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885"/>
        <w:numPr>
          <w:ilvl w:val="0"/>
          <w:numId w:val="0"/>
        </w:numPr>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szCs w:val="20"/>
          <w:highlight w:val="none"/>
          <w:lang w:val="en-US" w:eastAsia="zh-CN"/>
        </w:rPr>
        <w:t xml:space="preserve">④</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885"/>
        <w:ind w:firstLine="480"/>
        <w:jc w:val="left"/>
        <w:spacing w:line="480" w:lineRule="exact"/>
        <w:widowControl/>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⑤</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885"/>
        <w:ind w:firstLine="482"/>
        <w:jc w:val="left"/>
        <w:keepLines w:val="0"/>
        <w:keepNext w:val="0"/>
        <w:pageBreakBefore w:val="0"/>
        <w:spacing w:line="500" w:lineRule="exact"/>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ascii="宋体" w:hAnsi="宋体"/>
          <w:b/>
          <w:color w:val="000000"/>
          <w:sz w:val="24"/>
          <w:highlight w:val="none"/>
        </w:rPr>
      </w:r>
      <w:r/>
    </w:p>
    <w:p>
      <w:pPr>
        <w:pStyle w:val="885"/>
        <w:ind w:firstLine="482"/>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885"/>
        <w:ind w:firstLine="48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885"/>
        <w:ind w:firstLine="48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②清单报价表；</w:t>
      </w:r>
      <w:r>
        <w:rPr>
          <w:rFonts w:ascii="宋体" w:hAnsi="宋体"/>
          <w:color w:val="000000"/>
          <w:sz w:val="24"/>
          <w:highlight w:val="none"/>
        </w:rPr>
      </w:r>
      <w:r/>
    </w:p>
    <w:p>
      <w:pPr>
        <w:pStyle w:val="885"/>
        <w:ind w:firstLine="482"/>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885"/>
        <w:ind w:firstLine="48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①供应商登记表；</w:t>
      </w:r>
      <w:r>
        <w:rPr>
          <w:rFonts w:hint="eastAsia" w:ascii="宋体" w:hAnsi="宋体"/>
          <w:color w:val="000000"/>
          <w:sz w:val="24"/>
          <w:highlight w:val="none"/>
        </w:rPr>
      </w:r>
      <w:r/>
    </w:p>
    <w:p>
      <w:pPr>
        <w:pStyle w:val="885"/>
        <w:ind w:firstLine="48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②</w:t>
      </w:r>
      <w:r>
        <w:rPr>
          <w:rFonts w:hint="eastAsia" w:ascii="宋体" w:hAnsi="宋体"/>
          <w:color w:val="000000"/>
          <w:sz w:val="24"/>
          <w:highlight w:val="none"/>
          <w:lang w:val="en-US" w:eastAsia="zh-CN"/>
        </w:rPr>
        <w:t xml:space="preserve">售后</w:t>
      </w:r>
      <w:r>
        <w:rPr>
          <w:rFonts w:hint="eastAsia" w:ascii="宋体" w:hAnsi="宋体"/>
          <w:color w:val="000000"/>
          <w:sz w:val="24"/>
          <w:highlight w:val="none"/>
        </w:rPr>
        <w:t xml:space="preserve">服务承诺函；</w:t>
      </w:r>
      <w:r>
        <w:rPr>
          <w:rFonts w:hint="eastAsia" w:ascii="宋体" w:hAnsi="宋体"/>
          <w:color w:val="000000"/>
          <w:sz w:val="24"/>
          <w:highlight w:val="none"/>
        </w:rPr>
      </w:r>
      <w:r/>
    </w:p>
    <w:p>
      <w:pPr>
        <w:pStyle w:val="885"/>
        <w:ind w:firstLine="48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③公共资源交易投标信用承诺书；</w:t>
      </w:r>
      <w:r>
        <w:rPr>
          <w:rFonts w:hint="eastAsia" w:ascii="宋体" w:hAnsi="宋体"/>
          <w:color w:val="000000"/>
          <w:sz w:val="24"/>
          <w:highlight w:val="none"/>
        </w:rPr>
      </w:r>
      <w:r/>
    </w:p>
    <w:p>
      <w:pPr>
        <w:pStyle w:val="885"/>
        <w:ind w:firstLine="480"/>
        <w:jc w:val="left"/>
        <w:keepLines w:val="0"/>
        <w:keepNext w:val="0"/>
        <w:pageBreakBefore w:val="0"/>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④建湖县政府采购事前信用承诺书；</w:t>
      </w:r>
      <w:r>
        <w:rPr>
          <w:rFonts w:hint="eastAsia" w:ascii="宋体" w:hAnsi="宋体"/>
          <w:color w:val="000000"/>
          <w:sz w:val="24"/>
          <w:highlight w:val="none"/>
        </w:rPr>
      </w:r>
      <w:r/>
    </w:p>
    <w:p>
      <w:pPr>
        <w:pStyle w:val="885"/>
        <w:ind w:firstLine="480"/>
        <w:jc w:val="left"/>
        <w:keepLines w:val="0"/>
        <w:keepNext w:val="0"/>
        <w:pageBreakBefore w:val="0"/>
        <w:spacing w:line="500" w:lineRule="exact"/>
        <w:widowControl/>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⑤</w:t>
      </w:r>
      <w:r>
        <w:rPr>
          <w:rFonts w:hint="eastAsia" w:ascii="宋体" w:hAnsi="宋体"/>
          <w:color w:val="000000"/>
          <w:sz w:val="24"/>
          <w:highlight w:val="none"/>
        </w:rPr>
        <w:t xml:space="preserve">投入本项目人员配置表</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885"/>
        <w:ind w:firstLine="482"/>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（3）技术响应：</w:t>
      </w:r>
      <w:r>
        <w:rPr>
          <w:rFonts w:ascii="宋体" w:hAnsi="宋体"/>
          <w:b/>
          <w:bCs/>
          <w:color w:val="000000"/>
          <w:sz w:val="24"/>
          <w:highlight w:val="none"/>
        </w:rPr>
      </w:r>
      <w:r/>
    </w:p>
    <w:p>
      <w:pPr>
        <w:pStyle w:val="885"/>
        <w:ind w:firstLine="48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《技术参数响应表》</w:t>
      </w:r>
      <w:r>
        <w:rPr>
          <w:rFonts w:ascii="宋体" w:hAnsi="宋体"/>
          <w:color w:val="000000"/>
          <w:sz w:val="24"/>
          <w:highlight w:val="none"/>
        </w:rPr>
      </w:r>
      <w:r/>
    </w:p>
    <w:p>
      <w:pPr>
        <w:pStyle w:val="885"/>
        <w:ind w:firstLine="482"/>
        <w:jc w:val="left"/>
        <w:keepLines w:val="0"/>
        <w:keepNext w:val="0"/>
        <w:pageBreakBefore w:val="0"/>
        <w:spacing w:line="50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.4</w:t>
      </w:r>
      <w:r>
        <w:rPr>
          <w:rFonts w:hint="eastAsia" w:ascii="宋体" w:hAnsi="宋体"/>
          <w:b/>
          <w:color w:val="000000"/>
          <w:sz w:val="24"/>
          <w:highlight w:val="none"/>
        </w:rPr>
        <w:t xml:space="preserve">企业声明函</w:t>
      </w:r>
      <w:r>
        <w:rPr>
          <w:rFonts w:hint="eastAsia" w:ascii="宋体" w:hAnsi="宋体"/>
          <w:b/>
          <w:color w:val="000000"/>
          <w:sz w:val="24"/>
          <w:highlight w:val="none"/>
        </w:rPr>
      </w:r>
      <w:r/>
    </w:p>
    <w:p>
      <w:pPr>
        <w:pStyle w:val="885"/>
        <w:ind w:firstLine="480"/>
        <w:jc w:val="left"/>
        <w:keepLines w:val="0"/>
        <w:keepNext w:val="0"/>
        <w:pageBreakBefore w:val="0"/>
        <w:spacing w:line="500" w:lineRule="exact"/>
        <w:widowControl/>
        <w:tabs>
          <w:tab w:val="left" w:pos="1440" w:leader="none"/>
        </w:tabs>
        <w:rPr>
          <w:rFonts w:hint="eastAsia" w:ascii="宋体" w:hAnsi="宋体"/>
          <w:bCs/>
          <w:color w:val="000000"/>
          <w:sz w:val="24"/>
          <w:szCs w:val="20"/>
          <w:highlight w:val="none"/>
        </w:rPr>
      </w:pPr>
      <w:r>
        <w:rPr>
          <w:rFonts w:hint="eastAsia" w:ascii="宋体" w:hAnsi="宋体"/>
          <w:bCs/>
          <w:color w:val="000000"/>
          <w:sz w:val="24"/>
          <w:szCs w:val="20"/>
          <w:highlight w:val="none"/>
        </w:rPr>
        <w:t xml:space="preserve">（1）投标人为中小企业（含中型、小型、微型企业，下同）的，</w:t>
      </w:r>
      <w:r>
        <w:rPr>
          <w:rFonts w:hint="eastAsia" w:ascii="宋体" w:hAnsi="宋体"/>
          <w:b/>
          <w:color w:val="000000"/>
          <w:sz w:val="24"/>
          <w:szCs w:val="20"/>
          <w:highlight w:val="none"/>
        </w:rPr>
        <w:t xml:space="preserve">提供《中小企业声明函》（加盖电子签章，填写完整，格式见招标文件第六章《投标文件相关格式》）</w:t>
      </w:r>
      <w:r>
        <w:rPr>
          <w:rFonts w:hint="eastAsia" w:ascii="宋体" w:hAnsi="宋体"/>
          <w:bCs/>
          <w:color w:val="000000"/>
          <w:sz w:val="24"/>
          <w:szCs w:val="20"/>
          <w:highlight w:val="none"/>
        </w:rPr>
        <w:t xml:space="preserve">。</w:t>
      </w:r>
      <w:r>
        <w:rPr>
          <w:rFonts w:hint="eastAsia" w:ascii="宋体" w:hAnsi="宋体"/>
          <w:bCs/>
          <w:color w:val="000000"/>
          <w:sz w:val="24"/>
          <w:szCs w:val="20"/>
          <w:highlight w:val="none"/>
        </w:rPr>
      </w:r>
      <w:r/>
    </w:p>
    <w:p>
      <w:pPr>
        <w:pStyle w:val="885"/>
        <w:ind w:firstLine="480"/>
        <w:jc w:val="left"/>
        <w:keepLines w:val="0"/>
        <w:keepNext w:val="0"/>
        <w:pageBreakBefore w:val="0"/>
        <w:spacing w:line="500" w:lineRule="exact"/>
        <w:widowControl/>
        <w:tabs>
          <w:tab w:val="left" w:pos="1440" w:leader="none"/>
        </w:tabs>
        <w:rPr>
          <w:rFonts w:ascii="宋体" w:hAnsi="宋体" w:eastAsia="宋体"/>
          <w:bCs/>
          <w:color w:val="000000"/>
          <w:sz w:val="24"/>
          <w:szCs w:val="20"/>
          <w:highlight w:val="none"/>
          <w:lang w:val="en-US" w:eastAsia="zh-CN"/>
        </w:rPr>
      </w:pPr>
      <w:r>
        <w:rPr>
          <w:rFonts w:hint="eastAsia" w:ascii="宋体" w:hAnsi="宋体"/>
          <w:bCs/>
          <w:color w:val="000000"/>
          <w:sz w:val="24"/>
          <w:szCs w:val="20"/>
          <w:highlight w:val="none"/>
          <w:lang w:eastAsia="zh-CN"/>
        </w:rPr>
        <w:t xml:space="preserve">（</w:t>
      </w:r>
      <w:r>
        <w:rPr>
          <w:rFonts w:hint="eastAsia" w:ascii="宋体" w:hAnsi="宋体"/>
          <w:bCs/>
          <w:color w:val="000000"/>
          <w:sz w:val="24"/>
          <w:szCs w:val="20"/>
          <w:highlight w:val="none"/>
          <w:lang w:val="en-US" w:eastAsia="zh-CN"/>
        </w:rPr>
        <w:t xml:space="preserve">2）关于符合本国产品标准的声明函，提供《关于符合本国产品标准的声明函》（加盖电子签章，填写完整，格式见招标文件第六章《投标文件相关格式》）</w:t>
      </w:r>
      <w:r>
        <w:rPr>
          <w:rFonts w:ascii="宋体" w:hAnsi="宋体" w:eastAsia="宋体"/>
          <w:bCs/>
          <w:color w:val="000000"/>
          <w:sz w:val="24"/>
          <w:szCs w:val="20"/>
          <w:highlight w:val="none"/>
          <w:lang w:val="en-US" w:eastAsia="zh-CN"/>
        </w:rPr>
      </w:r>
      <w:r/>
    </w:p>
    <w:p>
      <w:pPr>
        <w:pStyle w:val="885"/>
        <w:ind w:firstLine="482"/>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w:t>
      </w:r>
      <w:r>
        <w:rPr>
          <w:rFonts w:hint="eastAsia" w:ascii="宋体" w:hAnsi="宋体" w:cs="Arial"/>
          <w:b/>
          <w:bCs w:val="0"/>
          <w:color w:val="000000"/>
          <w:sz w:val="24"/>
          <w:szCs w:val="24"/>
          <w:highlight w:val="none"/>
          <w:lang w:val="en-US" w:eastAsia="zh-CN"/>
        </w:rPr>
        <w:t xml:space="preserve">3</w:t>
      </w:r>
      <w:r>
        <w:rPr>
          <w:rFonts w:hint="eastAsia" w:ascii="宋体" w:hAnsi="宋体" w:cs="Arial"/>
          <w:b/>
          <w:bCs w:val="0"/>
          <w:color w:val="000000"/>
          <w:sz w:val="24"/>
          <w:szCs w:val="24"/>
          <w:highlight w:val="none"/>
        </w:rPr>
        <w:t xml:space="preserve">）投标人为监狱企业的等同于小微企业，提供省级以上监狱管理局、戒毒管理局（含新疆生产建设兵团）出具的属于监狱企业的证明文件。</w:t>
      </w:r>
      <w:r>
        <w:rPr>
          <w:rFonts w:hint="eastAsia" w:ascii="宋体" w:hAnsi="宋体" w:cs="Arial"/>
          <w:b/>
          <w:bCs w:val="0"/>
          <w:color w:val="000000"/>
          <w:sz w:val="24"/>
          <w:szCs w:val="24"/>
          <w:highlight w:val="none"/>
        </w:rPr>
      </w:r>
      <w:r/>
    </w:p>
    <w:p>
      <w:pPr>
        <w:pStyle w:val="885"/>
        <w:ind w:firstLine="482"/>
        <w:jc w:val="left"/>
        <w:keepLines w:val="0"/>
        <w:keepNext w:val="0"/>
        <w:pageBreakBefore w:val="0"/>
        <w:spacing w:line="50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w:t>
      </w:r>
      <w:r>
        <w:rPr>
          <w:rFonts w:hint="eastAsia" w:ascii="宋体" w:hAnsi="宋体" w:cs="Arial"/>
          <w:b/>
          <w:bCs w:val="0"/>
          <w:color w:val="000000"/>
          <w:sz w:val="24"/>
          <w:szCs w:val="24"/>
          <w:highlight w:val="none"/>
          <w:lang w:val="en-US" w:eastAsia="zh-CN"/>
        </w:rPr>
        <w:t xml:space="preserve">4</w:t>
      </w:r>
      <w:r>
        <w:rPr>
          <w:rFonts w:hint="eastAsia" w:ascii="宋体" w:hAnsi="宋体" w:cs="Arial"/>
          <w:b/>
          <w:bCs w:val="0"/>
          <w:color w:val="000000"/>
          <w:sz w:val="24"/>
          <w:szCs w:val="24"/>
          <w:highlight w:val="none"/>
        </w:rPr>
        <w:t xml:space="preserve">）投标人为享受政府采购支持政策的残疾人福利性单位的等同于小微企业，提供《残疾人福利性单位声明函》（加盖电子签章，格式见招标文件第六章《投标文件相关格式》）。</w:t>
      </w:r>
      <w:r>
        <w:rPr>
          <w:rFonts w:hint="eastAsia" w:ascii="宋体" w:hAnsi="宋体" w:cs="Arial"/>
          <w:b/>
          <w:bCs w:val="0"/>
          <w:color w:val="000000"/>
          <w:sz w:val="24"/>
          <w:szCs w:val="24"/>
          <w:highlight w:val="none"/>
        </w:rPr>
      </w:r>
      <w:r/>
    </w:p>
    <w:p>
      <w:pPr>
        <w:pStyle w:val="885"/>
        <w:ind w:firstLine="482"/>
        <w:jc w:val="left"/>
        <w:spacing w:line="480" w:lineRule="exact"/>
        <w:widowControl/>
        <w:tabs>
          <w:tab w:val="left" w:pos="14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hint="eastAsia" w:ascii="宋体" w:hAnsi="宋体"/>
          <w:b/>
          <w:color w:val="000000"/>
          <w:sz w:val="24"/>
          <w:highlight w:val="none"/>
          <w:lang w:val="en-US" w:eastAsia="zh-CN"/>
        </w:rPr>
        <w:t xml:space="preserve">5</w:t>
      </w:r>
      <w:r>
        <w:rPr>
          <w:rFonts w:hint="eastAsia" w:ascii="宋体" w:hAnsi="宋体"/>
          <w:b/>
          <w:color w:val="000000"/>
          <w:sz w:val="24"/>
          <w:highlight w:val="none"/>
        </w:rPr>
        <w:t xml:space="preserve">招标文件要求的其它证明资料和评标细则要求提供证明材料原件或复印件。</w:t>
      </w:r>
      <w:r>
        <w:rPr>
          <w:rFonts w:hint="eastAsia" w:ascii="宋体" w:hAnsi="宋体"/>
          <w:b/>
          <w:color w:val="000000"/>
          <w:sz w:val="24"/>
          <w:highlight w:val="none"/>
        </w:rPr>
      </w:r>
      <w:r/>
    </w:p>
    <w:p>
      <w:pPr>
        <w:pStyle w:val="885"/>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注：1.投标人应对以上文件的合法性、真实性负责，</w:t>
      </w:r>
      <w:r>
        <w:rPr>
          <w:rFonts w:ascii="宋体" w:hAnsi="宋体"/>
          <w:b/>
          <w:color w:val="000000"/>
          <w:sz w:val="24"/>
          <w:highlight w:val="none"/>
        </w:rPr>
        <w:t xml:space="preserve">投标人提供的材料如有虚假，视为提供虚假材料谋取中标资格，将被</w:t>
      </w:r>
      <w:r>
        <w:rPr>
          <w:rFonts w:hint="eastAsia" w:ascii="宋体" w:hAnsi="宋体"/>
          <w:b/>
          <w:color w:val="000000"/>
          <w:sz w:val="24"/>
          <w:highlight w:val="none"/>
        </w:rPr>
        <w:t xml:space="preserve">将依法</w:t>
      </w:r>
      <w:r>
        <w:rPr>
          <w:rFonts w:ascii="宋体" w:hAnsi="宋体"/>
          <w:b/>
          <w:color w:val="000000"/>
          <w:sz w:val="24"/>
          <w:highlight w:val="none"/>
        </w:rPr>
        <w:t xml:space="preserve">处理处罚</w:t>
      </w:r>
      <w:r>
        <w:rPr>
          <w:rFonts w:hint="eastAsia" w:ascii="宋体" w:hAnsi="宋体"/>
          <w:b/>
          <w:color w:val="000000"/>
          <w:sz w:val="24"/>
          <w:highlight w:val="none"/>
        </w:rPr>
        <w:t xml:space="preserve">。</w:t>
      </w:r>
      <w:r>
        <w:rPr>
          <w:rFonts w:ascii="宋体" w:hAnsi="宋体"/>
          <w:b/>
          <w:color w:val="000000"/>
          <w:sz w:val="24"/>
          <w:highlight w:val="none"/>
        </w:rPr>
      </w:r>
      <w:r/>
    </w:p>
    <w:p>
      <w:pPr>
        <w:pStyle w:val="885"/>
        <w:ind w:firstLine="482"/>
        <w:jc w:val="left"/>
        <w:spacing w:line="480" w:lineRule="exact"/>
        <w:widowControl/>
        <w:tabs>
          <w:tab w:val="left" w:pos="1440" w:leader="none"/>
        </w:tabs>
        <w:rPr>
          <w:rFonts w:ascii="宋体" w:hAnsi="宋体"/>
          <w:b/>
          <w:color w:val="000000"/>
          <w:sz w:val="24"/>
          <w:highlight w:val="none"/>
        </w:rPr>
      </w:pPr>
      <w:r>
        <w:rPr>
          <w:rFonts w:hint="eastAsia" w:ascii="宋体" w:hAnsi="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color w:val="000000"/>
          <w:sz w:val="24"/>
          <w:highlight w:val="none"/>
        </w:rPr>
      </w:r>
      <w:r/>
    </w:p>
    <w:p>
      <w:pPr>
        <w:pStyle w:val="885"/>
        <w:ind w:firstLine="482"/>
        <w:jc w:val="left"/>
        <w:spacing w:line="480" w:lineRule="exact"/>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投标文件线上格式要求</w:t>
      </w:r>
      <w:r>
        <w:rPr>
          <w:rFonts w:ascii="宋体" w:hAnsi="宋体"/>
          <w:b/>
          <w:color w:val="000000"/>
          <w:sz w:val="24"/>
          <w:highlight w:val="none"/>
        </w:rPr>
      </w:r>
      <w:r/>
    </w:p>
    <w:p>
      <w:pPr>
        <w:pStyle w:val="885"/>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885"/>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885"/>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olor w:val="000000"/>
          <w:sz w:val="24"/>
          <w:highlight w:val="none"/>
        </w:rPr>
      </w:r>
      <w:r/>
    </w:p>
    <w:p>
      <w:pPr>
        <w:pStyle w:val="885"/>
        <w:ind w:firstLine="482"/>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885"/>
        <w:ind w:right="-105"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rPr>
          <w:rFonts w:ascii="宋体" w:hAnsi="宋体"/>
          <w:color w:val="000000"/>
          <w:sz w:val="24"/>
          <w:highlight w:val="none"/>
        </w:rPr>
      </w:r>
      <w:r/>
    </w:p>
    <w:p>
      <w:pPr>
        <w:pStyle w:val="885"/>
        <w:ind w:right="-105"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885"/>
        <w:ind w:right="-105"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rPr>
          <w:rFonts w:ascii="宋体" w:hAnsi="宋体"/>
          <w:color w:val="000000"/>
          <w:sz w:val="24"/>
          <w:highlight w:val="none"/>
        </w:rPr>
      </w:r>
      <w:r/>
    </w:p>
    <w:p>
      <w:pPr>
        <w:pStyle w:val="885"/>
        <w:ind w:right="-105"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highlight w:val="none"/>
        </w:rPr>
      </w:r>
      <w:r/>
    </w:p>
    <w:p>
      <w:pPr>
        <w:pStyle w:val="885"/>
        <w:ind w:right="-105"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highlight w:val="none"/>
        </w:rPr>
      </w:r>
      <w:r/>
    </w:p>
    <w:p>
      <w:pPr>
        <w:pStyle w:val="885"/>
        <w:ind w:right="-105"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p>
      <w:pPr>
        <w:pStyle w:val="885"/>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w:t>
      </w:r>
      <w:r>
        <w:rPr>
          <w:rFonts w:hint="eastAsia" w:ascii="宋体" w:hAnsi="宋体"/>
          <w:b/>
          <w:color w:val="000000"/>
          <w:sz w:val="24"/>
          <w:highlight w:val="none"/>
        </w:rPr>
        <w:t xml:space="preserve">投标文件的提交与接收</w:t>
      </w:r>
      <w:r>
        <w:rPr>
          <w:rFonts w:ascii="宋体" w:hAnsi="宋体"/>
          <w:b/>
          <w:color w:val="000000"/>
          <w:sz w:val="24"/>
          <w:highlight w:val="none"/>
        </w:rPr>
      </w:r>
      <w:r/>
    </w:p>
    <w:p>
      <w:pPr>
        <w:pStyle w:val="885"/>
        <w:ind w:right="-105"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12.1</w:t>
      </w:r>
      <w:r>
        <w:rPr>
          <w:rFonts w:hint="eastAsia" w:ascii="宋体" w:hAnsi="宋体"/>
          <w:color w:val="000000"/>
          <w:sz w:val="24"/>
          <w:highlight w:val="none"/>
        </w:rPr>
        <w:t xml:space="preserve">投标文件提交与接收时间：</w:t>
      </w:r>
      <w:r>
        <w:rPr>
          <w:rFonts w:ascii="宋体" w:hAnsi="宋体"/>
          <w:color w:val="000000"/>
          <w:sz w:val="24"/>
          <w:highlight w:val="none"/>
        </w:rPr>
      </w:r>
      <w:r/>
    </w:p>
    <w:p>
      <w:pPr>
        <w:pStyle w:val="885"/>
        <w:ind w:right="-105"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rPr>
          <w:rFonts w:ascii="宋体" w:hAnsi="宋体"/>
          <w:color w:val="000000"/>
          <w:sz w:val="24"/>
          <w:highlight w:val="none"/>
        </w:rPr>
      </w:r>
      <w:r/>
    </w:p>
    <w:p>
      <w:pPr>
        <w:pStyle w:val="885"/>
        <w:ind w:right="-105"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rPr>
          <w:rFonts w:ascii="宋体" w:hAnsi="宋体"/>
          <w:color w:val="000000"/>
          <w:sz w:val="24"/>
          <w:highlight w:val="none"/>
        </w:rPr>
      </w:r>
      <w:r/>
    </w:p>
    <w:p>
      <w:pPr>
        <w:pStyle w:val="885"/>
        <w:ind w:right="-105"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rPr>
          <w:rFonts w:ascii="宋体" w:hAnsi="宋体"/>
          <w:color w:val="000000"/>
          <w:sz w:val="24"/>
          <w:highlight w:val="none"/>
        </w:rPr>
      </w:r>
      <w:r/>
    </w:p>
    <w:p>
      <w:pPr>
        <w:pStyle w:val="885"/>
        <w:ind w:firstLine="482"/>
        <w:jc w:val="left"/>
        <w:keepLines w:val="0"/>
        <w:keepNext w:val="0"/>
        <w:pageBreakBefore w:val="0"/>
        <w:spacing w:line="460" w:lineRule="exact"/>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highlight w:val="none"/>
        </w:rPr>
      </w:r>
      <w:r/>
    </w:p>
    <w:p>
      <w:pPr>
        <w:pStyle w:val="885"/>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13．投标文件的撤回与修改</w:t>
      </w:r>
      <w:r>
        <w:rPr>
          <w:rFonts w:ascii="宋体" w:hAnsi="宋体"/>
          <w:b/>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13.1投标文件的撤回</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13.1.1电子投标文件的撤回</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13.2 投标文件的修改</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13.3在投标截止时间之后，投标人不得对其电子投标文件作任何修改。</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13.4在投标截止时间至招标文件中规定的投标有效期满之间的这段时间内，投标人不得撤回其投标。</w:t>
      </w:r>
      <w:r>
        <w:rPr>
          <w:rFonts w:ascii="宋体" w:hAnsi="宋体"/>
          <w:color w:val="000000"/>
          <w:sz w:val="24"/>
          <w:highlight w:val="none"/>
        </w:rPr>
      </w:r>
      <w:r/>
    </w:p>
    <w:p>
      <w:pPr>
        <w:pStyle w:val="885"/>
        <w:ind w:firstLine="723"/>
        <w:jc w:val="center"/>
        <w:keepLines w:val="0"/>
        <w:keepNext w:val="0"/>
        <w:pageBreakBefore w:val="0"/>
        <w:spacing w:before="100" w:beforeAutospacing="1" w:after="100" w:afterAutospacing="1" w:line="460" w:lineRule="exact"/>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rPr>
          <w:rFonts w:ascii="宋体" w:hAnsi="宋体"/>
          <w:b/>
          <w:color w:val="000000"/>
          <w:sz w:val="36"/>
          <w:szCs w:val="32"/>
          <w:highlight w:val="none"/>
        </w:rPr>
      </w:r>
      <w:r/>
    </w:p>
    <w:p>
      <w:pPr>
        <w:pStyle w:val="885"/>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14</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开标、唱标、资格审查</w:t>
      </w:r>
      <w:r>
        <w:rPr>
          <w:rFonts w:ascii="宋体" w:hAnsi="宋体"/>
          <w:b/>
          <w:color w:val="000000"/>
          <w:sz w:val="24"/>
          <w:highlight w:val="none"/>
        </w:rPr>
      </w:r>
      <w:r/>
    </w:p>
    <w:p>
      <w:pPr>
        <w:pStyle w:val="885"/>
        <w:ind w:firstLine="472"/>
        <w:jc w:val="left"/>
        <w:keepLines w:val="0"/>
        <w:keepNext w:val="0"/>
        <w:pageBreakBefore w:val="0"/>
        <w:spacing w:line="460" w:lineRule="exact"/>
        <w:widowControl/>
        <w:rPr>
          <w:rFonts w:ascii="宋体" w:hAnsi="宋体"/>
          <w:color w:val="000000"/>
          <w:spacing w:val="-2"/>
          <w:sz w:val="24"/>
          <w:highlight w:val="none"/>
        </w:rPr>
      </w:pPr>
      <w:r>
        <w:rPr>
          <w:rFonts w:ascii="宋体" w:hAnsi="宋体"/>
          <w:color w:val="000000"/>
          <w:spacing w:val="-2"/>
          <w:sz w:val="24"/>
          <w:highlight w:val="none"/>
        </w:rPr>
        <w:t xml:space="preserve">14.1</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highlight w:val="none"/>
        </w:rPr>
      </w:r>
      <w:r/>
    </w:p>
    <w:p>
      <w:pPr>
        <w:pStyle w:val="885"/>
        <w:ind w:firstLine="472"/>
        <w:jc w:val="left"/>
        <w:keepLines w:val="0"/>
        <w:keepNext w:val="0"/>
        <w:pageBreakBefore w:val="0"/>
        <w:spacing w:line="460" w:lineRule="exact"/>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rPr>
          <w:rFonts w:ascii="宋体" w:hAnsi="宋体"/>
          <w:color w:val="000000"/>
          <w:spacing w:val="-2"/>
          <w:sz w:val="24"/>
          <w:highlight w:val="none"/>
        </w:rPr>
      </w:r>
      <w:r/>
    </w:p>
    <w:p>
      <w:pPr>
        <w:pStyle w:val="885"/>
        <w:ind w:firstLine="472"/>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rPr>
          <w:rFonts w:ascii="宋体" w:hAnsi="宋体"/>
          <w:color w:val="000000"/>
          <w:sz w:val="24"/>
          <w:highlight w:val="none"/>
          <w:lang w:val="zh-CN"/>
        </w:rPr>
      </w:r>
      <w:r/>
    </w:p>
    <w:p>
      <w:pPr>
        <w:pStyle w:val="885"/>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w:t>
      </w:r>
      <w:r>
        <w:rPr>
          <w:rFonts w:ascii="宋体" w:hAnsi="宋体"/>
          <w:color w:val="000000"/>
          <w:sz w:val="24"/>
          <w:highlight w:val="none"/>
          <w:lang w:val="zh-CN"/>
        </w:rPr>
        <w:t xml:space="preserve">投标文件、《开标一览表》（报价表）中报价的大写金额与小写金额不一致的，以大写金额为准。</w:t>
      </w:r>
      <w:r>
        <w:rPr>
          <w:rFonts w:ascii="宋体" w:hAnsi="宋体"/>
          <w:color w:val="000000"/>
          <w:sz w:val="24"/>
          <w:highlight w:val="none"/>
          <w:lang w:val="zh-CN"/>
        </w:rPr>
      </w:r>
      <w:r/>
    </w:p>
    <w:p>
      <w:pPr>
        <w:pStyle w:val="885"/>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w:t>
      </w:r>
      <w:r>
        <w:rPr>
          <w:rFonts w:ascii="宋体" w:hAnsi="宋体"/>
          <w:color w:val="000000"/>
          <w:sz w:val="24"/>
          <w:highlight w:val="none"/>
          <w:lang w:val="zh-CN"/>
        </w:rPr>
        <w:t xml:space="preserve">单价金额小数点或者百分比有明显错位的，以《开标一览表》（报价表）的总价为准，并修改单价；</w:t>
      </w:r>
      <w:r>
        <w:rPr>
          <w:rFonts w:ascii="宋体" w:hAnsi="宋体"/>
          <w:color w:val="000000"/>
          <w:sz w:val="24"/>
          <w:highlight w:val="none"/>
          <w:lang w:val="zh-CN"/>
        </w:rPr>
      </w:r>
      <w:r/>
    </w:p>
    <w:p>
      <w:pPr>
        <w:pStyle w:val="885"/>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.6总价金额与按单价汇总金额不一致的，以单价金额计算结果为准；</w:t>
      </w:r>
      <w:r>
        <w:rPr>
          <w:rFonts w:ascii="宋体" w:hAnsi="宋体"/>
          <w:color w:val="000000"/>
          <w:sz w:val="24"/>
          <w:highlight w:val="none"/>
          <w:lang w:val="zh-CN"/>
        </w:rPr>
      </w:r>
      <w:r/>
    </w:p>
    <w:p>
      <w:pPr>
        <w:pStyle w:val="885"/>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rPr>
          <w:rFonts w:ascii="宋体" w:hAnsi="宋体"/>
          <w:color w:val="000000"/>
          <w:sz w:val="24"/>
          <w:highlight w:val="none"/>
          <w:lang w:val="zh-CN"/>
        </w:rPr>
      </w:r>
      <w:r/>
    </w:p>
    <w:p>
      <w:pPr>
        <w:pStyle w:val="885"/>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.8对不同文字文本投标文件的解释发生异议的，以中文文本为准。</w:t>
      </w:r>
      <w:r>
        <w:rPr>
          <w:rFonts w:ascii="宋体" w:hAnsi="宋体"/>
          <w:color w:val="000000"/>
          <w:sz w:val="24"/>
          <w:highlight w:val="none"/>
          <w:lang w:val="zh-CN"/>
        </w:rPr>
      </w:r>
      <w:r/>
    </w:p>
    <w:p>
      <w:pPr>
        <w:pStyle w:val="885"/>
        <w:ind w:firstLine="482"/>
        <w:jc w:val="left"/>
        <w:keepLines w:val="0"/>
        <w:keepNext w:val="0"/>
        <w:pageBreakBefore w:val="0"/>
        <w:spacing w:line="460" w:lineRule="exact"/>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w:t>
      </w:r>
      <w:r>
        <w:rPr>
          <w:rFonts w:hint="eastAsia" w:ascii="宋体" w:hAnsi="宋体"/>
          <w:color w:val="000000"/>
          <w:sz w:val="24"/>
          <w:highlight w:val="none"/>
        </w:rPr>
        <w:t xml:space="preserve">二</w:t>
      </w:r>
      <w:r>
        <w:rPr>
          <w:rFonts w:ascii="宋体" w:hAnsi="宋体"/>
          <w:color w:val="000000"/>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rPr>
          <w:rFonts w:ascii="宋体" w:hAnsi="宋体"/>
          <w:color w:val="000000"/>
          <w:sz w:val="24"/>
          <w:highlight w:val="none"/>
        </w:rPr>
      </w:r>
      <w:r/>
    </w:p>
    <w:p>
      <w:pPr>
        <w:pStyle w:val="885"/>
        <w:ind w:firstLine="480"/>
        <w:keepLines w:val="0"/>
        <w:keepNext w:val="0"/>
        <w:pageBreakBefore w:val="0"/>
        <w:spacing w:line="460" w:lineRule="exact"/>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885"/>
        <w:ind w:firstLine="723"/>
        <w:jc w:val="center"/>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ascii="宋体" w:hAnsi="宋体" w:cs="宋体"/>
          <w:b/>
          <w:color w:val="000000"/>
          <w:sz w:val="36"/>
          <w:szCs w:val="32"/>
          <w:highlight w:val="none"/>
        </w:rPr>
      </w:r>
      <w:r/>
    </w:p>
    <w:p>
      <w:pPr>
        <w:pStyle w:val="885"/>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组建评标委员会</w:t>
      </w:r>
      <w:r>
        <w:rPr>
          <w:rFonts w:ascii="宋体" w:hAnsi="宋体"/>
          <w:b/>
          <w:color w:val="000000"/>
          <w:sz w:val="24"/>
          <w:highlight w:val="none"/>
        </w:rPr>
      </w:r>
      <w:r/>
    </w:p>
    <w:p>
      <w:pPr>
        <w:pStyle w:val="885"/>
        <w:ind w:firstLine="480"/>
        <w:jc w:val="left"/>
        <w:keepLines w:val="0"/>
        <w:keepNext w:val="0"/>
        <w:pageBreakBefore w:val="0"/>
        <w:spacing w:line="460" w:lineRule="exact"/>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rPr>
          <w:rFonts w:ascii="宋体" w:hAnsi="宋体"/>
          <w:b/>
          <w:bCs/>
          <w:color w:val="000000"/>
          <w:sz w:val="24"/>
          <w:highlight w:val="none"/>
        </w:rPr>
      </w:r>
      <w:r/>
    </w:p>
    <w:p>
      <w:pPr>
        <w:pStyle w:val="885"/>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投标文件的审查</w:t>
      </w:r>
      <w:r>
        <w:rPr>
          <w:rFonts w:ascii="宋体" w:hAnsi="宋体"/>
          <w:b/>
          <w:color w:val="000000"/>
          <w:sz w:val="24"/>
          <w:highlight w:val="none"/>
        </w:rPr>
      </w:r>
      <w:r/>
    </w:p>
    <w:p>
      <w:pPr>
        <w:pStyle w:val="885"/>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885"/>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885"/>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885"/>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885"/>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885"/>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885"/>
        <w:ind w:firstLine="480"/>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885"/>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rPr>
          <w:rFonts w:ascii="宋体" w:hAnsi="宋体"/>
          <w:b/>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rPr>
          <w:rFonts w:ascii="宋体" w:hAnsi="宋体"/>
          <w:color w:val="000000"/>
          <w:sz w:val="24"/>
          <w:highlight w:val="none"/>
        </w:rPr>
      </w:r>
      <w:r/>
    </w:p>
    <w:p>
      <w:pPr>
        <w:pStyle w:val="885"/>
        <w:ind w:left="2" w:firstLine="480"/>
        <w:keepLines w:val="0"/>
        <w:keepNext w:val="0"/>
        <w:pageBreakBefore w:val="0"/>
        <w:spacing w:line="460" w:lineRule="exact"/>
        <w:rPr>
          <w:rFonts w:ascii="宋体" w:hAnsi="宋体"/>
          <w:b w:val="0"/>
          <w:bCs w:val="0"/>
          <w:color w:val="000000"/>
          <w:sz w:val="24"/>
          <w:highlight w:val="none"/>
        </w:rPr>
      </w:pP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lang w:val="en-US" w:eastAsia="zh-CN"/>
        </w:rPr>
        <w:t xml:space="preserve">15</w:t>
      </w: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val="0"/>
          <w:bCs w:val="0"/>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szCs w:val="20"/>
          <w:highlight w:val="none"/>
          <w:lang w:val="en-US" w:eastAsia="zh-CN"/>
        </w:rPr>
        <w:t xml:space="preserve">16.4.2对资格性检查和符合性检查不合格的投标人，将告知其理由。</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16.5.6不同投标人的投标保证金从同一单位或者个人的账户转出的。</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16.5.7有证据证明投标人与采购单位、采购代理机构或其他投标人串通的其他情形的。</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16.5.8评标委员会认定的其他串标、围标情形。</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rPr>
          <w:rFonts w:ascii="宋体" w:hAnsi="宋体" w:cs="Arial"/>
          <w:bCs/>
          <w:color w:val="000000"/>
          <w:sz w:val="24"/>
          <w:szCs w:val="24"/>
          <w:highlight w:val="none"/>
        </w:rPr>
      </w:r>
      <w:r/>
    </w:p>
    <w:p>
      <w:pPr>
        <w:pStyle w:val="885"/>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885"/>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rPr>
          <w:rFonts w:ascii="宋体" w:hAnsi="宋体" w:cs="Arial"/>
          <w:bCs/>
          <w:color w:val="000000"/>
          <w:sz w:val="24"/>
          <w:szCs w:val="24"/>
          <w:highlight w:val="none"/>
        </w:rPr>
      </w:r>
      <w:r/>
    </w:p>
    <w:p>
      <w:pPr>
        <w:pStyle w:val="885"/>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rPr>
          <w:rFonts w:ascii="宋体" w:hAnsi="宋体" w:cs="Arial"/>
          <w:bCs/>
          <w:color w:val="000000"/>
          <w:sz w:val="24"/>
          <w:szCs w:val="24"/>
          <w:highlight w:val="none"/>
        </w:rPr>
      </w:r>
      <w:r/>
    </w:p>
    <w:p>
      <w:pPr>
        <w:pStyle w:val="885"/>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rPr>
          <w:rFonts w:ascii="宋体" w:hAnsi="宋体" w:cs="Arial"/>
          <w:bCs/>
          <w:color w:val="000000"/>
          <w:sz w:val="24"/>
          <w:szCs w:val="24"/>
          <w:highlight w:val="none"/>
        </w:rPr>
      </w:r>
      <w:r/>
    </w:p>
    <w:p>
      <w:pPr>
        <w:pStyle w:val="885"/>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rPr>
          <w:rFonts w:ascii="宋体" w:hAnsi="宋体" w:cs="Arial"/>
          <w:bCs/>
          <w:color w:val="000000"/>
          <w:sz w:val="24"/>
          <w:szCs w:val="24"/>
          <w:highlight w:val="none"/>
        </w:rPr>
      </w:r>
      <w:r/>
    </w:p>
    <w:p>
      <w:pPr>
        <w:pStyle w:val="885"/>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因系统故障原因造成开标不成功的。</w:t>
      </w:r>
      <w:r>
        <w:rPr>
          <w:rFonts w:hint="eastAsia" w:ascii="宋体" w:hAnsi="宋体" w:cs="Arial"/>
          <w:bCs/>
          <w:color w:val="000000"/>
          <w:sz w:val="24"/>
          <w:szCs w:val="24"/>
          <w:highlight w:val="none"/>
          <w:lang w:val="en-US" w:eastAsia="zh-CN"/>
        </w:rPr>
      </w:r>
      <w:r/>
    </w:p>
    <w:p>
      <w:pPr>
        <w:pStyle w:val="885"/>
        <w:ind w:left="2" w:firstLine="480"/>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rPr>
          <w:rFonts w:ascii="宋体" w:hAnsi="宋体" w:eastAsia="宋体"/>
          <w:color w:val="000000"/>
          <w:sz w:val="24"/>
          <w:szCs w:val="20"/>
          <w:highlight w:val="none"/>
        </w:rPr>
      </w:r>
      <w:r/>
    </w:p>
    <w:p>
      <w:pPr>
        <w:pStyle w:val="885"/>
        <w:ind w:left="2" w:firstLine="480"/>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rPr>
          <w:rFonts w:ascii="宋体" w:hAnsi="宋体" w:eastAsia="宋体"/>
          <w:color w:val="000000"/>
          <w:sz w:val="24"/>
          <w:szCs w:val="20"/>
          <w:highlight w:val="none"/>
        </w:rPr>
      </w:r>
      <w:r/>
    </w:p>
    <w:p>
      <w:pPr>
        <w:pStyle w:val="885"/>
        <w:ind w:left="2" w:firstLine="480"/>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rPr>
          <w:rFonts w:ascii="宋体" w:hAnsi="宋体" w:eastAsia="宋体"/>
          <w:color w:val="000000"/>
          <w:sz w:val="24"/>
          <w:szCs w:val="20"/>
          <w:highlight w:val="none"/>
        </w:rPr>
      </w:r>
      <w:r/>
    </w:p>
    <w:p>
      <w:pPr>
        <w:pStyle w:val="885"/>
        <w:ind w:left="2" w:firstLine="480"/>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rPr>
          <w:rFonts w:ascii="宋体" w:hAnsi="宋体" w:eastAsia="宋体"/>
          <w:color w:val="000000"/>
          <w:sz w:val="24"/>
          <w:szCs w:val="20"/>
          <w:highlight w:val="none"/>
        </w:rPr>
      </w:r>
      <w:r/>
    </w:p>
    <w:p>
      <w:pPr>
        <w:pStyle w:val="885"/>
        <w:ind w:left="2" w:firstLine="480"/>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rPr>
          <w:rFonts w:ascii="宋体" w:hAnsi="宋体" w:eastAsia="宋体"/>
          <w:color w:val="000000"/>
          <w:sz w:val="24"/>
          <w:szCs w:val="20"/>
          <w:highlight w:val="none"/>
        </w:rPr>
      </w:r>
      <w:r/>
    </w:p>
    <w:p>
      <w:pPr>
        <w:pStyle w:val="885"/>
        <w:ind w:left="2" w:firstLine="480"/>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rPr>
          <w:rFonts w:ascii="宋体" w:hAnsi="宋体" w:eastAsia="宋体"/>
          <w:color w:val="000000"/>
          <w:sz w:val="24"/>
          <w:szCs w:val="20"/>
          <w:highlight w:val="none"/>
        </w:rPr>
      </w:r>
      <w:r/>
    </w:p>
    <w:p>
      <w:pPr>
        <w:pStyle w:val="885"/>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17．比较与评价</w:t>
      </w:r>
      <w:r>
        <w:rPr>
          <w:rFonts w:ascii="宋体" w:hAnsi="宋体"/>
          <w:b/>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highlight w:val="none"/>
        </w:rPr>
      </w:r>
      <w:r/>
    </w:p>
    <w:p>
      <w:pPr>
        <w:pStyle w:val="885"/>
        <w:ind w:left="2" w:firstLine="482"/>
        <w:keepLines w:val="0"/>
        <w:keepNext w:val="0"/>
        <w:pageBreakBefore w:val="0"/>
        <w:spacing w:line="460" w:lineRule="exact"/>
        <w:rPr>
          <w:rFonts w:hint="eastAsia" w:ascii="宋体" w:hAnsi="宋体" w:eastAsia="宋体" w:cs="Times New Roman"/>
          <w:b/>
          <w:bCs/>
          <w:color w:val="000000"/>
          <w:sz w:val="24"/>
          <w:szCs w:val="20"/>
          <w:highlight w:val="none"/>
          <w:lang w:val="en-US" w:eastAsia="en-US"/>
        </w:rPr>
      </w:pPr>
      <w:r>
        <w:rPr>
          <w:rFonts w:hint="eastAsia" w:ascii="宋体" w:hAnsi="宋体" w:eastAsia="宋体" w:cs="Times New Roman"/>
          <w:b/>
          <w:bCs/>
          <w:color w:val="000000"/>
          <w:sz w:val="24"/>
          <w:szCs w:val="20"/>
          <w:highlight w:val="none"/>
          <w:lang w:val="en-US" w:eastAsia="en-US"/>
        </w:rPr>
        <w:t xml:space="preserve">17.</w:t>
      </w:r>
      <w:r>
        <w:rPr>
          <w:rFonts w:hint="eastAsia" w:ascii="宋体" w:hAnsi="宋体" w:eastAsia="宋体" w:cs="Times New Roman"/>
          <w:b/>
          <w:bCs/>
          <w:color w:val="000000"/>
          <w:sz w:val="24"/>
          <w:szCs w:val="20"/>
          <w:highlight w:val="none"/>
          <w:lang w:val="en-US" w:eastAsia="zh-CN"/>
        </w:rPr>
        <w:t xml:space="preserve">3异常低价审查，根据（财库〔2026〕2号）文件要求</w:t>
      </w:r>
      <w:r>
        <w:rPr>
          <w:rFonts w:hint="eastAsia" w:ascii="宋体" w:hAnsi="宋体" w:eastAsia="宋体" w:cs="Times New Roman"/>
          <w:b/>
          <w:bCs/>
          <w:color w:val="000000"/>
          <w:sz w:val="24"/>
          <w:szCs w:val="20"/>
          <w:highlight w:val="none"/>
          <w:lang w:val="en-US" w:eastAsia="en-US"/>
        </w:rPr>
      </w:r>
      <w:r/>
    </w:p>
    <w:p>
      <w:pPr>
        <w:pStyle w:val="885"/>
        <w:ind w:left="2" w:firstLine="482"/>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（1）评审过程中出现下列情形之一的，评审委员会应当启动异常低价投标（响应）审查程序：</w:t>
      </w:r>
      <w:r>
        <w:rPr>
          <w:rFonts w:hint="eastAsia" w:ascii="宋体" w:hAnsi="宋体" w:eastAsia="宋体" w:cs="Times New Roman"/>
          <w:b/>
          <w:bCs/>
          <w:color w:val="000000"/>
          <w:sz w:val="24"/>
          <w:szCs w:val="20"/>
          <w:highlight w:val="none"/>
          <w:lang w:val="en-US" w:eastAsia="zh-CN"/>
        </w:rPr>
      </w:r>
      <w:r/>
    </w:p>
    <w:p>
      <w:pPr>
        <w:pStyle w:val="885"/>
        <w:ind w:left="2" w:firstLine="482"/>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①投标（响应）报价低于全部通过符合性审查供应商投标（响应）报价平均值50%的，即投标（响应）报价＜全部通过符合性审查供应商投标（响应）报价平均值×50%； </w:t>
      </w:r>
      <w:r>
        <w:rPr>
          <w:rFonts w:hint="eastAsia" w:ascii="宋体" w:hAnsi="宋体" w:eastAsia="宋体" w:cs="Times New Roman"/>
          <w:b/>
          <w:bCs/>
          <w:color w:val="000000"/>
          <w:sz w:val="24"/>
          <w:szCs w:val="20"/>
          <w:highlight w:val="none"/>
          <w:lang w:val="en-US" w:eastAsia="zh-CN"/>
        </w:rPr>
      </w:r>
      <w:r/>
    </w:p>
    <w:p>
      <w:pPr>
        <w:pStyle w:val="885"/>
        <w:ind w:left="2" w:firstLine="482"/>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②投标（响应）报价低于通过符合性审查的次低报价供应商投标（响应）报价50%的，即投标（响应）报价＜通过符合性审查的次低报价供应商投标（响应）报价×50%； </w:t>
      </w:r>
      <w:r>
        <w:rPr>
          <w:rFonts w:hint="eastAsia" w:ascii="宋体" w:hAnsi="宋体" w:eastAsia="宋体" w:cs="Times New Roman"/>
          <w:b/>
          <w:bCs/>
          <w:color w:val="000000"/>
          <w:sz w:val="24"/>
          <w:szCs w:val="20"/>
          <w:highlight w:val="none"/>
          <w:lang w:val="en-US" w:eastAsia="zh-CN"/>
        </w:rPr>
      </w:r>
      <w:r/>
    </w:p>
    <w:p>
      <w:pPr>
        <w:pStyle w:val="885"/>
        <w:ind w:left="2" w:firstLine="482"/>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③投标（响应）报价低于采购项目最高限价45%的，即投标（响应）报价＜采购项目最高限价×45%； </w:t>
      </w:r>
      <w:r>
        <w:rPr>
          <w:rFonts w:hint="eastAsia" w:ascii="宋体" w:hAnsi="宋体" w:eastAsia="宋体" w:cs="Times New Roman"/>
          <w:b/>
          <w:bCs/>
          <w:color w:val="000000"/>
          <w:sz w:val="24"/>
          <w:szCs w:val="20"/>
          <w:highlight w:val="none"/>
          <w:lang w:val="en-US" w:eastAsia="zh-CN"/>
        </w:rPr>
      </w:r>
      <w:r/>
    </w:p>
    <w:p>
      <w:pPr>
        <w:pStyle w:val="885"/>
        <w:ind w:left="2" w:firstLine="482"/>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④评审委员会基于专业判断，认为供应商报价过低，有可能影响产品质量或者不能诚信履约的其他情形。</w:t>
      </w:r>
      <w:r>
        <w:rPr>
          <w:rFonts w:ascii="宋体" w:hAnsi="宋体" w:eastAsia="宋体" w:cs="Times New Roman"/>
          <w:b/>
          <w:bCs/>
          <w:color w:val="000000"/>
          <w:sz w:val="24"/>
          <w:szCs w:val="20"/>
          <w:highlight w:val="none"/>
          <w:lang w:val="en-US" w:eastAsia="zh-CN"/>
        </w:rPr>
      </w:r>
      <w:r/>
    </w:p>
    <w:p>
      <w:pPr>
        <w:pStyle w:val="885"/>
        <w:ind w:left="2" w:firstLine="482"/>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（2）启动异常低价投标（响应）审查后，评审委员会</w:t>
      </w:r>
      <w:r>
        <w:rPr>
          <w:rFonts w:ascii="宋体" w:hAnsi="宋体" w:eastAsia="宋体" w:cs="Times New Roman"/>
          <w:b/>
          <w:bCs/>
          <w:color w:val="000000"/>
          <w:sz w:val="24"/>
          <w:szCs w:val="20"/>
          <w:highlight w:val="none"/>
          <w:lang w:val="en-US" w:eastAsia="zh-CN"/>
        </w:rPr>
        <w:t xml:space="preserve">应当要求相关供应商在评审现场合理的时间内</w:t>
      </w:r>
      <w:r>
        <w:rPr>
          <w:rFonts w:hint="eastAsia" w:ascii="宋体" w:hAnsi="宋体" w:eastAsia="宋体" w:cs="Times New Roman"/>
          <w:b/>
          <w:bCs/>
          <w:color w:val="000000"/>
          <w:sz w:val="24"/>
          <w:szCs w:val="20"/>
          <w:highlight w:val="none"/>
          <w:lang w:val="en-US" w:eastAsia="zh-CN"/>
        </w:rPr>
        <w:t xml:space="preserve">（本项目要求供应商提供相关解释及证明材料的时间为30分钟，如超过30分钟则视为放弃解释说明）</w:t>
      </w:r>
      <w:r>
        <w:rPr>
          <w:rFonts w:ascii="宋体" w:hAnsi="宋体" w:eastAsia="宋体" w:cs="Times New Roman"/>
          <w:b/>
          <w:bCs/>
          <w:color w:val="000000"/>
          <w:sz w:val="24"/>
          <w:szCs w:val="20"/>
          <w:highlight w:val="none"/>
          <w:lang w:val="en-US" w:eastAsia="zh-CN"/>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eastAsia="宋体" w:cs="Times New Roman"/>
          <w:b/>
          <w:bCs/>
          <w:color w:val="000000"/>
          <w:sz w:val="24"/>
          <w:szCs w:val="20"/>
          <w:highlight w:val="none"/>
          <w:lang w:val="en-US" w:eastAsia="zh-CN"/>
        </w:rPr>
        <w:t xml:space="preserve">投标（响应）报价低于采购项目最高限价45%的</w:t>
      </w:r>
      <w:r>
        <w:rPr>
          <w:rFonts w:ascii="宋体" w:hAnsi="宋体" w:eastAsia="宋体" w:cs="Times New Roman"/>
          <w:b/>
          <w:bCs/>
          <w:color w:val="000000"/>
          <w:sz w:val="24"/>
          <w:szCs w:val="20"/>
          <w:highlight w:val="none"/>
          <w:lang w:val="en-US" w:eastAsia="zh-CN"/>
        </w:rPr>
        <w:t xml:space="preserve">，供应商已随投标（响应）文件一并提交相关书面说明及必要的证明材料的，在评审现场可不再重复提交。 </w:t>
      </w:r>
      <w:r>
        <w:rPr>
          <w:rFonts w:ascii="宋体" w:hAnsi="宋体" w:eastAsia="宋体" w:cs="Times New Roman"/>
          <w:b/>
          <w:bCs/>
          <w:color w:val="000000"/>
          <w:sz w:val="24"/>
          <w:szCs w:val="20"/>
          <w:highlight w:val="none"/>
          <w:lang w:val="en-US" w:eastAsia="zh-CN"/>
        </w:rPr>
      </w:r>
      <w:r/>
    </w:p>
    <w:p>
      <w:pPr>
        <w:pStyle w:val="885"/>
        <w:ind w:left="2" w:firstLine="482"/>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（3）</w:t>
      </w:r>
      <w:r>
        <w:rPr>
          <w:rFonts w:ascii="宋体" w:hAnsi="宋体" w:eastAsia="宋体" w:cs="Times New Roman"/>
          <w:b/>
          <w:bCs/>
          <w:color w:val="000000"/>
          <w:sz w:val="24"/>
          <w:szCs w:val="2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宋体" w:hAnsi="宋体" w:eastAsia="宋体" w:cs="Times New Roman"/>
          <w:b/>
          <w:bCs/>
          <w:color w:val="000000"/>
          <w:sz w:val="24"/>
          <w:szCs w:val="20"/>
          <w:highlight w:val="none"/>
          <w:lang w:val="en-US" w:eastAsia="zh-CN"/>
        </w:rPr>
      </w:r>
      <w:r/>
    </w:p>
    <w:p>
      <w:pPr>
        <w:pStyle w:val="885"/>
        <w:ind w:left="2" w:firstLine="482"/>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（4）</w:t>
      </w:r>
      <w:r>
        <w:rPr>
          <w:rFonts w:ascii="宋体" w:hAnsi="宋体" w:eastAsia="宋体" w:cs="Times New Roman"/>
          <w:b/>
          <w:bCs/>
          <w:color w:val="000000"/>
          <w:sz w:val="24"/>
          <w:szCs w:val="2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rPr>
          <w:rFonts w:ascii="宋体" w:hAnsi="宋体" w:eastAsia="宋体" w:cs="Times New Roman"/>
          <w:b/>
          <w:bCs/>
          <w:color w:val="000000"/>
          <w:sz w:val="24"/>
          <w:szCs w:val="20"/>
          <w:highlight w:val="none"/>
          <w:lang w:val="en-US" w:eastAsia="zh-CN"/>
        </w:rPr>
      </w:r>
      <w:r/>
    </w:p>
    <w:p>
      <w:pPr>
        <w:pStyle w:val="885"/>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18</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评标过程及保密原则</w:t>
      </w:r>
      <w:r>
        <w:rPr>
          <w:rFonts w:ascii="宋体" w:hAnsi="宋体"/>
          <w:b/>
          <w:color w:val="000000"/>
          <w:sz w:val="24"/>
          <w:highlight w:val="none"/>
        </w:rPr>
      </w:r>
      <w:r/>
    </w:p>
    <w:p>
      <w:pPr>
        <w:pStyle w:val="885"/>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highlight w:val="none"/>
        </w:rPr>
      </w:r>
      <w:r/>
    </w:p>
    <w:p>
      <w:pPr>
        <w:pStyle w:val="885"/>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rPr>
          <w:rFonts w:ascii="宋体" w:hAnsi="宋体"/>
          <w:color w:val="000000"/>
          <w:sz w:val="24"/>
          <w:highlight w:val="none"/>
        </w:rPr>
      </w:r>
      <w:r/>
    </w:p>
    <w:p>
      <w:pPr>
        <w:pStyle w:val="885"/>
        <w:ind w:firstLine="723"/>
        <w:jc w:val="center"/>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ascii="宋体" w:hAnsi="宋体" w:cs="宋体"/>
          <w:b/>
          <w:color w:val="000000"/>
          <w:sz w:val="36"/>
          <w:szCs w:val="32"/>
          <w:highlight w:val="none"/>
        </w:rPr>
      </w:r>
      <w:r/>
    </w:p>
    <w:p>
      <w:pPr>
        <w:pStyle w:val="885"/>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19．定标原则</w:t>
      </w:r>
      <w:r>
        <w:rPr>
          <w:rFonts w:hint="eastAsia" w:ascii="宋体" w:hAnsi="宋体" w:cs="宋体"/>
          <w:b/>
          <w:color w:val="000000"/>
          <w:sz w:val="24"/>
          <w:highlight w:val="none"/>
        </w:rPr>
      </w:r>
      <w:r/>
    </w:p>
    <w:p>
      <w:pPr>
        <w:pStyle w:val="885"/>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19.1</w:t>
      </w:r>
      <w:r>
        <w:rPr>
          <w:rFonts w:hint="eastAsia" w:ascii="宋体" w:hAnsi="宋体" w:cs="宋体"/>
          <w:b/>
          <w:bCs/>
          <w:color w:val="000000"/>
          <w:sz w:val="24"/>
          <w:highlight w:val="none"/>
        </w:rPr>
        <w:t xml:space="preserve">本次招标评标方法为综合评分法。</w:t>
      </w:r>
      <w:r>
        <w:rPr>
          <w:rFonts w:hint="eastAsia" w:ascii="宋体" w:hAnsi="宋体" w:cs="宋体"/>
          <w:b/>
          <w:bCs/>
          <w:color w:val="000000"/>
          <w:sz w:val="24"/>
          <w:highlight w:val="none"/>
        </w:rPr>
      </w:r>
      <w:r/>
    </w:p>
    <w:p>
      <w:pPr>
        <w:pStyle w:val="885"/>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highlight w:val="none"/>
        </w:rPr>
      </w:r>
      <w:r/>
    </w:p>
    <w:p>
      <w:pPr>
        <w:pStyle w:val="885"/>
        <w:ind w:firstLine="482"/>
        <w:spacing w:line="480" w:lineRule="exact"/>
        <w:rPr>
          <w:rFonts w:hint="eastAsia" w:ascii="宋体" w:hAnsi="宋体" w:cs="宋体"/>
          <w:b/>
          <w:color w:val="000000"/>
          <w:sz w:val="24"/>
        </w:rPr>
      </w:pPr>
      <w:r>
        <w:rPr>
          <w:rFonts w:hint="eastAsia" w:ascii="宋体" w:hAnsi="宋体" w:cs="宋体"/>
          <w:b/>
          <w:color w:val="000000"/>
          <w:sz w:val="24"/>
        </w:rPr>
        <w:t xml:space="preserve">本项目提供相同品牌核心产品</w:t>
      </w:r>
      <w:r>
        <w:rPr>
          <w:rFonts w:hint="eastAsia" w:ascii="宋体" w:hAnsi="宋体" w:cs="宋体"/>
          <w:b/>
          <w:color w:val="000000"/>
          <w:sz w:val="24"/>
          <w:lang w:eastAsia="zh-CN"/>
        </w:rPr>
        <w:t xml:space="preserve">：</w:t>
      </w:r>
      <w:r>
        <w:rPr>
          <w:rFonts w:hint="eastAsia" w:ascii="宋体" w:hAnsi="宋体" w:cs="宋体"/>
          <w:b/>
          <w:bCs/>
          <w:color w:val="000000"/>
          <w:szCs w:val="21"/>
        </w:rPr>
        <w:t xml:space="preserve">★</w:t>
      </w:r>
      <w:r>
        <w:rPr>
          <w:rFonts w:hint="eastAsia" w:ascii="宋体" w:hAnsi="宋体" w:cs="宋体"/>
          <w:b/>
          <w:color w:val="000000"/>
          <w:sz w:val="24"/>
          <w:lang w:val="en-US" w:eastAsia="zh-CN"/>
        </w:rPr>
        <w:t xml:space="preserve">学生编程终端、</w:t>
      </w:r>
      <w:r>
        <w:rPr>
          <w:rFonts w:hint="eastAsia" w:ascii="宋体" w:hAnsi="宋体" w:cs="宋体"/>
          <w:b/>
          <w:color w:val="000000"/>
          <w:sz w:val="24"/>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rPr>
          <w:rFonts w:hint="eastAsia" w:ascii="宋体" w:hAnsi="宋体" w:cs="宋体"/>
          <w:b/>
          <w:color w:val="000000"/>
          <w:sz w:val="24"/>
        </w:rPr>
      </w:r>
      <w:r/>
    </w:p>
    <w:p>
      <w:pPr>
        <w:pStyle w:val="888"/>
        <w:ind w:firstLine="480"/>
        <w:spacing w:before="0" w:after="0" w:line="460" w:lineRule="exact"/>
        <w:rPr>
          <w:rFonts w:hint="eastAsia" w:ascii="宋体" w:hAnsi="宋体" w:cs="宋体"/>
          <w:bCs/>
          <w:color w:val="000000"/>
          <w:highlight w:val="none"/>
        </w:rPr>
      </w:pPr>
      <w:r>
        <w:rPr>
          <w:rFonts w:hint="eastAsia" w:ascii="宋体" w:hAnsi="宋体" w:cs="宋体"/>
          <w:color w:val="000000"/>
          <w:highlight w:val="none"/>
        </w:rPr>
        <w:t xml:space="preserve">19.2</w:t>
      </w:r>
      <w:r>
        <w:rPr>
          <w:rFonts w:hint="eastAsia" w:ascii="宋体" w:hAnsi="宋体" w:cs="宋体"/>
          <w:b/>
          <w:bCs/>
          <w:color w:val="000000"/>
          <w:highlight w:val="none"/>
        </w:rPr>
        <w:t xml:space="preserve">推荐的中标候选人数：1名。</w:t>
      </w:r>
      <w:r>
        <w:rPr>
          <w:rFonts w:hint="eastAsia" w:ascii="宋体" w:hAnsi="宋体" w:cs="宋体"/>
          <w:bCs/>
          <w:color w:val="000000"/>
          <w:highlight w:val="none"/>
        </w:rPr>
        <w:t xml:space="preserve">排名第一的中标候选人放弃中标，或因不可抗力提出不能履行合同，或者被查实存在影响中标结果的违法行为等情形，不符合中标条件的，本项目直接重新招标，不得确定其他投标人为中标人。</w:t>
      </w:r>
      <w:r>
        <w:rPr>
          <w:rFonts w:hint="eastAsia" w:ascii="宋体" w:hAnsi="宋体" w:cs="宋体"/>
          <w:bCs/>
          <w:color w:val="000000"/>
          <w:highlight w:val="none"/>
        </w:rPr>
      </w:r>
      <w:r/>
    </w:p>
    <w:p>
      <w:pPr>
        <w:pStyle w:val="885"/>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20．确定中标供应商</w:t>
      </w:r>
      <w:r>
        <w:rPr>
          <w:rFonts w:hint="eastAsia" w:ascii="宋体" w:hAnsi="宋体" w:cs="宋体"/>
          <w:b/>
          <w:color w:val="000000"/>
          <w:sz w:val="24"/>
          <w:highlight w:val="none"/>
        </w:rPr>
      </w:r>
      <w:r/>
    </w:p>
    <w:p>
      <w:pPr>
        <w:pStyle w:val="885"/>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hint="eastAsia" w:ascii="宋体" w:hAnsi="宋体" w:cs="宋体"/>
          <w:color w:val="000000"/>
          <w:sz w:val="24"/>
          <w:highlight w:val="none"/>
        </w:rPr>
      </w:r>
      <w:r/>
    </w:p>
    <w:p>
      <w:pPr>
        <w:pStyle w:val="885"/>
        <w:numPr>
          <w:ilvl w:val="0"/>
          <w:numId w:val="2"/>
        </w:numPr>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中标通知书和签订合同</w:t>
      </w:r>
      <w:r>
        <w:rPr>
          <w:rFonts w:hint="eastAsia" w:ascii="宋体" w:hAnsi="宋体" w:cs="宋体"/>
          <w:b/>
          <w:color w:val="000000"/>
          <w:sz w:val="24"/>
          <w:highlight w:val="none"/>
        </w:rPr>
      </w:r>
      <w:r/>
    </w:p>
    <w:p>
      <w:pPr>
        <w:pStyle w:val="885"/>
        <w:numPr>
          <w:ilvl w:val="1"/>
          <w:numId w:val="0"/>
        </w:numPr>
        <w:ind w:firstLine="480"/>
        <w:spacing w:line="460" w:lineRule="exact"/>
        <w:rPr>
          <w:rFonts w:hint="eastAsia" w:ascii="宋体" w:hAnsi="宋体" w:cs="宋体"/>
          <w:color w:val="000000"/>
          <w:highlight w:val="none"/>
        </w:rPr>
      </w:pPr>
      <w:r>
        <w:rPr>
          <w:rFonts w:hint="eastAsia" w:ascii="宋体" w:hAnsi="宋体" w:cs="宋体"/>
          <w:color w:val="000000"/>
          <w:sz w:val="24"/>
          <w:szCs w:val="24"/>
          <w:highlight w:val="none"/>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"http://zhumadian.hngp.gov.cn/prx/000/http/www.sxztb.gov.cn/" </w:instrText>
      </w:r>
      <w:r>
        <w:rPr>
          <w:rFonts w:hint="eastAsia" w:ascii="宋体" w:hAnsi="宋体" w:cs="宋体"/>
          <w:color w:val="000000"/>
          <w:highlight w:val="none"/>
        </w:rPr>
        <w:fldChar w:fldCharType="separate"/>
      </w:r>
      <w:r>
        <w:rPr>
          <w:rFonts w:hint="eastAsia" w:ascii="宋体" w:hAnsi="宋体" w:cs="宋体"/>
          <w:color w:val="000000"/>
          <w:highlight w:val="none"/>
        </w:rPr>
        <w:fldChar w:fldCharType="end"/>
      </w:r>
      <w:r>
        <w:rPr>
          <w:rFonts w:hint="eastAsia" w:ascii="宋体" w:hAnsi="宋体" w:cs="宋体"/>
          <w:color w:val="000000"/>
          <w:sz w:val="24"/>
          <w:highlight w:val="none"/>
        </w:rPr>
        <w:t xml:space="preserve">等相关媒体发布；在公示中标结果的同时向中标供应商发出中标通知书。中标通知书成为合同文件的组成部分，具有法律效力。</w:t>
      </w:r>
      <w:r>
        <w:rPr>
          <w:rFonts w:hint="eastAsia" w:ascii="宋体" w:hAnsi="宋体" w:cs="宋体"/>
          <w:color w:val="000000"/>
          <w:highlight w:val="none"/>
        </w:rPr>
      </w:r>
      <w:r/>
    </w:p>
    <w:p>
      <w:pPr>
        <w:pStyle w:val="885"/>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21.2政府采购项目的采购合同自签订之日起七个工作日内，采购人应当将合同副本报同级政府采购监督管理部门和有关部门备案。</w:t>
      </w:r>
      <w:r>
        <w:rPr>
          <w:rFonts w:hint="eastAsia" w:ascii="宋体" w:hAnsi="宋体" w:cs="宋体"/>
          <w:color w:val="000000"/>
          <w:sz w:val="24"/>
          <w:highlight w:val="none"/>
        </w:rPr>
      </w:r>
      <w:r/>
    </w:p>
    <w:p>
      <w:pPr>
        <w:pStyle w:val="885"/>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r>
      <w:r/>
    </w:p>
    <w:p>
      <w:pPr>
        <w:pStyle w:val="885"/>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r>
      <w:r/>
    </w:p>
    <w:p>
      <w:pPr>
        <w:pStyle w:val="885"/>
        <w:ind w:firstLine="482"/>
        <w:jc w:val="left"/>
        <w:spacing w:line="4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22. 质疑和投诉</w:t>
      </w:r>
      <w:r>
        <w:rPr>
          <w:rFonts w:hint="eastAsia" w:ascii="宋体" w:hAnsi="宋体" w:cs="宋体"/>
          <w:b/>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22.1 质疑供应商是指直接参加本次投标活动的供应商，未参加投标活动的供应商或在投标活动中自身权益未受到损害的供应商所提出的质疑不予受理；</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22.2 质疑供应商必须以书面形式向采购人、采购代理机构提出质疑；</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（1）供应商的姓名或者名称、地址、邮编、联系人及联系电话；</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（2）质疑项目的名称、编号；</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（3）具体、明确的质疑事项和与质疑事项相关的请求；</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（4）事实依据；</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（5）必要的法律依据；</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（6）提出质疑的日期。</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22.5采购人或采购代理机构只接收以纸质原件形式送达的质疑,采购人或采购代理机构不接受未填写快递运单的快件；</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22.6 采购人或代理机构在收到供应商的书面质疑后将及时组织调查核实，在七个工作日内作出答复，并以书面形式通知质疑供应商，答复的内容不涉及商业秘密；</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 以下情形的质疑不予受理</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22.8.1内容不符合《政府采购质疑和投诉办法》第十二条规定的质疑；</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22.8.2超出政府采购法定期限的质疑；</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22.8.3以传真、电子邮件等方式递交的非原件形式的质疑；</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22.8.4未参加投标活动的供应商或在投标活动中自身权益未受到损害的供应商所提出的质疑；</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22.8.5供应商组成联合体参加投标，联合体中任何一方或多方未按要求签字、盖章、加盖公章的质疑；</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22.9 质疑或投诉程序</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22.10 恶意投诉情形</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（1）未按规定向投诉处理部门投诉或向不同部门多方投诉的；</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（2）不符合投诉受理条件，被告知后仍进行投诉的；</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（3）投诉处理部门受理投诉后，投诉人仍就同一内容向其他部门进行投诉的；</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（4）捏造事实、伪造材料进行投诉或在网络等媒体上进行失实报道的；</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（5）投诉经查失实，被告知后，仍然恶意缠诉的；</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（6）一年内三次以上失实投诉的；</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（7）直接向领导、纪委、检察部门写匿名信等。</w:t>
      </w:r>
      <w:r>
        <w:rPr>
          <w:rFonts w:hint="eastAsia" w:ascii="宋体" w:hAnsi="宋体" w:cs="宋体"/>
          <w:bCs/>
          <w:color w:val="000000"/>
          <w:sz w:val="24"/>
          <w:szCs w:val="24"/>
          <w:highlight w:val="none"/>
        </w:rPr>
      </w:r>
      <w:r/>
    </w:p>
    <w:p>
      <w:pPr>
        <w:pStyle w:val="885"/>
        <w:ind w:firstLine="482"/>
        <w:jc w:val="left"/>
        <w:spacing w:line="460" w:lineRule="exact"/>
        <w:widowControl/>
        <w:rPr>
          <w:rFonts w:hint="eastAsia" w:ascii="宋体" w:hAnsi="宋体" w:cs="宋体"/>
          <w:b/>
          <w:color w:val="000000"/>
          <w:sz w:val="24"/>
          <w:highlight w:val="none"/>
        </w:rPr>
      </w:pPr>
      <w:r/>
      <w:bookmarkStart w:id="5" w:name="_Hlk153783081"/>
      <w:r>
        <w:rPr>
          <w:rFonts w:hint="eastAsia" w:ascii="宋体" w:hAnsi="宋体" w:cs="宋体"/>
          <w:b/>
          <w:color w:val="000000"/>
          <w:sz w:val="24"/>
          <w:szCs w:val="24"/>
          <w:highlight w:val="none"/>
        </w:rPr>
        <w:t xml:space="preserve">23.</w:t>
      </w:r>
      <w:r>
        <w:rPr>
          <w:rFonts w:hint="eastAsia" w:ascii="宋体" w:hAnsi="宋体" w:cs="宋体"/>
          <w:b/>
          <w:color w:val="000000"/>
          <w:sz w:val="24"/>
          <w:highlight w:val="none"/>
        </w:rPr>
        <w:t xml:space="preserve">投标人有下列行为之一造成采购人重新招标的，采购人重新招标时可以拒绝其参加投标：</w:t>
      </w:r>
      <w:r>
        <w:rPr>
          <w:rFonts w:hint="eastAsia" w:ascii="宋体" w:hAnsi="宋体" w:cs="宋体"/>
          <w:b/>
          <w:color w:val="000000"/>
          <w:sz w:val="24"/>
          <w:highlight w:val="none"/>
        </w:rPr>
      </w:r>
      <w:r/>
    </w:p>
    <w:p>
      <w:pPr>
        <w:pStyle w:val="885"/>
        <w:ind w:firstLine="480"/>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（1）无故放弃中标；</w:t>
      </w:r>
      <w:r>
        <w:rPr>
          <w:rFonts w:hint="eastAsia" w:ascii="宋体" w:hAnsi="宋体" w:cs="宋体"/>
          <w:bCs/>
          <w:color w:val="000000"/>
          <w:sz w:val="24"/>
          <w:highlight w:val="none"/>
        </w:rPr>
      </w:r>
      <w:r/>
    </w:p>
    <w:p>
      <w:pPr>
        <w:pStyle w:val="885"/>
        <w:ind w:firstLine="480"/>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（2）串通投标；</w:t>
      </w:r>
      <w:r>
        <w:rPr>
          <w:rFonts w:hint="eastAsia" w:ascii="宋体" w:hAnsi="宋体" w:cs="宋体"/>
          <w:bCs/>
          <w:color w:val="000000"/>
          <w:sz w:val="24"/>
          <w:highlight w:val="none"/>
        </w:rPr>
      </w:r>
      <w:r/>
    </w:p>
    <w:p>
      <w:pPr>
        <w:pStyle w:val="885"/>
        <w:ind w:firstLine="480"/>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（3）存在弄虚作假行为；</w:t>
      </w:r>
      <w:r>
        <w:rPr>
          <w:rFonts w:hint="eastAsia" w:ascii="宋体" w:hAnsi="宋体" w:cs="宋体"/>
          <w:bCs/>
          <w:color w:val="000000"/>
          <w:sz w:val="24"/>
          <w:highlight w:val="none"/>
        </w:rPr>
      </w:r>
      <w:r/>
    </w:p>
    <w:p>
      <w:pPr>
        <w:pStyle w:val="885"/>
        <w:ind w:firstLine="480"/>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（4）以可能影响履约的异常低价参加投标；</w:t>
      </w:r>
      <w:r>
        <w:rPr>
          <w:rFonts w:hint="eastAsia" w:ascii="宋体" w:hAnsi="宋体" w:cs="宋体"/>
          <w:bCs/>
          <w:color w:val="000000"/>
          <w:sz w:val="24"/>
          <w:highlight w:val="none"/>
        </w:rPr>
      </w:r>
      <w:r/>
    </w:p>
    <w:p>
      <w:pPr>
        <w:pStyle w:val="885"/>
        <w:ind w:firstLine="480"/>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（5）其他违反法律、法规的行为。</w:t>
      </w:r>
      <w:r>
        <w:rPr>
          <w:rFonts w:hint="eastAsia" w:ascii="宋体" w:hAnsi="宋体" w:cs="宋体"/>
          <w:bCs/>
          <w:color w:val="000000"/>
          <w:sz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5"/>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24.电子招标投标交易平台</w:t>
      </w:r>
      <w:r>
        <w:rPr>
          <w:rFonts w:hint="eastAsia" w:ascii="宋体" w:hAnsi="宋体" w:cs="宋体"/>
          <w:bCs/>
          <w:color w:val="000000"/>
          <w:sz w:val="24"/>
          <w:szCs w:val="24"/>
          <w:highlight w:val="none"/>
        </w:rPr>
      </w:r>
      <w:r/>
    </w:p>
    <w:p>
      <w:pPr>
        <w:pStyle w:val="885"/>
        <w:ind w:firstLine="480"/>
        <w:jc w:val="left"/>
        <w:spacing w:line="460" w:lineRule="exact"/>
        <w:widowControl/>
        <w:rPr>
          <w:rFonts w:hint="eastAsia" w:ascii="宋体" w:hAnsi="宋体" w:cs="宋体"/>
          <w:b/>
          <w:color w:val="000000"/>
          <w:sz w:val="44"/>
          <w:szCs w:val="44"/>
          <w:highlight w:val="none"/>
        </w:rPr>
      </w:pPr>
      <w:r>
        <w:rPr>
          <w:rFonts w:hint="eastAsia" w:ascii="宋体" w:hAnsi="宋体" w:cs="宋体"/>
          <w:bCs/>
          <w:color w:val="000000"/>
          <w:sz w:val="24"/>
          <w:szCs w:val="24"/>
          <w:highlight w:val="none"/>
        </w:rPr>
        <w:t xml:space="preserve">电子招标投标交易平台（即“苏采云”系统，网址：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"http://jszfcg.jsczt.cn/" \o "http://jszfcg.jsczt.cn/" </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http://jszfcg.jsczt.cn/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885"/>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25. 本项目落实预付款制度，预付款比例为30%。在签订合同时，中标、成交供应商明确书面表示无需预付款或者主动要求降低预付款比例的，采购人可就预付款比例作相应调整。</w:t>
      </w:r>
      <w:r>
        <w:rPr>
          <w:rFonts w:hint="eastAsia" w:ascii="宋体" w:hAnsi="宋体" w:cs="宋体"/>
          <w:bCs/>
          <w:color w:val="000000"/>
          <w:sz w:val="24"/>
          <w:szCs w:val="24"/>
          <w:highlight w:val="none"/>
        </w:rPr>
      </w:r>
      <w:r/>
    </w:p>
    <w:p>
      <w:pPr>
        <w:pStyle w:val="885"/>
        <w:ind w:firstLine="48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26.政府采购履约资金扶持政策</w:t>
      </w:r>
      <w:r>
        <w:rPr>
          <w:rFonts w:hint="eastAsia" w:ascii="宋体" w:hAnsi="宋体" w:cs="宋体"/>
          <w:bCs/>
          <w:color w:val="000000"/>
          <w:sz w:val="24"/>
          <w:highlight w:val="none"/>
        </w:rPr>
      </w:r>
      <w:r/>
    </w:p>
    <w:p>
      <w:pPr>
        <w:pStyle w:val="885"/>
        <w:ind w:firstLine="480"/>
        <w:spacing w:line="460" w:lineRule="exact"/>
        <w:rPr>
          <w:rFonts w:hint="eastAsia" w:ascii="宋体" w:hAnsi="宋体" w:cs="宋体"/>
          <w:bCs/>
          <w:color w:val="000000"/>
          <w:sz w:val="44"/>
          <w:szCs w:val="44"/>
          <w:highlight w:val="none"/>
        </w:rPr>
      </w:pPr>
      <w:r>
        <w:rPr>
          <w:rFonts w:hint="eastAsia" w:ascii="宋体" w:hAnsi="宋体" w:cs="宋体"/>
          <w:bCs/>
          <w:color w:val="000000"/>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Cs/>
          <w:color w:val="000000"/>
          <w:sz w:val="44"/>
          <w:szCs w:val="44"/>
          <w:highlight w:val="none"/>
        </w:rPr>
      </w:r>
      <w:r/>
    </w:p>
    <w:p>
      <w:pPr>
        <w:pStyle w:val="885"/>
        <w:numPr>
          <w:ilvl w:val="0"/>
          <w:numId w:val="3"/>
        </w:numPr>
        <w:ind w:firstLine="482"/>
        <w:spacing w:before="0" w:after="0" w:line="460" w:lineRule="exact"/>
        <w:tabs>
          <w:tab w:val="left" w:pos="312" w:leader="none"/>
        </w:tabs>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实施本国产品标准及相关政策</w:t>
      </w:r>
      <w:r>
        <w:rPr>
          <w:rFonts w:hint="eastAsia" w:ascii="宋体" w:hAnsi="宋体" w:cs="宋体"/>
          <w:b/>
          <w:color w:val="000000"/>
          <w:sz w:val="24"/>
          <w:szCs w:val="24"/>
          <w:highlight w:val="none"/>
          <w:lang w:val="en-US" w:eastAsia="zh-CN"/>
        </w:rPr>
      </w:r>
      <w:r/>
    </w:p>
    <w:p>
      <w:pPr>
        <w:pStyle w:val="885"/>
        <w:ind w:firstLine="480"/>
        <w:spacing w:before="0" w:line="450" w:lineRule="exac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（1）本项目对采购本国产品给予政策支持，具体内容见招标文件“第五部分 评审方法”。</w:t>
      </w:r>
      <w:r>
        <w:rPr>
          <w:rFonts w:hint="eastAsia" w:ascii="宋体" w:hAnsi="宋体" w:cs="宋体"/>
          <w:b w:val="0"/>
          <w:bCs/>
          <w:color w:val="000000"/>
          <w:sz w:val="24"/>
          <w:szCs w:val="24"/>
          <w:highlight w:val="none"/>
          <w:lang w:val="en-US" w:eastAsia="zh-CN"/>
        </w:rPr>
      </w:r>
      <w:r/>
    </w:p>
    <w:p>
      <w:pPr>
        <w:pStyle w:val="885"/>
        <w:ind w:firstLine="480"/>
        <w:spacing w:before="0" w:line="450" w:lineRule="exac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 w:val="0"/>
          <w:bCs/>
          <w:color w:val="000000"/>
          <w:sz w:val="24"/>
          <w:szCs w:val="24"/>
          <w:highlight w:val="none"/>
          <w:lang w:val="en-US" w:eastAsia="zh-CN"/>
        </w:rPr>
      </w:r>
      <w:r/>
    </w:p>
    <w:p>
      <w:pPr>
        <w:pStyle w:val="885"/>
        <w:ind w:firstLine="480"/>
        <w:spacing w:before="0" w:line="450" w:lineRule="exac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 w:val="0"/>
          <w:bCs/>
          <w:color w:val="000000"/>
          <w:sz w:val="24"/>
          <w:szCs w:val="24"/>
          <w:highlight w:val="none"/>
          <w:lang w:val="en-US" w:eastAsia="zh-CN"/>
        </w:rPr>
      </w:r>
      <w:r/>
    </w:p>
    <w:p>
      <w:pPr>
        <w:pStyle w:val="885"/>
        <w:ind w:firstLine="480"/>
        <w:spacing w:line="480" w:lineRule="exact"/>
        <w:rPr>
          <w:rFonts w:hint="eastAsia" w:ascii="宋体" w:hAnsi="宋体" w:cs="宋体"/>
          <w:b w:val="0"/>
          <w:bCs/>
          <w:color w:val="000000"/>
          <w:sz w:val="24"/>
          <w:szCs w:val="24"/>
          <w:highlight w:val="none"/>
          <w:u w:val="single"/>
          <w:lang w:val="en-US" w:eastAsia="zh-CN"/>
        </w:rPr>
      </w:pPr>
      <w:r>
        <w:rPr>
          <w:rFonts w:hint="eastAsia" w:ascii="宋体" w:hAnsi="宋体" w:cs="宋体"/>
          <w:b w:val="0"/>
          <w:bCs/>
          <w:color w:val="000000"/>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val="0"/>
          <w:bCs/>
          <w:color w:val="000000"/>
          <w:sz w:val="24"/>
          <w:szCs w:val="24"/>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s="宋体"/>
          <w:b w:val="0"/>
          <w:bCs/>
          <w:color w:val="000000"/>
          <w:sz w:val="24"/>
          <w:szCs w:val="24"/>
          <w:highlight w:val="none"/>
          <w:u w:val="single"/>
          <w:lang w:val="en-US" w:eastAsia="zh-CN"/>
        </w:rPr>
      </w:r>
      <w:r/>
    </w:p>
    <w:p>
      <w:pPr>
        <w:pStyle w:val="1090"/>
        <w:ind w:left="0" w:firstLine="0"/>
        <w:tabs>
          <w:tab w:val="left" w:pos="180" w:leader="none"/>
        </w:tabs>
        <w:rPr>
          <w:rFonts w:hint="eastAsia"/>
          <w:color w:val="000000"/>
          <w:highlight w:val="none"/>
        </w:rPr>
      </w:pPr>
      <w:r>
        <w:rPr>
          <w:rFonts w:hint="eastAsia"/>
          <w:color w:val="000000"/>
          <w:highlight w:val="none"/>
        </w:rPr>
      </w:r>
      <w:r/>
    </w:p>
    <w:p>
      <w:pPr>
        <w:pStyle w:val="1090"/>
        <w:ind w:left="0" w:firstLine="0"/>
        <w:tabs>
          <w:tab w:val="left" w:pos="180" w:leader="none"/>
        </w:tabs>
        <w:rPr>
          <w:rFonts w:hint="eastAsia"/>
          <w:color w:val="000000"/>
          <w:highlight w:val="none"/>
        </w:rPr>
      </w:pPr>
      <w:r>
        <w:rPr>
          <w:rFonts w:hint="eastAsia"/>
          <w:color w:val="000000"/>
          <w:highlight w:val="none"/>
        </w:rPr>
      </w:r>
      <w:r/>
    </w:p>
    <w:p>
      <w:pPr>
        <w:pStyle w:val="1090"/>
        <w:ind w:left="0" w:firstLine="0"/>
        <w:tabs>
          <w:tab w:val="left" w:pos="180" w:leader="none"/>
        </w:tabs>
        <w:rPr>
          <w:rFonts w:hint="eastAsia"/>
          <w:color w:val="000000"/>
          <w:highlight w:val="none"/>
        </w:rPr>
      </w:pPr>
      <w:r>
        <w:rPr>
          <w:rFonts w:hint="eastAsia"/>
          <w:color w:val="000000"/>
          <w:highlight w:val="none"/>
        </w:rPr>
      </w:r>
      <w:r/>
    </w:p>
    <w:p>
      <w:pPr>
        <w:pStyle w:val="885"/>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85"/>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85"/>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85"/>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85"/>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85"/>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85"/>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85"/>
        <w:spacing w:before="50" w:line="4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85"/>
        <w:ind w:firstLine="883"/>
        <w:jc w:val="center"/>
        <w:spacing w:before="50" w:line="440" w:lineRule="exact"/>
        <w:rPr>
          <w:rFonts w:ascii="华文中宋" w:hAnsi="华文中宋" w:eastAsia="华文中宋" w:cs="Arial"/>
          <w:color w:val="000000"/>
          <w:sz w:val="44"/>
          <w:szCs w:val="44"/>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第三章  招标内容及要求</w:t>
      </w:r>
      <w:r>
        <w:rPr>
          <w:rFonts w:ascii="华文中宋" w:hAnsi="华文中宋" w:eastAsia="华文中宋" w:cs="Arial"/>
          <w:color w:val="000000"/>
          <w:sz w:val="44"/>
          <w:szCs w:val="44"/>
          <w:highlight w:val="none"/>
        </w:rPr>
      </w:r>
      <w:r/>
    </w:p>
    <w:p>
      <w:pPr>
        <w:pStyle w:val="885"/>
        <w:ind w:firstLine="482"/>
        <w:jc w:val="left"/>
        <w:keepLines w:val="0"/>
        <w:keepNext w:val="0"/>
        <w:pageBreakBefore w:val="0"/>
        <w:spacing w:line="520" w:lineRule="exact"/>
        <w:widowControl/>
        <w:rPr>
          <w:rFonts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ascii="宋体" w:hAnsi="宋体" w:cs="宋体"/>
          <w:b/>
          <w:color w:val="000000"/>
          <w:sz w:val="24"/>
          <w:highlight w:val="none"/>
        </w:rPr>
      </w:r>
      <w:r/>
    </w:p>
    <w:p>
      <w:pPr>
        <w:pStyle w:val="885"/>
        <w:ind w:firstLine="480"/>
        <w:jc w:val="left"/>
        <w:keepLines w:val="0"/>
        <w:keepNext w:val="0"/>
        <w:pageBreakBefore w:val="0"/>
        <w:spacing w:line="480" w:lineRule="exact"/>
        <w:widowControl/>
        <w:rPr>
          <w:rFonts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1.项目属性:货物类项目</w:t>
      </w:r>
      <w:r>
        <w:rPr>
          <w:rFonts w:ascii="宋体" w:hAnsi="宋体" w:eastAsia="宋体" w:cs="宋体"/>
          <w:b w:val="0"/>
          <w:bCs/>
          <w:color w:val="000000"/>
          <w:sz w:val="24"/>
          <w:highlight w:val="none"/>
          <w:lang w:val="en-US" w:eastAsia="zh-CN"/>
        </w:rPr>
      </w:r>
      <w:r/>
    </w:p>
    <w:p>
      <w:pPr>
        <w:pStyle w:val="885"/>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江苏省建湖高级中学科学教育实验教室采购项目</w:t>
      </w:r>
      <w:r>
        <w:rPr>
          <w:rFonts w:hint="eastAsia" w:ascii="宋体" w:hAnsi="宋体" w:cs="宋体"/>
          <w:color w:val="000000"/>
          <w:sz w:val="24"/>
          <w:highlight w:val="none"/>
          <w:lang w:eastAsia="zh-CN"/>
        </w:rPr>
      </w:r>
      <w:r/>
    </w:p>
    <w:p>
      <w:pPr>
        <w:pStyle w:val="885"/>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预算金额：3</w:t>
      </w:r>
      <w:r>
        <w:rPr>
          <w:rFonts w:hint="eastAsia" w:ascii="宋体" w:hAnsi="宋体" w:cs="Arial"/>
          <w:bCs/>
          <w:color w:val="000000"/>
          <w:sz w:val="24"/>
          <w:szCs w:val="24"/>
          <w:highlight w:val="none"/>
          <w:lang w:val="en-US" w:eastAsia="zh-CN"/>
        </w:rPr>
        <w:t xml:space="preserve">00</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00</w:t>
      </w:r>
      <w:r>
        <w:rPr>
          <w:rFonts w:hint="eastAsia" w:ascii="宋体" w:hAnsi="宋体" w:cs="Arial"/>
          <w:bCs/>
          <w:color w:val="000000"/>
          <w:sz w:val="24"/>
          <w:szCs w:val="24"/>
          <w:highlight w:val="none"/>
        </w:rPr>
        <w:t xml:space="preserve">万元；</w:t>
      </w:r>
      <w:r>
        <w:rPr>
          <w:rFonts w:hint="eastAsia" w:ascii="宋体" w:hAnsi="宋体" w:cs="Arial"/>
          <w:bCs/>
          <w:color w:val="000000"/>
          <w:sz w:val="24"/>
          <w:szCs w:val="24"/>
          <w:highlight w:val="none"/>
        </w:rPr>
      </w:r>
      <w:r/>
    </w:p>
    <w:p>
      <w:pPr>
        <w:pStyle w:val="885"/>
        <w:ind w:firstLine="480"/>
        <w:jc w:val="left"/>
        <w:keepLines w:val="0"/>
        <w:keepNext w:val="0"/>
        <w:pageBreakBefore w:val="0"/>
        <w:spacing w:line="500" w:lineRule="exact"/>
        <w:widowControl/>
        <w:rPr>
          <w:rFonts w:hint="eastAsia" w:ascii="宋体" w:hAnsi="宋体" w:cs="宋体"/>
          <w:color w:val="000000"/>
          <w:sz w:val="24"/>
          <w:highlight w:val="none"/>
          <w:lang w:val="en-US" w:eastAsia="zh-CN"/>
        </w:rPr>
      </w:pPr>
      <w:r>
        <w:rPr>
          <w:rFonts w:hint="eastAsia" w:ascii="宋体" w:hAnsi="宋体" w:eastAsia="宋体" w:cs="Arial"/>
          <w:bCs/>
          <w:color w:val="000000"/>
          <w:sz w:val="24"/>
          <w:szCs w:val="20"/>
          <w:highlight w:val="none"/>
          <w:lang w:val="en-US" w:eastAsia="zh-CN" w:bidi="ar-SA"/>
        </w:rPr>
        <w:t xml:space="preserve">4.</w:t>
      </w:r>
      <w:r>
        <w:rPr>
          <w:rFonts w:hint="eastAsia" w:ascii="宋体" w:hAnsi="宋体" w:cs="Arial"/>
          <w:bCs/>
          <w:color w:val="000000"/>
          <w:sz w:val="24"/>
          <w:szCs w:val="24"/>
          <w:highlight w:val="none"/>
        </w:rPr>
        <w:t xml:space="preserve">最高限价（如有）：</w:t>
      </w:r>
      <w:r>
        <w:rPr>
          <w:rFonts w:hint="eastAsia" w:ascii="宋体" w:hAnsi="宋体" w:cs="Arial"/>
          <w:bCs/>
          <w:color w:val="000000"/>
          <w:sz w:val="24"/>
          <w:szCs w:val="24"/>
          <w:highlight w:val="none"/>
          <w:lang w:val="en-US" w:eastAsia="zh-CN"/>
        </w:rPr>
        <w:t xml:space="preserve">300</w:t>
      </w:r>
      <w:r>
        <w:rPr>
          <w:rFonts w:hint="eastAsia" w:ascii="宋体" w:hAnsi="宋体" w:cs="Arial"/>
          <w:bCs/>
          <w:color w:val="000000"/>
          <w:sz w:val="24"/>
          <w:szCs w:val="24"/>
          <w:highlight w:val="none"/>
        </w:rPr>
        <w:t xml:space="preserve">万元。高于该最高限价的作无效标论处；</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en-US" w:eastAsia="zh-CN"/>
        </w:rPr>
      </w:r>
      <w:r/>
    </w:p>
    <w:p>
      <w:pPr>
        <w:pStyle w:val="885"/>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5.</w:t>
      </w:r>
      <w:r>
        <w:rPr>
          <w:rFonts w:hint="eastAsia" w:ascii="宋体" w:hAnsi="宋体" w:eastAsia="宋体" w:cs="Arial"/>
          <w:bCs/>
          <w:color w:val="000000"/>
          <w:sz w:val="24"/>
          <w:szCs w:val="20"/>
          <w:highlight w:val="none"/>
          <w:lang w:val="en-US" w:eastAsia="zh-CN" w:bidi="ar-SA"/>
        </w:rPr>
        <w:t xml:space="preserve">采购需求：江苏省建湖高级中学科学教育实验教室采购项目采购范围内所有产品的供货、运输（送达至采购方指定地点并卸货）、安装、调试及售后培训服务等内容，详见招标文件；</w:t>
      </w:r>
      <w:r>
        <w:rPr>
          <w:rFonts w:hint="eastAsia" w:ascii="宋体" w:hAnsi="宋体" w:cs="Arial"/>
          <w:bCs/>
          <w:color w:val="000000"/>
          <w:sz w:val="24"/>
          <w:szCs w:val="24"/>
          <w:highlight w:val="none"/>
        </w:rPr>
      </w:r>
      <w:r/>
    </w:p>
    <w:p>
      <w:pPr>
        <w:pStyle w:val="885"/>
        <w:ind w:firstLine="480"/>
        <w:jc w:val="left"/>
        <w:keepLines w:val="0"/>
        <w:keepNext w:val="0"/>
        <w:pageBreakBefore w:val="0"/>
        <w:spacing w:line="500" w:lineRule="exact"/>
        <w:widowControl/>
        <w:rPr>
          <w:rFonts w:hint="eastAsia" w:ascii="宋体" w:hAnsi="宋体" w:cs="Arial"/>
          <w:bCs/>
          <w:color w:val="000000"/>
          <w:sz w:val="24"/>
          <w:szCs w:val="24"/>
          <w:highlight w:val="none"/>
        </w:rPr>
      </w:pPr>
      <w:r>
        <w:rPr>
          <w:rFonts w:hint="eastAsia" w:ascii="宋体" w:hAnsi="宋体" w:cs="Arial"/>
          <w:color w:val="000000"/>
          <w:sz w:val="24"/>
          <w:highlight w:val="none"/>
          <w:lang w:val="en-US" w:eastAsia="zh-CN"/>
        </w:rPr>
        <w:t xml:space="preserve">6.</w:t>
      </w:r>
      <w:r>
        <w:rPr>
          <w:rFonts w:hint="eastAsia" w:ascii="宋体" w:hAnsi="宋体" w:cs="Arial"/>
          <w:bCs/>
          <w:color w:val="000000"/>
          <w:sz w:val="24"/>
          <w:szCs w:val="24"/>
          <w:highlight w:val="none"/>
          <w:lang w:eastAsia="zh-CN"/>
        </w:rPr>
        <w:t xml:space="preserve">供货期</w:t>
      </w:r>
      <w:r>
        <w:rPr>
          <w:rFonts w:hint="eastAsia" w:ascii="宋体" w:hAnsi="宋体" w:cs="Arial"/>
          <w:bCs/>
          <w:color w:val="000000"/>
          <w:sz w:val="24"/>
          <w:szCs w:val="24"/>
          <w:highlight w:val="none"/>
        </w:rPr>
        <w:t xml:space="preserve">：合同签订后60天内完成项目（含安装调试）并通过验收；</w:t>
      </w:r>
      <w:r>
        <w:rPr>
          <w:rFonts w:hint="eastAsia" w:ascii="宋体" w:hAnsi="宋体" w:cs="Arial"/>
          <w:bCs/>
          <w:color w:val="000000"/>
          <w:sz w:val="24"/>
          <w:szCs w:val="24"/>
          <w:highlight w:val="none"/>
        </w:rPr>
      </w:r>
      <w:r/>
    </w:p>
    <w:p>
      <w:pPr>
        <w:pStyle w:val="885"/>
        <w:ind w:firstLine="480"/>
        <w:jc w:val="left"/>
        <w:keepLines w:val="0"/>
        <w:keepNext w:val="0"/>
        <w:pageBreakBefore w:val="0"/>
        <w:spacing w:line="500" w:lineRule="exact"/>
        <w:widowControl/>
        <w:rPr>
          <w:rFonts w:hint="eastAsia" w:ascii="宋体" w:hAnsi="宋体" w:eastAsia="宋体" w:cs="Arial"/>
          <w:bCs/>
          <w:color w:val="000000"/>
          <w:sz w:val="24"/>
          <w:highlight w:val="none"/>
          <w:lang w:eastAsia="zh-CN"/>
        </w:rPr>
      </w:pPr>
      <w:r>
        <w:rPr>
          <w:rFonts w:hint="eastAsia" w:ascii="宋体" w:hAnsi="宋体" w:cs="Arial"/>
          <w:bCs/>
          <w:color w:val="000000"/>
          <w:sz w:val="24"/>
          <w:szCs w:val="24"/>
          <w:highlight w:val="none"/>
          <w:lang w:val="en-US" w:eastAsia="zh-CN"/>
        </w:rPr>
        <w:t xml:space="preserve">7.</w:t>
      </w:r>
      <w:r>
        <w:rPr>
          <w:rFonts w:hint="eastAsia" w:ascii="宋体" w:hAnsi="宋体" w:cs="Arial"/>
          <w:color w:val="000000"/>
          <w:sz w:val="24"/>
          <w:highlight w:val="none"/>
        </w:rPr>
        <w:t xml:space="preserve">质保期：</w:t>
      </w:r>
      <w:r>
        <w:rPr>
          <w:rFonts w:hint="eastAsia" w:ascii="宋体" w:hAnsi="宋体" w:cs="Arial"/>
          <w:bCs/>
          <w:color w:val="000000"/>
          <w:sz w:val="24"/>
          <w:highlight w:val="none"/>
          <w:lang w:val="en-US" w:eastAsia="zh-CN"/>
        </w:rPr>
        <w:t xml:space="preserve">3</w:t>
      </w:r>
      <w:r>
        <w:rPr>
          <w:rFonts w:hint="eastAsia" w:ascii="宋体" w:hAnsi="宋体" w:cs="Arial"/>
          <w:bCs/>
          <w:color w:val="000000"/>
          <w:sz w:val="24"/>
          <w:highlight w:val="none"/>
        </w:rPr>
        <w:t xml:space="preserve">年</w:t>
      </w:r>
      <w:r>
        <w:rPr>
          <w:rFonts w:hint="eastAsia" w:ascii="宋体" w:hAnsi="宋体" w:cs="Arial"/>
          <w:bCs/>
          <w:color w:val="000000"/>
          <w:sz w:val="24"/>
          <w:highlight w:val="none"/>
          <w:lang w:eastAsia="zh-CN"/>
        </w:rPr>
        <w:t xml:space="preserve">；</w:t>
      </w:r>
      <w:r>
        <w:rPr>
          <w:rFonts w:hint="eastAsia" w:ascii="宋体" w:hAnsi="宋体" w:eastAsia="宋体" w:cs="Arial"/>
          <w:bCs/>
          <w:color w:val="000000"/>
          <w:sz w:val="24"/>
          <w:highlight w:val="none"/>
          <w:lang w:eastAsia="zh-CN"/>
        </w:rPr>
      </w:r>
      <w:r/>
    </w:p>
    <w:p>
      <w:pPr>
        <w:pStyle w:val="885"/>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本项目（是/否）接受联合体投标：不接受联合体</w:t>
      </w:r>
      <w:r>
        <w:rPr>
          <w:rFonts w:hint="eastAsia" w:ascii="宋体" w:hAnsi="宋体" w:cs="Arial"/>
          <w:bCs/>
          <w:color w:val="000000"/>
          <w:sz w:val="24"/>
          <w:szCs w:val="24"/>
          <w:highlight w:val="none"/>
        </w:rPr>
      </w:r>
      <w:r/>
    </w:p>
    <w:p>
      <w:pPr>
        <w:pStyle w:val="888"/>
        <w:ind w:firstLine="482"/>
        <w:keepLines w:val="0"/>
        <w:keepNext w:val="0"/>
        <w:pageBreakBefore w:val="0"/>
        <w:spacing w:before="0" w:after="0" w:line="480" w:lineRule="exact"/>
        <w:rPr>
          <w:rFonts w:hint="eastAsia" w:ascii="宋体" w:hAnsi="宋体" w:cs="Arial"/>
          <w:b/>
          <w:bCs/>
          <w:color w:val="000000"/>
          <w:highlight w:val="none"/>
        </w:rPr>
      </w:pPr>
      <w:r>
        <w:rPr>
          <w:rFonts w:hint="eastAsia" w:ascii="宋体" w:hAnsi="宋体" w:cs="Arial"/>
          <w:b/>
          <w:bCs/>
          <w:color w:val="000000"/>
          <w:highlight w:val="none"/>
        </w:rPr>
        <w:t xml:space="preserve">二、技术要求及相关说明</w:t>
      </w:r>
      <w:r>
        <w:rPr>
          <w:rFonts w:hint="eastAsia" w:ascii="宋体" w:hAnsi="宋体" w:cs="Arial"/>
          <w:b/>
          <w:bCs/>
          <w:color w:val="000000"/>
          <w:highlight w:val="none"/>
        </w:rPr>
      </w:r>
      <w:r/>
    </w:p>
    <w:tbl>
      <w:tblPr>
        <w:tblW w:w="10616"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7"/>
        <w:gridCol w:w="1010"/>
        <w:gridCol w:w="6960"/>
        <w:gridCol w:w="756"/>
        <w:gridCol w:w="670"/>
        <w:gridCol w:w="663"/>
      </w:tblGrid>
      <w:tr>
        <w:trPr>
          <w:trHeight w:val="240"/>
        </w:trPr>
        <w:tc>
          <w:tcPr>
            <w:tcW w:w="557" w:type="dxa"/>
            <w:vAlign w:val="center"/>
            <w:textDirection w:val="lrTb"/>
            <w:noWrap/>
          </w:tcPr>
          <w:p>
            <w:pPr>
              <w:pStyle w:val="885"/>
              <w:jc w:val="center"/>
              <w:keepLines w:val="0"/>
              <w:keepNext w:val="0"/>
              <w:widowControl/>
              <w:tabs>
                <w:tab w:val="left" w:pos="181" w:leader="none"/>
              </w:tabs>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名称</w:t>
            </w:r>
            <w:r>
              <w:rPr>
                <w:rFonts w:hint="eastAsia" w:ascii="宋体" w:hAnsi="宋体" w:eastAsia="宋体" w:cs="宋体"/>
                <w:b/>
                <w:bCs/>
                <w:i w:val="0"/>
                <w:iCs w:val="0"/>
                <w:color w:val="000000"/>
                <w:sz w:val="20"/>
                <w:szCs w:val="20"/>
                <w:u w:val="none"/>
                <w:lang w:val="en-US" w:eastAsia="zh-CN" w:bidi="ar-SA"/>
              </w:rPr>
            </w:r>
            <w:r/>
          </w:p>
        </w:tc>
        <w:tc>
          <w:tcPr>
            <w:tcW w:w="6960" w:type="dxa"/>
            <w:vAlign w:val="center"/>
            <w:textDirection w:val="lrTb"/>
            <w:noWrap w:val="false"/>
          </w:tcPr>
          <w:p>
            <w:pPr>
              <w:pStyle w:val="885"/>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技术参数描述</w:t>
            </w:r>
            <w:r>
              <w:rPr>
                <w:rFonts w:hint="eastAsia" w:ascii="宋体" w:hAnsi="宋体" w:eastAsia="宋体" w:cs="宋体"/>
                <w:b/>
                <w:bCs/>
                <w:i w:val="0"/>
                <w:iCs w:val="0"/>
                <w:color w:val="000000"/>
                <w:sz w:val="20"/>
                <w:szCs w:val="20"/>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b/>
                <w:bCs/>
                <w:i w:val="0"/>
                <w:iCs w:val="0"/>
                <w:color w:val="000000"/>
                <w:sz w:val="20"/>
                <w:szCs w:val="20"/>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lang w:val="en-US" w:eastAsia="zh-CN" w:bidi="ar-SA"/>
              </w:rPr>
            </w:r>
            <w:r/>
          </w:p>
        </w:tc>
        <w:tc>
          <w:tcPr>
            <w:tcW w:w="663" w:type="dxa"/>
            <w:vAlign w:val="center"/>
            <w:textDirection w:val="lrTb"/>
            <w:noWrap w:val="false"/>
          </w:tcPr>
          <w:p>
            <w:pPr>
              <w:pStyle w:val="885"/>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备注</w:t>
            </w:r>
            <w:r>
              <w:rPr>
                <w:rFonts w:hint="eastAsia" w:ascii="宋体" w:hAnsi="宋体" w:eastAsia="宋体" w:cs="宋体"/>
                <w:b/>
                <w:bCs/>
                <w:i w:val="0"/>
                <w:iCs w:val="0"/>
                <w:color w:val="000000"/>
                <w:sz w:val="20"/>
                <w:szCs w:val="20"/>
                <w:u w:val="none"/>
                <w:lang w:val="en-US" w:eastAsia="zh-CN" w:bidi="ar-SA"/>
              </w:rPr>
            </w:r>
            <w:r/>
          </w:p>
        </w:tc>
      </w:tr>
      <w:tr>
        <w:trPr>
          <w:trHeight w:val="29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交互智能平板</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1.整体设计：外观尺寸：宽≥3800mm，厚≤150mm，整机采用全金属外壳，三拼接平面一体化设计；屏幕采用≥86英寸液</w:t>
            </w:r>
            <w:r>
              <w:rPr>
                <w:rFonts w:hint="eastAsia" w:ascii="宋体" w:hAnsi="宋体" w:eastAsia="宋体" w:cs="宋体"/>
                <w:i w:val="0"/>
                <w:iCs w:val="0"/>
                <w:color w:val="000000"/>
                <w:sz w:val="18"/>
                <w:szCs w:val="18"/>
                <w:u w:val="none"/>
                <w:lang w:val="en-US" w:eastAsia="zh-CN" w:bidi="ar"/>
              </w:rPr>
              <w:t xml:space="preserve">晶显示器，采⽤LED液晶A规屏，显示⽐例16:9。显示分辨率3840*2160，可视⻆度≥178°；整机采用电容触控技术，主频≥1.5GHz，内存≥2GB，存储空间≥32GB；整机设备内置2.2声道扬声器，前朝向发声，≥12W高音扬声器2个，上朝向≥30W中低音扬声器2个，最大功率≥80W，全部扬声器无需打开背板即可单独拆卸；插拔式电脑模块：PC模块和整机的连接采用万兆级接口，传输速率≥9Gbps；电脑模块CPU要求：主频≥2.0GHz，≥8核心十二线程；配置要求：不低于 8GB内存，不低于256GB硬盘。</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w:t>
            </w:r>
            <w:r>
              <w:rPr>
                <w:rStyle w:val="1139"/>
                <w:rFonts w:ascii="宋体" w:hAnsi="宋体" w:eastAsia="宋体" w:cs="宋体"/>
                <w:b/>
                <w:bCs/>
                <w:i w:val="0"/>
                <w:iCs w:val="0"/>
                <w:color w:val="000000"/>
                <w:sz w:val="18"/>
                <w:szCs w:val="18"/>
                <w:u w:val="none"/>
                <w:lang w:val="en-US" w:eastAsia="zh-CN" w:bidi="ar"/>
              </w:rPr>
              <w:t xml:space="preserve">2.整机内置AI智能体，根据教学和学习需求可快速创建，支持个性化设定角色信息包括角色性格、技能与头像信息，支持语音和文字两种方式与智能体进行对话交互，创建的智能体可上传到本校资源进行共享使用。整机听力模式下具备AI人声语言增强功能，支持三挡强弱调节，扩声系统语言传输指数（STIPA）≥0.75。整机内置AR授课工具，支持对视频展台所采集的画面中叠加动态的3D 模型，3D模型至少包括：动物、微生物、人体骨骼、乐器、星球、地形。（提供第三方</w:t>
            </w:r>
            <w:r>
              <w:rPr>
                <w:rStyle w:val="1139"/>
                <w:rFonts w:hint="eastAsia" w:ascii="宋体" w:hAnsi="宋体" w:eastAsia="宋体" w:cs="宋体"/>
                <w:b/>
                <w:bCs/>
                <w:i w:val="0"/>
                <w:iCs w:val="0"/>
                <w:color w:val="000000"/>
                <w:sz w:val="18"/>
                <w:szCs w:val="18"/>
                <w:u w:val="none"/>
                <w:lang w:val="en-US" w:eastAsia="zh-CN" w:bidi="ar"/>
              </w:rPr>
              <w:t xml:space="preserve">检测</w:t>
            </w:r>
            <w:r>
              <w:rPr>
                <w:rStyle w:val="1139"/>
                <w:rFonts w:ascii="宋体" w:hAnsi="宋体" w:eastAsia="宋体" w:cs="宋体"/>
                <w:b/>
                <w:bCs/>
                <w:i w:val="0"/>
                <w:iCs w:val="0"/>
                <w:color w:val="000000"/>
                <w:sz w:val="18"/>
                <w:szCs w:val="18"/>
                <w:u w:val="none"/>
                <w:lang w:val="en-US" w:eastAsia="zh-CN" w:bidi="ar"/>
              </w:rPr>
              <w:t xml:space="preserve">机构</w:t>
            </w:r>
            <w:r>
              <w:rPr>
                <w:rStyle w:val="1139"/>
                <w:rFonts w:hint="eastAsia" w:ascii="宋体" w:hAnsi="宋体" w:eastAsia="宋体" w:cs="宋体"/>
                <w:b/>
                <w:bCs/>
                <w:i w:val="0"/>
                <w:iCs w:val="0"/>
                <w:color w:val="000000"/>
                <w:sz w:val="18"/>
                <w:szCs w:val="18"/>
                <w:u w:val="none"/>
                <w:lang w:val="en-US" w:eastAsia="zh-CN" w:bidi="ar"/>
              </w:rPr>
              <w:t xml:space="preserve">合格</w:t>
            </w:r>
            <w:r>
              <w:rPr>
                <w:rStyle w:val="1139"/>
                <w:rFonts w:ascii="宋体" w:hAnsi="宋体" w:eastAsia="宋体" w:cs="宋体"/>
                <w:b/>
                <w:bCs/>
                <w:i w:val="0"/>
                <w:iCs w:val="0"/>
                <w:color w:val="000000"/>
                <w:sz w:val="18"/>
                <w:szCs w:val="18"/>
                <w:u w:val="none"/>
                <w:lang w:val="en-US" w:eastAsia="zh-CN" w:bidi="ar"/>
              </w:rPr>
              <w:t xml:space="preserve">检测报告并加盖投标人公章）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化学1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生物1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信息2</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精品录播2</w:t>
            </w:r>
            <w:r>
              <w:rPr>
                <w:rFonts w:hint="eastAsia" w:ascii="宋体" w:hAnsi="宋体" w:eastAsia="宋体" w:cs="宋体"/>
                <w:i w:val="0"/>
                <w:iCs w:val="0"/>
                <w:color w:val="000000"/>
                <w:sz w:val="18"/>
                <w:szCs w:val="18"/>
                <w:u w:val="none"/>
                <w:lang w:val="en-US" w:eastAsia="zh-CN" w:bidi="ar-SA"/>
              </w:rPr>
            </w:r>
            <w:r/>
          </w:p>
        </w:tc>
      </w:tr>
      <w:tr>
        <w:trPr>
          <w:trHeight w:val="18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视频展台</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1.整体设计：展开后托板尺寸≥A4面积，托板可承重≥3kg ，托板可收起，采用磁吸吸附式机构；采用一体式（非活动悬臂）设计，打开托板一个动作即可启动展台，实现画面拍摄和数据传输；展台支持≥3档LED补光。</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2.摄像头性能：可拍摄不少于1300万像素数的照片，摄像头支持自动对焦；支持视频矫正功能，拍摄输出实时画面无梯形畸变，展台主体区画面为标准矩形效果。</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化学1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生物1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信息2</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精品录播2</w:t>
            </w:r>
            <w:r>
              <w:rPr>
                <w:rFonts w:hint="eastAsia" w:ascii="宋体" w:hAnsi="宋体" w:eastAsia="宋体" w:cs="宋体"/>
                <w:i w:val="0"/>
                <w:iCs w:val="0"/>
                <w:color w:val="000000"/>
                <w:sz w:val="18"/>
                <w:szCs w:val="18"/>
                <w:u w:val="none"/>
                <w:lang w:val="en-US" w:eastAsia="zh-CN" w:bidi="ar-SA"/>
              </w:rPr>
            </w:r>
            <w:r/>
          </w:p>
        </w:tc>
      </w:tr>
      <w:tr>
        <w:trPr>
          <w:trHeight w:val="42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设备运维及教学教研管理平台</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整体设计：支持自定义设备类型及数量，掌握校内设备资产分布情况；支持根据老师、学科、设备三大维度查看设备使用排行，并提供信息化设备利用率提升指南。支持查看本校常用软件、网址访问排行、全校设备画面截图；支持同时查看不少于20个教室的实时摄像头画面、</w:t>
            </w:r>
            <w:r>
              <w:rPr>
                <w:rFonts w:hint="eastAsia" w:ascii="宋体" w:hAnsi="宋体" w:eastAsia="宋体" w:cs="宋体"/>
                <w:i w:val="0"/>
                <w:iCs w:val="0"/>
                <w:color w:val="000000"/>
                <w:sz w:val="18"/>
                <w:szCs w:val="18"/>
                <w:u w:val="none"/>
                <w:lang w:val="en-US" w:eastAsia="zh-CN" w:bidi="ar"/>
              </w:rPr>
              <w:t xml:space="preserve">设备屏幕画面；支持在一个显示界面同时查看单个教室内所有屏幕、所有摄像头的实时画面，以及所有麦克风的声音，其中摄像头画面可直接使用设备自带摄像头，支持远程发送文本消息、语音消息，支持记录备注、听课评价；提供个性化工作台自定义功能，在工作台配置页面，可通过拖拉拽可视化配置组件的方式，完成个性化工作台的配置；工作台可配置组件数量不小于30个；同时工作台支持启用和停用管理；支持解读设备运行数据，提供基建优化建议；支持根据网络带宽利用率分析网络稳定性并提供优化方案；支持根据硬件参数及流畅度达标情况分析设备运行稳定性并</w:t>
            </w:r>
            <w:r>
              <w:rPr>
                <w:rFonts w:hint="eastAsia" w:ascii="宋体" w:hAnsi="宋体" w:eastAsia="宋体" w:cs="宋体"/>
                <w:i w:val="0"/>
                <w:iCs w:val="0"/>
                <w:color w:val="000000"/>
                <w:sz w:val="18"/>
                <w:szCs w:val="18"/>
                <w:u w:val="none"/>
                <w:lang w:val="en-US" w:eastAsia="zh-CN" w:bidi="ar"/>
              </w:rPr>
              <w:t xml:space="preserve">提供优化方案；支持根据安全服务开启情况分析设备运行风险并提供优化方案；支持根据班级课程表，自动获取正在上课或者即将上课的科目、老师列表，快速定位老师所在教室，实时远程听课；支持听课过程中针对本节课的教学过程进行评价，支持创建和使用多个评课表，并将评价记录于巡视记录；支持面向班班通设备、班牌设备、校园屏显设备发送节目单指令；支持实时预览内容，支持设置按照每周循环播放、指定日期播放、自定义日期播放≥3种节目播放机制；支持播完即结束、指定时间循环播两种循环模式；支持同时添加不少于5个不同的播放周期，进行定时播放。</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网络安全及教学教研管理：支持AI自动监测设备画面色情、恐怖、暴力、游戏等风险内容或元素；支持设置警告内容，当监测到不良画面后自动提醒；支持将每天监测到的风险结果自动推送至公众号提醒管理；支持按设备、按画面维度回溯历史监测到的不良画面信息；支持根据安全服务开启情况分析设备运行风险并提供优化方案；支持教学管理、数据统计、资源共享。</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化学1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生物1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信息2</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精品录播2</w:t>
            </w:r>
            <w:r>
              <w:rPr>
                <w:rFonts w:hint="eastAsia" w:ascii="宋体" w:hAnsi="宋体" w:eastAsia="宋体" w:cs="宋体"/>
                <w:i w:val="0"/>
                <w:iCs w:val="0"/>
                <w:color w:val="000000"/>
                <w:sz w:val="18"/>
                <w:szCs w:val="18"/>
                <w:u w:val="none"/>
                <w:lang w:val="en-US" w:eastAsia="zh-CN" w:bidi="ar-SA"/>
              </w:rPr>
            </w:r>
            <w:r/>
          </w:p>
        </w:tc>
      </w:tr>
      <w:tr>
        <w:trPr>
          <w:trHeight w:val="18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领夹麦</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1.整体设计：体积小巧麦克风主体与磁吸领夹一体式设计，麦克风内置NFC模块；采用2.4GHz自适应跳频技术，≥48KHz/24bit无损音质传输；支持≥3套系统在相邻教室同时使用互不干扰；按键支持语音指令功能。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2.性能参数：拾音范围：≥50cm，频响范围：等于或优于70Hz - 20kHz (±3dB)，信噪比：≥80dB，失真度：&lt;1% (100Hz - 20kHz)，无线距离：室内&gt;20米，户外&gt;30米（稳定无断续），连续使用时间：≥6小时。</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化学1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生物1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信息2</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精品录播2</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常态录播2</w:t>
            </w:r>
            <w:r>
              <w:rPr>
                <w:rFonts w:hint="eastAsia" w:ascii="宋体" w:hAnsi="宋体" w:eastAsia="宋体" w:cs="宋体"/>
                <w:i w:val="0"/>
                <w:iCs w:val="0"/>
                <w:color w:val="000000"/>
                <w:sz w:val="18"/>
                <w:szCs w:val="18"/>
                <w:u w:val="none"/>
                <w:lang w:val="en-US" w:eastAsia="zh-CN" w:bidi="ar-SA"/>
              </w:rPr>
            </w:r>
            <w:r/>
          </w:p>
        </w:tc>
      </w:tr>
      <w:tr>
        <w:trPr>
          <w:trHeight w:val="24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接收器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▲1.整体设计：麦克风无线接收主机、A</w:t>
            </w:r>
            <w:r>
              <w:rPr>
                <w:rFonts w:hint="eastAsia" w:ascii="宋体" w:hAnsi="宋体" w:eastAsia="宋体" w:cs="宋体"/>
                <w:b/>
                <w:bCs/>
                <w:i w:val="0"/>
                <w:iCs w:val="0"/>
                <w:color w:val="000000"/>
                <w:sz w:val="18"/>
                <w:szCs w:val="18"/>
                <w:u w:val="none"/>
                <w:lang w:val="en-US" w:eastAsia="zh-CN" w:bidi="ar"/>
              </w:rPr>
              <w:t xml:space="preserve">I音频处理器、双麦充电仓一体式设计；接收主机内置喇叭，支持对开机、对频指引、音量调节、麦克风归还提醒等进行中文语音播报；接收主机具有≥1路3.5mm立体声输入、≥1路3.5mm混合输出、≥1路3.5mm独立语音输出、≥1路USB语音控制接口，可同时满足本地扩声、远程录播及PC语音控制需求；可通过PC软件，实时查看麦克风电量、在位状态，调节音量、音效模式（清亮/标准/浑厚），并设置智能提示模式开关；无线制式：2.4GHz 自适应跳频，频响范围：等于或优于70Hz - 20kHz，反馈抑制增益提升：≥12dB。</w:t>
            </w:r>
            <w:r>
              <w:rPr>
                <w:rStyle w:val="1139"/>
                <w:rFonts w:ascii="宋体" w:hAnsi="宋体" w:eastAsia="宋体" w:cs="宋体"/>
                <w:b/>
                <w:bCs/>
                <w:i w:val="0"/>
                <w:iCs w:val="0"/>
                <w:color w:val="000000"/>
                <w:sz w:val="18"/>
                <w:szCs w:val="18"/>
                <w:u w:val="none"/>
                <w:lang w:val="en-US" w:eastAsia="zh-CN" w:bidi="ar"/>
              </w:rPr>
              <w:t xml:space="preserve">（提供第三方</w:t>
            </w:r>
            <w:r>
              <w:rPr>
                <w:rStyle w:val="1139"/>
                <w:rFonts w:hint="eastAsia" w:ascii="宋体" w:hAnsi="宋体" w:eastAsia="宋体" w:cs="宋体"/>
                <w:b/>
                <w:bCs/>
                <w:i w:val="0"/>
                <w:iCs w:val="0"/>
                <w:color w:val="000000"/>
                <w:sz w:val="18"/>
                <w:szCs w:val="18"/>
                <w:u w:val="none"/>
                <w:lang w:val="en-US" w:eastAsia="zh-CN" w:bidi="ar"/>
              </w:rPr>
              <w:t xml:space="preserve">检测</w:t>
            </w:r>
            <w:r>
              <w:rPr>
                <w:rStyle w:val="1139"/>
                <w:rFonts w:ascii="宋体" w:hAnsi="宋体" w:eastAsia="宋体" w:cs="宋体"/>
                <w:b/>
                <w:bCs/>
                <w:i w:val="0"/>
                <w:iCs w:val="0"/>
                <w:color w:val="000000"/>
                <w:sz w:val="18"/>
                <w:szCs w:val="18"/>
                <w:u w:val="none"/>
                <w:lang w:val="en-US" w:eastAsia="zh-CN" w:bidi="ar"/>
              </w:rPr>
              <w:t xml:space="preserve">机构</w:t>
            </w:r>
            <w:r>
              <w:rPr>
                <w:rStyle w:val="1139"/>
                <w:rFonts w:hint="eastAsia" w:ascii="宋体" w:hAnsi="宋体" w:eastAsia="宋体" w:cs="宋体"/>
                <w:b/>
                <w:bCs/>
                <w:i w:val="0"/>
                <w:iCs w:val="0"/>
                <w:color w:val="000000"/>
                <w:sz w:val="18"/>
                <w:szCs w:val="18"/>
                <w:u w:val="none"/>
                <w:lang w:val="en-US" w:eastAsia="zh-CN" w:bidi="ar"/>
              </w:rPr>
              <w:t xml:space="preserve">合格</w:t>
            </w:r>
            <w:r>
              <w:rPr>
                <w:rStyle w:val="1139"/>
                <w:rFonts w:ascii="宋体" w:hAnsi="宋体" w:eastAsia="宋体" w:cs="宋体"/>
                <w:b/>
                <w:bCs/>
                <w:i w:val="0"/>
                <w:iCs w:val="0"/>
                <w:color w:val="000000"/>
                <w:sz w:val="18"/>
                <w:szCs w:val="18"/>
                <w:u w:val="none"/>
                <w:lang w:val="en-US" w:eastAsia="zh-CN" w:bidi="ar"/>
              </w:rPr>
              <w:t xml:space="preserve">检测报告并加盖投标人公章）</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2.接收主机内置AI降噪与AI反馈抑制算法，无需调试可做到：完全消除课堂稳态噪声，降噪深度≥30dB（如风扇、建筑噪音等持续噪音）；完全消除非稳态噪声，降噪深度≥30dB（敲击、摩擦、跌落等突发噪音）。</w:t>
            </w:r>
            <w:r>
              <w:rPr>
                <w:rFonts w:hint="eastAsia" w:ascii="宋体" w:hAnsi="宋体" w:eastAsia="宋体" w:cs="宋体"/>
                <w:b/>
                <w:bCs/>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对</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化学1、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生物1、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信息2、</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精品录播2</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常态录播2</w:t>
            </w: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扩声音箱</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1.整机集成无线麦克风接收模块、高保真音箱于一体， 内置≥2个高保真全频扬声器,高音单元≥6.5寸，中低音单元≥3寸；额定功率≥30W，配一只主箱、一只副箱，采用金银线连接；频率响应：等于或优于20Hz-20KHz(+-3dB)</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对</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物理1、化学1、生物1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信息2</w:t>
            </w:r>
            <w:r>
              <w:rPr>
                <w:rFonts w:hint="eastAsia" w:ascii="宋体" w:hAnsi="宋体" w:eastAsia="宋体" w:cs="宋体"/>
                <w:i w:val="0"/>
                <w:iCs w:val="0"/>
                <w:color w:val="000000"/>
                <w:sz w:val="18"/>
                <w:szCs w:val="18"/>
                <w:u w:val="none"/>
                <w:lang w:val="en-US" w:eastAsia="zh-CN" w:bidi="ar-SA"/>
              </w:rPr>
            </w:r>
            <w:r/>
          </w:p>
        </w:tc>
      </w:tr>
      <w:tr>
        <w:trPr>
          <w:trHeight w:val="13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教师演示台</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左边设有储物柜，中间段设有抽屉位（教师电源主控系统），电脑键盘位，右边设有多媒体设备位置预留，三节模块拼接组成；桌身整体材料不低于1.0mm冷轧钢板，整体规格3000×700×850㎜(±5㎜)，所有金属表面经环氧树脂粉末喷涂高温固化处理和耐酸碱、耐腐蚀；滑道导轨：抽屉全部采用优质三节承重式滚珠滑道导轨；缓冲铰链：冷轧钢铰链固装开合不变形；脚垫：采用柜体内置可调ABS脚垫，保证桌面平整，防水防潮，延长设备使用寿命；台面：采用25mm(±1㎜)厚金属树脂高能理化板。</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物理1、化学1、生物1</w:t>
            </w: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三联水嘴</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1.三联(一高二低）带有三个陶瓷阀芯，ABS手柄，鹅颈管可360°随意旋转；主体黄铜材质，表面经高亮度环氧树脂喷涂，耐腐蚀，耐热。</w:t>
            </w:r>
            <w:r>
              <w:rPr>
                <w:rFonts w:hint="eastAsia" w:ascii="宋体" w:hAnsi="宋体" w:eastAsia="宋体" w:cs="宋体"/>
                <w:b w:val="0"/>
                <w:bCs w:val="0"/>
                <w:i w:val="0"/>
                <w:iCs w:val="0"/>
                <w:color w:val="000000"/>
                <w:sz w:val="18"/>
                <w:szCs w:val="18"/>
                <w:u w:val="none"/>
                <w:lang w:val="en-US" w:eastAsia="zh-CN" w:bidi="ar"/>
              </w:rPr>
              <w:t xml:space="preserve">提供强制节能认证证书</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物理2、化学17、生物20</w:t>
            </w:r>
            <w:r>
              <w:rPr>
                <w:rFonts w:hint="eastAsia" w:ascii="宋体" w:hAnsi="宋体" w:eastAsia="宋体" w:cs="宋体"/>
                <w:i w:val="0"/>
                <w:iCs w:val="0"/>
                <w:color w:val="000000"/>
                <w:sz w:val="18"/>
                <w:szCs w:val="18"/>
                <w:u w:val="none"/>
                <w:lang w:val="en-US" w:eastAsia="zh-CN" w:bidi="ar-SA"/>
              </w:rPr>
            </w:r>
            <w:r/>
          </w:p>
        </w:tc>
      </w:tr>
      <w:tr>
        <w:trPr>
          <w:trHeight w:val="13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移动智能水槽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（滴水架）</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1.≥500×600×1000㎜，水槽台面设有预留</w:t>
            </w:r>
            <w:r>
              <w:rPr>
                <w:rFonts w:hint="eastAsia" w:ascii="宋体" w:hAnsi="宋体" w:eastAsia="宋体" w:cs="宋体"/>
                <w:i w:val="0"/>
                <w:iCs w:val="0"/>
                <w:color w:val="000000"/>
                <w:sz w:val="18"/>
                <w:szCs w:val="18"/>
                <w:u w:val="none"/>
                <w:lang w:val="en-US" w:eastAsia="zh-CN" w:bidi="ar"/>
              </w:rPr>
              <w:t xml:space="preserve">安装紧急洗眼器、洗手液瓶、三联水嘴预留孔，水槽内部设有一个防溢水口，底部有三级滤网，柜体左右两侧设有把手位，底座带有可调脚;水槽和滴水架整体采用环保型改性PP材料，水槽内规格≥420×330×230㎜，滴水架规格480×120×300㎜(±0.5㎜)；壁厚为4㎜(±0.5㎜);滴水架正面设有多条试管位，水槽内配有阶梯型溢水板，规格≥400×200㎜；厚度≥0.6㎜；柜体材料环保型ABS工程塑料注塑成型，壁厚为4㎜(±0.5㎜)，柜体后面和下柜后面设有检修门；底座柜ABS工程塑料磨具一次成型，底部装有可调脚。</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化学8、生物12</w:t>
            </w: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防腐水槽</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1.规格≥550*450*290mm，PP材质一体成型，耐腐蚀。</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物理2</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化学9</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生物8</w:t>
            </w: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教师椅</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1.规格≥480*500*900mm，网格布/烤漆钢架；座垫采用高密度回弹海绵，外包优质网格布，依照人体工程学设计。</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化学1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生物1</w:t>
            </w: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台式单口紧急洗眼器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洗眼喷头具有过滤泡棉及防尘功能，上面防尘盖平常可防尘，使用时可随时被水冲开，并降低突然打开时短暂的高水压，避免冲伤眼睛；控水阀采用黄铜制作，经高亮度环氧树脂涂层处理，阀门可自动关闭，密封可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化学1</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生物1</w:t>
            </w: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化学紧急喷淋</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1.喷淋水流量：≥ 75 L/min，洗脸 / 洗眼水流量：≥ 11L/min，洗眼水流量：≥ 1.5 L/min，洗眼盆：≥300mm 直边设计， 聚水集中，防止飞溅；防尘盖：主体一体式设计，不易丢失 ；冲淋拉手/拉杆：冲林拉手为ABS一体成型，拉杆为≥Ø13mm不锈钢管成型加工，钢性设计；洗眼开关推板：进水口高度：≥1100mm，排水口高度：≥80mm，洗眼喷头间距：≥170mm，出水范围：距站立面 ≥1500mm 高度，出水范围直径至少为 500mm。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化学废液回收桶</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1.材质规格：HDPE ≥S60螺纹盖（≥25L桶）</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0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物理教师智能电源主控台</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板基材≥2㎜绝缘电工板，规格：≥420×220㎜；总控台搭载电源漏电总开关、总电源工作指示灯、总电源保险丝、五孔多功能220V安全插座二组插口带保护门、额定电流≥10A、网络接口一个、USB插口二、触摸屏一个，教师交流低压输出、直流低</w:t>
            </w:r>
            <w:r>
              <w:rPr>
                <w:rFonts w:hint="eastAsia" w:ascii="宋体" w:hAnsi="宋体" w:eastAsia="宋体" w:cs="宋体"/>
                <w:i w:val="0"/>
                <w:iCs w:val="0"/>
                <w:color w:val="000000"/>
                <w:sz w:val="18"/>
                <w:szCs w:val="18"/>
                <w:u w:val="none"/>
                <w:lang w:val="en-US" w:eastAsia="zh-CN" w:bidi="ar"/>
              </w:rPr>
              <w:t xml:space="preserve">压输出、大电流输出、高压直流输出；采用≥10寸触摸显示屏、≥24位彩色显示；可进行单台或统一控制学生交流电源输出，输出范围0-30V，分辨率1V；直流输出:可进行单台或统一控制学生直流电源输出，输出范围0-30V，分辨率0.1V；学生锁定:由老师控制，开启后学生电源不能自行调节，只能由老师进行控制使用；学生插座:由老师控制，默认电源启动不开启；举手功能:老师可对学生进行提问，当学生举手后，老师可在控制端显示学生的举手状态及桌号信息等；电源升降控制:对学生终端的电源模块升降状态进行控制，可进行单选及全选操作。</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化学教师智能电源主控台</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硬件参数：面板基材≥2㎜绝缘电工板，规格≥420×220㎜；总控台搭载电源漏电总开关、总电源工作指示灯、总电源保险丝、五孔多功能220V安全插座二组插口带保护门、额定电流≥10A、网络接口一个、USB插口二个、触摸屏一个、教师交流低压输出、直流低压输出、大电流输出、高压直流输出。采用10.1寸触摸显示屏、≥24位彩色显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2.实现功能：教师自用电源：可输出交流0-</w:t>
            </w:r>
            <w:r>
              <w:rPr>
                <w:rFonts w:hint="eastAsia" w:ascii="宋体" w:hAnsi="宋体" w:eastAsia="宋体" w:cs="宋体"/>
                <w:i w:val="0"/>
                <w:iCs w:val="0"/>
                <w:color w:val="000000"/>
                <w:sz w:val="18"/>
                <w:szCs w:val="18"/>
                <w:u w:val="none"/>
                <w:lang w:val="en-US" w:eastAsia="zh-CN" w:bidi="ar"/>
              </w:rPr>
              <w:t xml:space="preserve">30V，分辨率1V，直流0-30V，分辨率0.1V，配备虚拟数字表实时显示电流，显示分辨率为0.01A，具备过流短路保护功能；直流高压：输出直流240V/300V高压，小电流过载短路保护；直流大电流：输出直流低压大电流延时输出，延时20S自动关断，也可手动随时开启或关断，实时显示当前状态。学生电源：由老师通过此功能对全室学生电源分组控制送电A、B、C、D四组控制；学生电压设置：可设置学生交流电压0-30V，分辨率1V，直流0-30V，分辨率0.1V，老师开启学生电源锁定功能进行控制；学生不能对电源自行操作。</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生物教师电源主控台</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板规格：≥420×220㎜，基材≥2㎜绝缘电工板;搭载电源漏电总开关、总电源输入电压电流表、总电源工作指示灯、保险丝、五孔多功能220V安全插座二组插口带保护门、额定电流≥10A、网络接口一个、USB插口二个；学生输出端交流220V电源分组输出四组，每组都配有断路器和工作指示灯。</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生物桌面光源装置</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1.采用内置灯珠LED灯条，整体功率≤7w，外壳采用ABS工程塑料注塑成型，光线柔和无频闪；角度可调节，调节的支撑脚内置阻不锈钢阻尼转轴。</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4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学生实验桌</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结构参数：规格1200×600×780㎜(±5㎜)，侧脚采用三段式高强度铝合金结构，立柱采用上下铸铝脚，上铝铸件造型采用斜加固撑包箍立柱；台面背部档水板，台面下部设有书包斗，中间设挂凳卡，两个书包斗中间电源盒。所有的金属表面经环氧树脂粉末喷涂高温固化处理耐酸碱、耐腐蚀等特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2.技术要求：桌腿：由上中下三段组成，上、下支座和立柱连接，立柱采用椭圆形铝合金型材，壁厚为1.5㎜(±</w:t>
            </w:r>
            <w:r>
              <w:rPr>
                <w:rFonts w:hint="eastAsia" w:ascii="宋体" w:hAnsi="宋体" w:eastAsia="宋体" w:cs="宋体"/>
                <w:i w:val="0"/>
                <w:iCs w:val="0"/>
                <w:color w:val="000000"/>
                <w:sz w:val="18"/>
                <w:szCs w:val="18"/>
                <w:u w:val="none"/>
                <w:lang w:val="en-US" w:eastAsia="zh-CN" w:bidi="ar"/>
              </w:rPr>
              <w:t xml:space="preserve">0.2㎜)，立柱内嵌入上下铸铝脚，并用高强度内六角螺丝连接；左、右脚拼装连接：前、后梁壁厚为1.2㎜(±0.2㎜)铝合金型材；左右侧脚下梁采椭圆碳钢无缝钢管，管材两端截面与5mm(±0.2㎜)钢制连接片焊接成型，并用高强度内六角不锈钢螺丝连接链接到左右脚腿，易碰撞处全部倒圆角；台面前挡水板：背板挡水板≥20mm凹槽型铝合金型材；桌脚底部镶入硅胶脚垫防止与地面摩擦，预留专用孔位可与地面固定，有效延长设备寿命；台面采用≥20mm厚陶瓷台面，耐腐蚀、耐污染、抗冲击釉面。坯体一体实芯，釉面和坯体经高温一体烧结而成。</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物理16</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化学12</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生物20</w:t>
            </w: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功能柱</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注塑模具一体化成型，四角圆弧造型，上桶整体注塑成型，分上下二节设计，底脚两侧带与地面带安装孔构建，上下桶二节无螺丝拼接而成，整体双色，耐摔坚固耐酸耐碱；整体规格≥350×180×730㎜，采用PP一体注塑，侧面无缝无需螺丝安装。壁厚≥2.5MM下桶与主桶拼接处缩进≥30㎜凹槽，上桶两侧设有凹凸条纹加强筋增强耐用性能，上桶与下桶卡入式安装连接，可自由拆装，方便设备检修。</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化学6</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生物10</w:t>
            </w:r>
            <w:r>
              <w:rPr>
                <w:rFonts w:hint="eastAsia" w:ascii="宋体" w:hAnsi="宋体" w:eastAsia="宋体" w:cs="宋体"/>
                <w:i w:val="0"/>
                <w:iCs w:val="0"/>
                <w:color w:val="000000"/>
                <w:sz w:val="18"/>
                <w:szCs w:val="18"/>
                <w:u w:val="none"/>
                <w:lang w:val="en-US" w:eastAsia="zh-CN" w:bidi="ar-SA"/>
              </w:rPr>
            </w:r>
            <w:r/>
          </w:p>
        </w:tc>
      </w:tr>
      <w:tr>
        <w:trPr>
          <w:trHeight w:val="15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化学学生智能安全实验电源</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1.面板基材绝缘ABS注塑一次成型，规格≥150×90㎜；采用≥1.8寸彩色显示界面，四路多功能轻</w:t>
            </w:r>
            <w:r>
              <w:rPr>
                <w:rFonts w:hint="eastAsia" w:ascii="宋体" w:hAnsi="宋体" w:eastAsia="宋体" w:cs="宋体"/>
                <w:i w:val="0"/>
                <w:iCs w:val="0"/>
                <w:color w:val="000000"/>
                <w:sz w:val="18"/>
                <w:szCs w:val="18"/>
                <w:u w:val="none"/>
                <w:lang w:val="en-US" w:eastAsia="zh-CN" w:bidi="ar"/>
              </w:rPr>
              <w:t xml:space="preserve">触开关为控制主体，在不同状态下实现不同功能；交流电源：输出0-30V交流，分辨率为1V，电流实时显示，显示分辨率为0.01A，具备过流短路保护；直流电源：输出0-30V直流，分辨率为0.1V，电流实时显示，显示分辨率为0.01A，具备过流短路保护；插座高压：输出交流220V电源，由老师控制，界面有实时状态显示；过载保护排除问题后可按任意按键实现电源复位；电源可以由学生自行单独操作，也可由老师电源独立控制；电子举手当老师有提问时，界面可显示老师提问状态，可选择性举手，老师可在主控端实时显示学生举手状态及位置。</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生物学生安全实验电源</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防尘盒安装在实验台面下两个书包斗中间，翻转式凹型；由三组工程阻燃ABS塑料模具一次成型，隐藏式卡扣，开启操作界面,学生电源操作界面基材工程阻燃ABS塑料；由教师电源统一供给，接收到教师送来安全电源时有工作指示；面板上搭载带工作指示灯总电源开关、2A高压电源保险管、网络接口、交流电压表、电流表，五孔多功能220V安全插座二组插口带保护门、额定电流≥10A。</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升降学生实验凳</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四支凳脚椭圆形无缝钢管抓地，凳面PP改性塑料一次性注塑成型，冷轧钢板凳面圆形托盘，螺杆式旋转可调升降，整体规格：ф300㎜±5㎜。所有的金属表面经环氧树脂粉末喷涂高温固化处理耐酸碱、耐腐蚀等特点。</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144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物理48</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化学48</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生物48</w:t>
            </w: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物理操作台</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2400×1200×850㎜(±5㎜)，台面采用≥12.7mm厚双面膜实芯理化板；柜身采用≥1.0mm厚的冷轧钢板，上部抽屉下部对开门，门双层设计，拉手为一体一字型拉手；表面钢制部分采用酸洗、磷化、除油、除锈并经过环氧树脂粉末喷塑处理；台下设有储物柜，可设置层板，可存放显微镜及实验仪器。</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物理边台</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8300*600*800mm（1组）、≥6000*600*800mm（2组），台面：采用≥12.7mm厚双面理化膜实芯理化板。倒圆边，经机械打磨，表面光滑平整，无缝隙，整体美观大方。具有耐强酸碱、防腐蚀、防静电、耐辐射、耐磨、抗污染、易清洁、耐冲击、耐高温、防水、防火等特点。台面颜色学校自由选择；采用国家标准E1级板，厚度≥18mm,基材采用优质颗粒板，PVC直封边制作。五金件采用液压铰链，缓冲效果是普通铰链的五倍。</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物理吊柜</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1.规格≥6000*300*400mm，采用国家标准E1级板，厚度≥18mm,基材采用优质颗粒板，PVC直封边制作。五金件采用液压铰链，缓冲效果是普通铰链的五倍。</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化学边台</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
              </w:rPr>
              <w:t xml:space="preserve">.规格：≥8350*600*800mm（1组）、≥7000*600*800mm（1组）、≥3000*600*800mm（2组）、≥4000*600*800mm（1组），台面：采用≥12.7mm厚双面理化膜实芯理化板。倒圆边，经机械打磨，表面光滑平整，无缝隙，整体美观大方。具有耐强酸碱、防腐蚀、防静电、耐辐射、耐磨、抗污染、易清洁、耐冲击、耐高温、防水、防火等特点。台面颜色：学校自由选择；采用国家标准E1级板，厚度≥18mm,基材采用优质颗粒板，PVC直封边制作。五金件采用液压铰链，缓冲效果是普通铰链的五倍。</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化学吊柜</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1.规格：≥4000*300*400mm，采用国家标准E1级板，厚度≥18mm,基材采用优质颗粒板，PVC直封边制作。五金件采用液压铰链，缓冲效果是普通铰链的五倍。</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生物边台</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9000*600*800mm（2组）、≥3300*600*800mm（1组）、≥2400*600*800mm（1组），台面：采用≥12.7mm厚双面理化膜实芯理化板。倒圆边，经机械打磨，表面光滑平整，无缝隙，整体美观大方。具有耐强酸碱、防腐蚀、防静电、耐辐射、耐磨、抗污染、易清洁、耐冲击、耐高温、防水、防火等特点。台面颜色：学校自由选择；柜身工艺：采用国家标准E1级板，厚度≥18mm,基材采用优质颗粒板，PVC直封边制作。五金件采用液压铰链，缓冲效果是普通铰链的五倍。</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9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化学全钢款通风操作柜</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整体设计：规格≥1200×850×2300㎜，主体框架左右旁板、前钢板、下柜体均采用（裸板）≥1.0mm厚钢板，表面经环氧树脂粉末静电喷涂及高温固化；顶板≥7mm厚实芯抗倍特板，具有良好的防腐蚀、化学抗性；内衬板、导流板、后背板采用≥4mm厚实芯抗倍特板具有良好的防腐蚀、化学抗性</w:t>
            </w:r>
            <w:r>
              <w:rPr>
                <w:rFonts w:hint="eastAsia" w:ascii="宋体" w:hAnsi="宋体" w:eastAsia="宋体" w:cs="宋体"/>
                <w:i w:val="0"/>
                <w:iCs w:val="0"/>
                <w:color w:val="000000"/>
                <w:sz w:val="18"/>
                <w:szCs w:val="18"/>
                <w:u w:val="none"/>
                <w:lang w:val="en-US" w:eastAsia="zh-CN" w:bidi="ar"/>
              </w:rPr>
              <w:t xml:space="preserve">；导流板为三段式结构，导流板固定件使用PP优质材质制作一体成型；移动视窗门框及拉手为铝合金型材；框内嵌入≥4mm钢化玻璃，门开启高度为≥740mm，自由升降，移门上下滑动装置采用同步轴轮皮带式结构，无级任意停留，移门导向装置由抗腐蚀的聚氯乙稀材质构成；台面采用实芯理化板（≥12.7mm厚）耐酸碱，耐冲击，耐腐蚀；排气出口采用PP集气罩模具一体成型，出风口直径≥250mm圆孔，套管连接，减少气体扰流；水路配有一次性成型壁式PP小杯槽，耐酸碱、耐腐蚀。壁式单口水龙头由黄铜构成并安装在通风柜内左侧默认无蓝色边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控制系统：控制面板采用液晶显示屏面板（可设置快慢自由调节，支持电动风阀≤6秒快开）≥8个按键电源、设置、确定、照明、备用、风机、风阀+\-键；照明LED白光灯快速启动类型，安装置通风柜顶部，使用寿命长；插座配有不少于四个≥10A 220V五孔多功能插座，总开关≥32A漏电保护断路器。</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物理智能升降机构系统</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智能升降机构箱体整体尺寸≥530×230×500㎜，采用冷轧钢板，厚度为≥1㎜，经激光切割折弯成型，表面经酸洗磷化处理，静电喷涂环保粉末高温处理工艺；升降传动机构：绕线旋转线槽模块采用汽车轮毂式，规格≥φ490㎜，材质采用ABS工程塑料模具注塑一次成型，传动轴、底座轴承，减速电机DC24V，空载功率≥15W。</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物理电源储藏模块装置</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内外双层结构设计，外壳规格≥400×400×150㎜，内胆规格≥φ280×160㎜，材质采用ABS工程塑料模具注塑一次成型；四周氛围灯：储藏模块内四周氛围LED光源，高亮度光源和隔离驱动器，灯罩采用双面磨砂≥1.5㎜PC散光板。</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物理顶部电源供应装置模块</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1.外形整体规格≥220×220×180㎜，材质采用ABS工程塑料模具注塑一次成型；供应装置模块顶部配有固定电缆线防水接头，四周预留了高、低压电源位置，底部中间配有一个限位开关，底部有四个软胶落地脚。</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34"/>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物理多功能电源模块</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结构参数：由上外壳，底座、四面电源面板组成，采用ABS材料，各部件模具注塑一次成型，电源面板基材是绝缘ABS注塑一次成型；内置配有一个≥120VA工频隔离电源变压器。采用≥1.8寸彩色显示界面，四路多功能轻触开关为控制主体，在不同状态下实现不同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2.实现功能：交流电源：输出0-30V交流，分辨率为1V，电流实时显示，显示分辨率为0.01A，具备过流短路保护；直流电源：输出0-30V直流，分辨率为0.1V，电流实时显示，显示分辨率为0.01A，具备过流短</w:t>
            </w:r>
            <w:r>
              <w:rPr>
                <w:rFonts w:hint="eastAsia" w:ascii="宋体" w:hAnsi="宋体" w:eastAsia="宋体" w:cs="宋体"/>
                <w:i w:val="0"/>
                <w:iCs w:val="0"/>
                <w:color w:val="000000"/>
                <w:sz w:val="18"/>
                <w:szCs w:val="18"/>
                <w:u w:val="none"/>
                <w:lang w:val="en-US" w:eastAsia="zh-CN" w:bidi="ar"/>
              </w:rPr>
              <w:t xml:space="preserve">路保护，过载保护；电源可以由学生自行单独操作，也可由老师电源独立控制，当老师锁定学生电源后，界面提示锁定，此时学生按键设计电压功能都将失效，表示电源已被锁定，只能由老师电源控制，只有锁定未开启或关闭时，按键功能恢复正常；电子举手：当老师有提问时，界面可显示老师提问状态，可选择性举手，老师可在主控端实时显示学生举手状态及位置；设有压力传感器，当电源降至桌面时，传感器反馈压力，学生电源模块将自动停止下降；当教学过程中，出现不明原因，导致学生多功能电源模块无法正常下降时，可长按底部压力感受器，电源模块将自动下降。</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物理高压电源模块</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1.操作界面基材工程阻燃ABS塑料,面纸加贴PC膜加贴;高压电源由教师电源统一供给，五孔多功能220V安全插座四组插口带保护门,额定电流≥10A;高压电源保险管、USB插座四组、RJ45网络接口二组。</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物理吊装安装支架</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1.规格:≥130×38×740mm，采用冷轧钢板经激光切割、数控冲压、数控折弯成型，采取模块组合，便于安装，外观流线形设计，简洁美观，表面经环氧树脂粉末静电喷涂、高温固化处理，耐腐蚀。</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化学可伸缩万向吸风罩</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风管材质铝合金，表面喷砂氧化处理;松紧旋钮PP材质，表面喷塑处理，内嵌不锈钢轴承，与关节连接杆锁合;拱形集气罩形状如喇叭口，塑料材质;扭簧材质弹簧钢表面抗氧化处理,关节高密度pp材质，表面磨砂处理，可360°旋转调节方向;安装后可调节到三维360度任意转停，集气罩吸气角度360度任意转停。</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化学室内通风系统</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1.主风管采用具有耐酸碱性能PVC≥Ф400㎜、支分管≥Ф160㎜；管卡采用碳钢制作，表面经镀铬处理，具有耐腐蚀、防火、防潮等功能。满足室内通风管道铺设使用要求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96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化学室外通风系统</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1.采用PVC风管或PP焊接管具有耐酸碱性能，主风管直径≥400mm，管卡采用碳钢制作，表面经镀铬处理，具有耐腐蚀、防火、防潮等功能。满足室外通风管道铺设使用要求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化学离心式风机</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1.主体PP板材料，耐腐蚀、耐酸碱；电机功率三相≥5.5KW；风量≥12700m3/h;全压≥800Pa;转速≥1440r/min，噪声符合国家标准。</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化学风机配件</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离心风机弹簧减震器，耐疲劳，强度高，承载力大，使用寿命长等特点；在-40℃-110℃环境下正常工作，上下座分别设有螺栓与地基螺栓孔，可上下固定；风机消音器规格外径≥Ф600㎜，内径≥Ф400㎜、高度≥1000mm，PP材质，内置隔音棉等隔音装置；风机进出口软连接：进风口采用PVC柔性材料制作，规格：Ф600-Ф400mm，因风机震动引起的消除震音传递和消除微量错位对风机的影响，出风口材料PP，规格方转圆地方风机接口；风机出风口防雨帽≥Ф600伞型结构。</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化学风机电源线</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1.规格：≥3x4+1x2.5mm²,线芯材质：高纯度铜，无氧化铜芯,绝缘护套：耐磨、耐老化、耐腐蚀、柔软。橡皮绝缘;标称截面：≥4mm²,电压等级：中、低压电力电缆（35千伏及以下）。满足风机电源线铺设使用要求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化学风机控制变频器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1.重载矢量控制变频器功率≥5.5KVA，额定输入电压：三相380V，±15%；额定输入频率：50/60 HZ；控制功能：数码显示、移位、编程、运行、正传切换、数值加减无极调速、停止复位。采用集成模块，PLC运行，RS485通讯，智能设计参数，多段速运行，自动节能控制，自动稳压、宽电压设计、多种控制模式；特点：瞬间电机保护，一键调节电机转速、自动检测负载电流调整输出电压；九大保护电机：过载、过热、过压、欠压、过流、缺相、接地、短路、失速等保护。</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化学通风系统安装调试</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1.室内、室外通风系统安装调试，含登高作业及室外风管吊车吊运作业。</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理化生实验室设备安装调试</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1.理化生创新实验室共计3间的实验家具安装调试、系统控制安装调试、供电系统安装调试、给排水安装调试等。确保整室设备安装调试到位，确保设备运行稳定无故障。</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理化生实验室电气布线</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理化生创新实验室共计3间的电气布线材料和人工作业；线管采用DN25国标阻燃PVC线管；电线采用国标优质铜芯线2.5mm²、0.5mm²，RV聚氯乙烯绝缘无护套电线；电气布线采用模块化设计，每组模块间采用活接式连接，方便安装、检修。</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289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理化生实验室给排水铺设</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理化生创新实验室共计3间的给排水系统材料和人工作业；材料具有防酸、防碱、耐腐蚀功能，全室给水全部模块化设计，每组模块间采用活接式连接，方便安装、检修；给水管选用≥Ф25PPR水管，排水管选用UPVC材质排水管≥Ф50㎜。整体需满足理化生实验给排水系统使用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328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理化生创新实验室学科文化</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1.理化生创新实验室共计3间的学科文化建设，包含教室后文化墙15㎡，PVC/雪弗板打底，表面覆钢化膜/亚克力；墙面学科展板4块，规格50*80cm，黑色铝合金装饰框+5mmPVC UV打印裱钢化膜；学科文化窗帘6块，采用防尘铝制罩壳，加厚硅胶垫，POM高密拉珠。学科文化效果需经甲方确认后再实施。</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间</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实验室地面找平层1</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1.材料砂浆、厚度≥2cm，施工要求满足地面PVC卷材铺贴。</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225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实验室地面找平层2</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1.材料自流平、厚度≥3mm，施工要求满足地面PVC卷材铺贴。</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97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实验室卷材地面</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PVC塑胶卷材地面≥2mm厚，颜色根据业主指定要求，PVC卷材需符合国家环保标准，采用环保无毒配方，严控氯乙烯单体、可溶性铅镉、邻苯类增塑剂、甲醛、甲酰胺及挥发性有机物等有害物质，室内使用安全环保、无异味，满足民用及公共区域健康使用环保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实验室块料墙面</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1.墙裙采用釉面墙砖≥300x450x8mm，高度≥1.5m，采用8厚1:2建筑胶水泥砂浆粘结层+刷素水泥浆一道+9厚1:3水泥砂浆打底扫毛。</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127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实验室吊顶天棚</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1.石膏板吊顶+铝方通吊顶：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石膏板吊顶采用吊杆,双向中距≤1200mm,与吊环固定；上层暗架镀锌轻钢主龙骨,间距≤1200mm；吊件与钢筋吊杆联结后找平，配套暗架镀锌轻钢次龙骨，≥1.2厚双层纸面石膏板。颜色由甲方指定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铝方通吊顶采用吊杆,双向中距≤1200mm,与吊环固定；上层暗架镀锌轻钢主龙骨,间距≤1200mm；吊件与钢筋吊杆联结后找平，配套U型龙骨，≥60*100铝方通。颜色由甲方指定</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实验室抹灰面油漆</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1.水性无机矿物涂料墙采用乳白色无机涂料饰面(封闭底涂一遍,面涂两遍)，耐水腻子(刮三遍成活)；涂料采用低VOC净味环保产品符合国标有害物质限量标准，腻子采用环保产品符合国标有害物质限量标准。</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250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实验室天棚喷刷涂料</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1.无机矿物涂料顶棚采用乳白色无机涂料饰面(封闭底涂一遍,面涂两遍)，耐水腻子两道；涂料采用低VOC净味环保产品符合国标有害物质限量标准，腻子采用环保产品符合国标有害物质限量标准。</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化学创新实验室隔断</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1.采用玻璃隔断+金属型材，白色钢化夹胶玻璃，≥6mm+6mm，不锈钢包边。</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15.60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生物创新实验室隔断</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1.采用玻璃隔断+木饰板，白色钢化夹胶玻璃，≥6mm+6mm，不锈钢包边。</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38.61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理化生实验室照明系统</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理化生创新实验室共计3间的照明系统，包含悬浮式吸顶灯具、黑板灯、造型灯具、线路及开关控制等。整室照明系统须符合教学空间灯光规范及使用标准，灯具数量及尺寸需满足使用要求，设计效果经甲方确认后再实施。</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物理数据终端</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1.含高性能处理器，≥八核心，≥主频3.0GHZ,存储：≥8G+256GB；≥11.1英寸显示屏，≥4扬声器；电池≥8500mAh ≥68W充电；摄像头前后≥1300万像素，网络：Wi-FI7 蓝牙：5.2。</w:t>
            </w:r>
            <w:r>
              <w:rPr>
                <w:rFonts w:hint="eastAsia" w:ascii="宋体" w:hAnsi="宋体" w:eastAsia="宋体" w:cs="宋体"/>
                <w:b w:val="0"/>
                <w:bCs w:val="0"/>
                <w:i w:val="0"/>
                <w:iCs w:val="0"/>
                <w:color w:val="000000"/>
                <w:sz w:val="18"/>
                <w:szCs w:val="18"/>
                <w:u w:val="none"/>
                <w:lang w:val="en-US" w:eastAsia="zh-CN" w:bidi="ar"/>
              </w:rPr>
              <w:t xml:space="preserve">提供强制节能认证证书</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物理无线蓝牙多量程电压传感器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1.测量范围：≥-20V～+20V，分辨率 ：≤0.01V ；测量范围：≥-5V～+5V，分辨率：≤0.001V；测量范围：≥-500mV～+500mV，分辨率：≤0.1mV；≥24Bit高精度高速采样。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物理无线蓝牙多量程电流传感器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1.测量范围：≥-3A～3A，分辨率 ：≤0.01A ；测量范围：≥-500mA～500mA，分辨率：≤0.1mA；测量范围：≥--20mA～+20mA，分辨率：≤0.01mA。≥24Bit高精度高速采样；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物理无线蓝牙多量程微电流传感器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物理无线蓝牙静电传感器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1.测量范围：≥-120nC～+120 nC（区间0-240nC），分辨率 ：≤0.01nC ；测量范围：≥-10V～+10V，分辨率：≤0.1V；蓝牙模块：低功耗蓝牙，兼容蓝牙4.0、蓝牙5.0，数据传输空中速率≥2Mbps；电池：≥400mAh可充电电池；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物理无线蓝牙交流电压传感器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1.测量范围：≥0～36V；分辨率：≤0.01V。用于测量交流电压的有效值；蓝牙模块：低功耗蓝牙，兼容蓝牙4.0、蓝牙5.0，数据传输空中速率≥2Mbps；电池：≥400mAh可充电电池；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物理无线蓝牙交流电流传感器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1.测量范围：≥0～2A；分辨率：≤0.01A。用于测量交流电流的有效值；蓝牙模块：低功耗蓝牙，兼容蓝牙4.0、蓝牙5.0，数据传输空中速率≥2Mbps；电池：≥400mAh可充电电池；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物理无线蓝牙光照度传感器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1.测量范围：≥0Lx～5000LX~150000Lx；自动量程 ；分辨率 ：≤1Lx；蓝牙模块：低功耗蓝牙，兼容蓝牙4.0、蓝牙5.0，数据传输空中速率≥2Mbps；电池：≥400mAh可充电电池；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物理探究安培力实验器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不同宽度的线圈≥3个，多组线圈≥1个；强磁铁（蹄形）、线圈支架（可360度旋转，角度精度≤1度），无线电子天平传感器（精度≤0.01g)；尺寸：≥240*200*280mm；安培力与电流强度的实际数据点与拟合曲线的误差R&gt;0.9（数据点紧密围绕拟合曲线分布）,RMSE&lt;0.05（平均误差&lt;0.05N）。</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物理探究影响交流电动势的因素（实验器）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线圈≥3.5*4cm、≥2组绕线、U形磁铁≥1只；线圈在匀强磁场中匀速转动，在线圈中产生了正弦交流电。该实验装置，能观察产生交流电的图形；研究交流电的最大电动势与线圈匝数的关系，与线圈转动速度的关系。可搭配传感器：无线电压传感器*1（传感器需另配）；需与多功能转动平台配合使用（另配）；</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物理测定液体的电阻率实验器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1.规格尺寸：透明亚克力管（外径≥32mm，内径≥28mm，长≥360mm），底座≥430×160mm,需要微电流传感器与电压传感器配合使用。</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物理无线蓝牙三轴磁传感器（双量程）</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1.测量范围：X≤轴-5mT～+5mT，Y轴≤-5mT～+5mT，Z轴 ≤-5mT～+5mT；分辨率 ：≤0.001mT；测量范围：X轴≥-130mT～+130mT，Y轴≥-130mT～+130mT，Z轴≥-130mT～+130mT ；分辨率：≤0.1mT；蓝牙模块：低功耗蓝牙，兼容蓝牙4.0、蓝牙5.0，数据传输空中速率≥2Mbps；电池：≥400mAh可充电电池；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物理描绘二极管的伏安特性曲线实验板</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1.电源（≥5V，直流电源)1只、电压传感器支架1只、电流传感器支架1只、二极管1只、电位器1只、亚克力底座2块；尺寸≥800*260*650mm。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物理探究影响导体电阻的因素实验板</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电源（≥3V直流电源）1只、电压传感器支架1只、电流传感器支架1只、镍铬电阻丝（直径≥0.1mm、长度≥550mm）1根、镍铬电阻丝（直径≥0.2mm、长度≥550mm）1根、镍铬电阻丝（直径≥0.3mm、长度≥550mm）1根、康铜电阻丝（直径≥0.2mm、长度≥550mm）1根、铁电阻丝（直径≥0.2mm、长度≥550mm）1根、≥20Ω电位器1只、亚克力底座2块；尺寸≥800*260*650mm；可搭配传感器：无线电压*1、无线电流*1（另配传感器）。</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物理探究电源内外电压关系实验板</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1.化学电池装置1只、电压传感器支架2只、≥30V数显电压表2只、导线4根、亚克力底座2块；尺寸≥800*260*650mm；由铜板、锌板、可乐（也可取其它酸性溶液）组成的电池。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物理交流电的有效值实验板</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1.电源（≥4V直流电源）1只、电压传感器支架2只、≥3.8V灯泡2只、亚克力底座2块；尺寸≥800*260*650mm；此实验主要目的是让学生了解何为交流电的有效值。</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物理探究电容器电压与电量的关系实验板</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电源（≥3V直流电源）1只、电压传感器支架1只、≥470μF电容器2只、亚克力底座2块；尺寸≥800*260*650mm；实验表明，一个电容器所带的电量Q与两极板之间的电压U之比是不变的。电量Q与电压U之比表征了电容器储存电荷的特性，这个比值叫作电容器的电容。用C表示，C=Q/U。</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0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物理光电效应的定量研究实验板</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尺寸≥800*260*650mm，光电管1只、5种色光光源1套、直流调压电源（双输出，DC≥3.7V，DC3.7-40V可调）1只、数显电压表(量程≥30V、分辨率0.0001V）1只、数显微安表（量程≥700uA，分辨率0.01uA)1只、内置≥1K调压电阻、换向开关、光强调节开关（3档）、色光光源选择开关（5档）、传感器支架2只、亚克力底座2块。</w:t>
            </w:r>
            <w:r>
              <w:rPr>
                <w:rStyle w:val="1139"/>
                <w:rFonts w:ascii="宋体" w:hAnsi="宋体" w:eastAsia="宋体" w:cs="宋体"/>
                <w:b/>
                <w:bCs/>
                <w:i w:val="0"/>
                <w:iCs w:val="0"/>
                <w:color w:val="000000"/>
                <w:sz w:val="18"/>
                <w:szCs w:val="18"/>
                <w:u w:val="none"/>
                <w:lang w:val="en-US" w:eastAsia="zh-CN" w:bidi="ar"/>
              </w:rPr>
              <w:t xml:space="preserve">（提供第三方</w:t>
            </w:r>
            <w:r>
              <w:rPr>
                <w:rStyle w:val="1139"/>
                <w:rFonts w:hint="eastAsia" w:ascii="宋体" w:hAnsi="宋体" w:eastAsia="宋体" w:cs="宋体"/>
                <w:b/>
                <w:bCs/>
                <w:i w:val="0"/>
                <w:iCs w:val="0"/>
                <w:color w:val="000000"/>
                <w:sz w:val="18"/>
                <w:szCs w:val="18"/>
                <w:u w:val="none"/>
                <w:lang w:val="en-US" w:eastAsia="zh-CN" w:bidi="ar"/>
              </w:rPr>
              <w:t xml:space="preserve">检测</w:t>
            </w:r>
            <w:r>
              <w:rPr>
                <w:rStyle w:val="1139"/>
                <w:rFonts w:ascii="宋体" w:hAnsi="宋体" w:eastAsia="宋体" w:cs="宋体"/>
                <w:b/>
                <w:bCs/>
                <w:i w:val="0"/>
                <w:iCs w:val="0"/>
                <w:color w:val="000000"/>
                <w:sz w:val="18"/>
                <w:szCs w:val="18"/>
                <w:u w:val="none"/>
                <w:lang w:val="en-US" w:eastAsia="zh-CN" w:bidi="ar"/>
              </w:rPr>
              <w:t xml:space="preserve">机构</w:t>
            </w:r>
            <w:r>
              <w:rPr>
                <w:rStyle w:val="1139"/>
                <w:rFonts w:hint="eastAsia" w:ascii="宋体" w:hAnsi="宋体" w:eastAsia="宋体" w:cs="宋体"/>
                <w:b/>
                <w:bCs/>
                <w:i w:val="0"/>
                <w:iCs w:val="0"/>
                <w:color w:val="000000"/>
                <w:sz w:val="18"/>
                <w:szCs w:val="18"/>
                <w:u w:val="none"/>
                <w:lang w:val="en-US" w:eastAsia="zh-CN" w:bidi="ar"/>
              </w:rPr>
              <w:t xml:space="preserve">合格</w:t>
            </w:r>
            <w:r>
              <w:rPr>
                <w:rStyle w:val="1139"/>
                <w:rFonts w:ascii="宋体" w:hAnsi="宋体" w:eastAsia="宋体" w:cs="宋体"/>
                <w:b/>
                <w:bCs/>
                <w:i w:val="0"/>
                <w:iCs w:val="0"/>
                <w:color w:val="000000"/>
                <w:sz w:val="18"/>
                <w:szCs w:val="18"/>
                <w:u w:val="none"/>
                <w:lang w:val="en-US" w:eastAsia="zh-CN" w:bidi="ar"/>
              </w:rPr>
              <w:t xml:space="preserve">检测报告并加盖投标人公章）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物理电学实验板</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25块，包含半波整流与滤波，全波整流与滤波，复杂电路分析，RC、RL移相，伏安法测电池的电动势和内阻，补偿法测量电池电动势，分压与限流电路，伏安法测电阻、测电阻丝电阻率，二极管特性曲线，三极管特性曲线，三极管放大电路，恒压源、恒流源、双稳态电路、多谐振荡、电容充放电及串并联、振荡电路、自感现象、描绘小灯泡的伏安特性曲线、与门电路、或门电路、非门电路、电感、电阻串并联，简单传感器应用等实验板，可完成几十例中学电学实验。</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物理双缝干涉实验仪（教师端）</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1.激光笔3支，分别为红光（波长≥650nm）、绿光（波长≥520nm）、紫光（≥405nm ）,配≥0.2m的双缝头；激光光源（红光≥650nm），与四组双缝、4组多缝，4组单缝，4组小孔组合；光强分布传感器（分辨率为≤0.01mm）。光具座：长≥1.2m，宽≥16cm,带≥1米长的毫米刻度尺，可卷进行收纳。</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物理无线蓝牙力与加速度传感器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1.测量范围：力：≥-50N～+50N，分辨率：≤0.01N，≥24Bit高精度高速采样；测量范围：3轴加速度（x、y、z）：≥-16g～+16g ，分辨率：≤0.01g；测量范围：3轴角速度（x、y、z）：≥-35rad/s（-2000°/s）～+35rad/s（+2000°/s）；蓝牙模块：低功耗蓝牙，兼容蓝牙4.0、蓝牙5.0，数据传输空中速率≥2Mbps；电池：≥400mAh可充电电池；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物理无线蓝牙微力传感器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1.测量范围：力：≥-10N～+10N，分辨率：≤0.001N；≥24Bit高精度高速采样；蓝牙模块：低功耗蓝牙，兼容蓝牙4.0、蓝牙5.0，数据传输空中速率≥2Mbps；电池：≥400mAh可充电电池；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物理无线蓝牙分体位移传感器（收发）</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1.测量范围：≥0cm～200cm，分辨率 ：≤1mm ；蓝牙模块：低功耗蓝牙，兼容蓝牙4.0、蓝牙5.0，数据传输空中速率≥2Mbps；电池：接收端≥400mAh可充电电池；发射端≥1200mAh可充电电池；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物理无线彩屏一体位移（运动）传感器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1.测量范围：≥0.15m～6m，分辨率 ：≤1mm ；彩屏：≥0.9英寸；蓝牙模块：低功耗蓝牙，兼容蓝牙4.0、蓝牙5.0，数据传输空中速率≥2Mbps；电池：≥1200mAh可充电电池；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物理无线蓝牙旋转运动传感器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角度：0～360°；分辨率≤0.1°(光学编码器≥3600P/R)；最大旋转速率：≥100转/s，双向；测量转运动传感器角度、角速度和角加速度，以及它们的线性等效值；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物理无线光电门传感器（双门）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1.内嵌≥2路高速触发计时测速传感器，相当于2个传统光电门；内嵌≥1路激光计时触发器，可以测量物体运动计时速度；内嵌≥1路扩展触发器，可以外接震动开关、磁性开关、同步光电门等扩展模块；分辨率 ：≤2μS，光电门：≥2组；蓝牙模块：低功耗蓝牙，兼容蓝牙4.0、蓝牙5.0，数据传输空中速率≥2Mbps；电池：≥900mAh可充电电池；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物理光电门扩展模块</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1.单光电门模块，内置固定孔，可以配合无线光电门（双门）进行扩展实验。测量长距离门间时间，计算门间速度。</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56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物理无线数智小车1</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1.主要部件：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无线数智小车*2套、动力学轨道*1套、滑轮*2个、光电门支撑架*1套、挡光片*1套、轻质软弹簧*2个、固定螺栓*2个、钩码固定底座*1个、塑料透明小桶*1个、5g配重*6个、智能化电机*1套、摩擦块*1个、摩擦面*1套、50g钩码*5个、向心力转台*1个、直角夹1个、万向夹1个、铁架台夹子2个、铁架台2个、无线蓝牙适配器*1个；</w:t>
            </w:r>
            <w:r>
              <w:rPr>
                <w:rFonts w:hint="eastAsia" w:ascii="宋体" w:hAnsi="宋体" w:eastAsia="宋体" w:cs="宋体"/>
                <w:i w:val="0"/>
                <w:iCs w:val="0"/>
                <w:color w:val="000000"/>
                <w:sz w:val="18"/>
                <w:szCs w:val="18"/>
                <w:u w:val="none"/>
                <w:lang w:val="en-US" w:eastAsia="zh-CN" w:bidi="ar"/>
              </w:rPr>
              <w:br w:type="textWrapping" w:clear="all"/>
            </w:r>
            <w:r>
              <w:rPr>
                <w:rStyle w:val="1139"/>
                <w:rFonts w:ascii="宋体" w:hAnsi="宋体" w:eastAsia="宋体" w:cs="宋体"/>
                <w:b/>
                <w:bC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2.主要性能：多合一的传感器仪器，能够同时测量位移、速度、加速度、角速度、力；内置≥1500mAh大容量可充电电池；可使用软件设置为自动校零或手动校零；力-测量范围：-50N~+50N，分辨率：≤0.01N；位移-分辨率：±0.2mm，速度-测量范围：±3m/s；加速度-测量范围：3轴；-16g~+16g(g=9.8m/s²)；陀螺仪-测量范围：-35rad/s~+35rad/s（±2000d/s）；能满足高中物理实验的要求。</w:t>
            </w:r>
            <w:r>
              <w:rPr>
                <w:rFonts w:hint="eastAsia" w:ascii="宋体" w:hAnsi="宋体" w:eastAsia="宋体" w:cs="宋体"/>
                <w:i w:val="0"/>
                <w:iCs w:val="0"/>
                <w:color w:val="000000"/>
                <w:sz w:val="18"/>
                <w:szCs w:val="18"/>
                <w:u w:val="none"/>
                <w:lang w:val="en-US" w:eastAsia="zh-CN" w:bidi="ar"/>
              </w:rPr>
              <w:br w:type="textWrapping" w:clear="all"/>
            </w:r>
            <w:r>
              <w:rPr>
                <w:rStyle w:val="1139"/>
                <w:rFonts w:ascii="宋体" w:hAnsi="宋体" w:eastAsia="宋体" w:cs="宋体"/>
                <w:b/>
                <w:bCs/>
                <w:i w:val="0"/>
                <w:iCs w:val="0"/>
                <w:color w:val="000000"/>
                <w:sz w:val="18"/>
                <w:szCs w:val="18"/>
                <w:u w:val="none"/>
                <w:lang w:val="en-US" w:eastAsia="zh-CN" w:bidi="ar"/>
              </w:rPr>
              <w:t xml:space="preserve">（提供第三方</w:t>
            </w:r>
            <w:r>
              <w:rPr>
                <w:rStyle w:val="1139"/>
                <w:rFonts w:hint="eastAsia" w:ascii="宋体" w:hAnsi="宋体" w:eastAsia="宋体" w:cs="宋体"/>
                <w:b/>
                <w:bCs/>
                <w:i w:val="0"/>
                <w:iCs w:val="0"/>
                <w:color w:val="000000"/>
                <w:sz w:val="18"/>
                <w:szCs w:val="18"/>
                <w:u w:val="none"/>
                <w:lang w:val="en-US" w:eastAsia="zh-CN" w:bidi="ar"/>
              </w:rPr>
              <w:t xml:space="preserve">检测</w:t>
            </w:r>
            <w:r>
              <w:rPr>
                <w:rStyle w:val="1139"/>
                <w:rFonts w:ascii="宋体" w:hAnsi="宋体" w:eastAsia="宋体" w:cs="宋体"/>
                <w:b/>
                <w:bCs/>
                <w:i w:val="0"/>
                <w:iCs w:val="0"/>
                <w:color w:val="000000"/>
                <w:sz w:val="18"/>
                <w:szCs w:val="18"/>
                <w:u w:val="none"/>
                <w:lang w:val="en-US" w:eastAsia="zh-CN" w:bidi="ar"/>
              </w:rPr>
              <w:t xml:space="preserve">机构</w:t>
            </w:r>
            <w:r>
              <w:rPr>
                <w:rStyle w:val="1139"/>
                <w:rFonts w:hint="eastAsia" w:ascii="宋体" w:hAnsi="宋体" w:eastAsia="宋体" w:cs="宋体"/>
                <w:b/>
                <w:bCs/>
                <w:i w:val="0"/>
                <w:iCs w:val="0"/>
                <w:color w:val="000000"/>
                <w:sz w:val="18"/>
                <w:szCs w:val="18"/>
                <w:u w:val="none"/>
                <w:lang w:val="en-US" w:eastAsia="zh-CN" w:bidi="ar"/>
              </w:rPr>
              <w:t xml:space="preserve">合格</w:t>
            </w:r>
            <w:r>
              <w:rPr>
                <w:rStyle w:val="1139"/>
                <w:rFonts w:ascii="宋体" w:hAnsi="宋体" w:eastAsia="宋体" w:cs="宋体"/>
                <w:b/>
                <w:bCs/>
                <w:i w:val="0"/>
                <w:iCs w:val="0"/>
                <w:color w:val="000000"/>
                <w:sz w:val="18"/>
                <w:szCs w:val="18"/>
                <w:u w:val="none"/>
                <w:lang w:val="en-US" w:eastAsia="zh-CN" w:bidi="ar"/>
              </w:rPr>
              <w:t xml:space="preserve">检测报告并加盖投标人公章）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4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物理无线数智小车2</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1.主要部件：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无线数智小车*1、≥1.2米动力学轨道*1、滑轮*1、光电门支撑架*1、挡光片*1、轻质软弹簧*2、固定螺栓*2，钩码固定底座*1个、塑料透明小桶*1个、5g配重*6个、50g钩码*5个、无线蓝牙适配器*1个。</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2.主要性能：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无需数据采集器，能够同时测量位移、速度、加速度、角速度、力；实际数据点与拟合曲线的误差R&gt;0.98（数据点紧密围绕拟合曲线分布）,RMSE&lt;0.01（平均误差&lt;0.01N）；内置≥1500mAh大容量可充电电池；可使用软件设置为自动校零或手动校零；力-测量范围：-50N~+50N，分辨率：≤0.01N；位移-分辨率：±0.2mm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速度-测量范围：±3m/s；加速度-测量范围：3轴，-16g~+16g(g=9.8m/s²)；陀螺仪-测量范围：-35rad/s~+35rad/s（±2000d/s）；能满足高中物理实验的要求。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物理平抛运动数字实验仪</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1.金属导轨斜面长度≤600mm；小球、光电门固定座；内嵌振动传感器及连接接口。可以验证不同高度的平抛实验。</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物理力的合成与分解实验器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胶木底板1块、板后螺丝1套、角度盘1块、线轴1套；角度盘直径D≥500mm；配合两只力传感器。主要研究两力分力的合力遵循平行四边形法则。特点：既可作为演示实验教具，也可用于学生分析实验，实验操作过程简单，实验精度高。</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物理冲力研究实验器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1.底板1块、电子天平1套、砂漏1个；尺寸：≥150*150mm；通过该装置进行实际测量，并通过动量定理对实验结果进行理论分析论证。</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物理向心力实验器（含转动平台）</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铝型材，长≥50cm，表面加带有刻度的亚克力面板，板上固定有力使用器固定件、小球定位管（直径≥3.0cm,长≥15cm)。半径分别为15mm（±1mm）、20mm（±1mm）、25mm（±1mm）的小球3只。该实验要力传感器与转动平台配合完成（含转动平台）；其中力与角速度平方曲线R的平方值&gt;0.98,RMSE&lt;0.01。</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物理机械能守恒实验器I</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1.含亚克力板面与底坐、≥20*20*400mm铝型材支住，直径D=25mm（±1mm）不锈钢球1个、M3环扣1个、磁铁1个等；摆长≥35mm,摆线的质量不大于摆球质量1% 。有≥7个位置可固定光电门传感器，相邻固定位置的高度差为35mm（±1mm）；能够完成验证机械能守恒定律实验。必须搭配传感器：无线光电门（双门）1只（传感器需另配）。因空气阻力产生的误差不大于5% .</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物理机械能守恒实验器II</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1.含亚克力管（直径≥40mm，壁厚≥3mm，高≥1m）、管壁带有毫米刻度尺，方形底座支架，≥20*30mm圆柱形不锈钢，配合光电门（双光电门），可验证自由落体的机械能守恒定律。</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物理摩擦力演示器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1.规格大小≤600*120mm；电动机1只、开关1只、调压电源1套、底座1块、摩擦块1块、圆柱体铁块（≥100g)3块，铝质转动盘(≥25mm)1只，不锈钢柱1根。电动机的转速可调，转动方向可变，电源可充电。</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物理光电门单摆实验装置</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1.方型支架高度不小于1m,立杆304不锈钢，直径≥1.2cm,小球直径≥1.2cm，底光电门底座，在悬点配有角度面板。</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物理探究弹力与形变量的关系实验器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1.由亚克力管1根≥320cm、弹簧1根≥18*200mm、不透钢拉钩2个（≥240mm）组成。实际数据点与拟合曲线的误差R&gt;0.9（数据点紧密围绕拟合曲线分布）,RMSE&lt;0.1（平均误差&lt;0.1N）。</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物理无线蓝牙温度传感器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1.测量范围：≥-50ºC～200ºC，分辨率 ：≤0.1ºC ；蓝牙模块：低功耗蓝牙，兼容蓝牙4.0、蓝牙5.0，数据传输空中速率≥2Mbps；电池：≥400mAh可充电电池；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物理无线蓝牙快速温度传感器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1.测量范围：≥-50ºC～200ºC，分辨率 ：≤0.1ºC ；蓝牙模块：低功耗蓝牙，兼容蓝牙4.0、蓝牙5.0，数据传输空中速率≥2Mbps；电池：≥400mAh可充电电池；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物理无线蓝牙压强传感器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1.测量范围：≥0～700kPa，分辨率 ：≤0.001kPa ；蓝牙模块：低功耗蓝牙，兼容蓝牙4.0、蓝牙5.0，数据传输空中速率≥2Mbps；电池：≥400mAh可充电电池；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物理无线蓝牙相对压强传感器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1.测量范围：≥-50kPa～+50kPa，分辨率 ：≤0.001kPa；蓝牙模块：低功耗蓝牙，兼容蓝牙4.0、蓝牙5.0，数据传输空中速率≥2Mbps；电池：≥400mAh可充电电池；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物理玻意尔定律演示器（压缩气体做功）</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底座、有机玻璃、玻璃针筒；尺寸：≥250*160mm，高度≥300mm；注射器体积≥100mL，可承受压强0-10atm；内置温度传感器探头（可配合快速温度传感器使用），外置压强传感器连接口（可连接压强传感器）。注射器内置于容器中，可改变注射器内气体的温度。实验数据点与拟合曲线的相关系数R&gt;0.98（数据点紧密围绕拟合曲线分布）,RMSE&lt;2（平均误差&lt;2kPa）；</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物理查理定律实验器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1.尼龙外壳，≥50mL圆底玻璃容器，内置温度传感器探头，≥M8不透钢棒。</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物理焦耳定律实验器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由三个量热器组成，每个量热器内配置不同阻值电阻，可搭建出相同电流、不同电阻及相同电阻、不同电流的电路，与温度传感器配合使用，研究电流的热效应与电流、电阻的关系，≥5欧姆电阻模块两只，≥10欧姆木模块1只，≥4.5V电源模块1只。</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物理无线蓝牙声音传感器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1.测量范围：声级≥20dB～130dB ；分辨率：≤0.1dB；测量范围：声波，能够采集实时波形，频率响应范围：≥10Hz～20kHz；蓝牙模块：低功耗蓝牙，兼容蓝牙4.0、蓝牙5.0，数据传输空中速率≥2Mbps；电池：≥400mAh可充电电池；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38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物理实验室数据采集系统</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1.系统环境与结构</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支持智能操作系统;根据需求灵活设置实验参数，如采集速率，图线参数，变量及公式等。系统可添加模块≥5个，如图形模块、表格模块、数字模块、仪表盘模块、示波器模块、柱状图模块、文本模块、图像模块；每个实验实验页≥5，不局限如下：实验指导页、实验数据表格页，实验图线分析页，实验数字显页、实验综合页（模块≥3个、至少包含有表格模块、数字模块、图形模块）。</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2.功能模块数据通信：实现无线、有线传感自动搜索识别传感器、配置传感器，离线数据采集；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数据采集：支持手动采集/自动周期采集，可以设置采集频率；支持定时实验，支持阙值开始/停止实验；支持多设备相同速率/不同速率实验；支持设备离线采集设置；支持传感器量程切换、校准、调零、正负号；</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多实验记录显示：图线可以显示多次实验数据，每次实验数据曲线有相应的标识、可以任意显示某次实验数据或曲线、也可以显示多次实验数据进行对比分析。数据分析功能：可以框选区域数据、单点数值显示、多重坐标对比、斜率、统计工具（求导、积分）、拟合分析工具≥8种（线性拟合、二次拟合、乘幂拟合、反比拟合、平方倒数拟合、正弦拟合、自然指数拟合、自然对数拟合）；内嵌AI智能助手，自动捕捉实验数据或图线利用AI平台大数据对实验操数据进行分析处理、提出问题及指导。</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物理无线蓝牙适配器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1.支持PC或者笔记本蓝牙5.0高速传输。传输距离大于等于10米，信号稳定、支持大数据量连续传输。</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物理USB充电站</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1.可通过USB电缆（传感器随附）为无线传感器充电，USB3.0接口，数量≥10个，供电接口DC。</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物理多功能学生电源</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1.直流交流稳压2V-16V/3A，每2V一档，共8档；最大值不超过3A，超过将自动启动过载保护关断。</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物理无线蓝牙频率传感器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1.测量范围：≥1Hz～1MHz；分辨率：≤1Hz，用于测量交流电压信号；蓝牙模块：低功耗蓝牙，兼容蓝牙4.0、蓝牙5.0，数据传输空中速率≥2Mbps；电池：≥400mAh可充电电池；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物理电学实验箱（学生端）</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1.集成了≥34种电学元件，3只数显电表与4只电磁式仪表，3种不同倍率的电阻箱。可以完成高中所有电学实验。电表选用传统的电磁式仪表（0-3-6V电压表、0-0.6-</w:t>
            </w:r>
            <w:r>
              <w:rPr>
                <w:rFonts w:hint="eastAsia" w:ascii="宋体" w:hAnsi="宋体" w:eastAsia="宋体" w:cs="宋体"/>
                <w:i w:val="0"/>
                <w:iCs w:val="0"/>
                <w:color w:val="000000"/>
                <w:sz w:val="18"/>
                <w:szCs w:val="18"/>
                <w:u w:val="none"/>
                <w:lang w:val="en-US" w:eastAsia="zh-CN" w:bidi="ar"/>
              </w:rPr>
              <w:t xml:space="preserve">3A电流表、±300μA检流计），还集成数显电压表（0-20V ，分辨率0.01V，精度±0.8%，内阻2MΩ，有反接与超量程保护），数显电流表（0-10A，分辨率0.01A，精度±0.8%，内阻0.1Ω，有反接与超量程保护），数显毫安表（0-200mA, 分辨率0.01mA，精度±0.8%，内阻0.1Ω，有反接与超量程保护）测量方便、安全、精确。为了收装电表，配制一只（1mA，0.1A，1V）三种不同量程的电磁式仪表，即可以当电表使用，也可以进行电流表、电压表、欧姆表的改装用表，并配制≥6种刻度的刻度盘。</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2.箱内内置4节5号电池，可以输出可调，范围在1.2V-4.8V，输出电压与电流可通过电表显示。内有1A的保险丝，起到保护电源的作用。配制×1、 ×10、×100三只电阻箱，组成一只0-999Ω的电阻箱，能满足高中物理实验的要求。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321"/>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化学旋转蒸发仪</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1.整体设计：采用聚四氟乙烯和橡胶</w:t>
            </w:r>
            <w:r>
              <w:rPr>
                <w:rFonts w:hint="eastAsia" w:ascii="宋体" w:hAnsi="宋体" w:eastAsia="宋体" w:cs="宋体"/>
                <w:i w:val="0"/>
                <w:iCs w:val="0"/>
                <w:color w:val="000000"/>
                <w:sz w:val="18"/>
                <w:szCs w:val="18"/>
                <w:u w:val="none"/>
                <w:lang w:val="en-US" w:eastAsia="zh-CN" w:bidi="ar"/>
              </w:rPr>
              <w:t xml:space="preserve">复合密封，能保持高真空度；采用高效冷凝器确保高回收率；旋转瓶用螺母连接，便于装卸；收集瓶下口装有活塞，回收溶媒十分快捷；可连续进料；真空系统装真空表，对低沸点物料可选择最佳工作真空度；水浴锅数字恒温控制，并可上下升降；机械结构大量采用不锈钢和铝合金件，玻璃件全部采用高温高硼玻璃；橡胶密封易损件全部采用新国标，便于用户采购更换。 旋转瓶容量≥2L、收集瓶容量≥1L、旋转速度:0-90转/分（交流无极调速）、电动功率≥40W、水浴锅功率≥2KW、水浴锅升降≥120mm、电源电压220V50Hz/60Hz±10%</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化学水浴锅</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一列二孔，工作室容积≥300mm×150mm×90mm，功率≥500W，控温范围室温+5℃～99.9℃，温度均匀性±0.5℃，水温波动±0.5℃，数显；外壳静电喷塑，安全可靠，不锈钢内胆拉伸成型；控温系统微机PID智能控制，延时控温装置。</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化学电热鼓风干燥箱</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整体设计：外壳采用优质冷轧钢板，淋化静电喷粉技术。温控系统采用微电脑单片机技术、智能数码显示仪表，具有PID调节特性、时间设定、温差修正、超温报警等功能，控温精度高、功能强，箱门设有观察窗，可随时观察工作室内物品的加热情况。                                             工作室≥550×450×500mm、控温范围50-300℃、温度波动（°C）±2、电源在AC50Hz，220V±10%的条件下正常工作；功率≥2400w；数显；</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化学电导率仪</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1.采用相敏检波技术，≥7/2LED数显；温度补偿功能，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小数点随“量程”自动转换；可选用电极常数0.1、1、10三种电极，扩展量程至≥2×105 цS/cm；测量范围：0-2×104цS/cm（五档），测量误差：±1.0%（F•S），温度补偿范围：15-35℃</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稳定性：±0.67%/3h（F•S），外形尺寸：≥230mm×200mm×60mm。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0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化学实验箱</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包含：方座支架、试管架、量筒、简易发生器、冷凝管、蒸馏烧瓶、滴瓶、碱式滴瓶、广☐瓶、细☐瓶、容量瓶、集气瓶、三角烧瓶、三角烧瓶、烧杯、直导管、弯管、玻璃搅拌棒、直导管、形管、Y形管、玻璃滴管、圆底烧瓶、分液漏斗球、称量</w:t>
            </w:r>
            <w:r>
              <w:rPr>
                <w:rFonts w:hint="eastAsia" w:ascii="宋体" w:hAnsi="宋体" w:eastAsia="宋体" w:cs="宋体"/>
                <w:i w:val="0"/>
                <w:iCs w:val="0"/>
                <w:color w:val="000000"/>
                <w:sz w:val="18"/>
                <w:szCs w:val="18"/>
                <w:u w:val="none"/>
                <w:lang w:val="en-US" w:eastAsia="zh-CN" w:bidi="ar"/>
              </w:rPr>
              <w:t xml:space="preserve">瓶、表面皿、牛角管、燃烧管、酒精灯、灯芯、灯帽、瓷灯芯、蒸发皿、温度计、塑料井穴板、塑料洗瓶、石棉网、三角架、止水夹、集气瓶固定器、坩埚钳、铜燃烧匙、PH试纸、红石蕊试纸、蓝石蕊试纸、酚酞试纸、定性滤纸、标签纸、塑料滴管、不锈钢药匙、塑料药匙、 试管夹、镊子、烧杯刷、烧瓶刷 、试管刷、乳胶管、红胶帽、胶塞、针管、具支试管、试管、反应板、坩埚、研钵瓷、泥三角、漏斗、磁铁块、塑料棒、小刀、实验防护服、手套、口罩、护目镜、指导书、化学尺、鳄鱼嘴、外箱背带、铝合金收纳箱（配备数量及规格根据教育部门高中教学要求定制）</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箱</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化学电子天平</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1.液晶显示，外接电源，自动校准功能，全量程去皮功能；称量范围0～600g、灵敏度≥0.01g、适应湿度50-85%。</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0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化学综合制备仪器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1.包含：四氟恒压滴液漏斗 ≥100/19×2、四氟恒压滴液漏斗 ≥250/19×2、直形冷却器 ≥200/19×2、直形冷却器 ≥300/19×2、锥形烧瓶 ≥250/24、螺旋形冷却器 ≥300/19×2、U形干燥管 ≥19、抽气接头 ≥19×2、导气管 ≥19、分馏头 ≥14×2×24×19、梨形烧瓶 ≥50/19、梨形烧瓶 ≥100/19、三叉燕尾管 ≥19×4、蒸馏头 ≥14×24×19、螺帽接头 ≥14、锥形烧瓶 </w:t>
            </w:r>
            <w:r>
              <w:rPr>
                <w:rFonts w:hint="eastAsia" w:ascii="宋体" w:hAnsi="宋体" w:eastAsia="宋体" w:cs="宋体"/>
                <w:i w:val="0"/>
                <w:iCs w:val="0"/>
                <w:color w:val="000000"/>
                <w:sz w:val="18"/>
                <w:szCs w:val="18"/>
                <w:u w:val="none"/>
                <w:lang w:val="en-US" w:eastAsia="zh-CN" w:bidi="ar"/>
              </w:rPr>
              <w:t xml:space="preserve">≥100/24、锥形烧瓶 ≥500/24、空心塞 ≥14、真空接受管 ≥19×2、A型接头 ≥19×24、分馏头具格式 ≥14×2×19×2、圆底烧瓶 ≥250/24、圆底烧瓶 ≥500/24、圆底烧瓶 ≥1000/24、搅拌器套管 ≥19、搅拌器套管 ≥24、分馏头代冷却器≥14×2×19×2、空心塞 ≥19、空心塞 ≥24、斜三口烧瓶≥100/19×3×14、斜三口烧瓶 ≥250/24×19×2×14、直三口烧瓶≥500/24×19×2×14、直三口烧瓶 ≥1000/24×19×2×14。(单位：mm)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化学加热板</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1.工作台尺寸≥200X400mm、控温范围室温-300℃、控温方式数显(室温到300℃之内可任意设定成恒温)、工作台用材≥2mm不锈钢板材</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化学打孔器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适合在各种橡胶塞上进行电动打孔，打孔直径：1-13mm，电机为铝浇制机壳，功率为≥700W，使用寿命长；安装触动式行程开关，高效、节能；带动双向旋转夹具，配钻头；钻孔直径为￠1~￠13mm；工作电压220v±10%、额定频率：50Hz，电机功率≥700W。</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化学多功能实验支架</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产品由底座（1套）、底座固定杆（2根）、大环（1个）、垂直夹（3个）、试管夹（2个）、立杆（2根）；底座为塑料，由两部分组合而成，上面配有紧固塑料扣；垂直夹能夹持Φ6mm-Φ14mm范围的其他仪器，并能牢固的安装在底座上；试管夹为弹簧式张口，能夹持烧瓶，并由螺母进行调节；大环能托住直径不少于90mm烧杯和其他物品。</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化学标准磨口组合仪</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1.≥M17 ,有机制备。</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化学自动滴定仪</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1.自动极性反转电路、自动跟踪终点电位；测量范围：pH:0-14.00pH　mV: ±1999mV，测量精度：pH: ±0.01pH　mV: ±0.1%（F•S），电位控制精度：±pH或±3mV，输入阻抗：不小于1×1012Ω，容量分析重复性：不大于0.3%（F•S），外形尺寸：≥280mm×200mm×130mm。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化学电热套</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1.外壳采用冷轧板拉伸、表面静电喷塑，电子调温、具有加热面积大、升温快、保温效果好、温度均匀，抗腐蚀、耐老化、坚固耐用安全可靠；组合磁力搅拌器,≥500ml电加热套，电压220V±10；控温范围0-380℃。</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化学药品粉碎机</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1.≥4500g药品粉碎机，不锈钢外壳。</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化学滴定台</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1.杆直径≥1cm、底座尺寸≥21cm*13.5cm、铁杆长40-60cm、小环直径≥5.5cm、大环直径≥8cm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化学消化炉</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1.功率：四孔消化器 ≥1200W</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化学红外快速干燥器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1.电源220V 50HZ、消耗功率≥550W（红外线灯泡≥275W*2只）、外型尺寸≥500×410×270mm（高×宽×深）</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化学超声波清洗机</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1.超声功率≥600W、定时范围1-80分任意可调、温度设定范围20-80℃任意设定，实时显示清洗槽内温度,容量≥30L 具有网篮、降音盖、排水，内胆材料：不锈钢冲压槽SUS304、外壳材料：SUS304。</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4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化学滴定与分析化学实验箱</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1.结构参数：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外形尺寸≥430mm*320mm*170mm，材质：ABS，手提翻盖式；最大承重30-35公斤，内部含有内衬保证每个器材都有对应的存放位置，便于快速、高效的整理和收纳；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纽扣式锁合：转动实验箱前侧的锁止机构既可以锁定箱子，也可以实现箱子与箱子之前的锁合，便于携带和搬运。                                        2.主要配置：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由木质试管架（≥6孔）、塑料洗瓶（≥250mL）、定量吸球（≥10mL）</w:t>
            </w:r>
            <w:r>
              <w:rPr>
                <w:rFonts w:hint="eastAsia" w:ascii="宋体" w:hAnsi="宋体" w:eastAsia="宋体" w:cs="宋体"/>
                <w:i w:val="0"/>
                <w:iCs w:val="0"/>
                <w:color w:val="000000"/>
                <w:sz w:val="18"/>
                <w:szCs w:val="18"/>
                <w:u w:val="none"/>
                <w:lang w:val="en-US" w:eastAsia="zh-CN" w:bidi="ar"/>
              </w:rPr>
              <w:t xml:space="preserve">、护目镜、支撑杆（L：≥370mm）、铁架台底座、表面皿（d：≥50mm）、蓝色钴玻璃片（≥50mm×50mm）、喇叭口玻璃锥形瓶（≥100mL）、刻度移液管（≥5mL）、玻璃棒（≥5mL）、塑料漏斗（φ：≥40mm）、低型塑料烧杯（≥50mL）、胶头滴管（L：≥105mm）、试管（≥18mm×180mm）、四氟酸碱滴定管（≥10mL）、试管刷、德式单侧滴定管夹、容量瓶（≥100mL）、黑色油性记号笔（≥3.8mm）、刮刀（L：≥150mm）、塑料量筒（≥50mL）、转接头组成 ，能满足高中化学实验的要求。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箱</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51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化学酸碱盐实验箱</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1.结构参数：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外形尺寸≥430mm*320mm*170mm，材质：ABS，手提翻盖式；最大承重30-35公斤，内部含有内衬保证每个器材都有对应的存放位置，便于快速、高效的整理和收纳；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纽扣式锁合：转动实验箱前侧的锁止机构既可以锁定箱子，也可以实现箱子与箱子之前的锁合，便于携带和搬运。</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2.主要配置：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Box1由铁圈（d：≥110mm）、放大镜、试管刷、黑色油性记号笔（≥3.8mm）、燃</w:t>
            </w:r>
            <w:r>
              <w:rPr>
                <w:rFonts w:hint="eastAsia" w:ascii="宋体" w:hAnsi="宋体" w:eastAsia="宋体" w:cs="宋体"/>
                <w:i w:val="0"/>
                <w:iCs w:val="0"/>
                <w:color w:val="000000"/>
                <w:sz w:val="18"/>
                <w:szCs w:val="18"/>
                <w:u w:val="none"/>
                <w:lang w:val="en-US" w:eastAsia="zh-CN" w:bidi="ar"/>
              </w:rPr>
              <w:t xml:space="preserve">烧匙、铁棒（φ：≥2mm，L：≥200mm）、碳棒（φ：≥7mm，L：≥150mm）、秒表、塑料量筒（≥50mL）、塑料量筒（≥10mL）、四爪夹、温度计（L：≥190mm）、玻璃棒（L：≥200mm，d：≥5mm）、试管夹、坩埚钳、钝头塑料柄剪刀、电极支架、木质试管架（≥12孔）、橡胶手套（S）、护目镜、石棉网、铁架台底座、转接头、鳄鱼夹（φ：≥4mm，L：≥51mm）、小刀、支撑杆（L：≥370mm）、塑料洗瓶（≥250mL）、表面皿（d：≥60mm）、灯座（E10）、小灯泡（≥4V，≥0.08A）组成</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Box2由试管（≥18mm×180mm）、试管（≥20mm×180mm）、球形分液漏斗（≥60mL）、</w:t>
            </w:r>
            <w:r>
              <w:rPr>
                <w:rFonts w:hint="eastAsia" w:ascii="宋体" w:hAnsi="宋体" w:eastAsia="宋体" w:cs="宋体"/>
                <w:i w:val="0"/>
                <w:iCs w:val="0"/>
                <w:color w:val="000000"/>
                <w:sz w:val="18"/>
                <w:szCs w:val="18"/>
                <w:u w:val="none"/>
                <w:lang w:val="en-US" w:eastAsia="zh-CN" w:bidi="ar"/>
              </w:rPr>
              <w:t xml:space="preserve">不锈钢圆头镊子、不锈钢双头药匙（L：≥180mm）、玻璃滴管（L：≥65mm）、瓷舟（≥88mm）、具支U型干燥管（H：≥130mm，口径≥19mm）、具支试管（≥20mm×200mm）、胶头滴管（L：≥260mm）、玻璃滴管（L：≥200mm）、胶头滴管（L：≥105mm）、直角玻璃管（L：≥230mm×55mm，d：≥8mm）、直角玻璃管（L：≥85mm×60mm，d：≥8mm）、塑料水槽、红色导线（≥500mm，≥19A）、蓝色导线（≥500mm，≥19A）、电池（≥4.5V）、橡胶塞（≥15/21/</w:t>
            </w:r>
            <w:r>
              <w:rPr>
                <w:rFonts w:hint="eastAsia" w:ascii="宋体" w:hAnsi="宋体" w:eastAsia="宋体" w:cs="宋体"/>
                <w:i w:val="0"/>
                <w:iCs w:val="0"/>
                <w:color w:val="000000"/>
                <w:sz w:val="18"/>
                <w:szCs w:val="18"/>
                <w:u w:val="none"/>
                <w:lang w:val="en-US" w:eastAsia="zh-CN" w:bidi="ar"/>
              </w:rPr>
              <w:t xml:space="preserve">26）、单孔橡胶塞（≥15/21/26，孔φ≥7mm）、橡胶塞（≥26/32/30）、双孔橡胶塞（≥26/32/30，孔φ：≥7mm）、红色橡胶管（L：≥100mm，φ：≥6mm）、定性滤纸（d：≥110mm）、斜口塑料漏斗（φ：≥55mm）、玻璃培养皿（d：≥100mm）、研钵和研杵（≥70mL）、玻璃锥形瓶（≥250mL，口径：≥29mm）、蒸发皿（≥75mL）、高型玻璃烧杯（≥50mL）、低型塑料烧杯（≥100mL）、低型玻璃烧杯（≥250mL）、pH试纸、红色石蕊试纸组成，能满足高中化学实验的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箱</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33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化学离子滴定计数实验装置</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1.组成及功能：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内置滴数、pH、亚硝酸离子、氯离子、钠离子、铵根离子、硝酸根离子、钙离子、钾离子、温度等10种传感器模块，可接入多种传感器探头测量溶液中离子含量。可脱离终端而独立地记录所探测到的实验数据并加以保存，并随时供下载和分析；可脱机进行数据采集，使用红外线计数，不受环境亮度影响；计数精准、灵敏，可以对≤0.5mm以上的液滴计数，每秒计数高达≥40滴；无需校准，即连即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参数：量程滴数：0~∞c/0~∞mL；pH：0~14；亚硝酸离子：0.5ppm~4600ppm；氯离子：1.8ppm~3550ppm；钠离子：0.2ppm~2300ppm；铵根离子：0.9ppm~1800ppm；硝酸根离子：0.6ppm~6200ppm；钙离子：0.4ppm~4000ppm；钾离子：0.4ppm~3900ppm；温度：-40℃~125℃以上或满足教学精度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分辨率滴数：1c/0.1mL；pH：0.01；亚硝酸离子：0.4ppm；氯离子：1ppm；钠离子：0.2ppm；铵根离子：0.1ppm；硝酸根离子：1.5ppm；钙离子：1ppm；钾离子：1ppm；温度：0.01℃以上或满足教学精度要求。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精度滴数：±1c/±0.1mL；pH：±0.2；温度：±1%F.S以上或满足教学精度要求。连续使用时间：≥30小时、通讯距离：≥30m（空旷无遮挡）</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化学酸碱反应热实验器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绝热桶、隔热泡沫、带孔桶盖、硅胶塞、烧杯（≥100mL）；双层隔热设计保温性能好，实验数据准确；带孔桶盖适配常规温度计和温度传感器，支持传统实验教学及数字化实验设计，实验灵活；通用性高，一个实验器可完成多个教材实验，还可以满足多种溶液反应吸放热实验的测量。</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化学气液相密封实验器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实验器罐体、护线圈*5、硅胶堵头*5、塑料吸管*20；实验器罐体配合硅胶堵头、护线圈，可连接气体酒精传感器、氧气传感器、二氧化碳传感器、相对湿度传感器等，搭建密封实验环境；实验桶透明设计，便于观察实验现象。</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化学磁力搅拌器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1.搅拌器（开关、转速旋钮）、电源适配器、磁子；通过调节转速旋钮调节速度，转速支持0rpm～1800rpm，可调范围广。工作台尺寸≥130*130mm，外观尺寸≥150*200*50mm。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化学橡胶塞配件包</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单孔塞（≥φ37*φ30-31，孔≥φ5mm）、单孔塞（≥φ37*φ30-31，带直通接头）、单孔塞（≥φ37*φ30-31，孔≥φ15.5mm），搭配锥形瓶；三孔塞（≥φ37*φ30-31，两孔≥φ8mm，一孔≥φ12.5mm）孔径适合玻璃导管、长颈漏斗、溶解氧-气中氧一体传感器等组合使用；三孔塞（≥φ37*φ30-31，两孔≥φ8mm，一孔≥φ15.5mm）孔径适合玻璃导管、长颈漏斗、二氧化碳传感器等组合使用。</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化学多功能电极支架</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1.底座、多功能支架；用于固定传感器探头，底座与支架插拔式连接，安装简单；支架可360°旋转，自由伸缩；支架上臂有电缆线固定口，可固定传感器电缆线或探头连线；架顶部可同时固定≥7个传感器。</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化学铁的吸氧腐蚀实验器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1.平口圆底试管（≥52*100mm）、橡胶塞、宝塔头、硅胶堵头*2；实验器具有匹配不同传感器探头的孔径，密封性良好；试管体积足够大，增加反应物的接触面积；透明瓶体设计，便于观察实验现象。</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13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化学化学反应速率实验器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密封反应瓶、注液阀门开关、注射器（≥10mL）、压强传感器接口、泄压组件（260±10kPa）；密封反应瓶，保证实验器的密封性，实验数据精确，支持固体、液体和气体任意组合的产气或吸收气体的相关的生化反应；装置设有螺口注射器及注液阀门开关，保证全程密封的情况下，注入液体定量可控，可一次或分段多次注入，实验高效且保证安全性；装置设有泄压阀（泄压阀安全值260±10kPa），压强过高时会自动泄压，保证了实验的安全性；透明瓶体设计，便于观察实验现象，可从多维度了解实验。</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20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化学多量程电流传感器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1.组成及功能：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通过通用接口与采集器连接，支持正反盲插，具有热插拔功能；可脱离终端独立采集记录所探测到的实验数据并加以保存，以供下载和分析；用于测量</w:t>
            </w:r>
            <w:r>
              <w:rPr>
                <w:rFonts w:hint="eastAsia" w:ascii="宋体" w:hAnsi="宋体" w:eastAsia="宋体" w:cs="宋体"/>
                <w:i w:val="0"/>
                <w:iCs w:val="0"/>
                <w:color w:val="000000"/>
                <w:sz w:val="18"/>
                <w:szCs w:val="18"/>
                <w:u w:val="none"/>
                <w:lang w:val="en-US" w:eastAsia="zh-CN" w:bidi="ar"/>
              </w:rPr>
              <w:t xml:space="preserve">电路中的电流，具有三量程切换开关，可根据实验要求一键切换测量量程，支持传感器校零。档位1：量程：-20mA~20mA或满足教学精度，精度：±1%或满足教学精度，分辨率：0.01mA或满足教学精度，内阻：5.1Ω或满足教学精度，档位2：量程：-200mA~ 200mA或满足教学精度，精度：±1%或满足教学精度，分辨率：0.1mA或满足教学精度，内阻：500mΩ或满足教学精度，档位3：量程：-2A~2A或满足教学精度，精度：±1%或满足教学精度，分辨率：0.001A或满足教学精度，内阻：50mΩ或满足教学精度。</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化学无线智能宽量程氯离子传感器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1.组成及功能：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使用固体膜的离子选择电极，利用膜电势测定溶液中游离的氯离子浓度，可测量万ppm级别的浓度；可脱离终端而独立地记录所探测到的实验数据并加以保存，并随时供下载和分析；量程：1.80ppm~35500ppm或满足教学精度，精度：±10%F.S或满足教学精度，采样速率：≥100次/秒，连续使用时间:≥12小时，防水等级：≥IP67，通讯距离:≥30m（空旷无遮挡）。</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化学硫化氢传感器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通过通用接口与采集器连接，支持正反盲插，具有热插拔功能；可脱离终端独立采集记录所探测到的实验数据并加以保存，以供下载和分析；量程：0~100ppm或满足教学精度，精度：±1%F.S或满足教学精度，分辨率：≤0.1pp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化学氧化还原传感器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1.通过通用接口与采集器连接，具有热插拔功能；可脱离终端独立采集记录所探测到的实验数据并加以保存，以供下载和分析；</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用于测量水样品中的综合氧化还原电位值，无需校准，即连即用；量程：-2000mV~2000mV或满足教学精度，精度：±1%或满足教学精度，分辨率：≤1mV。</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化学二氧化硫传感器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通过通用接口与采集器连接，支持正反盲插，具有热插拔功能；可脱离终端独立采集记录所探测到的实验数据并加以保存，以供下载和分析；用于检测化学反应中二氧化硫，无需校准，即连即用；量程：0~20ppm或满足教学精度，精度：±1%或满足教学精度，分辨率：≤0.1pp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化学充电坞</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1.外形尺寸：≥340mm×190mm×220mm（含防尘罩）；基座材质：ABS；防尘罩材质：透明ABS；输入电压：85 ~ 264VAC ，输入电流：≥1.4A/115VAC  ≥0.85A/230VAC，频率：50/60Hz，输出（单通道）：≥5V /2A DC；由充电坞、电源线、防尘罩组成,充电坞含有≥5个独立的充电位,每个充电位相互独立，采用触点式充电，实验盘即插即充，操作方便，充满自动断电,充满1个实验盘≤3小时。</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化学手提式实验箱</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手提式箱式设计，可翻盖，采用ABS材质，外形尺寸（长宽高）：≥430mm*320mm*170mm，最大承重：30-35公斤；箱体底部设有底部凸起，与上部设计凹槽相互咬合，通过纽扣式锁止机构，实现箱子与箱子之前的锁合，可多个垒叠放置，便于携带和搬运，最多可垒5箱；内部含有内衬，保证每个器材都有对应的存放位置，便于快速、高效的整理和收纳；</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化学电导率传感器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通过通用接口与采集器连接，支持正反盲插，具有热插拔功能；可脱离终端独立采集记录所探测到的实验数据并加以保存，以供下载和分析；用于测量溶液的电导率及其变化，支持标定功能；量程：0~20000μS/cm或满足教学精度，精度：±3%F.S或满足教学精度，分辨率：≤6μS/c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生物相对湿度传感器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通过通用接口与采集器连接，支持正反盲插，具有热插拔功能；可脱离终端独立采集记录所探测到的实验数据并加以保存，以供下载和分析；用于测量空气的相对湿度，无需校准，即连即用。量程：0~100%或满足教学精度，精度：±4%（10%~90%RH）或满足教学精度，分辨率：小于等于0.1%。</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生物溶解二氧化碳传感器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通过通用接口与采集器连接，支持正反盲插，具有热插拔功能。可脱离终端独立采集记录所探测到的实验数据并加以保存，以供下载和分析；用于测量溶液中的二氧化碳的含量，无需校准，即连即用；量程：0.2ppm~440ppm或满足教学精度，分辨率：≤0.1pp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生物土壤温湿度传感器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通过通用接口与采集器连接，支持正反盲插，具有热插拔功能。用于测量土壤中的水分，土壤温湿度探头为航空插头，无需校准，即连即用；量程：0~100%；-40~80℃或满足教学精度，分辨率：0.1%；0.1℃或满足教学精度，精度：0-50%内±2%、50-100%内±3%；±0.5℃或满足教学精度，探头防护等级:≥IP68，探针长度：70mm±6mm，探针材料：防腐特制电极。</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33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生物3D实验室软件</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1.软件要求提供的实验数量不少于500个，要求所有实验支持在任意视角下对实验进行观察和交互式操作。要求所有实验中的模型为3D高精度模型，支持无极放大，实验模型高保真。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软件要求提供与国家课程标准中知识点同步的实验，应包含分子与细胞、生物技术与工程、生物与环境、稳态与调节、遗传与进化等实验内容与实验场景，完整实验数量不少于50个。软件内容要求充分呈现课本中的演示实验与学生实验；软件要求提供中学生物学科高清显微素材库，素材图片数量不少于100张，每张都支持4X、10X、40X物镜进行观察。所有素材库图片都支持使用显微镜进行仿真实验操作，完全模拟真实操作。并支持一键切换至全景图模式。图片支持自由移动和缩放。</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软件要求提供人体生理结构探究模块，涵盖运动系统、神经系统、内分泌系统、血液循环系统和淋巴和免疫系统等9大系统，要求不少于6个人体系统支持器官自由拆分，组合，并配以相关文字说明。要求提供人体生理功能模块，其中包括人体内物质的运输、人体的呼吸、人体内废物的排出、人体的营养、人体的运动、人体生命活动的调节、人的生殖与发育等知识点，数量不少于80个，包括模型、动画以及教学互动场景。重点器官和系统支持自由拆分组合。</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 软件要求提供中学生物实验对象库，实验对象不少于100种；要求提供微观世界模块，涵盖真核生物、原核生物、病毒和亚病毒、分子与细胞、遗传与进化等知识点，数量不少于140个；要求支持任意视角对内容对象进行独立观察、展示。重点实验器材及生物对象支持自由拆分组合。</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8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生物二氧化碳培养箱</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1.温控系统采用微电脑单片机技术，温控、定时、超温报警；二氧化碳控制浓度方式为微电脑智能数字传导式，检测方</w:t>
            </w:r>
            <w:r>
              <w:rPr>
                <w:rFonts w:hint="eastAsia" w:ascii="宋体" w:hAnsi="宋体" w:eastAsia="宋体" w:cs="宋体"/>
                <w:i w:val="0"/>
                <w:iCs w:val="0"/>
                <w:color w:val="000000"/>
                <w:sz w:val="18"/>
                <w:szCs w:val="18"/>
                <w:u w:val="none"/>
                <w:lang w:val="en-US" w:eastAsia="zh-CN" w:bidi="ar"/>
              </w:rPr>
              <w:t xml:space="preserve">式∶红外线传感功能或是手动配比功能；采用红外式二氧化碳传感器，浓度控制采样快慢充控制，液晶界面显示，经过色谱仪气体稳压器可尽量减少气体的损耗；选用离心风机，内置风道结构；显示方式为双屏高亮度LCD显示，触摸式按键设定调节参数；温度控制具有超温声光报警功能，具备两套控制系统，当主控系统失效时，副控系统起监控作用；采用微电脑自动抑制控制系统，采用门加热控制系统。容积≥80L（气套），温度范围RT+5~65℃，温度波动度∶≤±0.5℃，内胆尺寸（mm）∶≥400×400×500，C02控制范围∶0-20%配气式。</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生物紫外分光光度计</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光学系统≥1200线/毫米全息光栅，超宽幅的输入电压和频率：90～250V/AC,50～60HZ，波长范围：190～1100nm，光谱带宽：≥4nm，波长准确度：±1nm，波长重复性：≤0.5nm，透射比准确度：±0.5%T，透射比重复性：≤0.2%T；≥80x52mm背光液晶显示屏；杂散光：≤0.2%T@220nm&amp;360nm；波长设置自动，调零方式自动；光度范围：-0.301 to 3A，0-200%T，-9999 to 9999C；光源：氘灯、钨灯。</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生物脱色摇床</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1.运转方式水平圆周，定时范围1-999min，显示方式数显；转速范围50-210RPM，回旋半径≥11mm；台面尺寸≥25*25cm，外形尺寸≥320mm×220mm×100mm，支架类型平板防滑托。</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31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生物超净工作台</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▲1.组成及功能：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外箱体采用冷轧钢板静电喷涂工艺，垂直层流送风，防止操作室内部样品相互交叉污染，≥20度下倾式操作面板，便于实验操作时进行调节，工作台面选用优质304不锈钢材质；</w:t>
            </w:r>
            <w:r>
              <w:rPr>
                <w:rStyle w:val="1139"/>
                <w:rFonts w:ascii="宋体" w:hAnsi="宋体" w:eastAsia="宋体" w:cs="宋体"/>
                <w:b/>
                <w:bCs/>
                <w:i w:val="0"/>
                <w:iCs w:val="0"/>
                <w:color w:val="000000"/>
                <w:sz w:val="18"/>
                <w:szCs w:val="18"/>
                <w:u w:val="none"/>
                <w:lang w:val="en-US" w:eastAsia="zh-CN" w:bidi="ar"/>
              </w:rPr>
              <w:t xml:space="preserve">具有温度补偿功能，开启温度补偿键，进行温度补偿，便于湿冷环境的操作；≥4.3寸嵌入式液晶彩色触摸屏控制,可显示温度、湿度、光照度，显示开机时间和持续运行时间；具有臭氧浓度检测功能，提示操作区臭氧浓度，超出上限报警（提供第三方</w:t>
            </w:r>
            <w:r>
              <w:rPr>
                <w:rStyle w:val="1139"/>
                <w:rFonts w:hint="eastAsia" w:ascii="宋体" w:hAnsi="宋体" w:eastAsia="宋体" w:cs="宋体"/>
                <w:b/>
                <w:bCs/>
                <w:i w:val="0"/>
                <w:iCs w:val="0"/>
                <w:color w:val="000000"/>
                <w:sz w:val="18"/>
                <w:szCs w:val="18"/>
                <w:u w:val="none"/>
                <w:lang w:val="en-US" w:eastAsia="zh-CN" w:bidi="ar"/>
              </w:rPr>
              <w:t xml:space="preserve">检测</w:t>
            </w:r>
            <w:r>
              <w:rPr>
                <w:rStyle w:val="1139"/>
                <w:rFonts w:ascii="宋体" w:hAnsi="宋体" w:eastAsia="宋体" w:cs="宋体"/>
                <w:b/>
                <w:bCs/>
                <w:i w:val="0"/>
                <w:iCs w:val="0"/>
                <w:color w:val="000000"/>
                <w:sz w:val="18"/>
                <w:szCs w:val="18"/>
                <w:u w:val="none"/>
                <w:lang w:val="en-US" w:eastAsia="zh-CN" w:bidi="ar"/>
              </w:rPr>
              <w:t xml:space="preserve">机构</w:t>
            </w:r>
            <w:r>
              <w:rPr>
                <w:rStyle w:val="1139"/>
                <w:rFonts w:hint="eastAsia" w:ascii="宋体" w:hAnsi="宋体" w:eastAsia="宋体" w:cs="宋体"/>
                <w:b/>
                <w:bCs/>
                <w:i w:val="0"/>
                <w:iCs w:val="0"/>
                <w:color w:val="000000"/>
                <w:sz w:val="18"/>
                <w:szCs w:val="18"/>
                <w:u w:val="none"/>
                <w:lang w:val="en-US" w:eastAsia="zh-CN" w:bidi="ar"/>
              </w:rPr>
              <w:t xml:space="preserve">合格</w:t>
            </w:r>
            <w:r>
              <w:rPr>
                <w:rStyle w:val="1139"/>
                <w:rFonts w:ascii="宋体" w:hAnsi="宋体" w:eastAsia="宋体" w:cs="宋体"/>
                <w:b/>
                <w:bCs/>
                <w:i w:val="0"/>
                <w:iCs w:val="0"/>
                <w:color w:val="000000"/>
                <w:sz w:val="18"/>
                <w:szCs w:val="18"/>
                <w:u w:val="none"/>
                <w:lang w:val="en-US" w:eastAsia="zh-CN" w:bidi="ar"/>
              </w:rPr>
              <w:t xml:space="preserve">检测报告并加盖投标人公章）；</w:t>
            </w:r>
            <w:r>
              <w:rPr>
                <w:rFonts w:hint="eastAsia" w:ascii="宋体" w:hAnsi="宋体" w:eastAsia="宋体" w:cs="宋体"/>
                <w:i w:val="0"/>
                <w:iCs w:val="0"/>
                <w:color w:val="000000"/>
                <w:sz w:val="18"/>
                <w:szCs w:val="18"/>
                <w:u w:val="none"/>
                <w:lang w:val="en-US" w:eastAsia="zh-CN" w:bidi="ar"/>
              </w:rPr>
              <w:t xml:space="preserve">可任意设置紫外灯预约开启时间和关闭时间（0-9999min)，照明和杀菌系统安全互锁；配备HV超高效虑膜，对于0.3m的尘埃颗粒捕集效率≥99.995%。</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2.规格参数：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洁净等级：≥100级，≥0.5μm</w:t>
            </w:r>
            <w:r>
              <w:rPr>
                <w:rFonts w:hint="eastAsia" w:ascii="宋体" w:hAnsi="宋体" w:eastAsia="宋体" w:cs="宋体"/>
                <w:i w:val="0"/>
                <w:iCs w:val="0"/>
                <w:color w:val="000000"/>
                <w:sz w:val="18"/>
                <w:szCs w:val="18"/>
                <w:u w:val="none"/>
                <w:lang w:val="en-US" w:eastAsia="zh-CN" w:bidi="ar"/>
              </w:rPr>
              <w:t xml:space="preserve">；菌落数：≤0.5个/皿·时(Φ90mm 培养平皿)；光照度：≥300LX； 单相交流：220V/50Hz；最大功耗：≥0.3kW，内有紫外杀菌接种器接入电源，振动半峰值 ≤0.5μm(X.Y.Z方向)；高效过滤器规格及数量：≥715mm×460mm×46mm，一个；荧光灯≥15W一个，紫外灯≥15W一个；风速：0.25-0.45m/s(标配高、中、低档三速)；噪声：≤62dB； 外形尺寸（长*宽*高）：≥850mm×600mm×1600mm；工作区尺寸（长*宽*高）：≥700mm×550mm×520mm。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8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生物全自动数显立式高压蒸汽灭菌器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1.组成及功能：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采用S304不锈钢材质，升温/排空/灭菌/排汽等过程微电脑控制全自动运行；LED数码显示灭菌温度和时间，手轮式快开门结构；双重连锁安全装置:门未关好机器无法工作，灭菌桶内有压力，机器无法开门；超压自泄，过温、过流、缺水保护；玻璃钢罩防止烫伤；灭菌结束，声光报警；可选配干燥功能。容积≥50L，最高工作温度≥134℃，最高工作压力≥0.22Mpa，时间可选范围：0-9999min，温度可选范围：50℃-134℃，灭菌室尺寸≥Φ310mm*530mm，功率AC220V/50Hz/2.5KW。</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9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生物PCR仪</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▲1.组成及功能：</w:t>
            </w:r>
            <w:r>
              <w:rPr>
                <w:rFonts w:hint="eastAsia" w:ascii="宋体" w:hAnsi="宋体" w:eastAsia="宋体" w:cs="宋体"/>
                <w:i w:val="0"/>
                <w:iCs w:val="0"/>
                <w:color w:val="000000"/>
                <w:sz w:val="18"/>
                <w:szCs w:val="18"/>
                <w:u w:val="none"/>
                <w:lang w:val="en-US" w:eastAsia="zh-CN" w:bidi="ar"/>
              </w:rPr>
              <w:br w:type="textWrapping" w:clear="all"/>
            </w:r>
            <w:r>
              <w:rPr>
                <w:rStyle w:val="1139"/>
                <w:rFonts w:ascii="宋体" w:hAnsi="宋体" w:eastAsia="宋体" w:cs="宋体"/>
                <w:b/>
                <w:bCs/>
                <w:i w:val="0"/>
                <w:iCs w:val="0"/>
                <w:color w:val="000000"/>
                <w:sz w:val="18"/>
                <w:szCs w:val="18"/>
                <w:u w:val="none"/>
                <w:lang w:val="en-US" w:eastAsia="zh-CN" w:bidi="ar"/>
              </w:rPr>
              <w:t xml:space="preserve">具备≥5种温控模式：快速模式、中等模式、标准模式、安全模式，教学模式（教学模式下可实现动画演示），适用于不同类型的样品模板；具有预约功能，方便实验室安排实验计划；前进风后出风的风道设计，梯度温度范围：30°C~100°℃，梯度范围：1°℃~30°℃，温度递增/递减：0.1°℃~10°℃；程序存储数量：≥20000，程序最大步骤：≥100，程序最大循环：≥100，时间递增/递减：ls-600s；（提供第三方</w:t>
            </w:r>
            <w:r>
              <w:rPr>
                <w:rStyle w:val="1139"/>
                <w:rFonts w:hint="eastAsia" w:ascii="宋体" w:hAnsi="宋体" w:eastAsia="宋体" w:cs="宋体"/>
                <w:b/>
                <w:bCs/>
                <w:i w:val="0"/>
                <w:iCs w:val="0"/>
                <w:color w:val="000000"/>
                <w:sz w:val="18"/>
                <w:szCs w:val="18"/>
                <w:u w:val="none"/>
                <w:lang w:val="en-US" w:eastAsia="zh-CN" w:bidi="ar"/>
              </w:rPr>
              <w:t xml:space="preserve">检测</w:t>
            </w:r>
            <w:r>
              <w:rPr>
                <w:rStyle w:val="1139"/>
                <w:rFonts w:ascii="宋体" w:hAnsi="宋体" w:eastAsia="宋体" w:cs="宋体"/>
                <w:b/>
                <w:bCs/>
                <w:i w:val="0"/>
                <w:iCs w:val="0"/>
                <w:color w:val="000000"/>
                <w:sz w:val="18"/>
                <w:szCs w:val="18"/>
                <w:u w:val="none"/>
                <w:lang w:val="en-US" w:eastAsia="zh-CN" w:bidi="ar"/>
              </w:rPr>
              <w:t xml:space="preserve">机构</w:t>
            </w:r>
            <w:r>
              <w:rPr>
                <w:rStyle w:val="1139"/>
                <w:rFonts w:hint="eastAsia" w:ascii="宋体" w:hAnsi="宋体" w:eastAsia="宋体" w:cs="宋体"/>
                <w:b/>
                <w:bCs/>
                <w:i w:val="0"/>
                <w:iCs w:val="0"/>
                <w:color w:val="000000"/>
                <w:sz w:val="18"/>
                <w:szCs w:val="18"/>
                <w:u w:val="none"/>
                <w:lang w:val="en-US" w:eastAsia="zh-CN" w:bidi="ar"/>
              </w:rPr>
              <w:t xml:space="preserve">合格</w:t>
            </w:r>
            <w:r>
              <w:rPr>
                <w:rStyle w:val="1139"/>
                <w:rFonts w:ascii="宋体" w:hAnsi="宋体" w:eastAsia="宋体" w:cs="宋体"/>
                <w:b/>
                <w:bCs/>
                <w:i w:val="0"/>
                <w:iCs w:val="0"/>
                <w:color w:val="000000"/>
                <w:sz w:val="18"/>
                <w:szCs w:val="18"/>
                <w:u w:val="none"/>
                <w:lang w:val="en-US" w:eastAsia="zh-CN" w:bidi="ar"/>
              </w:rPr>
              <w:t xml:space="preserve">检测报告并加盖投标人公章）</w:t>
            </w:r>
            <w:r>
              <w:rPr>
                <w:rFonts w:hint="eastAsia" w:ascii="宋体" w:hAnsi="宋体" w:eastAsia="宋体" w:cs="宋体"/>
                <w:i w:val="0"/>
                <w:iCs w:val="0"/>
                <w:color w:val="000000"/>
                <w:sz w:val="18"/>
                <w:szCs w:val="18"/>
                <w:u w:val="none"/>
                <w:lang w:val="en-US" w:eastAsia="zh-CN" w:bidi="ar"/>
              </w:rPr>
              <w:t xml:space="preserve">内置具有自检功能，可以快速检测加热模块以及机器硬件的状态，并能生成相应的检测日志。</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2.规格参数：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耗材：≥0.2ml单管、≥0.2mlx8联管、≥0.2ml96孔板(全裙边除外)，反应体系：5~100μl，最大升温速率：≥5°℃/s，最大降温速率：≥4°℃/s，变温速率设置：0.1~5°C/s，控温精度：±0.1°℃，温度均匀性：±0.2°℃，温度准确性：±0.1°℃，模块控温：0°℃~100°℃，热盖控温范围：30°C~115℃，4°℃保温：无限长，Tm计算器：有，程序暂停：有，显示屏：≥7寸全贴合屏。</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9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生物电泳仪</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1.组成及功能：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采用微电脑处理器为控制核心，输出单元采用开关电源构成；▲</w:t>
            </w:r>
            <w:r>
              <w:rPr>
                <w:rStyle w:val="1140"/>
                <w:rFonts w:ascii="宋体" w:hAnsi="宋体" w:eastAsia="宋体" w:cs="宋体"/>
                <w:b/>
                <w:bCs/>
                <w:i w:val="0"/>
                <w:iCs w:val="0"/>
                <w:color w:val="000000"/>
                <w:sz w:val="18"/>
                <w:szCs w:val="18"/>
                <w:u w:val="none"/>
                <w:lang w:val="en-US" w:eastAsia="zh-CN" w:bidi="ar"/>
              </w:rPr>
              <w:t xml:space="preserve">采用≥3.2寸彩色液晶触摸屏显示，可同时显示电压、电流、功率、定时、工作状态等功能</w:t>
            </w:r>
            <w:r>
              <w:rPr>
                <w:rStyle w:val="1139"/>
                <w:rFonts w:ascii="宋体" w:hAnsi="宋体" w:eastAsia="宋体" w:cs="宋体"/>
                <w:b/>
                <w:bCs/>
                <w:i w:val="0"/>
                <w:iCs w:val="0"/>
                <w:color w:val="000000"/>
                <w:sz w:val="18"/>
                <w:szCs w:val="18"/>
                <w:u w:val="none"/>
                <w:lang w:val="en-US" w:eastAsia="zh-CN" w:bidi="ar"/>
              </w:rPr>
              <w:t xml:space="preserve">（提供第三方</w:t>
            </w:r>
            <w:r>
              <w:rPr>
                <w:rStyle w:val="1139"/>
                <w:rFonts w:hint="eastAsia" w:ascii="宋体" w:hAnsi="宋体" w:eastAsia="宋体" w:cs="宋体"/>
                <w:b/>
                <w:bCs/>
                <w:i w:val="0"/>
                <w:iCs w:val="0"/>
                <w:color w:val="000000"/>
                <w:sz w:val="18"/>
                <w:szCs w:val="18"/>
                <w:u w:val="none"/>
                <w:lang w:val="en-US" w:eastAsia="zh-CN" w:bidi="ar"/>
              </w:rPr>
              <w:t xml:space="preserve">检测</w:t>
            </w:r>
            <w:r>
              <w:rPr>
                <w:rStyle w:val="1139"/>
                <w:rFonts w:ascii="宋体" w:hAnsi="宋体" w:eastAsia="宋体" w:cs="宋体"/>
                <w:b/>
                <w:bCs/>
                <w:i w:val="0"/>
                <w:iCs w:val="0"/>
                <w:color w:val="000000"/>
                <w:sz w:val="18"/>
                <w:szCs w:val="18"/>
                <w:u w:val="none"/>
                <w:lang w:val="en-US" w:eastAsia="zh-CN" w:bidi="ar"/>
              </w:rPr>
              <w:t xml:space="preserve">机构</w:t>
            </w:r>
            <w:r>
              <w:rPr>
                <w:rStyle w:val="1139"/>
                <w:rFonts w:hint="eastAsia" w:ascii="宋体" w:hAnsi="宋体" w:eastAsia="宋体" w:cs="宋体"/>
                <w:b/>
                <w:bCs/>
                <w:i w:val="0"/>
                <w:iCs w:val="0"/>
                <w:color w:val="000000"/>
                <w:sz w:val="18"/>
                <w:szCs w:val="18"/>
                <w:u w:val="none"/>
                <w:lang w:val="en-US" w:eastAsia="zh-CN" w:bidi="ar"/>
              </w:rPr>
              <w:t xml:space="preserve">合格</w:t>
            </w:r>
            <w:r>
              <w:rPr>
                <w:rStyle w:val="1139"/>
                <w:rFonts w:ascii="宋体" w:hAnsi="宋体" w:eastAsia="宋体" w:cs="宋体"/>
                <w:b/>
                <w:bCs/>
                <w:i w:val="0"/>
                <w:iCs w:val="0"/>
                <w:color w:val="000000"/>
                <w:sz w:val="18"/>
                <w:szCs w:val="18"/>
                <w:u w:val="none"/>
                <w:lang w:val="en-US" w:eastAsia="zh-CN" w:bidi="ar"/>
              </w:rPr>
              <w:t xml:space="preserve">检测报告并加盖投标人公章）</w:t>
            </w:r>
            <w:r>
              <w:rPr>
                <w:rStyle w:val="1140"/>
                <w:rFonts w:ascii="宋体" w:hAnsi="宋体" w:eastAsia="宋体" w:cs="宋体"/>
                <w:b/>
                <w:bCs/>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具有预约时间设定功能，可按实验时间进行提前设定，到点自动运行；具有定时报警功能，具有储存记忆工作参数的功能以方便使用；既可工作于恒定电压状态，也可工作于恒定电流、恒定功率状态；具有4组并联的输出端子，可进行多槽并用；蛋白功能：浓缩胶后电源自动切换跑分离胶，降低了人工二次设置的繁琐；自动生成功能：选定恒定值后，其余两项指标自动生成，避免了人为操作的误恒定现象；安全性能：短路检测；断电自动恢复，暂停/恢复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2.规格参数：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历史数据存储≥30条，输出范围：电压:1-400V；电流：1-400mA；功率：1-80w，分辨率：电压≤1V、电流≤1mA、功率≤1w；定时范围：1s–99h59min59s；外形尺寸（长*宽*高）：≥300mm×240mm×100mm；仪器侧面外壳透明，一览内部结构，方便维护。</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0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生物水平电泳槽</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1.组成及功能：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PCR电泳：梳子≥1mm25齿*4排，可一次跑≥100个样品；多种规格凝胶托盘任意组合（W*L）：≥120×120mm、≥120×60mm、≥60×120mm、≥60×60mm；</w:t>
            </w:r>
            <w:r>
              <w:rPr>
                <w:rFonts w:hint="eastAsia" w:ascii="宋体" w:hAnsi="宋体" w:eastAsia="宋体" w:cs="宋体"/>
                <w:i w:val="0"/>
                <w:iCs w:val="0"/>
                <w:color w:val="000000"/>
                <w:sz w:val="18"/>
                <w:szCs w:val="18"/>
                <w:u w:val="none"/>
                <w:lang w:val="en-US" w:eastAsia="zh-CN" w:bidi="ar"/>
              </w:rPr>
              <w:t xml:space="preserve">13、18、25齿梳子均支持8道和12道排枪加样，耐高温凝胶托盘，100℃高温不变形，无需将琼脂糖晾到温热再灌胶；不使用橡胶密封圈，活动电极采用内嵌式设计。凝胶面积（W*L）：≥120×120mm，≥120×60mm，≥60×120mm，≥60×60mm；梳子规格：≥1.0mm：11+11齿/25齿；≥1.5mm：6+6齿/13齿、8+8齿/18齿、≥11+11齿/25齿；梳子数量：双刃式9把；缓冲液体积：最大可达1000ml，铂金电极：≥φ0.25mm，外形尺寸：≥300×170×80mm(L×W×H)。</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38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生物凝胶分析系统</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1.组成及功能：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高分辨率低照度积分CCD，检测灵敏度，可测出低至0.01ng的核酸；有效像素：≥2592×1944（≥500万像素），像素点大小≥4.4μm×4.4μm，像素整合1×1，2×2, 3×3,4×4；镜头采用高通透自动变焦镜头F=1：1.2，12.5～75mm，根据要求随意缩放凝胶尺寸；数据位数≥16bit(0-65536灰阶)，像素点大小≥4.4μm×4.4μm</w:t>
            </w:r>
            <w:r>
              <w:rPr>
                <w:rFonts w:hint="eastAsia" w:ascii="宋体" w:hAnsi="宋体" w:eastAsia="宋体" w:cs="宋体"/>
                <w:i w:val="0"/>
                <w:iCs w:val="0"/>
                <w:color w:val="000000"/>
                <w:sz w:val="18"/>
                <w:szCs w:val="18"/>
                <w:u w:val="none"/>
                <w:lang w:val="en-US" w:eastAsia="zh-CN" w:bidi="ar"/>
              </w:rPr>
              <w:t xml:space="preserve">，像素整合，1×1，2×2, 3×3,4×4；对焦方式：全自动光学数码对焦（可全自动亮度、焦距）；动态范围：＞4.0个数量级；快门控制，电子快门、滤色镜片；荧光染料滤镜：标配590nm（可选535nm，620nm，460nm）；滤光片位置，1位滤光片轮（可选6位电脑控制自动滤光片轮）；曝光时间：1ms至120分钟长时间曝光，可连续采集和存储全部图片，并具有图像校正功能；可通过机箱面板进行变焦、焦距、光圈、透射紫外灯及反射灯的全自动控制；高度程序化(电脑控制暗箱/电源/紫外及白光灯的开关/光圈/变焦/焦距)；</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2.性能特点：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定时关机，可自行设置</w:t>
            </w:r>
            <w:r>
              <w:rPr>
                <w:rFonts w:hint="eastAsia" w:ascii="宋体" w:hAnsi="宋体" w:eastAsia="宋体" w:cs="宋体"/>
                <w:i w:val="0"/>
                <w:iCs w:val="0"/>
                <w:color w:val="000000"/>
                <w:sz w:val="18"/>
                <w:szCs w:val="18"/>
                <w:u w:val="none"/>
                <w:lang w:val="en-US" w:eastAsia="zh-CN" w:bidi="ar"/>
              </w:rPr>
              <w:t xml:space="preserve">定时关机功能（1—60分钟），有效延长紫外灯管和紫外玻璃的使用寿命；紫外波长：≥302nm (≥254nm/365nm可选)；载样板尺寸（紫外\白光），紫外透射≥20cm×25cm，白光透射≥20cm×25cm(特殊规格可定制)；仪器的开门方式，侧开门和抽屉式载样台；应用范围，可用于DNA/RNA凝胶、蛋白质凝胶、印迹杂交膜放射自显影胶牌、酶标板、薄层层析板、培养皿的成像及分析；反射白光，矩阵排列LED冷光，无光晕，亮度均匀（亮度可调）；白光板，LED冷光板，≥12V（亮度可调） 割胶装置，观察和割胶装置。</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7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生物电热恒温培养箱</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1.组成及功能：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箱体由优质冷轧钢板冲制而成，表面喷涂处理，内胆采用优质不锈钢板制成；≥4.3寸嵌入式液晶彩色触摸屏控制,可显示温度；工作室内搁架可随用户要求任意调节高度及搁架的数量；工作室气流循环系统使底部加热器产生的热量以自然对流的方式进入工作室，从而提高工作室内温度的均匀性；箱门</w:t>
            </w:r>
            <w:r>
              <w:rPr>
                <w:rFonts w:hint="eastAsia" w:ascii="宋体" w:hAnsi="宋体" w:eastAsia="宋体" w:cs="宋体"/>
                <w:i w:val="0"/>
                <w:iCs w:val="0"/>
                <w:color w:val="000000"/>
                <w:sz w:val="18"/>
                <w:szCs w:val="18"/>
                <w:u w:val="none"/>
                <w:lang w:val="en-US" w:eastAsia="zh-CN" w:bidi="ar"/>
              </w:rPr>
              <w:t xml:space="preserve">具有大视角玻璃观察窗，便于用户观察；选用高性能的CPU处理芯片和高灵敏，高精度铂电阻传感器的温度控制系统使温度控制更精准，操作更方便；具备传感器故障报警，参数记忆≥20组和长达9999分钟的定时功能，具有照明功能；具有紫外消毒一键启动功能和预约杀菌功能，可对箱体定时杀菌。容积：≥140L，控温范围：室温+5-99.9℃，恒温方式：自然对流，温度波动度：±0.5℃，为双层可视观察窗前门；外形尺寸（长*宽*高）：≥655mm×640mm×810mm；内胆尺寸（长*宽*高）：≥547mm×458mm×577m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8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生物振荡培养箱</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1.组成及功能：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电器控制部分为电脑芯片和触摸式操作，温度与振荡由二块芯片分别</w:t>
            </w:r>
            <w:r>
              <w:rPr>
                <w:rFonts w:hint="eastAsia" w:ascii="宋体" w:hAnsi="宋体" w:eastAsia="宋体" w:cs="宋体"/>
                <w:i w:val="0"/>
                <w:iCs w:val="0"/>
                <w:color w:val="000000"/>
                <w:sz w:val="18"/>
                <w:szCs w:val="18"/>
                <w:u w:val="none"/>
                <w:lang w:val="en-US" w:eastAsia="zh-CN" w:bidi="ar"/>
              </w:rPr>
              <w:t xml:space="preserve">控制；显示方式：采用LED数字显示液晶屏；控温具有PID温度补偿功能；驱动电机采用特种的交流感应无刷电机。设有定时功能，0-9999分范围内可任意设定培养时间；振荡频率：40-300rpm；振 幅：≥26mm；控温范围：RT+5℃-60℃(±0.1度任意选定,自动恒温）；容量: ≥1000mL*5/≥500mL*8/≥250mL*12/≥100mL*24；控温精度：±0.1℃；定时范围：0-9999分钟；温度均匀度：±0.5℃；功率：≥380W，外形尺寸（长*宽*高）：≥810mm×590mm×540mm。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9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生物多参数水质分析仪（系统）</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1.组成及功能：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主机包含水质分析模块和分光光度计</w:t>
            </w:r>
            <w:r>
              <w:rPr>
                <w:rFonts w:hint="eastAsia" w:ascii="宋体" w:hAnsi="宋体" w:eastAsia="宋体" w:cs="宋体"/>
                <w:i w:val="0"/>
                <w:iCs w:val="0"/>
                <w:color w:val="000000"/>
                <w:sz w:val="18"/>
                <w:szCs w:val="18"/>
                <w:u w:val="none"/>
                <w:lang w:val="en-US" w:eastAsia="zh-CN" w:bidi="ar"/>
              </w:rPr>
              <w:t xml:space="preserve">模块，水质检测可检测COD、氨氮、总磷、总氮、悬浮物、硝酸盐氮、游离氯、硫酸盐、硫化物、色度、硝基苯、甲醛、阴离子表面活性剂、二氧化氯、铅、锌、浊度、高锰酸盐指数、亚硝酸盐氮、磷酸盐、氟化物、氰化物、总铬、六价铬、苯胺、挥发酚等；光度计模块具有基本模式、定量测量、全波长扫描、动力学和多波长测量等功能；测量量程：总氮0.5-150mg/L，氨氮：0.015-50mg/L，总磷：0.6-100mg/L, COD：0.7-15000mg/L；比色升级：管皿一体双模式，使用更加方便；预设曲线：预设多种测量模式和曲线</w:t>
            </w:r>
            <w:r>
              <w:rPr>
                <w:rFonts w:hint="eastAsia" w:ascii="宋体" w:hAnsi="宋体" w:eastAsia="宋体" w:cs="宋体"/>
                <w:i w:val="0"/>
                <w:iCs w:val="0"/>
                <w:color w:val="000000"/>
                <w:sz w:val="18"/>
                <w:szCs w:val="18"/>
                <w:u w:val="none"/>
                <w:lang w:val="en-US" w:eastAsia="zh-CN" w:bidi="ar"/>
              </w:rPr>
              <w:t xml:space="preserve">；操作便捷：≥7英寸彩色触屏。光学系统：单光束，≥1200条/毫米全息光栅；光谱带宽（nm）：≥2；波长范围(nm)：320-1100；波长准确度(nm)：±0.5；波长分辨率(nm)：≤0.1；波长重复性(nm)：≤0.2；杂散光（%T）：≤0.05；透射比准确度(%T)：±0.3；透射比重复性（%T）：≤0.1；基线平直度(Abs)：±0.002；噪声(%T)：0%线≤0.2；0%线≤0.3；漂移(Abs)：≤0.002；光度范围：0-200%T，-0.301-3A；样品架：≥16mm试管比色皿一体架。</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生物水样检测药品</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1.组成及功能：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COD 耗材：测量普通河流水质 ，≥100个样 1套；氨氮耗材：≥100个样品 1套；总氮耗材：≥100个样品 1套；总磷耗材：≥100个样品 1套；邻苯二甲酸氢钾  水质检测， ≥500g 试剂 1瓶；氯化铵 水质检测 ≥ 500g 1瓶；磷酸二氢钾 ≥500g 水质检测 1瓶；总氮标样 1 套；总磷标样 1 套；氨氮标样 1套；重金属标样 1 套 ；BOD菌种  1 瓶。</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生物智能光照培养架</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1.组成及功能：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培养架尺寸（长*宽*高）:1300mm×500mm×1800mm（±20mm）；每层配三组高效自然光灯组；每组灯独立开关，光照≥3级可调；独立开关，拆卸方便，暗式布线，无裸露连接线；培养架采用任意可调模式，高度任意可调节；带有独立控时装置，独立编程控时，每天最高可达12组编程控制，使用温度：-20℃-55℃，计时误差±1s/24h；总功率：≤340W。</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0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生物台式高速离心机</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1.≥10档加减速控制，变频电机，更快的加减速；微机控制，运行稳定、噪音低、转速精度高。触摸面板，可编程操作，运行中可随时更改时间、转速，无需停机；自动计算并同步显示离心力RCF值；最高转速：≥16800rpm；整机噪声：≤65dB（A）；最大容量：≥12×5ml，标配角转子：≥14×1.5ml（转速≥16800rpm）；定时范围：等于或优于0-99h59min。</w:t>
            </w:r>
            <w:r>
              <w:rPr>
                <w:rStyle w:val="1139"/>
                <w:rFonts w:ascii="宋体" w:hAnsi="宋体" w:eastAsia="宋体" w:cs="宋体"/>
                <w:b/>
                <w:bCs/>
                <w:i w:val="0"/>
                <w:iCs w:val="0"/>
                <w:color w:val="000000"/>
                <w:sz w:val="18"/>
                <w:szCs w:val="18"/>
                <w:u w:val="none"/>
                <w:lang w:val="en-US" w:eastAsia="zh-CN" w:bidi="ar"/>
              </w:rPr>
              <w:t xml:space="preserve">（提供第三方</w:t>
            </w:r>
            <w:r>
              <w:rPr>
                <w:rStyle w:val="1139"/>
                <w:rFonts w:hint="eastAsia" w:ascii="宋体" w:hAnsi="宋体" w:eastAsia="宋体" w:cs="宋体"/>
                <w:b/>
                <w:bCs/>
                <w:i w:val="0"/>
                <w:iCs w:val="0"/>
                <w:color w:val="000000"/>
                <w:sz w:val="18"/>
                <w:szCs w:val="18"/>
                <w:u w:val="none"/>
                <w:lang w:val="en-US" w:eastAsia="zh-CN" w:bidi="ar"/>
              </w:rPr>
              <w:t xml:space="preserve">检测</w:t>
            </w:r>
            <w:r>
              <w:rPr>
                <w:rStyle w:val="1139"/>
                <w:rFonts w:ascii="宋体" w:hAnsi="宋体" w:eastAsia="宋体" w:cs="宋体"/>
                <w:b/>
                <w:bCs/>
                <w:i w:val="0"/>
                <w:iCs w:val="0"/>
                <w:color w:val="000000"/>
                <w:sz w:val="18"/>
                <w:szCs w:val="18"/>
                <w:u w:val="none"/>
                <w:lang w:val="en-US" w:eastAsia="zh-CN" w:bidi="ar"/>
              </w:rPr>
              <w:t xml:space="preserve">机构</w:t>
            </w:r>
            <w:r>
              <w:rPr>
                <w:rStyle w:val="1139"/>
                <w:rFonts w:hint="eastAsia" w:ascii="宋体" w:hAnsi="宋体" w:eastAsia="宋体" w:cs="宋体"/>
                <w:b/>
                <w:bCs/>
                <w:i w:val="0"/>
                <w:iCs w:val="0"/>
                <w:color w:val="000000"/>
                <w:sz w:val="18"/>
                <w:szCs w:val="18"/>
                <w:u w:val="none"/>
                <w:lang w:val="en-US" w:eastAsia="zh-CN" w:bidi="ar"/>
              </w:rPr>
              <w:t xml:space="preserve">合格</w:t>
            </w:r>
            <w:r>
              <w:rPr>
                <w:rStyle w:val="1139"/>
                <w:rFonts w:ascii="宋体" w:hAnsi="宋体" w:eastAsia="宋体" w:cs="宋体"/>
                <w:b/>
                <w:bCs/>
                <w:i w:val="0"/>
                <w:iCs w:val="0"/>
                <w:color w:val="000000"/>
                <w:sz w:val="18"/>
                <w:szCs w:val="18"/>
                <w:u w:val="none"/>
                <w:lang w:val="en-US" w:eastAsia="zh-CN" w:bidi="ar"/>
              </w:rPr>
              <w:t xml:space="preserve">检测报告并加盖投标人公章）</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2.多彩液晶显示，采用电子门锁，增强安全性；最大相对离心力：≥18757xg；离心腔直径：≥Φ200mm；选配转子：转子≥12×5ml（转速≥15500rpm），转子：≥24×1.5/2.0ml（14500rpm）；转速精度：±10r/min；总功率：≥420W。</w:t>
            </w:r>
            <w:r>
              <w:rPr>
                <w:rFonts w:hint="eastAsia" w:ascii="宋体" w:hAnsi="宋体" w:eastAsia="宋体" w:cs="宋体"/>
                <w:b/>
                <w:bCs/>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0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生物数码显微镜</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1.基础光学系统要求：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无限远色差校正光学系统；目镜：大视场、高眼点平场目镜WF10X/20mm，其中一只带教学指针；物镜：平场消色差物镜4倍，成像清晰圆直径≥18.8mm；10倍，成像清晰圆直径≥18.6mm， 40倍（弹簧） 成像清晰圆直径≥18.9mm。100倍（弹簧、油）成像清晰圆直径≥18.9mm；齐焦：物镜10→4倍≤0.025mm，10→40倍≤0.010mm，40→100倍≤0.005mm；目镜筒：铰链式目镜筒， 360°旋转时目镜焦平面上像中心的位移，左右两系统放大率差≤0.35%，双目系统左右两像面</w:t>
            </w:r>
            <w:r>
              <w:rPr>
                <w:rFonts w:hint="eastAsia" w:ascii="宋体" w:hAnsi="宋体" w:eastAsia="宋体" w:cs="宋体"/>
                <w:i w:val="0"/>
                <w:iCs w:val="0"/>
                <w:color w:val="000000"/>
                <w:sz w:val="18"/>
                <w:szCs w:val="18"/>
                <w:u w:val="none"/>
                <w:lang w:val="en-US" w:eastAsia="zh-CN" w:bidi="ar"/>
              </w:rPr>
              <w:t xml:space="preserve">光谱色一致，明暗差≤8.2%；双目系统左右系统像面方差≤35；双目系统左右视场中心偏差:上下≤0.02mm、左右内侧≤0.03mm。内倾斜、内定位四孔转换器；载物台：“U型”双层载物台；载物台硬膜涂层表面，防腐、耐磨； 移动行程≥75X50mm；X、Y向低位同轴调节手轮；X、Y轴同轴调节，载物台受5N水平方向作用力最大位移≤0.01mm；不重复性≤0.003mm；调焦机构：粗微调同轴，并有调焦限位装置，微调机构空回≤0.005mm，微调刻值0.002mm；聚光镜：阿贝式聚光镜N.A.1.25(带可变光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2.系统输出设备要求：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智能液晶平板内置高分辨率、高画质感光芯片，≥1300万像素，画质清晰，色彩还原逼真，展现自然生动的色彩和物体细节，具有 HDMI和USB输出以及拓展 SD 卡插槽，无需连接计算机即可在屏幕上控制所有功能，≥10.1英寸一体高清触控显示屏,0-90°自由调节屏幕角度，适应不同学生观察；可作为网络热点，实时共享显微镜下图像，支持智能操作系统。</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0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生物数码体视显微镜</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1.高眼点超广角目镜WF 10X/23mm一对；双目倾斜30°,视度可调，调整范围：5°屈光度；瞳距调节范围: 50mm~75mm； 变倍范围:7.5X~50X连续变倍； 变倍比: 1: 6.7；工作距离≥113mm；升降机构：燕尾导轨与齿轮齿条组合构成调焦机构，保证调焦灵活舒适、稳定可靠； 变倍手轮双侧水平设置，变倍灵活舒适；≥12V/10W LED灯落、透射光源，可单独或同时使用；底座：工作平台宽大舒适。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2.智能液晶平板内置高分辨率、高画质感光芯片，≥1300万像素，画质清晰，色彩还原逼真，展现自然生动的色彩和物体细节，具有 HDMI和USB输出以及拓展 SD 卡插槽，无需连接计算机即可在屏幕上控制所有功能，≥10.1英寸一体高清触控显示屏,0-90°自由调节屏幕角度，适应不同学生观察；360°3D观察，可在不移动标本的情况下对标本表面进行360°范围全覆盖观察。</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生物磁力搅拌器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1.容量：20～3000ml,功率：不大于200W,加热盘温度：0-300℃可调,转速可调节。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生物小型模拟生态缸</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1.≥600mmX400mmX500mm，照明系统、循环系统、过滤系统、增氧系统，水草、景观、铝合金防水灯光、潜水泵、双孔增氧气泵、连环气泡棒、生化过滤棉。</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生物组培试剂盒</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1.培养基,细胞分裂激素\生长素,使用说明等。（或生根试剂盒）</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生物微生物实验试剂盒</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1.果酒果醋制作试剂盒，腐乳的制作试剂盒，亚硝酸盐的测定试剂盒，微生物的实验培养试剂盒，土壤中分解尿素的细菌的分离和计数试剂盒，分解纤维素的微生物的分离试剂盒，试剂盒均为25组/班的用量。</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生物分子试剂盒</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1.琼脂糖凝胶电泳试剂盒，PCR试剂盒，DNA的粗提取与鉴定试剂盒，质粒DNA提取试剂盒，双酶切实验试剂盒，SDS-聚丙烯酰胺凝胶电泳分离，试剂盒均为25组/班的用量。</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生物解剖器具套装</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解剖腊盘：不锈钢材质，规格：≥25×35cm，≥10个；实验室剪刀：≥18cm直头剪，≥18cm弯头剪，不锈钢材质，各≥10把；实验室剪刀：≥12.5cm直头剪，≥12.5cm弯头剪，不锈钢材质，各≥10把；实验室镊子：≥14cm,尖头镊,≥14cm圆口镊，不锈钢材质，各≥10把；解剖针，≥13cm,不锈钢材质，≥10支；解剖刀：3号解剖刀，不锈钢材质，≥10把，配11号刀片。</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生物耗材包</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四种规格吸头(≥5000μL，≥300只/包；≥1000μL，≥500只/包；≥100μL，≥1000只/包；≥10μL，≥1000只/包)，各≥20包；三种规格吸头盒(≥1000μL，≥100μL，≥10μL)，各≥20个；一次性塑料培养皿≥3箱,≥0.2mL离心管(≥1000只/包)，≥5包；≥0.5mL离心管(≥1000只/包)，≥5包；≥1.5mL离心管(≥500只/包)，≥5包；≥10mL离心管(≥100只/包)，≥5包。</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生物恒温水浴锅</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孔数：≥四孔，工作室尺寸：≥310mm*310mm*130mm，功率：≥800W；控温范围：室温+5℃～99.9℃，温度均匀性：±0.5℃，水温波动±0.5℃；数显；外壳：不锈钢。不锈钢内胆拉伸成型，外壳静电绝缘喷塑；控温系统：微机智能控制。</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生化数据终端</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触摸式≥10.1英寸，≥10点电容屏，分辨率≥1920*1200IPS，≥30000mWh聚合物锂离子电池，连续使用≥8小时，≥4GDDR4LRAM，≥64GBROM支持扩展卡，前置≥2.0M后置≥5.0MP摄像头，标准USB3.0接口，HDMImini接口，type-C数据接口，耳机接口。智能采集并保存数据，内置≥64G存储空间，方便存储实验数据﹔前置后置摄像头，方便拍摄实验图片;支持网络连接，方便传送实验数据﹔内置USB接口和蓝牙模块，支持多种连接方式。</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台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26"/>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生化智能数字实验盘</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1.组成及功能：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内置电容屏，通用接口、多传感器扩展；独立使用时，支持实验采集功能，提供图像、表格两种模式。图像模式支持对X轴、Y轴自定义，且Y轴支持传感器多选；支持双Y轴设置；支持曲线镜像显示</w:t>
            </w:r>
            <w:r>
              <w:rPr>
                <w:rFonts w:hint="eastAsia" w:ascii="宋体" w:hAnsi="宋体" w:eastAsia="宋体" w:cs="宋体"/>
                <w:i w:val="0"/>
                <w:iCs w:val="0"/>
                <w:color w:val="000000"/>
                <w:sz w:val="18"/>
                <w:szCs w:val="18"/>
                <w:u w:val="none"/>
                <w:lang w:val="en-US" w:eastAsia="zh-CN" w:bidi="ar"/>
              </w:rPr>
              <w:t xml:space="preserve">，支持对采集间隔、采集时间进行设置，支持手动采集、定时采集等不同模式、实验采集支持保存与读取，方便随时对实验进行复盘分析、支持多种外接传感器和多种内置传感器同时工作，并在内置屏上同步数据显示；支持数字、图线、指针盘≥3种显示模式；支持从传感器实时显示界面直接跳转进入快速实验、支持脱离终端设备，利用内置实验操作平台对部分传感器进行校准或标定等、可外扩其他类型的传感器；采集器支持辅助线功能，实时展示该时刻所有传感器的同步数值；采集器提供图表镜像反转功能，支持选中的传感器生成对应的镜像数据；支持智能操作系统平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2.规格参数：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最大采样速率：≥100,000次/秒、采样解析度：≥12-bit、内存：≥16M、无线连接：蓝牙2.0/4.2双模、内置电池：≥3000mAh 锂电池、待机时间：6个月以上、使用温度范围：-20℃~70℃；三轴加速度传感器：量程 -8g~+8g,精度2.5%；GPS：最大导航更新率：≥5Hz；平面位置精度：≥2.5m；速度准确度：≤0.1m/s；气压计：量程 50~110kPa，精度 ±4kPa (相对精度: 0.05kPa)；相对高度计：分辨率≤0.3m。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台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生化数字化实验系统</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1.支持有线连接，无线蓝</w:t>
            </w:r>
            <w:r>
              <w:rPr>
                <w:rFonts w:hint="eastAsia" w:ascii="宋体" w:hAnsi="宋体" w:eastAsia="宋体" w:cs="宋体"/>
                <w:i w:val="0"/>
                <w:iCs w:val="0"/>
                <w:color w:val="000000"/>
                <w:sz w:val="18"/>
                <w:szCs w:val="18"/>
                <w:u w:val="none"/>
                <w:lang w:val="en-US" w:eastAsia="zh-CN" w:bidi="ar"/>
              </w:rPr>
              <w:t xml:space="preserve">牙连接，支持传感器自动识别；可连接多个采集器，并支持多个采集器同时工作；可支持多个传感器同时采集，通过坐标图像曲线、表格、数值、仪表盘等方式，实时、直观、精确显示实验数据；根据实验需要，可进行公式（变量）编辑，自主添加实验变量（或增量等），并通过公式编辑实现不同物理量之间的转换；可对数据图表操作，包括对图表内数据曲线的移动、缩放、改变曲线颜色及大小等，便于实验前后的数据分析处理，适合于教学中实验结果的精确测定与验证；具有完善的数据处理功能，包含多种数据拟合：直线拟合、抛物线拟合、倒数拟合、积分、重叠显示等。</w:t>
            </w:r>
            <w:r>
              <w:rPr>
                <w:rFonts w:hint="eastAsia" w:ascii="宋体" w:hAnsi="宋体" w:eastAsia="宋体" w:cs="宋体"/>
                <w:i w:val="0"/>
                <w:iCs w:val="0"/>
                <w:color w:val="000000"/>
                <w:sz w:val="18"/>
                <w:szCs w:val="18"/>
                <w:u w:val="none"/>
                <w:lang w:val="en-US" w:eastAsia="zh-CN" w:bidi="ar"/>
              </w:rPr>
              <w:br w:type="textWrapping" w:clear="all"/>
            </w:r>
            <w:r>
              <w:rPr>
                <w:rStyle w:val="1139"/>
                <w:rFonts w:ascii="宋体" w:hAnsi="宋体" w:eastAsia="宋体" w:cs="宋体"/>
                <w:b/>
                <w:bCs/>
                <w:i w:val="0"/>
                <w:iCs w:val="0"/>
                <w:color w:val="000000"/>
                <w:sz w:val="18"/>
                <w:szCs w:val="18"/>
                <w:u w:val="none"/>
                <w:lang w:val="en-US" w:eastAsia="zh-CN" w:bidi="ar"/>
              </w:rPr>
              <w:t xml:space="preserve">▲2.具有丰富完整的在线实验教学案例数量不少于</w:t>
            </w:r>
            <w:r>
              <w:rPr>
                <w:rStyle w:val="1139"/>
                <w:rFonts w:hint="eastAsia" w:ascii="宋体" w:hAnsi="宋体" w:eastAsia="宋体" w:cs="宋体"/>
                <w:b/>
                <w:bCs/>
                <w:i w:val="0"/>
                <w:iCs w:val="0"/>
                <w:color w:val="000000"/>
                <w:sz w:val="18"/>
                <w:szCs w:val="18"/>
                <w:u w:val="none"/>
                <w:lang w:val="en-US" w:eastAsia="zh-CN" w:bidi="ar"/>
              </w:rPr>
              <w:t xml:space="preserve">5</w:t>
            </w:r>
            <w:r>
              <w:rPr>
                <w:rStyle w:val="1139"/>
                <w:rFonts w:ascii="宋体" w:hAnsi="宋体" w:eastAsia="宋体" w:cs="宋体"/>
                <w:b/>
                <w:bCs/>
                <w:i w:val="0"/>
                <w:iCs w:val="0"/>
                <w:color w:val="000000"/>
                <w:sz w:val="18"/>
                <w:szCs w:val="18"/>
                <w:u w:val="none"/>
                <w:lang w:val="en-US" w:eastAsia="zh-CN" w:bidi="ar"/>
              </w:rPr>
              <w:t xml:space="preserve">00个，同时具有丰富的在线实验视频数量不少于1</w:t>
            </w:r>
            <w:r>
              <w:rPr>
                <w:rStyle w:val="1139"/>
                <w:rFonts w:hint="eastAsia" w:ascii="宋体" w:hAnsi="宋体" w:eastAsia="宋体" w:cs="宋体"/>
                <w:b/>
                <w:bCs/>
                <w:i w:val="0"/>
                <w:iCs w:val="0"/>
                <w:color w:val="000000"/>
                <w:sz w:val="18"/>
                <w:szCs w:val="18"/>
                <w:u w:val="none"/>
                <w:lang w:val="en-US" w:eastAsia="zh-CN" w:bidi="ar"/>
              </w:rPr>
              <w:t xml:space="preserve">0</w:t>
            </w:r>
            <w:r>
              <w:rPr>
                <w:rStyle w:val="1139"/>
                <w:rFonts w:ascii="宋体" w:hAnsi="宋体" w:eastAsia="宋体" w:cs="宋体"/>
                <w:b/>
                <w:bCs/>
                <w:i w:val="0"/>
                <w:iCs w:val="0"/>
                <w:color w:val="000000"/>
                <w:sz w:val="18"/>
                <w:szCs w:val="18"/>
                <w:u w:val="none"/>
                <w:lang w:val="en-US" w:eastAsia="zh-CN" w:bidi="ar"/>
              </w:rPr>
              <w:t xml:space="preserve">0个；在线实验视频既可以通过自有平台浏览，同时也可以通过第三方平台浏览。（提供第三方</w:t>
            </w:r>
            <w:r>
              <w:rPr>
                <w:rStyle w:val="1139"/>
                <w:rFonts w:hint="eastAsia" w:ascii="宋体" w:hAnsi="宋体" w:eastAsia="宋体" w:cs="宋体"/>
                <w:b/>
                <w:bCs/>
                <w:i w:val="0"/>
                <w:iCs w:val="0"/>
                <w:color w:val="000000"/>
                <w:sz w:val="18"/>
                <w:szCs w:val="18"/>
                <w:u w:val="none"/>
                <w:lang w:val="en-US" w:eastAsia="zh-CN" w:bidi="ar"/>
              </w:rPr>
              <w:t xml:space="preserve">检测</w:t>
            </w:r>
            <w:r>
              <w:rPr>
                <w:rStyle w:val="1139"/>
                <w:rFonts w:ascii="宋体" w:hAnsi="宋体" w:eastAsia="宋体" w:cs="宋体"/>
                <w:b/>
                <w:bCs/>
                <w:i w:val="0"/>
                <w:iCs w:val="0"/>
                <w:color w:val="000000"/>
                <w:sz w:val="18"/>
                <w:szCs w:val="18"/>
                <w:u w:val="none"/>
                <w:lang w:val="en-US" w:eastAsia="zh-CN" w:bidi="ar"/>
              </w:rPr>
              <w:t xml:space="preserve">机构</w:t>
            </w:r>
            <w:r>
              <w:rPr>
                <w:rStyle w:val="1139"/>
                <w:rFonts w:hint="eastAsia" w:ascii="宋体" w:hAnsi="宋体" w:eastAsia="宋体" w:cs="宋体"/>
                <w:b/>
                <w:bCs/>
                <w:i w:val="0"/>
                <w:iCs w:val="0"/>
                <w:color w:val="000000"/>
                <w:sz w:val="18"/>
                <w:szCs w:val="18"/>
                <w:u w:val="none"/>
                <w:lang w:val="en-US" w:eastAsia="zh-CN" w:bidi="ar"/>
              </w:rPr>
              <w:t xml:space="preserve">合格</w:t>
            </w:r>
            <w:r>
              <w:rPr>
                <w:rStyle w:val="1139"/>
                <w:rFonts w:ascii="宋体" w:hAnsi="宋体" w:eastAsia="宋体" w:cs="宋体"/>
                <w:b/>
                <w:bCs/>
                <w:i w:val="0"/>
                <w:iCs w:val="0"/>
                <w:color w:val="000000"/>
                <w:sz w:val="18"/>
                <w:szCs w:val="18"/>
                <w:u w:val="none"/>
                <w:lang w:val="en-US" w:eastAsia="zh-CN" w:bidi="ar"/>
              </w:rPr>
              <w:t xml:space="preserve">检测报告并加盖投标人公章）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生化pH传感器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通过通用接口与采集器连接，支持正反盲插，具有热插拔功能；可脱离终端独立采集记录所探测到的实验数据并加以保存，以供下载和分析；量程：0~14或满足教学精度，精度：±0.2或满足教学精度，分辨率：0.01或满足教学精度。</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生化温度传感器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通过通用接口与采集器连接，具有热插拔功能；可脱离终端独立采集记录所探测到的实验数据并加以保存，以供下载和分析；用于测量物体表面、气体、酸碱等液体的温度，无需校准，即连即用；量程：-40℃~135℃或满足教学精度，精度：±0.6℃或满足教学精度，分辨率：≤0.1℃。</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生化无线智能电导率传感器（高分辨率）</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1.内置电导率、温度两种传感器模块，可脱离终端而独立地记录所探测到的实验数据并加以保存，并随时供下载和分析；传感器会自动进行温度补偿，可实现标定功能。 电导率：量程：0~20000μS/cm，分辨率：≤0.1μS/cm，精度：±3%F.S；温度：</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量程：0~60℃，分辨率：≤0.1℃，精度：≤0.5℃，采样速率：≥10次/秒；连续使用时间：≥120小时，防水等级：≥IP67，通讯距离：≥30m（空旷无遮挡）</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生化溶氧气氧一体传感器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通过通用接口与采集器连接，支持正反盲插，具有热插拔功能；可脱离终端独立采集记录所探测到的实验数据并加以保存，以供下载和分析；用于测量气体、溶液中的氧含量，可支持气中氧校准、溶解氧标定功能；溶氧：量程：0~20mg/L，精度：±0.5mg/L，分辨率：≤0.01mg/L；气氧：量程：0~100%，精度：±2%F.S，分辨率：≤0.1%。</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生化二氧化碳传感器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红外气体吸收检测型传感器，具有很好的选择性，高灵敏度，无氧气依赖性。可脱离终端独立采集记录所探测到的实验数据并加以保存，以供下载和分析；量程：0~100000ppm，精度：±100ppm(0~1000ppm)；±(100ppm＋5%读数值)(1000~10000ppm)；±10%(10000~50000ppm)；±15%(50000~100000ppm)，分辨率：≤1pp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生化绝对压强传感器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配有压强软管、鲁尔头和针筒，采用模块化设计，通过通用接口与采集器连接，具有热插拔功能；可脱离终端独立采集记录所探测到的实验数据并加以保存，以供下载和分析；量程：0~400kPa，精度：±2%，分辨率：≤0.1kPa。</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生化气体酒精传感器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通过通用接口与采集器连接，支持正反盲插，具有热插拔功能；可脱离终端独立采集记录所探测到的实验数据并加以保存，以供下载和分析；用于测量气体中酒精的含量，无需校准，即连即用；量程：0~6000ppm，精度：±3%，分辨率：≤1.5pp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生化通用接口</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1.通用接口正面为电源指示灯，前端、后端为通用接口，用于跟传感器的连接；具有通电指示灯，可以快速判断是否正确连接。</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生化分光光度计</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1.光学系统：单光束、衍射光栅，波长范围：340～1000nm，光源：钨卤素灯≥12V20W，接收元件：光电池；波长最大允许误差（nm）：±2，波长重复性（nm）：≤1，光谱带宽（nm）： 4±0.8，杂散光（T）：≤0.3%（在360nm处），透射比测量范围（T）：0.0%～200.0%，吸光度测量范围（A）：0.000～3A，浓度直读范围：0000～1999；透射比最大允许误差：±0.5%，透射比重复性：≤0.2%，噪声：100%噪声≤0.5%/3min，噪声≤0.2%3min。</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生化微量可调移液器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1.管嘴弹出按钮设计轻巧，PP退管装置；清晰的显示读数窗口，量程连续可调；管嘴化学材料具有极好的耐化学腐蚀性，整支灭菌;五种规格为一套，量程分别为：0.1-2.5μL、0.5-10μL、10-100μL、20-200μL、100-1000μL。</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生化移液器架</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1.平板式，亚克力材料，≥5个位置</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生化电子天平</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1.液晶显示，外接电源，自动校准功能，全量程去皮功能;称量范围：0～300g,灵敏度≤0.001g,适应湿度50-85%。</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生化PH计</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1.液晶屏数字显示，仪器自动识别三种缓冲标准液，具有手动校准功能；仪器级别：≤0.01级,测量范围：pH：0.00～14.00,mV：-1880～1880；分辨率：pH：≤0.01，mV：≤1，自动±极性显示，测量精度：mV为±2，pH为±0.01。</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899"/>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生化无线智能色度计&amp;浊度计</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1.组成及功能：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内置色度计、浊度计2种传感器模块，使用电源按钮或软件设置切换色度、浊度功能，并且可切换红、橙、黄、绿、蓝、紫6种入射光。可脱离终端而独立地记录所探测到的实验数据并加以保存，并随时供下载和分析；用于测量溶液对于不同颜色的入射光的吸光度、透光率，以及溶液的浊度；色度/浊度切换简单，通过电源按钮或软件设置切换，提供多种波长选择；</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2.规格参数：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量程</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红光（≥645nm）橙光（≥611nm）黄光（≥570nm）绿光（≥520nm）蓝光（≥470nm）紫光（≥430nm），透光率0~100%、吸光度0~3A或满足教学精度；浊度：0~400 NTU或满足教学精度。</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精度</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红光（≥645nm）橙光（≥611nm）黄光（≥570nm）绿光（≥520nm）蓝光（≥470nm）紫光（≥430nm），透光率±2%F.S、吸光度±0.03A或满足教学精度；浊度：±5% NTU或满足教学精度。</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分辨率</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红光（≥645nm）橙光（≥611nm）黄光（≥570nm）绿光（≥520nm）蓝光（≥470nm）紫光（≥430nm），透光率0.1%、吸光度0.01A或满足教学精度；浊度：0.1 NTU或满足教学精度。</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采样速率:10次/秒或满足教学精度，连续使用时间:≥50 小时，通讯距离:≥30m（空旷无遮挡）</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4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生化光纤光谱仪</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1.光纤光谱仪实验器主体（含开关、工作指示灯、USB接口、漏液孔</w:t>
            </w:r>
            <w:r>
              <w:rPr>
                <w:rFonts w:hint="eastAsia" w:ascii="宋体" w:hAnsi="宋体" w:eastAsia="宋体" w:cs="宋体"/>
                <w:i w:val="0"/>
                <w:iCs w:val="0"/>
                <w:color w:val="000000"/>
                <w:sz w:val="18"/>
                <w:szCs w:val="18"/>
                <w:u w:val="none"/>
                <w:lang w:val="en-US" w:eastAsia="zh-CN" w:bidi="ar"/>
              </w:rPr>
              <w:t xml:space="preserve">、电池电源、比色皿槽）、比色皿*10、光纤、USB数据线、干电池*4；用于测量强度、吸光度、透光率和荧光等，内置探测器，无需外接传感器及采集器，可探究分析叶绿素的吸收光谱、各种色光的光谱测量、高锰酸钾溶液浓度测定等实验；采用集成LED钨光光源和两段荧光激光光源，可自由切换，安全实用；具有高质量的衍射光栅，可以将不同光谱的谱线分开，并且入射到反射镜上；配置≥10个比色皿，可对溶液进行浓度、吸光度、透光率等测量。主体下方设有漏液孔，可有效避免比色皿槽中液体残留损坏测量窗口；配置光纤，可实现对各种色光的光谱测量。</w:t>
            </w:r>
            <w:r>
              <w:rPr>
                <w:rFonts w:hint="eastAsia" w:ascii="宋体" w:hAnsi="宋体" w:eastAsia="宋体" w:cs="宋体"/>
                <w:i w:val="0"/>
                <w:iCs w:val="0"/>
                <w:color w:val="000000"/>
                <w:sz w:val="18"/>
                <w:szCs w:val="18"/>
                <w:u w:val="none"/>
                <w:lang w:val="en-US" w:eastAsia="zh-CN" w:bidi="ar"/>
              </w:rPr>
              <w:br w:type="textWrapping" w:clear="all"/>
            </w:r>
            <w:r>
              <w:rPr>
                <w:rStyle w:val="1140"/>
                <w:rFonts w:ascii="宋体" w:hAnsi="宋体" w:eastAsia="宋体" w:cs="宋体"/>
                <w:b/>
                <w:bCs/>
                <w:i w:val="0"/>
                <w:iCs w:val="0"/>
                <w:color w:val="000000"/>
                <w:sz w:val="18"/>
                <w:szCs w:val="18"/>
                <w:u w:val="none"/>
                <w:lang w:val="en-US" w:eastAsia="zh-CN" w:bidi="ar"/>
              </w:rPr>
              <w:t xml:space="preserve">▲2.要求使用计算机、光谱仪完成分析叶绿素的可见光吸收光谱实验：软件可以直观地呈现叶绿素和类胡萝卜素的吸收光谱、可读取其中任意一个波长的对应的吸光度的数据、要求测得的吸收光谱曲线图在波长380nm-500nm和600nm-700nm两个范围内均出现吸收峰、可以得出“叶绿素主要吸收蓝紫光和红光”的实验结论（本项需提供功能截图佐证）</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微波炉</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1.≥20L ≥700W；尺寸：40x30x25cm（±5cm）；面板类型：钢化玻璃透明；360°均匀受热，转盘式</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电磁炉</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1.≥3500W  ；触控式；尺寸：350*250*80mm（±50mm）；IPX4级防水；干烧保护；</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冰箱</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1.≥200L 三门三温区 冷藏区变温区冷冻区；尺寸：500x600x1700mm（±100mm）；毛重≤60kg</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8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★学生编程终端</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1.主频≥3.3GHz 、≥4核处理器8线程，三级缓存≥12MB；集成显卡，内存：8GB 内存或以上，最大可支持拓展64GB，硬盘：≥256GB 硬盘，支持机械硬盘拓展；支持拓展9.5mm标准光驱，网口支持1000Mbps，网口支持wake on LAN；集成标准声卡，USB有线键盘、鼠标。</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2.前置面</w:t>
            </w:r>
            <w:r>
              <w:rPr>
                <w:rFonts w:hint="eastAsia" w:ascii="宋体" w:hAnsi="宋体" w:eastAsia="宋体" w:cs="宋体"/>
                <w:i w:val="0"/>
                <w:iCs w:val="0"/>
                <w:color w:val="000000"/>
                <w:sz w:val="18"/>
                <w:szCs w:val="18"/>
                <w:u w:val="none"/>
                <w:lang w:val="en-US" w:eastAsia="zh-CN" w:bidi="ar"/>
              </w:rPr>
              <w:t xml:space="preserve">板：USB3.0≥4个（其中两个支持USB 3.2 Gen2，两个支持USB 3.2 Gen1）；TypeC≥1个（支持USB 3.2 Gen1）；麦克风输入≥1个，音频输出≥1个；后置面板：USB2.0≥4个；HDMI输出≥1；VGA输出≥1；DP输出≥1；音频输入≥2；音频输出≥1；RJ45≥1；串口≥1；内部插槽：PCIEX16接口≥1个（支持拓展独立显卡）；PCIEX1接口≥2个；PCI接口≥1个；M.2接口≥2个；SATA接口≥3个；机箱体积：≥15L，电源功率：≥300W ，显示器≥23.8寸。</w:t>
            </w:r>
            <w:r>
              <w:rPr>
                <w:rFonts w:hint="eastAsia" w:ascii="宋体" w:hAnsi="宋体" w:eastAsia="宋体" w:cs="宋体"/>
                <w:b w:val="0"/>
                <w:bCs w:val="0"/>
                <w:i w:val="0"/>
                <w:iCs w:val="0"/>
                <w:color w:val="000000"/>
                <w:sz w:val="18"/>
                <w:szCs w:val="18"/>
                <w:u w:val="none"/>
                <w:lang w:val="en-US" w:eastAsia="zh-CN" w:bidi="ar"/>
              </w:rPr>
              <w:t xml:space="preserve">提供强制节能认证证书</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33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教师编程终端</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numPr>
                <w:ilvl w:val="0"/>
                <w:numId w:val="4"/>
              </w:numPr>
              <w:jc w:val="left"/>
              <w:keepLines w:val="0"/>
              <w:keepNext w:val="0"/>
              <w:widowControl/>
              <w:tabs>
                <w:tab w:val="left" w:pos="312" w:leader="none"/>
              </w:tabs>
              <w:rPr>
                <w:rFonts w:hint="eastAsia"/>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主频≥2.5GHz 、≥6核处理器12线程，三级缓存≥18MB；集成显卡，内存：16GB DDR4 3200MT/s内存或以上，最大可支持拓展64GB，硬盘：≥512GB  SSD硬盘，机械硬盘可拓展至2T；支持拓展9.5mm标准光驱，网口支持1000Mbps，网口支持wake on LAN，集成标准声卡，USB有线键盘、鼠标。</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2.前置面板：USB3.0≥4个（其中两个支持USB 3.2 Gen2，两个支持USB 3.2 Gen1）；TypeC≥1个（支持USB 3.2 Gen1）；麦克风输入≥1个，音频</w:t>
            </w:r>
            <w:r>
              <w:rPr>
                <w:rFonts w:hint="eastAsia" w:ascii="宋体" w:hAnsi="宋体" w:eastAsia="宋体" w:cs="宋体"/>
                <w:i w:val="0"/>
                <w:iCs w:val="0"/>
                <w:color w:val="000000"/>
                <w:sz w:val="18"/>
                <w:szCs w:val="18"/>
                <w:u w:val="none"/>
                <w:lang w:val="en-US" w:eastAsia="zh-CN" w:bidi="ar"/>
              </w:rPr>
              <w:t xml:space="preserve">输出≥1个；关机状态下，支持≥2前置USB端口对外供电；前置面板音频输出接口采用四段式接口，兼容单耳机输出和耳机、麦克风二合一。支持欧标/美标自动切换；后置面板：USB2.0≥4个；HDMI输出≥1；VGA输出≥1；DP输出≥1；音频输入≥2；音频输出≥1；RJ45≥1；串口≥1；内部插槽：PCIEX16接口≥1个（支持拓展独立显卡）；PCIEX1接口≥2个；PCI接口≥1个；M.2接口≥2个；SATA接口≥3个；机箱体积：≥15L，电源功率：≥300W，可通过物理按键实现系统一键还原，显示器≥23.8寸、</w:t>
            </w:r>
            <w:r>
              <w:rPr>
                <w:rFonts w:hint="eastAsia" w:ascii="宋体" w:hAnsi="宋体" w:eastAsia="宋体" w:cs="宋体"/>
                <w:b w:val="0"/>
                <w:bCs w:val="0"/>
                <w:i w:val="0"/>
                <w:iCs w:val="0"/>
                <w:color w:val="000000"/>
                <w:sz w:val="18"/>
                <w:szCs w:val="18"/>
                <w:u w:val="none"/>
                <w:lang w:val="en-US" w:eastAsia="zh-CN" w:bidi="ar"/>
              </w:rPr>
              <w:t xml:space="preserve">提供强制节能认证证书</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Style w:val="1140"/>
                <w:rFonts w:ascii="宋体" w:hAnsi="宋体" w:eastAsia="宋体" w:cs="宋体"/>
                <w:b/>
                <w:bCs/>
                <w:i w:val="0"/>
                <w:iCs w:val="0"/>
                <w:color w:val="000000"/>
                <w:sz w:val="18"/>
                <w:szCs w:val="18"/>
                <w:u w:val="none"/>
                <w:lang w:val="en-US" w:eastAsia="zh-CN" w:bidi="ar"/>
              </w:rPr>
              <w:t xml:space="preserve">▲3.AI意图识别：设备自带支持用户输入文字，对输入文字的意图进行大模型的语义分析，理解和判断，识别其可能期望进行的动作，并推荐对应功能，对会议、待办、AI生成课件、AI传屏、AI提问等内容，可以自动识别主题并填入，可以快速拉起对应应用中对应模块。</w:t>
            </w:r>
            <w:r>
              <w:rPr>
                <w:rStyle w:val="1139"/>
                <w:rFonts w:ascii="宋体" w:hAnsi="宋体" w:eastAsia="宋体" w:cs="宋体"/>
                <w:b/>
                <w:bCs/>
                <w:i w:val="0"/>
                <w:iCs w:val="0"/>
                <w:color w:val="000000"/>
                <w:sz w:val="18"/>
                <w:szCs w:val="18"/>
                <w:u w:val="none"/>
                <w:lang w:val="en-US" w:eastAsia="zh-CN" w:bidi="ar"/>
              </w:rPr>
              <w:t xml:space="preserve">（提供第三方</w:t>
            </w:r>
            <w:r>
              <w:rPr>
                <w:rStyle w:val="1139"/>
                <w:rFonts w:hint="eastAsia" w:ascii="宋体" w:hAnsi="宋体" w:eastAsia="宋体" w:cs="宋体"/>
                <w:b/>
                <w:bCs/>
                <w:i w:val="0"/>
                <w:iCs w:val="0"/>
                <w:color w:val="000000"/>
                <w:sz w:val="18"/>
                <w:szCs w:val="18"/>
                <w:u w:val="none"/>
                <w:lang w:val="en-US" w:eastAsia="zh-CN" w:bidi="ar"/>
              </w:rPr>
              <w:t xml:space="preserve">检测</w:t>
            </w:r>
            <w:r>
              <w:rPr>
                <w:rStyle w:val="1139"/>
                <w:rFonts w:ascii="宋体" w:hAnsi="宋体" w:eastAsia="宋体" w:cs="宋体"/>
                <w:b/>
                <w:bCs/>
                <w:i w:val="0"/>
                <w:iCs w:val="0"/>
                <w:color w:val="000000"/>
                <w:sz w:val="18"/>
                <w:szCs w:val="18"/>
                <w:u w:val="none"/>
                <w:lang w:val="en-US" w:eastAsia="zh-CN" w:bidi="ar"/>
              </w:rPr>
              <w:t xml:space="preserve">机构</w:t>
            </w:r>
            <w:r>
              <w:rPr>
                <w:rStyle w:val="1139"/>
                <w:rFonts w:hint="eastAsia" w:ascii="宋体" w:hAnsi="宋体" w:eastAsia="宋体" w:cs="宋体"/>
                <w:b/>
                <w:bCs/>
                <w:i w:val="0"/>
                <w:iCs w:val="0"/>
                <w:color w:val="000000"/>
                <w:sz w:val="18"/>
                <w:szCs w:val="18"/>
                <w:u w:val="none"/>
                <w:lang w:val="en-US" w:eastAsia="zh-CN" w:bidi="ar"/>
              </w:rPr>
              <w:t xml:space="preserve">合格</w:t>
            </w:r>
            <w:r>
              <w:rPr>
                <w:rStyle w:val="1139"/>
                <w:rFonts w:ascii="宋体" w:hAnsi="宋体" w:eastAsia="宋体" w:cs="宋体"/>
                <w:b/>
                <w:bCs/>
                <w:i w:val="0"/>
                <w:iCs w:val="0"/>
                <w:color w:val="000000"/>
                <w:sz w:val="18"/>
                <w:szCs w:val="18"/>
                <w:u w:val="none"/>
                <w:lang w:val="en-US" w:eastAsia="zh-CN" w:bidi="ar"/>
              </w:rPr>
              <w:t xml:space="preserve">检测报告并加盖投标人公章）</w:t>
            </w:r>
            <w:r>
              <w:rPr>
                <w:rFonts w:hint="eastAsia"/>
                <w:lang w:val="en-US" w:eastAsia="zh-CN"/>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桌面控制器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1.桌面电源键带音频带USB接口</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114</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学生编程桌</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1.规格：≥1600*500*760mm，台面基材为E0级≥25mm厚三聚氰胺板。桌身钢制，桌腿立柱采用≥40*40*1.2mm方管，桌腿后拉撑不低于25*25*1.2㎜方管。带有主机存储位置，侧围板钢板厚度不低于1mm。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座椅</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1.一体注塑成型椅背,椅架采用≥16*1.5mm四脚钢架，坐面承重大于100公斤,椅子可多张垒叠，椅脚带静音滑轮。</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教师讲桌</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1.规格：≥1800*600*760mm，台面基材为E0级≥25mm厚三聚氰胺板；桌身钢制，桌腿立柱采用≥40*40*1.2㎜方管，桌腿后拉撑不低于25*25*1.2㎜方管，带有主机存储位置，侧围板钢板厚度不低于1mm。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24口交换机</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1.交换容量≥672Gbps，包转发率≥126Mpps，固化10/100/1000M以太网端口≥24，固化1G接口≥4个，产品端口浪涌抗扰度≥10KV，即具备10KV的防雷能力。</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光模块</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1.千兆单模光模块，满足10KM传输距离</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网络机柜</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1.32U标准机柜；尺寸：1600*600*600mm；面板：透明钢化玻璃；</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配线架</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1.24口配线架</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理线器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1.标准理线器符合使用需要</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网线</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1.6类无氧铜 8芯 室内 非屏蔽，符合国标要求。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4000</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电源线1</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1.≥4平方电源线，符合国标要求。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900</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电源线2</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1.≥1.5平方电源线，符合国标要求。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插座</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1.无线3位五孔插座，符合国标要求。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114</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蜡管</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1.≥1米标准蜡管</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114</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工程辅材</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1.六类水晶头，跳线，PVC穿线管等，满足项目需求，符合国标要求。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批</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信息教室系统集成服务</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1.包含网线，电源线，插座接入，穿管，电脑安装调试等配套安装服务、测试调试、培训服务、软件信息系统等项目集成服务。</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信息技术教室学科文化</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1.含整室学科文化设计、整室学科文化窗帘、整室文化墙等，学科文化效果需经甲方确认后再实施；整室文化窗帘采用防尘铝制罩壳，加厚硅胶垫，POM高密拉珠；整室文化墙采用亚克力+PVC等材质。</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墙体拆除</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1.墙体拆除，包含垃圾下楼外运及墙面修补</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7.3</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m³</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开槽</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1.地面开槽布置线管，包含开槽后修补</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信息技术室地面找平层</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1.材料：自流平，厚度：3mm，施工要求：满足地面PVC卷材铺贴。</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220.96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信息技术室卷材地面</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名称：PVC塑胶卷材地面，规格：不低于3mm厚，颜色根据业主指定要求，PVC卷材需符合国家环保标准，采用环保无毒配方，严控氯乙烯单体、可溶性铅镉、邻苯类增塑剂、甲醛、甲酰胺及挥发性有机物等有害物质，室内使用安全环保、无异味，满足民用及公共区域健康使用环保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220.96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信息技术室抹灰面油漆</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1.部位:水性无机矿物涂料墙，乳白色无机涂料饰面出新，涂料采用低VOC净味环保产品符合国标有害物质限量标准。</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186.25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信息技术室天棚喷刷涂料</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1.部位:无机矿物涂料顶棚，乳白色无机涂料饰面出新，涂料采用低VOC净味环保产品符合国标有害物质限量标准，腻子采用环保产品符合国标有害物质限量标准。</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243.06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移动屏风隔墙</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1.约22平方米，36D高隔音系数，隐藏式封闭结构，拒绝声音泄漏与视觉穿透；防火B1级认证+抗冲击钢架结构，静音滑轮+防倾倒。</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同步显示器</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1.规格≥85英寸超高清LED屏，显示比例16:9，分辨率3840×2160。含HDMI信号同步传输装置与布线。</w:t>
            </w:r>
            <w:r>
              <w:rPr>
                <w:rFonts w:hint="eastAsia" w:ascii="宋体" w:hAnsi="宋体" w:eastAsia="宋体" w:cs="宋体"/>
                <w:b w:val="0"/>
                <w:bCs w:val="0"/>
                <w:i w:val="0"/>
                <w:iCs w:val="0"/>
                <w:color w:val="000000"/>
                <w:sz w:val="18"/>
                <w:szCs w:val="18"/>
                <w:u w:val="none"/>
                <w:lang w:val="en-US" w:eastAsia="zh-CN" w:bidi="ar"/>
              </w:rPr>
              <w:t xml:space="preserve">提供强制节能认证证书</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精品录播主机</w:t>
            </w:r>
            <w:r>
              <w:rPr>
                <w:rFonts w:hint="eastAsia" w:ascii="宋体" w:hAnsi="宋体" w:eastAsia="宋体" w:cs="宋体"/>
                <w:i w:val="0"/>
                <w:iCs w:val="0"/>
                <w:color w:val="000000"/>
                <w:sz w:val="18"/>
                <w:szCs w:val="18"/>
                <w:u w:val="none"/>
                <w:lang w:val="en-US" w:eastAsia="zh-CN" w:bidi="ar-SA"/>
              </w:rPr>
            </w:r>
            <w:r/>
          </w:p>
        </w:tc>
        <w:tc>
          <w:tcPr>
            <w:tcW w:w="6960" w:type="dxa"/>
            <w:vAlign w:val="top"/>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1.功能参数：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具备录制、直播、导播、自动跟踪、音视频编码、音视频处理、存储、点播、互动、视频会议、行为分析、物联控制、远程运维参数设置等能力；主CPU核心数≥8，内置GPU与NPU协处理器，主频≥2.4GHz；次CPU核心数≥8，主频≥1.6GHz；音频辅助CPU核心数≥4核。内置独立算力卡，算力≥18TOPs（INT8），整机所有内置等效算力总和≥24TOPs（INT8）；存储容量：系统存储≥1T；具备AI语音识别，支撑课堂分析使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2.性能特点：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支持设置AI降噪强度，自定义参数支持≥100级AI降噪等级设置及≥100级传统降噪等</w:t>
            </w:r>
            <w:r>
              <w:rPr>
                <w:rFonts w:hint="eastAsia" w:ascii="宋体" w:hAnsi="宋体" w:eastAsia="宋体" w:cs="宋体"/>
                <w:i w:val="0"/>
                <w:iCs w:val="0"/>
                <w:color w:val="000000"/>
                <w:sz w:val="18"/>
                <w:szCs w:val="18"/>
                <w:u w:val="none"/>
                <w:lang w:val="en-US" w:eastAsia="zh-CN" w:bidi="ar"/>
              </w:rPr>
              <w:t xml:space="preserve">级设置；支持超高清、全高清、高清等码流录制，且支持自定义分辨率、帧率、码率，支持动态比特率或静态比特率两种模式；录播内置跟踪算法且跟踪功能基于AI人工智能技术无需额外增加图像定位主机或摄像机即可实现多机位的全自动跟踪切换；支持多路4K录制功能，支持设置≥5路RTMP直播推流，直播流可选择不同视频源，可选画面≥7个，推流单路可达 1080p。支持不少于4路RTMP同步推流直播；支持AI人工智能学生行为分析能力，支持AI设置教师机和板书机拍摄预置位，智能识别教室中黑板和大屏的位置，支持AI设置教师跟踪屏蔽区域；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3.导播管理控制系统：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支持通过浏览器及电脑应用程序，对主机进行画面切换控制；支持通过浏览器，设置≥3种导播模式；录制模式支持电影模式（导播画面）、资源模式两种，能同时支持1路电影模式加6路资源录制，实时录制合成画面、教师全景、教师特写、学生全景、学生特写、板书画面、电脑画面。可通过勾选录制对应画面，实现资源模式录制。支持≥9种多画面合成布局选择，可自定义选择布局中的画面，选择后自动更新布局中画面的名称；支持≥16种转场特效的选择。选择对应特效后，切换画面将应用该特效。支持通过触控实现云台摄像机的推拉摇移控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4.嵌流媒体控制系统：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支持4K、1080P等多种高清分辨率录制，支持互动清晰度自适应，在互动时根据网络情况选择最优清晰度。录播主机在双向互动过程中，可实现1080P@30FPS画质，并支持基于网络自适应技术实现在不同网络状况下的画面质量自适应；支持≥4个成员同时开麦和上台，支持≥2种邀请模式。支持互动过程中，进行性能监控；支持教师端预置位设置，可通过按钮实现镜头的上下左右转动、拉近拉远，并设定≥4个摄像机预置</w:t>
            </w:r>
            <w:r>
              <w:rPr>
                <w:rFonts w:hint="eastAsia" w:ascii="宋体" w:hAnsi="宋体" w:eastAsia="宋体" w:cs="宋体"/>
                <w:i w:val="0"/>
                <w:iCs w:val="0"/>
                <w:color w:val="000000"/>
                <w:sz w:val="18"/>
                <w:szCs w:val="18"/>
                <w:u w:val="none"/>
                <w:lang w:val="en-US" w:eastAsia="zh-CN" w:bidi="ar"/>
              </w:rPr>
              <w:t xml:space="preserve">位（全景、讲台、左板书、右板书）。支持自动识别黑板全景位及讲台位置；支持开启板书功能，并设置板书检测时间及板书保持时间。板书检测时间从0～15秒可调，板书保持时间从0～30秒可调；支持学生端跟踪区域、屏蔽区域设置，勾选后可通过鼠标绘制对应区域，不同区域通过不同颜色画框展现。可基于实景拍摄画面框选跟踪区域，框选后只在区域中方能触发跟踪，所见所得方便操作；支持根据设定的跟踪策略形成跟踪指令，实现多路接入摄像机的全自动AI跟踪画面切换；且支持自定义跟踪切换逻辑的画面布局，包含但不限于双分屏、画中画与自定义布局等。</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56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机械云台摄像机</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1.功能参数：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采用CMOS类型图像传感器，尺寸≥1/1.55英寸；摄像机最大可支持8192*4608分辨率，可提供视频分辨率3840×2160并向下兼容；摄像机支持4K 60fps（3840×2160，60帧）超高清实时画面输出，输出过程</w:t>
            </w:r>
            <w:r>
              <w:rPr>
                <w:rFonts w:hint="eastAsia" w:ascii="宋体" w:hAnsi="宋体" w:eastAsia="宋体" w:cs="宋体"/>
                <w:i w:val="0"/>
                <w:iCs w:val="0"/>
                <w:color w:val="000000"/>
                <w:sz w:val="18"/>
                <w:szCs w:val="18"/>
                <w:u w:val="none"/>
                <w:lang w:val="en-US" w:eastAsia="zh-CN" w:bidi="ar"/>
              </w:rPr>
              <w:t xml:space="preserve">中画面无拖影、丢帧、卡顿及花屏现象，单帧画面无撕裂，动态场景还原清晰流畅；HDMI视频输出接口≥1路 ，RS232接口 ≥1路 ，line in接口≥1路，Type-A USB接口≥1路；支持自动和手动变焦，支持≥20倍光学变焦，支持≥40倍综合变焦；要求具备机械云台可进行转动跟踪。云台水平转动范围：±170°，垂直转动范围：-35°~+90°。最大水平转动速度不小于110°/s，最大垂直转动速度不小于90°/s；云台采用无刷电机组件，磁场定向控制技术，定位精度±0.05°，20倍长焦下画面抖动＜0.2°。</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2.性能特点：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采用PDAF 相位对焦技术，确保云台摄像机对焦响应速度及拍摄画面清晰度；为确保云台长期运行稳定，云台支持位置记忆，云台被外界异常碰歪后，会自动恢复原位；AI跟踪：要求内置跟踪算法，摄像机内无额外辅助摄像头也无需增加任何设备即可实现人像自动跟踪，包括水平运动、俯仰运动、变焦、聚焦四维实时跟踪。</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3.内嵌图像处理系统：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支持通用浏览器直接访问进行管理；支持自动、一键式、手动白平衡、跟随全景；支持、自动、快门优先、光圈优先、手动曝光模式、跟随全景模式，在跟随全景模式下，特写摄像机的图像效果跟随全景摄像机的效果，保持两个摄像机画面风格一致；支持抗闪烁可调，可适配50hz、60hz工频灯光闪烁，支持曝光优先智能抗闪。在抗闪模式下，画面严重过曝时，会自己解除抗闪烁限制；支持平均、中心、底部、顶部多</w:t>
            </w:r>
            <w:r>
              <w:rPr>
                <w:rFonts w:hint="eastAsia" w:ascii="宋体" w:hAnsi="宋体" w:eastAsia="宋体" w:cs="宋体"/>
                <w:i w:val="0"/>
                <w:iCs w:val="0"/>
                <w:color w:val="000000"/>
                <w:sz w:val="18"/>
                <w:szCs w:val="18"/>
                <w:u w:val="none"/>
                <w:lang w:val="en-US" w:eastAsia="zh-CN" w:bidi="ar"/>
              </w:rPr>
              <w:t xml:space="preserve">种测光模式；支持全景调图像，特写同步调整图像效果，保证全景特写图像一致性。支持摄像机云台控制，支持云台速度调节；支持预置位设置与调用，预置位数量≥256个。支持聚焦和变焦调节，支持聚焦和变焦速度调节；支持聚焦区域可设置，分别可设置顶部、底部、中心、前景和自定义。支持设置摄像机分辨率3840x2160、1920x1080、1280x720、1024x576、960x540、640x480、640x360、352x288可调；支持RTMP推流，RTSP拉流，地址可设置，支持ONVIF协议，可预览ONVIF画面。</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547"/>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多目机械云台摄像机</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1.功能参数：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采用CMOS类型图像传感器，尺寸≥1/1.55英寸；最大可支持8192*4608分辨率，可提供视频分辨率3840×2160并向下兼容；四目摄像模组内部集成高清定焦镜头数量≥4个，其中至少两个摄像头像素值均≥5000 万，另外至少两个摄像头像素值均≥1300万，支持拍摄8192×2772分辨率的视频；四目摄像模组内部集成非独立式四个智能拼接摄像头，视场角≥110度；整机具备五个摄像头，支持同时输出画面路数≥</w:t>
            </w:r>
            <w:r>
              <w:rPr>
                <w:rFonts w:hint="eastAsia" w:ascii="宋体" w:hAnsi="宋体" w:eastAsia="宋体" w:cs="宋体"/>
                <w:i w:val="0"/>
                <w:iCs w:val="0"/>
                <w:color w:val="000000"/>
                <w:sz w:val="18"/>
                <w:szCs w:val="18"/>
                <w:u w:val="none"/>
                <w:lang w:val="en-US" w:eastAsia="zh-CN" w:bidi="ar"/>
              </w:rPr>
              <w:t xml:space="preserve">7路；摄像机支持4K 60fps（3840×2160，60帧）实时画面输出HDMI视频输出接口≥1路 ，RS232接口 ≥1路 ，line in接口≥1路，Type-A USB接口≥1路；支持自动和手动变焦，支持≥20倍光学变焦，支持≥40倍综合变焦；要求具备机械云台可进行转动跟踪，云台水平转动范围：±170°，垂直转动范围：-35°~+90°。最大水平转动速度不小于110°/s，最大垂直转动速度不小于90°/s；云台采用无刷电机组件，磁场定向控制技术，定位精度±0.05°，20倍长焦下画面抖动＜0.2°。</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2.性能特点：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采用PDAF 相位对焦技术；支持移动物体连续相位追焦，对移动速度≤3m/s 的目标可实现持续精准合焦，拍摄画面无失焦模糊；云台支持位置记忆，云台被外界异常碰歪后，会自动恢复原位；AI跟踪：要求内置跟踪算法，摄像机内无额外辅助摄像头也无需增加任何设备即可实现人像自动跟踪，包括水平运动、俯仰运动、变焦、聚焦四维实时跟踪。</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3.图像处理系统：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支持自动、一键式、手动白平衡、跟随全景，支持、自动、快门优先、光圈优先、手动曝光模式、跟随全景模式，在</w:t>
            </w:r>
            <w:r>
              <w:rPr>
                <w:rFonts w:hint="eastAsia" w:ascii="宋体" w:hAnsi="宋体" w:eastAsia="宋体" w:cs="宋体"/>
                <w:i w:val="0"/>
                <w:iCs w:val="0"/>
                <w:color w:val="000000"/>
                <w:sz w:val="18"/>
                <w:szCs w:val="18"/>
                <w:u w:val="none"/>
                <w:lang w:val="en-US" w:eastAsia="zh-CN" w:bidi="ar"/>
              </w:rPr>
              <w:t xml:space="preserve">跟随全景模式下，特写摄像机的图像效果跟随全景摄像机的效果，保持两个摄像机画面风格一致；支持抗闪烁可调，可适配50hz、60hz工频灯光闪烁，支持曝光优先智能抗闪。在抗闪模式下，画面严重过曝时，会自己解除抗闪烁限制；支持平均、中心、底部、顶部多种测光模式，支持光圈F1.8、F2.0、F2.4、F2.8、F3.4、F4.0、F4.8、F5.6、F6.8、F8.0、F9.6、F11可调；支持动态范围0-100可调，支持色调0-100可调，支持饱和度0-100可调，支持亮度0-100可调，支持对比度0-100可调，</w:t>
            </w:r>
            <w:r>
              <w:rPr>
                <w:rFonts w:hint="eastAsia" w:ascii="宋体" w:hAnsi="宋体" w:eastAsia="宋体" w:cs="宋体"/>
                <w:i w:val="0"/>
                <w:iCs w:val="0"/>
                <w:color w:val="000000"/>
                <w:sz w:val="18"/>
                <w:szCs w:val="18"/>
                <w:u w:val="none"/>
                <w:lang w:val="en-US" w:eastAsia="zh-CN" w:bidi="ar"/>
              </w:rPr>
              <w:t xml:space="preserve">支持锐度0-100可调，支持自动白平衡设置功能，红、蓝微调0-100可调。支持摄像机云台控制，支持云台速度调节；支持预置位设置与调用，预置位数量≥256个；支持聚焦和变焦调节，支持聚焦和变焦速度调节；支持聚焦区域可设置，分别可设置顶部、底部、中心、前景和自定义，支持设置摄像机分辨率3840x2160、1920x1080、1280x720、1024x576、960x540、640x480、640x360、352x288可调；支持RTMP推流，RTSP拉流，地址可设置，支持ONVIF协议，可预览ONVIF画面。</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阵列麦克风</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1.功能参数：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采用ARM架构，CPU核心数≥8，核心主频≥2.2GHz；内置传感器单元采用阵列布置，麦克风传感器单元数量≥64个；麦克风频率响应范围不低于20Hz~16KHz，麦克风拾音半径≥10m；麦克风声音采样率≥16 kHz，麦克风信噪比≥68dB；麦克风应具备内置的音频处理功能，至少包括降噪、回声抵消、混响抑制、自动增益控制、多麦融合多种音频算法，确保所拾声音音质清晰；麦克风支持数字音频传输，保证音频传输不受外部环境干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2.音频处理系统：</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支持全频带全双工自适应回声消除算法，支持全频自适应AI降噪技术降噪电平≤24dB。支持自动增益控制，支持混响抑制算法，支持啸叫抑制算法，支持智能混音，可智能选择最佳麦克风采集音频；支持音频参数调节，支持动态波束成形算法，支持远程OTA升级。</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控制面板</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整机为可嵌入式设计，可嵌入讲台、墙壁内安装；整体支持≥19个物理按键，支持控制录播主机开关机、支持控制录播开启录制、直播和结束录播、直播；支持通过按键切换自动导播和手动导播，支持手动切换教师全景、教师特写、学生全景、学生特写、多媒体画面和板书画面，方便老师自由的切换需要的录制/直播画面；支持通过控制面板和远端建立远程连接，实现远程互动，支持一键静音，支持按键灯设计、按键灯可显示当前录播主机工作状态。</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54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AI课堂分析系统</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支持对教室环境的3D还原重建，采集到的师生互动行为自动对应到具体课桌位置；支持≥5种视角转换，正前方、左前方、右前方、左后方、右后方；通过课桌的颜色深浅表示学生参与互动的活跃程度，基于学生上台次数、举手次数、问答次数计算学生活跃程度，颜色越深则代表越活跃；系统根据教学内容自动生成师生问答、课堂互动、新课标落实三个维度的课堂反馈建议，可查看全部提问、符合知识性目标的提问、不合适的提问、提问优化建议、课堂互动建议、基于新课标的亮点和改进建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2.支持自动识别问答模式分类，按简单型、追问型、思考再答型、自问自答、无响应进行分类统计，通过柱状图表呈现；</w:t>
            </w:r>
            <w:r>
              <w:rPr>
                <w:rFonts w:hint="eastAsia" w:ascii="宋体" w:hAnsi="宋体" w:eastAsia="宋体" w:cs="宋体"/>
                <w:i w:val="0"/>
                <w:iCs w:val="0"/>
                <w:color w:val="000000"/>
                <w:sz w:val="18"/>
                <w:szCs w:val="18"/>
                <w:u w:val="none"/>
                <w:lang w:val="en-US" w:eastAsia="zh-CN" w:bidi="ar"/>
              </w:rPr>
              <w:t xml:space="preserve">系统支持通过对课堂数据进行每秒1次的打点，自动计算出启发/指导比（I/D）、学生稳态比（PSSR）、教学内容比（CCR）、学生发言比（PIR）、教师提问比（TQR）的指标数值，通过雷达图呈现；系统将课堂实录自动切割为关键片段，根据模式的选择播放指定的片段内容；片段中包含提问、回答、举手、上台、齐读、讨论的教学事件，播放进度条支持显示事件类型、定位播放功能；系统支持计算本节课的教师行为占有率Rt、师生行为转换率Ch，基于本节课的Rt值、Ch值得出本节课的教学模式，教学模式包含：混合型、练习型、讲授型、对话型。</w:t>
            </w:r>
            <w:r>
              <w:rPr>
                <w:rFonts w:hint="eastAsia" w:ascii="宋体" w:hAnsi="宋体" w:eastAsia="宋体" w:cs="宋体"/>
                <w:i w:val="0"/>
                <w:iCs w:val="0"/>
                <w:color w:val="000000"/>
                <w:sz w:val="18"/>
                <w:szCs w:val="18"/>
                <w:u w:val="none"/>
                <w:lang w:val="en-US" w:eastAsia="zh-CN" w:bidi="ar"/>
              </w:rPr>
              <w:br w:type="textWrapping" w:clear="all"/>
            </w:r>
            <w:r>
              <w:rPr>
                <w:rStyle w:val="1139"/>
                <w:rFonts w:ascii="宋体" w:hAnsi="宋体" w:eastAsia="宋体" w:cs="宋体"/>
                <w:b/>
                <w:bCs/>
                <w:i w:val="0"/>
                <w:iCs w:val="0"/>
                <w:color w:val="000000"/>
                <w:sz w:val="18"/>
                <w:szCs w:val="18"/>
                <w:u w:val="none"/>
                <w:lang w:val="en-US" w:eastAsia="zh-CN" w:bidi="ar"/>
              </w:rPr>
              <w:t xml:space="preserve">▲3.系统支持最多5节课数据进行对比，实现同课异构分析，支持课堂教学质量，以及基础数据两种形式进行比较。系统将提供课程得分维度及子维度明细数据，以及基础数据（总体数据、课堂活跃图、课堂时间分配、PTA模型、学生抬头率）、学生学习（学生互动数据、学生行为分布、回答建构分类、应答时间）、教师教</w:t>
            </w:r>
            <w:r>
              <w:rPr>
                <w:rStyle w:val="1139"/>
                <w:rFonts w:ascii="宋体" w:hAnsi="宋体" w:eastAsia="宋体" w:cs="宋体"/>
                <w:b/>
                <w:bCs/>
                <w:i w:val="0"/>
                <w:iCs w:val="0"/>
                <w:color w:val="000000"/>
                <w:sz w:val="18"/>
                <w:szCs w:val="18"/>
                <w:u w:val="none"/>
                <w:lang w:val="en-US" w:eastAsia="zh-CN" w:bidi="ar"/>
              </w:rPr>
              <w:t xml:space="preserve">学（讲授数据、课堂流程重构、提问有效性、提问类型、4MAT模型、候答时间、评价类型、弗兰德斯互动分析、S-T分析、Rt-Ch分析）的对比分析，同时支持数据下载；系统支持按照周期性统计，分析老师教学能力变化情况。在统计周期内，会显示老师的有效课堂数量、教学热区分布、提问有效性、教学风格、授课语速。同时通过课堂艺术、学习体验、合作探究、整体发展、目标达成、评价反馈、思维激发、课堂调控等八个维度，计算出老师的教研指数，并且可以与全国均值对比。同时系统支持将每个指数拆分到子维度统计，并形成趋势变化分析。（提供第三方</w:t>
            </w:r>
            <w:r>
              <w:rPr>
                <w:rStyle w:val="1139"/>
                <w:rFonts w:hint="eastAsia" w:ascii="宋体" w:hAnsi="宋体" w:eastAsia="宋体" w:cs="宋体"/>
                <w:b/>
                <w:bCs/>
                <w:i w:val="0"/>
                <w:iCs w:val="0"/>
                <w:color w:val="000000"/>
                <w:sz w:val="18"/>
                <w:szCs w:val="18"/>
                <w:u w:val="none"/>
                <w:lang w:val="en-US" w:eastAsia="zh-CN" w:bidi="ar"/>
              </w:rPr>
              <w:t xml:space="preserve">检测</w:t>
            </w:r>
            <w:r>
              <w:rPr>
                <w:rStyle w:val="1139"/>
                <w:rFonts w:ascii="宋体" w:hAnsi="宋体" w:eastAsia="宋体" w:cs="宋体"/>
                <w:b/>
                <w:bCs/>
                <w:i w:val="0"/>
                <w:iCs w:val="0"/>
                <w:color w:val="000000"/>
                <w:sz w:val="18"/>
                <w:szCs w:val="18"/>
                <w:u w:val="none"/>
                <w:lang w:val="en-US" w:eastAsia="zh-CN" w:bidi="ar"/>
              </w:rPr>
              <w:t xml:space="preserve">机构</w:t>
            </w:r>
            <w:r>
              <w:rPr>
                <w:rStyle w:val="1139"/>
                <w:rFonts w:hint="eastAsia" w:ascii="宋体" w:hAnsi="宋体" w:eastAsia="宋体" w:cs="宋体"/>
                <w:b/>
                <w:bCs/>
                <w:i w:val="0"/>
                <w:iCs w:val="0"/>
                <w:color w:val="000000"/>
                <w:sz w:val="18"/>
                <w:szCs w:val="18"/>
                <w:u w:val="none"/>
                <w:lang w:val="en-US" w:eastAsia="zh-CN" w:bidi="ar"/>
              </w:rPr>
              <w:t xml:space="preserve">合格</w:t>
            </w:r>
            <w:r>
              <w:rPr>
                <w:rStyle w:val="1139"/>
                <w:rFonts w:ascii="宋体" w:hAnsi="宋体" w:eastAsia="宋体" w:cs="宋体"/>
                <w:b/>
                <w:bCs/>
                <w:i w:val="0"/>
                <w:iCs w:val="0"/>
                <w:color w:val="000000"/>
                <w:sz w:val="18"/>
                <w:szCs w:val="18"/>
                <w:u w:val="none"/>
                <w:lang w:val="en-US" w:eastAsia="zh-CN" w:bidi="ar"/>
              </w:rPr>
              <w:t xml:space="preserve">检测报告并加盖投标人公章）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left"/>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监听音箱</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内置2个高保真全频扬声器,高音单元≥6.5寸，中低音单元≥3寸；额定功率≥30W，配一只主箱、一只副箱，采用金银线连接；具有2路6.35话筒接口，1组RCA双莲花音频输入、1组RCA双莲花输出、1路3.5输入接口；频率响应：20Hz-20KHz(+-3dB)。</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对</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导播控制台</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整机采用全铝机身，底部配备≥4个硅胶垫；采用彩色背光按键，按键数量≥29个，背光颜色≥3种；整机配备云台操纵杆，通过整机摇杆操作，支持不少于8个方向的云台控制，同时可通过操纵杆实现摄像机拉近拉远控制；支持一键复位功能，可通过云台操纵杆，快速将摄像机复位到开机预置位画面；整机内置蜂鸣器，用户在进行导播控制时，可通过蜂鸣器实现操控状态提醒。与相关设备配套使用。</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9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导播控制台应用系统</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整机支持不少于5个预置位，支持云台预置位设定，预置位设定无需打开其他设置软件，可直接通过键盘完成预置位设定，设定后预置位即刻生效，用户设定预置位过程有灯光提示，减少用户误操作的概率，预置位调用过程中导播键盘提供灯光颜色变化提示+蜂鸣器提示，给用户最准确的操控反馈，用户可直接通过预置位调用控制录制画面切换当前选中的某个预置位，实现对拍摄角度的精准控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 支持云台摄像机控制选择，用户可以通过整机按键操作，支持≥5个摄像机通道选择，通道选择完成后，键盘操控命令仅对选中摄像机生效，不会产生串码；整机与录播主机操作同步，用户通过导播键盘，可以实现开始、暂停、停止、三种录制状态控制，控制实时性良好，能够做到即点即录，无需等待。</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支持导播模式控制，用户可根据使用场景需要，设置当前的导播模式，整机可设置录播主机为自动导播模式和手动导播模式，满足不同场景需求；支持≥6种画面布局，包含单画面、双画面、画中画、三画面、四画面、自定义布局；支持导播控制，用户可通过整机按键操作实现导播画面选择，选中通道能够高亮显示，支持≥6个导播通道控制。与相关设备配套使用。</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7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资源管理平台</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1.支持管理员对本校教师申请发布的课程进行审核，监控公开公开课</w:t>
            </w:r>
            <w:r>
              <w:rPr>
                <w:rFonts w:hint="eastAsia" w:ascii="宋体" w:hAnsi="宋体" w:eastAsia="宋体" w:cs="宋体"/>
                <w:i w:val="0"/>
                <w:iCs w:val="0"/>
                <w:color w:val="000000"/>
                <w:sz w:val="18"/>
                <w:szCs w:val="18"/>
                <w:u w:val="none"/>
                <w:lang w:val="en-US" w:eastAsia="zh-CN" w:bidi="ar"/>
              </w:rPr>
              <w:t xml:space="preserve">程资源的质量；可拒绝课程发布，拒绝时需填写拒绝原因，若课程未通过审核，消息中心会自动通知该课程归属老师；支持用户对已发布的视频进行视频打点并插入课堂评价，所评论内容需关联视频对应的时间点；支持在直播结束前，修改直播的结束时间、名称、封面、课件、直播简介、聊天互动权限等设置；修改原分享的链接和二维码不变，活动调整不会导致原分享链接和二维码失效；支持在创建直播时添加直播助教，助教进入工作台可进行直播间秩序维护；支持用户一键生成直播海报或链接进行分享，其他用户通过扫描海报上的二维码或打开链接的方式，观看直播视频。</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支持用户在预览课件时，在课件上进行书写、擦除、移动图片素材等操作，且操作不影响原课件内容，可在开始直播前，预览主讲老师的课件；支持访问平台网页观看线上课程时，直接在平台网页中参与知识配对、选词填空、趣味分类在线互动答题，完成后可直接查看答题用时和答题排行榜，并可选择继续观看视频或再玩一次；支持用户通过浏览器对本地上传的视频完成在线剪辑，将视频的无效内容删除，进行剪辑后，用户可通过在线浏览窗口，实时查看剪辑内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支持教师可选择云课件与直播关联，无需上传本地文件。课件与直播关联后，用户可在活动开始时间前查看云课件。活动开始后，用户可在观看直播视频的同时在线查看已关联的云课件；直播开始后，可查看直播的人气峰值、观看人次、累计点赞、观众发言次数、签到人数等数据，</w:t>
            </w:r>
            <w:r>
              <w:rPr>
                <w:rFonts w:hint="eastAsia" w:ascii="宋体" w:hAnsi="宋体" w:eastAsia="宋体" w:cs="宋体"/>
                <w:i w:val="0"/>
                <w:iCs w:val="0"/>
                <w:color w:val="000000"/>
                <w:sz w:val="18"/>
                <w:szCs w:val="18"/>
                <w:u w:val="none"/>
                <w:lang w:val="en-US" w:eastAsia="zh-CN" w:bidi="ar"/>
              </w:rPr>
              <w:t xml:space="preserve">掌握直播情况；支持教师选择直播中各时段生成的回放视频，删除不必要的回放片段生成回放视频。回放视频可选择发布至专递示范课、名校网络课堂、名师示范课，其他师生可以观看；支持用户通过课程、教师、学校名称关键词搜索已发布的课程资源；用户可查看最近搜索关键词记录，能再次查找相关课程；支持课表逐级汇总，可将教师个人课程计划、学校全体课程计划、区域全体课程计划在一张课表中展示，用户可查看；支持用户拖拽视频起点与终点取出头部或尾部的无效内容，截取保留视频中的重要部分；并可基于时间刻度，将视频分割成若干片段，把无效视频删除。</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精品录播改造及系统集成服务</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教室内摄像机增加三根网线到观摩间机柜，黑板区域增加一根HDMI线到观摩间机柜;辅材：水晶头、2个HDMI转VGA转换器（用于连接现有显示器的信号转换），原有吸音墙面清洁；配套安装服务、测试调试、培训服务、软件信息系统等项目集成服务。</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LED 教室护眼灯</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1.灯具防护等级≧IP40,LED教室灯整体尺寸：600mm±5mm、宽 600mm±5mm，高≦35mm,LED教室灯的额定功率：≦38W,功率因数≧0.95;LED教室灯的相关色温：3300K-5300K,色容差：≦3 SDCM；显色指数Ra≧95, R9≧90。</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 </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盏</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33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人形机器人</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1.整机规格/感知系统/交互模块:</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尺寸：≥1300mm(H)460mm(w)200</w:t>
            </w:r>
            <w:r>
              <w:rPr>
                <w:rFonts w:hint="eastAsia" w:ascii="宋体" w:hAnsi="宋体" w:eastAsia="宋体" w:cs="宋体"/>
                <w:i w:val="0"/>
                <w:iCs w:val="0"/>
                <w:color w:val="000000"/>
                <w:sz w:val="18"/>
                <w:szCs w:val="18"/>
                <w:u w:val="none"/>
                <w:lang w:val="en-US" w:eastAsia="zh-CN" w:bidi="ar"/>
              </w:rPr>
              <w:t xml:space="preserve">mm(L)，重量≥35kg；主动自由度≥27个、颈部自由度≥2个、单手臂自由度≥5个、腰部自由度≥3个、单腿自由度≥6个，单臂展≥430mm不含末端执行器；交互RGB摄像头，具备头部触摸传感器；语音：麦克风阵列、迷你无线麦克风、扬声器，显示：交互屏/灯效。关节峰值扭矩：≥120N·m，速度：最大速度≥1.5m/s、日常使用≤0.8m/s，负载：最大负载(特定姿态)≥3kg、全空间负载:&lt;1kg，电池容量≥500Wh，续航时间：0.5m/s连续行走约2h，补能方式：支持直充、换电，充电时间：≤1.5h；基础算</w:t>
            </w:r>
            <w:r>
              <w:rPr>
                <w:rFonts w:hint="eastAsia" w:ascii="宋体" w:hAnsi="宋体" w:eastAsia="宋体" w:cs="宋体"/>
                <w:i w:val="0"/>
                <w:iCs w:val="0"/>
                <w:color w:val="000000"/>
                <w:sz w:val="18"/>
                <w:szCs w:val="18"/>
                <w:u w:val="none"/>
                <w:lang w:val="en-US" w:eastAsia="zh-CN" w:bidi="ar"/>
              </w:rPr>
              <w:t xml:space="preserve">力板≥2张，硬件拓展接口：以太网RJ45*2，手持式遥控器、智能OTA升级、移动端APP。交互自定义：可充分定制机器人人设、唤醒词、音色等，即时定制，满足定制化需求；多模态主动交互：搭载环境识别/交互对象人脸识别/手势识别/肢体识别能力，可进行主动打招呼/主动握手等技能拓展；状态表达：≥30种机器人表情动效，丰富传达机器人状态；丰富交互技能：具有声源定位、头随声动、交互对象跟随等技能，交互灵动有趣；支持平躺站起/坐下站起等全身运控切换，支持遥控及手机APP控制；支持动作编辑精修、动作生成、群控、动作编排等。</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5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编程机器人套件</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1.控制系统：(8G)控制板、多功能扩展板，CPU：≥64位2.4GHz 四核，内存频率：≥8G，同时具备≥2个USB2.0和2个USB3.0（支持5Gbps同步运行）蓝牙：采用蓝牙 5.0，通</w:t>
            </w:r>
            <w:r>
              <w:rPr>
                <w:rFonts w:hint="eastAsia" w:ascii="宋体" w:hAnsi="宋体" w:eastAsia="宋体" w:cs="宋体"/>
                <w:i w:val="0"/>
                <w:iCs w:val="0"/>
                <w:color w:val="000000"/>
                <w:sz w:val="18"/>
                <w:szCs w:val="18"/>
                <w:u w:val="none"/>
                <w:lang w:val="en-US" w:eastAsia="zh-CN" w:bidi="ar"/>
              </w:rPr>
              <w:t xml:space="preserve">信能力更强，Wi-Fi网络：支持802.11ac 无线，2.4GHz/5GHz 双频Wi-Fi；HDMI：≥micro HDMI*2（可支持双路4Kp60，支持HDR），供电接口：USB Type C（5V 5A，支持PD），有线网络：真千兆以太网（网口可达），以太网Poe：通过额外的 HAT 以太网（Poe）供电。高清170°广角摄像头、语音交互盒、发光超声波、点阵模块、触摸传感器、风扇模块、光敏模块；供电方式：采用≥11.1V ≥2000mAh锂电池，配备≥12.6V 2A充电器，持续运行≥60min。</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0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3D打印机</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成型技术FDM（熔融沉积成型），打印尺寸≥300*300*300mm，打印速度：≥600mm/s，加速度≥8000mm/s²，打印精度≤100±0.1mm，打印层厚0.05-0.3mm，喷嘴温度≥300°C，热床温度≥110°C，主动腔体恒温：≥60°C。运动电机：XYE均为伺服步</w:t>
            </w:r>
            <w:r>
              <w:rPr>
                <w:rFonts w:hint="eastAsia" w:ascii="宋体" w:hAnsi="宋体" w:eastAsia="宋体" w:cs="宋体"/>
                <w:i w:val="0"/>
                <w:iCs w:val="0"/>
                <w:color w:val="000000"/>
                <w:sz w:val="18"/>
                <w:szCs w:val="18"/>
                <w:u w:val="none"/>
                <w:lang w:val="en-US" w:eastAsia="zh-CN" w:bidi="ar"/>
              </w:rPr>
              <w:t xml:space="preserve">进电机；空气过滤器：支持，活性炭滤芯，高效吸收挥发性颗粒物；智能动态调平；喷嘴AI摄像头：智能校准流量，实时捕捉打印效果，通过AI算法精准匹配挤出量，有效消除缺料、堆料；腔体摄像头：支持（720P@30fps），具备异物检测、故障检测、实时监控和延时摄影等功能，如有异常，会自动提醒；显示屏≥4英寸，储存：大容量储存空间32GB ，储存海量切片文件；支持耗材：PLA/PETG/PET/ABS/ASA/PLA-CF/PA-CF/PPA-CF，额定功率：≥1300W，多色料盒数量≥4个，双干燥槽位，防止耗材受潮。</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3D扫描仪</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（含无线手柄）</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工作模式≥7线平行蓝色线激光，≥22线交叉蓝色线激光，红外双目结构光;扫描精度：≤0.02mm,最快扫描速度：≥60fps,最小扫描体积≤（5*5*5）mm，工作距离（160-1000或优于）mm；支持无线扫描，支持户外扫描。主要用于逆向建模，小中大模型扫描，支持无标记点扫描，支持人脸人体扫描，在环境条件差的情况下蓝光给线激光扫描补光，扫描数据可导入主流的3D检测和设计软件。</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无尘台锯</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1.无尘台锯≥2000W，自带吸尘装置；输入电压：220V 50Hz,空载转速≥5000r/min,锯片规格：≥8.5寸216mm80齿，90度最大切割≥6CM，45度最大切割≥4CM。符合教学安全要求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手持角磨机</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1.≥6.0Ah双电闪充角磨机，额定电压≥20伏，切割片直径≥100毫米、切割片内径16毫米。符合教学安全要求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台钻</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1.钻铣两用，功率≥1050W，含重型多功能工作台和13件麻花钻;电压22V、主轴转速0-800r/min、夹持直径3-16mm、主轴行程60mm、转孔能力铁≥13mm/木材≥35mm、6档调速。符合教学安全要求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手电钻</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1.4Ah单电+快充，额定电压≥20V，最大扭矩：≥95牛顿·米，最大夹持能力：≥13mm。符合教学安全要求</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电动螺丝刀套装</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1.内置电池≥3.6V/2Ah，≥机械8档调节，≥5/0.15N·m（硬扭/软扭）</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小型电磨机</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1.内置电池≥8V/1000ma，≥5档档位调节,最高空载转速：≥20000r/min。</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382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编程型无人机资源包</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1.资源包所含内容：</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≥10台编程型无人机、≥10个充电器及电池仓、≥34块电池、≥1台中继器、≥4个基站、≥40个桨叶、≥80枚螺丝钉、≥5W 炫彩高亮 LED 灯，支持颜色可设变幻USB-Type-C数据线≥1组、≥24课时电子课件。</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2.无人机参数如下：</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轴距≥165mm；起飞重量≤190g；通讯模式： 5.8GHz；悬停时间≥13min；飞行高度：最低 100cm ，最高 1000cm；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具有中继器与 WIFI 链接两种通信形式，可适用于各种网络环境；</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机身材质为安全环保材质 全包桨护设计、堵转保护、低电量保护、失控保护、物理防护设计、软件仿真系统设计、反向电子围栏设计、软件自动边界预警；定点精度：通过基站定位实现定点编队，现实编舞功能动态精度：2cm以内（高度范围1m下测量）；支持 Scratch/Python 双语言双平台进行单台或者编队飞行自主编程，软件平台高度集成，具备完善的飞行动作与灯光同步编程界面及实时动态仿真系统，预览编程实际效果、支持飞行器固件在线升级功能；</w:t>
            </w:r>
            <w:r>
              <w:rPr>
                <w:rFonts w:hint="eastAsia" w:ascii="宋体" w:hAnsi="宋体" w:eastAsia="宋体" w:cs="宋体"/>
                <w:i w:val="0"/>
                <w:iCs w:val="0"/>
                <w:color w:val="000000"/>
                <w:sz w:val="18"/>
                <w:szCs w:val="18"/>
                <w:u w:val="none"/>
                <w:lang w:val="en-US" w:eastAsia="zh-CN" w:bidi="ar"/>
              </w:rPr>
              <w:br w:type="textWrapping" w:clear="all"/>
            </w:r>
            <w:r>
              <w:rPr>
                <w:rStyle w:val="1140"/>
                <w:rFonts w:ascii="宋体" w:hAnsi="宋体" w:eastAsia="宋体" w:cs="宋体"/>
                <w:b/>
                <w:bCs/>
                <w:i w:val="0"/>
                <w:iCs w:val="0"/>
                <w:color w:val="000000"/>
                <w:sz w:val="18"/>
                <w:szCs w:val="18"/>
                <w:u w:val="none"/>
                <w:lang w:val="en-US" w:eastAsia="zh-CN" w:bidi="ar"/>
              </w:rPr>
              <w:t xml:space="preserve">▲</w:t>
            </w:r>
            <w:r>
              <w:rPr>
                <w:rStyle w:val="1140"/>
                <w:rFonts w:hint="eastAsia" w:ascii="宋体" w:hAnsi="宋体" w:eastAsia="宋体" w:cs="宋体"/>
                <w:b/>
                <w:bCs/>
                <w:i w:val="0"/>
                <w:iCs w:val="0"/>
                <w:color w:val="000000"/>
                <w:sz w:val="18"/>
                <w:szCs w:val="18"/>
                <w:u w:val="none"/>
                <w:lang w:val="en-US" w:eastAsia="zh-CN" w:bidi="ar"/>
              </w:rPr>
              <w:t xml:space="preserve">3</w:t>
            </w:r>
            <w:r>
              <w:rPr>
                <w:rStyle w:val="1140"/>
                <w:rFonts w:ascii="宋体" w:hAnsi="宋体" w:eastAsia="宋体" w:cs="宋体"/>
                <w:b/>
                <w:bCs/>
                <w:i w:val="0"/>
                <w:iCs w:val="0"/>
                <w:color w:val="000000"/>
                <w:sz w:val="18"/>
                <w:szCs w:val="18"/>
                <w:u w:val="none"/>
                <w:lang w:val="en-US" w:eastAsia="zh-CN" w:bidi="ar"/>
              </w:rPr>
              <w:t xml:space="preserve">.投标人需提供承诺函承诺投标产品可以适配并参加全国青少年无人机大赛江苏省赛（承诺函</w:t>
            </w:r>
            <w:r>
              <w:rPr>
                <w:rStyle w:val="1140"/>
                <w:rFonts w:hint="eastAsia" w:ascii="宋体" w:hAnsi="宋体" w:eastAsia="宋体" w:cs="宋体"/>
                <w:b/>
                <w:bCs/>
                <w:i w:val="0"/>
                <w:iCs w:val="0"/>
                <w:color w:val="000000"/>
                <w:sz w:val="18"/>
                <w:szCs w:val="18"/>
                <w:u w:val="none"/>
                <w:lang w:val="en-US" w:eastAsia="zh-CN" w:bidi="ar"/>
              </w:rPr>
              <w:t xml:space="preserve">格式自拟</w:t>
            </w:r>
            <w:r>
              <w:rPr>
                <w:rStyle w:val="1140"/>
                <w:rFonts w:ascii="宋体" w:hAnsi="宋体" w:eastAsia="宋体" w:cs="宋体"/>
                <w:b/>
                <w:bCs/>
                <w:i w:val="0"/>
                <w:iCs w:val="0"/>
                <w:color w:val="000000"/>
                <w:sz w:val="18"/>
                <w:szCs w:val="18"/>
                <w:u w:val="none"/>
                <w:lang w:val="en-US" w:eastAsia="zh-CN" w:bidi="ar"/>
              </w:rPr>
              <w:t xml:space="preserve">加盖投标人公章）</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航模飞机</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1.航模飞机包含：橡皮筋动力飞机、控时电动飞机、电动线操纵飞机、遥控飞机等，可选材质及配件包含：碳纤杆机身，折叠桨叶组件、高含胶量橡筋、电子调速器、多功能手柄、发射器等。</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架</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75"/>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无线麦克风</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专业音质无线麦克风一拖二（两发一收，含充电盒），支持无损内录、触摸显示屏+波轮、带充电仓、收音头背级式，兼容各类设备蓝牙直连、可磁吸佩戴。重量≤12g；领夹式；内置锂电池；传输距离≥300米；主动降噪；</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7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航拍无人机</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1.起飞重量：≥1000 克，最大起飞重量：≥1200 克;最大上升速度：≥10 米/秒（运动挡）、≥6 米/秒（普通挡）；最大下降速度</w:t>
            </w:r>
            <w:r>
              <w:rPr>
                <w:rFonts w:hint="eastAsia" w:ascii="宋体" w:hAnsi="宋体" w:eastAsia="宋体" w:cs="宋体"/>
                <w:i w:val="0"/>
                <w:iCs w:val="0"/>
                <w:color w:val="000000"/>
                <w:sz w:val="18"/>
                <w:szCs w:val="18"/>
                <w:u w:val="none"/>
                <w:lang w:val="en-US" w:eastAsia="zh-CN" w:bidi="ar"/>
              </w:rPr>
              <w:t xml:space="preserve">：≥10米/秒（运动挡）、≥6米/秒（普通挡）；最大水平飞行速度：海平面高度，无风环境：≥25米/秒*（运动挡）、≥15米/秒（跟随模式）；海平面高度，2 米/秒顺风环境，无人机飞行方向与风向一致：≥27米/秒*（运动挡）、≥15米/秒（跟随模式);最大起飞海拔高度：≥6000米，最长飞行时间：≥51分钟、最长悬停时间≥45分钟、最大续航里程≥41公里、最大抗风速度≥12米/秒、最大可倾斜角度35°；卫星导航系统：GPS + Galileo + BeiDou；悬停精度：垂直：±0.1 米（视觉定位正常工作时</w:t>
            </w:r>
            <w:r>
              <w:rPr>
                <w:rFonts w:hint="eastAsia" w:ascii="宋体" w:hAnsi="宋体" w:eastAsia="宋体" w:cs="宋体"/>
                <w:i w:val="0"/>
                <w:iCs w:val="0"/>
                <w:color w:val="000000"/>
                <w:sz w:val="18"/>
                <w:szCs w:val="18"/>
                <w:u w:val="none"/>
                <w:lang w:val="en-US" w:eastAsia="zh-CN" w:bidi="ar"/>
              </w:rPr>
              <w:t xml:space="preserve">）、±0.5 米（卫星定位正常工作时）；水平：±0.3 米（视觉定位正常工作时）、±0.5 米（卫星定位正常工作时）机载内存：≥64GB，影像传感器：4/3 CMOS，有效像素 1 亿；中长焦相机：1/1.3 英寸 CMOS，有效像素 4800 万；长焦相机：1/1.5 英寸 CMOS，有效像素 5000 万；镜头视角（FOV）：≥72°、等效焦距：≥28 mm、光圈：f/2.0 至 f/11、对焦点：2 米至无穷远；三轴机械云台（俯仰、横滚、偏航）；全向双目视觉系统，辅以机身前视激光雷达和底部红外传感器。</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打印耗材1</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产品尺寸：≥70*210*210mm，产品净重：≥1000g，耗材直径：1.75mm±0.05，推荐打印温度：190-260°C，推荐热床温度：45°C，推荐打印速度：50-300mm/s，拉伸强度(Mpa)：40~50，断裂伸长率(%)：6~10，弹性模量(Mpa)：3100~3500，填充：100%，冲击强度(KJ/m2)：35~55，冲击强度1(KJ/m2)：3~6，最大力(Mpa)：65~70，弯曲模量(Mpa)：2000~2200。</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卷</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251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打印耗材2</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1.净重：≥1kg，打印温度：210-240°C，重量：≥1.15kg，气泡：无，尺寸：≥210*210*75mm，线材直径：1.75mm±0.05</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卷</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252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打印耗材3</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1.打印温度：190-230°C，热床温度：不加热-60°C，打印速度：40-100mm/s，拉伸强度：≥35MPa，弯曲强度：≥67MPa，线材直径：≥1.75mm±0.05，品净重：≥1Kg，≥210*210*70mm。</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卷</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3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253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人工智能室现场改造及系统集成服务</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约110平，含地面找平层、2mm厚PVC塑胶卷材地面，PVC卷材需符合国家环保标准，采用环保无毒配方，严控氯乙烯单体、可溶性铅镉、邻苯类增塑剂、甲醛、甲酰胺及挥发性有机物等有害物质，室内使用安全环保、无异味，满足民用及公共区域健康使用环保要求。含整室学科文化设计、整室学科文化窗帘、整室文化墙等，学科文化效果需经甲方确认后再实施；整室文化窗帘采用防尘铝制罩壳，加厚硅胶垫，POM高密拉珠；整室文化墙采用亚克力+PVC等材质。配套安装服务、测试调试、培训服务、软件信息系统等项目集成服务</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72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254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常态化录播主机</w:t>
            </w:r>
            <w:r>
              <w:rPr>
                <w:rFonts w:hint="eastAsia" w:ascii="宋体" w:hAnsi="宋体" w:eastAsia="宋体" w:cs="宋体"/>
                <w:i w:val="0"/>
                <w:iCs w:val="0"/>
                <w:color w:val="000000"/>
                <w:sz w:val="20"/>
                <w:szCs w:val="20"/>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Style w:val="1141"/>
                <w:rFonts w:ascii="宋体" w:hAnsi="宋体" w:eastAsia="宋体" w:cs="宋体"/>
                <w:i w:val="0"/>
                <w:iCs w:val="0"/>
                <w:color w:val="000000"/>
                <w:sz w:val="20"/>
                <w:szCs w:val="20"/>
                <w:u w:val="none"/>
                <w:lang w:val="en-US" w:eastAsia="zh-CN" w:bidi="ar"/>
              </w:rPr>
              <w:t xml:space="preserve">1.采用ARM架构处理器，具备≥6核CPU；支持不小于4K图像输出，输出音频可实现混音，兼容视频会议软件；能完成音视频采集、音视频编码、音视频处理、直播、录制、互动、远程运维参数设置功能</w:t>
            </w:r>
            <w:r>
              <w:rPr>
                <w:rStyle w:val="1141"/>
                <w:rFonts w:ascii="宋体" w:hAnsi="宋体" w:eastAsia="宋体" w:cs="宋体"/>
                <w:i w:val="0"/>
                <w:iCs w:val="0"/>
                <w:color w:val="000000"/>
                <w:sz w:val="20"/>
                <w:szCs w:val="20"/>
                <w:u w:val="none"/>
                <w:lang w:val="en-US" w:eastAsia="zh-CN" w:bidi="ar"/>
              </w:rPr>
              <w:t xml:space="preserve">，主机存储容量不低于1TB；支持同时≥2个无线麦克风接入，且同时支持≥2种对频模式；支持双网卡设计，摄像机可在独立网段单独工作，不影响原有网络；支持≥2种录制视频自动分段模式：支持可选择500MB，1GB，2GB进行分段录制；支持按照录制时长分段，可选择30分钟、60分钟；支持推流路数≥3路，支持rtmp直播推流，支持将直播流推送到平台进行直播，推送的直播流可选择不同视频源，推流单路可达 1080p@60fps，可选画面≥7 个；主机采用≥15英寸触控电容屏，表面硬度≥7H，屏幕分辨率≥1920*1080。</w:t>
            </w:r>
            <w:r>
              <w:rPr>
                <w:rStyle w:val="1141"/>
                <w:rFonts w:ascii="宋体" w:hAnsi="宋体" w:eastAsia="宋体" w:cs="宋体"/>
                <w:i w:val="0"/>
                <w:iCs w:val="0"/>
                <w:color w:val="000000"/>
                <w:sz w:val="20"/>
                <w:szCs w:val="20"/>
                <w:u w:val="none"/>
                <w:lang w:val="en-US" w:eastAsia="zh-CN" w:bidi="ar"/>
              </w:rPr>
              <w:br w:type="textWrapping" w:clear="all"/>
            </w:r>
            <w:r>
              <w:rPr>
                <w:rStyle w:val="1142"/>
                <w:rFonts w:ascii="宋体" w:hAnsi="宋体" w:eastAsia="宋体" w:cs="宋体"/>
                <w:b/>
                <w:bCs/>
                <w:i w:val="0"/>
                <w:iCs w:val="0"/>
                <w:color w:val="000000"/>
                <w:sz w:val="20"/>
                <w:szCs w:val="20"/>
                <w:u w:val="none"/>
                <w:lang w:val="en-US" w:eastAsia="zh-CN" w:bidi="ar"/>
              </w:rPr>
              <w:t xml:space="preserve">▲2.支持通过平台或互联网查看设备在线和离线状态，查看设备 ID 地址、IP 地址、激活时间信息，实现对设备的远程配置，支持关机、重启、参数配置操作。支持OTA远程在线升级；机噪声小于20dB（A）；屏幕需满足无蓝光危害， LB限制范围≤0.3。</w:t>
            </w:r>
            <w:r>
              <w:rPr>
                <w:rStyle w:val="1139"/>
                <w:rFonts w:ascii="宋体" w:hAnsi="宋体" w:eastAsia="宋体" w:cs="宋体"/>
                <w:b/>
                <w:bCs/>
                <w:i w:val="0"/>
                <w:iCs w:val="0"/>
                <w:color w:val="000000"/>
                <w:sz w:val="18"/>
                <w:szCs w:val="18"/>
                <w:u w:val="none"/>
                <w:lang w:val="en-US" w:eastAsia="zh-CN" w:bidi="ar"/>
              </w:rPr>
              <w:t xml:space="preserve">（提供第三方</w:t>
            </w:r>
            <w:r>
              <w:rPr>
                <w:rStyle w:val="1139"/>
                <w:rFonts w:hint="eastAsia" w:ascii="宋体" w:hAnsi="宋体" w:eastAsia="宋体" w:cs="宋体"/>
                <w:b/>
                <w:bCs/>
                <w:i w:val="0"/>
                <w:iCs w:val="0"/>
                <w:color w:val="000000"/>
                <w:sz w:val="18"/>
                <w:szCs w:val="18"/>
                <w:u w:val="none"/>
                <w:lang w:val="en-US" w:eastAsia="zh-CN" w:bidi="ar"/>
              </w:rPr>
              <w:t xml:space="preserve">检测</w:t>
            </w:r>
            <w:r>
              <w:rPr>
                <w:rStyle w:val="1139"/>
                <w:rFonts w:ascii="宋体" w:hAnsi="宋体" w:eastAsia="宋体" w:cs="宋体"/>
                <w:b/>
                <w:bCs/>
                <w:i w:val="0"/>
                <w:iCs w:val="0"/>
                <w:color w:val="000000"/>
                <w:sz w:val="18"/>
                <w:szCs w:val="18"/>
                <w:u w:val="none"/>
                <w:lang w:val="en-US" w:eastAsia="zh-CN" w:bidi="ar"/>
              </w:rPr>
              <w:t xml:space="preserve">机构</w:t>
            </w:r>
            <w:r>
              <w:rPr>
                <w:rStyle w:val="1139"/>
                <w:rFonts w:hint="eastAsia" w:ascii="宋体" w:hAnsi="宋体" w:eastAsia="宋体" w:cs="宋体"/>
                <w:b/>
                <w:bCs/>
                <w:i w:val="0"/>
                <w:iCs w:val="0"/>
                <w:color w:val="000000"/>
                <w:sz w:val="18"/>
                <w:szCs w:val="18"/>
                <w:u w:val="none"/>
                <w:lang w:val="en-US" w:eastAsia="zh-CN" w:bidi="ar"/>
              </w:rPr>
              <w:t xml:space="preserve">合格</w:t>
            </w:r>
            <w:r>
              <w:rPr>
                <w:rStyle w:val="1139"/>
                <w:rFonts w:ascii="宋体" w:hAnsi="宋体" w:eastAsia="宋体" w:cs="宋体"/>
                <w:b/>
                <w:bCs/>
                <w:i w:val="0"/>
                <w:iCs w:val="0"/>
                <w:color w:val="000000"/>
                <w:sz w:val="18"/>
                <w:szCs w:val="18"/>
                <w:u w:val="none"/>
                <w:lang w:val="en-US" w:eastAsia="zh-CN" w:bidi="ar"/>
              </w:rPr>
              <w:t xml:space="preserve">检测报告并加盖投标人公章）</w:t>
            </w:r>
            <w:r>
              <w:rPr>
                <w:rStyle w:val="1141"/>
                <w:rFonts w:ascii="宋体" w:hAnsi="宋体" w:eastAsia="宋体" w:cs="宋体"/>
                <w:i w:val="0"/>
                <w:iCs w:val="0"/>
                <w:color w:val="000000"/>
                <w:sz w:val="20"/>
                <w:szCs w:val="20"/>
                <w:u w:val="none"/>
                <w:lang w:val="en-US" w:eastAsia="zh-CN" w:bidi="ar"/>
              </w:rPr>
              <w:br w:type="textWrapping" w:clear="all"/>
            </w:r>
            <w:r>
              <w:rPr>
                <w:rStyle w:val="1141"/>
                <w:rFonts w:ascii="宋体" w:hAnsi="宋体" w:eastAsia="宋体" w:cs="宋体"/>
                <w:i w:val="0"/>
                <w:iCs w:val="0"/>
                <w:color w:val="000000"/>
                <w:sz w:val="20"/>
                <w:szCs w:val="20"/>
                <w:u w:val="none"/>
                <w:lang w:val="en-US" w:eastAsia="zh-CN" w:bidi="ar"/>
              </w:rPr>
              <w:t xml:space="preserve">3.内嵌导播系统：支持多种画面模式，支持自动导播、手动导播，可通过互动录播电脑主机一体化触控屏实现模式选择；支持本地导播、远程导播，本地导播可通过互动录播电脑主机一体化触控屏实现本地导播控制；远程导播可通过网络实现远程导播控制。在导播界面的预览窗口可实时观看教师全景/特写、学生全景/特写、多媒体电脑共五路画面，点击可进行画面切换。预监画面可实时推流</w:t>
            </w:r>
            <w:r>
              <w:rPr>
                <w:rStyle w:val="1141"/>
                <w:rFonts w:ascii="宋体" w:hAnsi="宋体" w:eastAsia="宋体" w:cs="宋体"/>
                <w:i w:val="0"/>
                <w:iCs w:val="0"/>
                <w:color w:val="000000"/>
                <w:sz w:val="20"/>
                <w:szCs w:val="20"/>
                <w:u w:val="none"/>
                <w:lang w:val="en-US" w:eastAsia="zh-CN" w:bidi="ar"/>
              </w:rPr>
              <w:t xml:space="preserve">给资源平台，实现平台直播；支持电影模式和资源模式同步录制；录播画面比例支持16：9，触控回传响应延时≤70ms。内嵌互动系统：支持标准SIP音视频互动协议，支持1080P@60fps全高清视频互动；支持互动清晰度设置：支持 1080p@60fps，分辨率可选择 1080p、720p，帧率可选择 60fps、30fps、25fps；互动过程中可随时邀请新的听课端加入，支持拨号呼叫；支持通过互动录播电脑主机一体化触控屏实现导播控制，过程中可选择自动导播/手动导播；支持通过 PC 客户端软件进行远程导播控制；PC</w:t>
            </w:r>
            <w:r>
              <w:rPr>
                <w:rStyle w:val="1141"/>
                <w:rFonts w:ascii="宋体" w:hAnsi="宋体" w:eastAsia="宋体" w:cs="宋体"/>
                <w:i w:val="0"/>
                <w:iCs w:val="0"/>
                <w:color w:val="000000"/>
                <w:sz w:val="20"/>
                <w:szCs w:val="20"/>
                <w:u w:val="none"/>
                <w:lang w:val="en-US" w:eastAsia="zh-CN" w:bidi="ar"/>
              </w:rPr>
              <w:t xml:space="preserve"> 客户端软件支持进行互动听课端列表查看、发言管理功能。支持课堂互动功能，授课过程中老师可通过在互动录播电脑主机一体化触控屏上单击听课教室画面切换听课教室为主画面，并与该教室实时连麦对讲，实现异地互动；支持授课预监功能，授课过程中可在互动录播电脑主机一体化触控屏实时显示授课教室和参与互动的听课教室画面，用户可实时查看授课教室拍摄效果和互动教室的听课场景画面；内嵌视频处理系统：支持合成1920*1080的PGM画面，包含导播画面、教师全景画面、教师特写画面、学生全景画面、学生特写画面；支持多种类型视频信号接入。</w:t>
            </w:r>
            <w:r>
              <w:rPr>
                <w:rFonts w:hint="eastAsia" w:ascii="宋体" w:hAnsi="宋体" w:eastAsia="宋体" w:cs="宋体"/>
                <w:i w:val="0"/>
                <w:iCs w:val="0"/>
                <w:color w:val="000000"/>
                <w:sz w:val="20"/>
                <w:szCs w:val="20"/>
                <w:u w:val="none"/>
                <w:lang w:val="en-US" w:eastAsia="zh-CN" w:bidi="ar-SA"/>
              </w:rPr>
            </w:r>
            <w:r/>
          </w:p>
        </w:tc>
        <w:tc>
          <w:tcPr>
            <w:tcW w:w="756"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SA"/>
              </w:rPr>
            </w:r>
            <w:r/>
          </w:p>
        </w:tc>
        <w:tc>
          <w:tcPr>
            <w:tcW w:w="67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lang w:val="en-US" w:eastAsia="zh-CN" w:bidi="ar-SA"/>
              </w:rPr>
            </w:r>
            <w:r/>
          </w:p>
        </w:tc>
        <w:tc>
          <w:tcPr>
            <w:tcW w:w="663" w:type="dxa"/>
            <w:vAlign w:val="center"/>
            <w:textDirection w:val="lrTb"/>
            <w:noWrap w:val="false"/>
          </w:tcPr>
          <w:p>
            <w:pPr>
              <w:pStyle w:val="885"/>
              <w:jc w:val="both"/>
              <w:widowControl w:val="off"/>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r>
      <w:tr>
        <w:trPr>
          <w:trHeight w:val="27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255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教师摄像机</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采用全景特写双镜头，全景镜头水平视场角≥40°，特写镜头水平视场角≥20°；支持4K超高清，可提供3840×2160图像分辨率同时向下兼容；内置图像识别跟踪算法，搭配隐藏式云台，保证清晰度的同时，也减小对课堂的干扰；采用低畸变设计，全景畸变≤±1%，特写畸变≤±1%；传感器尺寸 CMOS ≥ 1/2.8英寸，全景图像传感器有效像素≥400万，特写图像传感器有效像素≥800万；摄像机采用逐行扫描方式，摄像机最低照度：0.5 Lux@（F2.0, AGC ON），摄像机电子快门：1/30s ~ 1/10</w:t>
            </w:r>
            <w:r>
              <w:rPr>
                <w:rFonts w:hint="eastAsia" w:ascii="宋体" w:hAnsi="宋体" w:eastAsia="宋体" w:cs="宋体"/>
                <w:i w:val="0"/>
                <w:iCs w:val="0"/>
                <w:color w:val="000000"/>
                <w:sz w:val="18"/>
                <w:szCs w:val="18"/>
                <w:u w:val="none"/>
                <w:lang w:val="en-US" w:eastAsia="zh-CN" w:bidi="ar"/>
              </w:rPr>
              <w:t xml:space="preserve">000s，支持自动白平衡，支持2D&amp;3D数字降噪，信噪比≥55dB。内嵌图像处理系统：支持智能跟踪算法，无需单独安装定位跟踪主机及其他任何辅助拍摄设备，即可实现跟踪定位控制功能；系统应采用智能图像识别算法，高清摄像机同时输出2路场景画面并分析计算，实现1台摄像机的2景位拍摄，通过导播跟踪系统，实现所有画面的自动导播切换；支持设置摄像机分辨率、帧率、码率。支持设置摄像机亮度、饱和度、对比度、锐度、色度、快门速度；图像支持垂直翻转、水平翻转，默认不开启；支持跟随模式、混合模式、双镜模式、三预置位等多种导播模式。</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256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学生摄像机</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用全景特写双镜头，全景镜头水平视场角≥110°，特写镜头水平视场角≥40°；支持4K超高清，可提供3840×2160图像分辨率同时向下兼容；内置图像识别跟踪算法，搭配隐藏式云台；采用低畸变设计，全景畸变≤±2.5%，特写畸变≤±1%；传感器尺寸 CMOS ≥ 1/2.8英寸，全景图像传感器有效像素≥400万，特写图像传感器有效像素≥800万，摄像机采用逐行扫描方式</w:t>
            </w:r>
            <w:r>
              <w:rPr>
                <w:rFonts w:hint="eastAsia" w:ascii="宋体" w:hAnsi="宋体" w:eastAsia="宋体" w:cs="宋体"/>
                <w:i w:val="0"/>
                <w:iCs w:val="0"/>
                <w:color w:val="000000"/>
                <w:sz w:val="18"/>
                <w:szCs w:val="18"/>
                <w:u w:val="none"/>
                <w:lang w:val="en-US" w:eastAsia="zh-CN" w:bidi="ar"/>
              </w:rPr>
              <w:t xml:space="preserve">，支持自动白平衡，支持2D&amp;3D数字降噪，信噪比≥55dB，摄像机支持≥6种网络流传输协议。内嵌图像处理系统：支持智能跟踪算法，无需单独安装定位跟踪主机及其他任何辅助拍摄设备，即可实现跟踪定位控制功能；系统应采用智能图像识别算法，高清摄像机同时输出2路场景画面并分析计算，实现1台摄像机的2景位拍摄，通过导播跟踪系统，实现所有画面的自动导播切换；支持设置摄像机分辨率、帧率、码率。支持设置摄像机亮度、饱和度、对比度、锐度、色度、快门速度；图像支持垂直翻转、水平翻转，默认不开启；支持至少1个六边形导播跟踪区划定。</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8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257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全向麦克风</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麦克风内置≥8个传感器单元，麦克风支持≥2个数字音频接口，支持数字音频传输；麦克风频率响应范围不低于50Hz~16KHz，麦克风拾音半径≥8m，麦克风信噪比≥68dB；麦克风无需额外适配器供电，能够通过网线实现麦克风供电、音频信号传输、参数调整；麦克风支持降噪、回声抵消、混响抑制、自动增益控制、多麦融合多种音频算法。</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内嵌音频处理系统：支持全频带全双工自适应回声消除算法，支持全频自适应AI降噪技术，降噪电平≥24dB；支持自动增益控制，支持啸叫抑制，支持智能混音，可智能选择最佳麦克风采集音频；支持多通道音频矩阵，可根据场景需求进行相应设置；支持音频参数调节，支持波束成形，支持远程OTA升级。</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2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258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AI备课平台</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1.支持根据已明确的课件目标，以思维导图形</w:t>
            </w:r>
            <w:r>
              <w:rPr>
                <w:rFonts w:hint="eastAsia" w:ascii="宋体" w:hAnsi="宋体" w:eastAsia="宋体" w:cs="宋体"/>
                <w:i w:val="0"/>
                <w:iCs w:val="0"/>
                <w:color w:val="000000"/>
                <w:sz w:val="18"/>
                <w:szCs w:val="18"/>
                <w:u w:val="none"/>
                <w:lang w:val="en-US" w:eastAsia="zh-CN" w:bidi="ar"/>
              </w:rPr>
              <w:t xml:space="preserve">式生成至少三个层级主题的教学提纲，教学提纲内容可根据教学活动设计自动匹配课堂活动、思维导图和学科工具等互动工具；基于生成的教学提纲，生成完整的教学课件；支持上传主题相关附件，生成内容更加准确；支持智能扩展单页课件，允许手动输入描述和根据上下文智能推荐内容；支持对提纲节点进行编辑并同步生成更新课件；支持一键更换课件主题风格，演示预览课件，分享课件，一键复制教学活动设计；可个性化对教学提纲进行编辑，包括添加二级、三级主题以及对课件内容进行编辑；支持 AI 拓展和优化，提供智能拓展、跨学科、新课标等三种拓展方式。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粘贴视频网页链接可一键解析视频，插入课件页后支持在线播放；支持本地上传视频插入课件页播放；内置教学活动设计、奖状制作、学生评语、教学反思、项目式学习、家校沟通等，结合大模型给老师生成符合教学和管理要求的内容。</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val="false"/>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360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259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AI音箱</w:t>
            </w:r>
            <w:r>
              <w:rPr>
                <w:rFonts w:hint="eastAsia" w:ascii="宋体" w:hAnsi="宋体" w:eastAsia="宋体" w:cs="宋体"/>
                <w:i w:val="0"/>
                <w:iCs w:val="0"/>
                <w:color w:val="000000"/>
                <w:sz w:val="20"/>
                <w:szCs w:val="20"/>
                <w:u w:val="none"/>
                <w:lang w:val="en-US" w:eastAsia="zh-CN" w:bidi="ar-SA"/>
              </w:rPr>
            </w:r>
            <w:r/>
          </w:p>
        </w:tc>
        <w:tc>
          <w:tcPr>
            <w:tcW w:w="6960" w:type="dxa"/>
            <w:vAlign w:val="top"/>
            <w:textDirection w:val="lrTb"/>
            <w:noWrap w:val="false"/>
          </w:tcPr>
          <w:p>
            <w:pPr>
              <w:pStyle w:val="885"/>
              <w:jc w:val="left"/>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1.AI音频处理器和数字功放、扩声音箱一体式设计，具有≥2路麦克风输入接口，可两支吊装麦克风同时使用，组成师生互动扩声，且拾音距离≥5米，每路麦克风带48V幻象电源供电。具备多麦同时使用技术，且多麦同时使用不啸叫、不丢字、不卡顿，声场均匀；支持AI自动降噪算法，内置≥300种噪声识别模型，可以自动识别并消除稳态及非稳态噪音；</w:t>
            </w:r>
            <w:r>
              <w:rPr>
                <w:rStyle w:val="1139"/>
                <w:rFonts w:ascii="宋体" w:hAnsi="宋体" w:eastAsia="宋体" w:cs="宋体"/>
                <w:b/>
                <w:bCs/>
                <w:i w:val="0"/>
                <w:iCs w:val="0"/>
                <w:color w:val="000000"/>
                <w:sz w:val="18"/>
                <w:szCs w:val="18"/>
                <w:u w:val="none"/>
                <w:lang w:val="en-US" w:eastAsia="zh-CN" w:bidi="ar"/>
              </w:rPr>
              <w:t xml:space="preserve">（提供第三方</w:t>
            </w:r>
            <w:r>
              <w:rPr>
                <w:rStyle w:val="1139"/>
                <w:rFonts w:hint="eastAsia" w:ascii="宋体" w:hAnsi="宋体" w:eastAsia="宋体" w:cs="宋体"/>
                <w:b/>
                <w:bCs/>
                <w:i w:val="0"/>
                <w:iCs w:val="0"/>
                <w:color w:val="000000"/>
                <w:sz w:val="18"/>
                <w:szCs w:val="18"/>
                <w:u w:val="none"/>
                <w:lang w:val="en-US" w:eastAsia="zh-CN" w:bidi="ar"/>
              </w:rPr>
              <w:t xml:space="preserve">检测</w:t>
            </w:r>
            <w:r>
              <w:rPr>
                <w:rStyle w:val="1139"/>
                <w:rFonts w:ascii="宋体" w:hAnsi="宋体" w:eastAsia="宋体" w:cs="宋体"/>
                <w:b/>
                <w:bCs/>
                <w:i w:val="0"/>
                <w:iCs w:val="0"/>
                <w:color w:val="000000"/>
                <w:sz w:val="18"/>
                <w:szCs w:val="18"/>
                <w:u w:val="none"/>
                <w:lang w:val="en-US" w:eastAsia="zh-CN" w:bidi="ar"/>
              </w:rPr>
              <w:t xml:space="preserve">机构</w:t>
            </w:r>
            <w:r>
              <w:rPr>
                <w:rStyle w:val="1139"/>
                <w:rFonts w:hint="eastAsia" w:ascii="宋体" w:hAnsi="宋体" w:eastAsia="宋体" w:cs="宋体"/>
                <w:b/>
                <w:bCs/>
                <w:i w:val="0"/>
                <w:iCs w:val="0"/>
                <w:color w:val="000000"/>
                <w:sz w:val="18"/>
                <w:szCs w:val="18"/>
                <w:u w:val="none"/>
                <w:lang w:val="en-US" w:eastAsia="zh-CN" w:bidi="ar"/>
              </w:rPr>
              <w:t xml:space="preserve">合格</w:t>
            </w:r>
            <w:r>
              <w:rPr>
                <w:rStyle w:val="1139"/>
                <w:rFonts w:ascii="宋体" w:hAnsi="宋体" w:eastAsia="宋体" w:cs="宋体"/>
                <w:b/>
                <w:bCs/>
                <w:i w:val="0"/>
                <w:iCs w:val="0"/>
                <w:color w:val="000000"/>
                <w:sz w:val="18"/>
                <w:szCs w:val="18"/>
                <w:u w:val="none"/>
                <w:lang w:val="en-US" w:eastAsia="zh-CN" w:bidi="ar"/>
              </w:rPr>
              <w:t xml:space="preserve">检测报告并加盖投标人公章）</w:t>
            </w:r>
            <w:r>
              <w:rPr>
                <w:rStyle w:val="1141"/>
                <w:rFonts w:ascii="宋体" w:hAnsi="宋体" w:eastAsia="宋体" w:cs="宋体"/>
                <w:i w:val="0"/>
                <w:iCs w:val="0"/>
                <w:color w:val="000000"/>
                <w:sz w:val="20"/>
                <w:szCs w:val="20"/>
                <w:u w:val="none"/>
                <w:lang w:val="en-US" w:eastAsia="zh-CN" w:bidi="ar"/>
              </w:rPr>
              <w:br w:type="textWrapping" w:clear="all"/>
            </w:r>
            <w:r>
              <w:rPr>
                <w:rStyle w:val="1141"/>
                <w:rFonts w:ascii="宋体" w:hAnsi="宋体" w:eastAsia="宋体" w:cs="宋体"/>
                <w:i w:val="0"/>
                <w:iCs w:val="0"/>
                <w:color w:val="000000"/>
                <w:sz w:val="20"/>
                <w:szCs w:val="20"/>
                <w:u w:val="none"/>
                <w:lang w:val="en-US" w:eastAsia="zh-CN" w:bidi="ar"/>
              </w:rPr>
              <w:t xml:space="preserve">2.软件功能：调试软件具有≥5档可调啸叫抑制等级，完全自动适应环境和反馈参数，无需复杂人工调试，自动反馈抑制。具有≥16段GEQ图示均衡功能，图示均衡频点可自定义，增益可调≥±18dB。调试软件具有≥6档可调降噪等级，可根据使用需求调节降噪强度。调试软件具有可保存参数、导出参数、导入参数等功能。</w:t>
            </w:r>
            <w:r>
              <w:rPr>
                <w:rStyle w:val="1141"/>
                <w:rFonts w:ascii="宋体" w:hAnsi="宋体" w:eastAsia="宋体" w:cs="宋体"/>
                <w:i w:val="0"/>
                <w:iCs w:val="0"/>
                <w:color w:val="000000"/>
                <w:sz w:val="20"/>
                <w:szCs w:val="20"/>
                <w:u w:val="none"/>
                <w:lang w:val="en-US" w:eastAsia="zh-CN" w:bidi="ar"/>
              </w:rPr>
              <w:br w:type="textWrapping" w:clear="all"/>
            </w:r>
            <w:r>
              <w:rPr>
                <w:rStyle w:val="1141"/>
                <w:rFonts w:ascii="宋体" w:hAnsi="宋体" w:eastAsia="宋体" w:cs="宋体"/>
                <w:i w:val="0"/>
                <w:iCs w:val="0"/>
                <w:color w:val="000000"/>
                <w:sz w:val="20"/>
                <w:szCs w:val="20"/>
                <w:u w:val="none"/>
                <w:lang w:val="en-US" w:eastAsia="zh-CN" w:bidi="ar"/>
              </w:rPr>
              <w:t xml:space="preserve">3.智慧音箱可扩展触摸面板控制功能，提供壁挂式玻璃触摸面板控制，控制面板具有吊麦音量加、吊麦音量减、静音、上下课、男生模式、女生模式等功能。控制面板具有数字显示屏，支持显示当前扩声分贝数值；支持在脱离电脑和软件的状态下，通过面板对音箱降噪等级和默认音量参数进行设置；输出功率≥2*30W；频率范围：50Hz~20kHz(±3dB)；总谐波失真：≤0.1%；增益差：≤0.5dB；线路输入输出信噪比：≥100dB。</w:t>
            </w:r>
            <w:r>
              <w:rPr>
                <w:rFonts w:hint="eastAsia" w:ascii="宋体" w:hAnsi="宋体" w:eastAsia="宋体" w:cs="宋体"/>
                <w:b/>
                <w:bCs/>
                <w:i w:val="0"/>
                <w:iCs w:val="0"/>
                <w:color w:val="000000"/>
                <w:sz w:val="20"/>
                <w:szCs w:val="20"/>
                <w:u w:val="none"/>
                <w:lang w:val="en-US" w:eastAsia="zh-CN" w:bidi="ar-SA"/>
              </w:rPr>
            </w:r>
            <w:r/>
          </w:p>
        </w:tc>
        <w:tc>
          <w:tcPr>
            <w:tcW w:w="756"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SA"/>
              </w:rPr>
            </w:r>
            <w:r/>
          </w:p>
        </w:tc>
        <w:tc>
          <w:tcPr>
            <w:tcW w:w="67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对</w:t>
            </w:r>
            <w:r>
              <w:rPr>
                <w:rFonts w:hint="eastAsia" w:ascii="宋体" w:hAnsi="宋体" w:eastAsia="宋体" w:cs="宋体"/>
                <w:i w:val="0"/>
                <w:iCs w:val="0"/>
                <w:color w:val="000000"/>
                <w:sz w:val="20"/>
                <w:szCs w:val="20"/>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r>
      <w:tr>
        <w:trPr>
          <w:trHeight w:val="450"/>
        </w:trPr>
        <w:tc>
          <w:tcPr>
            <w:tcW w:w="557"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260 </w:t>
            </w:r>
            <w:r>
              <w:rPr>
                <w:rFonts w:hint="eastAsia" w:ascii="宋体" w:hAnsi="宋体" w:eastAsia="宋体" w:cs="宋体"/>
                <w:i w:val="0"/>
                <w:iCs w:val="0"/>
                <w:color w:val="000000"/>
                <w:sz w:val="18"/>
                <w:szCs w:val="18"/>
                <w:u w:val="none"/>
                <w:lang w:val="en-US" w:eastAsia="zh-CN" w:bidi="ar-SA"/>
              </w:rPr>
            </w:r>
            <w:r/>
          </w:p>
        </w:tc>
        <w:tc>
          <w:tcPr>
            <w:tcW w:w="101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常态化录播系统集成服务</w:t>
            </w:r>
            <w:r>
              <w:rPr>
                <w:rFonts w:hint="eastAsia" w:ascii="宋体" w:hAnsi="宋体" w:eastAsia="宋体" w:cs="宋体"/>
                <w:i w:val="0"/>
                <w:iCs w:val="0"/>
                <w:color w:val="000000"/>
                <w:sz w:val="18"/>
                <w:szCs w:val="18"/>
                <w:u w:val="none"/>
                <w:lang w:val="en-US" w:eastAsia="zh-CN" w:bidi="ar-SA"/>
              </w:rPr>
            </w:r>
            <w:r/>
          </w:p>
        </w:tc>
        <w:tc>
          <w:tcPr>
            <w:tcW w:w="6960"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1.配套安装服务、测试调试、培训服务、软件信息系统等项目集成服务</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67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663" w:type="dxa"/>
            <w:vAlign w:val="center"/>
            <w:textDirection w:val="lrTb"/>
            <w:noWrap/>
          </w:tcPr>
          <w:p>
            <w:pPr>
              <w:pStyle w:val="885"/>
              <w:jc w:val="both"/>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bl>
    <w:p>
      <w:pPr>
        <w:pStyle w:val="885"/>
        <w:ind w:firstLine="482"/>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pStyle w:val="885"/>
        <w:ind w:firstLine="482"/>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bidi="ar-SA"/>
        </w:rPr>
        <w:t xml:space="preserve">三</w:t>
      </w:r>
      <w:r>
        <w:rPr>
          <w:rFonts w:hint="eastAsia" w:ascii="宋体" w:hAnsi="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rPr>
        <w:t xml:space="preserve">其他</w:t>
      </w:r>
      <w:r>
        <w:rPr>
          <w:rFonts w:hint="eastAsia" w:ascii="宋体" w:hAnsi="宋体" w:eastAsia="宋体" w:cs="宋体"/>
          <w:b/>
          <w:bCs/>
          <w:sz w:val="24"/>
          <w:szCs w:val="24"/>
          <w:highlight w:val="none"/>
          <w:lang w:eastAsia="zh-CN"/>
        </w:rPr>
        <w:t xml:space="preserve">要求</w:t>
      </w:r>
      <w:r>
        <w:rPr>
          <w:rFonts w:hint="eastAsia" w:ascii="宋体" w:hAnsi="宋体" w:eastAsia="宋体" w:cs="宋体"/>
          <w:b/>
          <w:bCs/>
          <w:sz w:val="24"/>
          <w:szCs w:val="24"/>
          <w:highlight w:val="none"/>
          <w:lang w:eastAsia="zh-CN"/>
        </w:rPr>
      </w:r>
      <w:r/>
    </w:p>
    <w:p>
      <w:pPr>
        <w:pStyle w:val="885"/>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1.质量保证期从全部货物供结束（无质量问题）之日算起，质保期为3年，质保期内因产品质量引起的所有损失均由供应商负责；</w:t>
      </w:r>
      <w:r>
        <w:rPr>
          <w:rFonts w:hint="eastAsia" w:ascii="宋体" w:hAnsi="宋体" w:eastAsia="宋体" w:cs="宋体"/>
          <w:sz w:val="24"/>
          <w:szCs w:val="24"/>
          <w:highlight w:val="none"/>
          <w:lang w:val="en-US" w:eastAsia="zh-CN"/>
        </w:rPr>
      </w:r>
      <w:r/>
    </w:p>
    <w:p>
      <w:pPr>
        <w:pStyle w:val="885"/>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2.免费售后质保服务期内，发生故障或异常时2小时内做出响应，</w:t>
      </w:r>
      <w:r>
        <w:rPr>
          <w:rFonts w:ascii="宋体" w:hAnsi="宋体" w:cs="宋体"/>
          <w:color w:val="000000"/>
          <w:sz w:val="24"/>
          <w:highlight w:val="none"/>
        </w:rPr>
        <w:t xml:space="preserve">12</w:t>
      </w:r>
      <w:r>
        <w:rPr>
          <w:rFonts w:hint="eastAsia" w:ascii="宋体" w:hAnsi="宋体" w:cs="宋体"/>
          <w:color w:val="000000"/>
          <w:sz w:val="24"/>
          <w:highlight w:val="none"/>
        </w:rPr>
        <w:t xml:space="preserve">个小时内到达现场，</w:t>
      </w:r>
      <w:r>
        <w:rPr>
          <w:rFonts w:ascii="宋体" w:hAnsi="宋体" w:cs="宋体"/>
          <w:color w:val="000000"/>
          <w:sz w:val="24"/>
          <w:highlight w:val="none"/>
        </w:rPr>
        <w:t xml:space="preserve">24</w:t>
      </w:r>
      <w:r>
        <w:rPr>
          <w:rFonts w:hint="eastAsia" w:ascii="宋体" w:hAnsi="宋体" w:cs="宋体"/>
          <w:color w:val="000000"/>
          <w:sz w:val="24"/>
          <w:highlight w:val="none"/>
        </w:rPr>
        <w:t xml:space="preserve">小时内修复</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现场</w:t>
      </w:r>
      <w:r>
        <w:rPr>
          <w:rFonts w:hint="eastAsia" w:ascii="宋体" w:hAnsi="宋体" w:eastAsia="宋体" w:cs="宋体"/>
          <w:sz w:val="24"/>
          <w:szCs w:val="24"/>
          <w:highlight w:val="none"/>
          <w:lang w:val="en-US" w:eastAsia="zh-CN"/>
        </w:rPr>
        <w:t xml:space="preserve">不能修复的，应提供备用机、备件替代。若超时未完成故障排除，且不能及时提供备用机、备件替代的，中标供应商对因故障所造成的损失后果负责。所发生的一切费用均由中标供应商自行承担。</w:t>
      </w:r>
      <w:r>
        <w:rPr>
          <w:rFonts w:hint="eastAsia" w:ascii="宋体" w:hAnsi="宋体" w:eastAsia="宋体" w:cs="宋体"/>
          <w:sz w:val="24"/>
          <w:szCs w:val="24"/>
          <w:highlight w:val="none"/>
          <w:lang w:val="en-US" w:eastAsia="zh-CN"/>
        </w:rPr>
      </w:r>
      <w:r/>
    </w:p>
    <w:p>
      <w:pPr>
        <w:pStyle w:val="885"/>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供应商负责对采购人相关部门及指定的用户进行培训，需根据项目实施的进度及时安排培训和授课，培训的主要内容应侧重于对设备的使用、维护、常见问题及解决办法等方面，并进行实践性的操作演示，使受训者熟悉课程教学的方法，掌握设备的操作和维护等。供应商需配备固定团队制定详细的培训计划，明确培训目标、参训人员、课程内容、时间、场地等相关安排。</w:t>
      </w:r>
      <w:r>
        <w:rPr>
          <w:rFonts w:hint="eastAsia" w:ascii="宋体" w:hAnsi="宋体" w:eastAsia="宋体" w:cs="宋体"/>
          <w:sz w:val="24"/>
          <w:szCs w:val="24"/>
          <w:highlight w:val="none"/>
          <w:lang w:val="en-US" w:eastAsia="zh-CN"/>
        </w:rPr>
      </w:r>
      <w:r/>
    </w:p>
    <w:p>
      <w:pPr>
        <w:pStyle w:val="885"/>
        <w:ind w:firstLine="482"/>
        <w:spacing w:line="440" w:lineRule="exact"/>
        <w:rPr>
          <w:rFonts w:hAnsi="宋体"/>
          <w:b/>
          <w:bCs/>
          <w:color w:val="000000"/>
          <w:sz w:val="24"/>
          <w:highlight w:val="none"/>
        </w:rPr>
      </w:pPr>
      <w:r>
        <w:rPr>
          <w:rFonts w:hint="eastAsia" w:hAnsi="宋体"/>
          <w:b/>
          <w:bCs/>
          <w:color w:val="000000"/>
          <w:sz w:val="24"/>
          <w:highlight w:val="none"/>
          <w:lang w:val="en-US" w:eastAsia="zh-CN"/>
        </w:rPr>
        <w:t xml:space="preserve">四</w:t>
      </w:r>
      <w:r>
        <w:rPr>
          <w:rFonts w:hint="eastAsia" w:hAnsi="宋体"/>
          <w:b/>
          <w:bCs/>
          <w:color w:val="000000"/>
          <w:sz w:val="24"/>
          <w:highlight w:val="none"/>
        </w:rPr>
        <w:t xml:space="preserve">、服务保障和承诺要求</w:t>
      </w:r>
      <w:r>
        <w:rPr>
          <w:rFonts w:hAnsi="宋体"/>
          <w:b/>
          <w:bCs/>
          <w:color w:val="000000"/>
          <w:sz w:val="24"/>
          <w:highlight w:val="none"/>
        </w:rPr>
      </w:r>
      <w:r/>
    </w:p>
    <w:p>
      <w:pPr>
        <w:pStyle w:val="1137"/>
        <w:contextualSpacing/>
        <w:ind w:firstLine="482"/>
        <w:spacing w:line="440" w:lineRule="exact"/>
        <w:tabs>
          <w:tab w:val="left" w:pos="525" w:leader="none"/>
          <w:tab w:val="left" w:pos="105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 各投标人必须严格按照本次招标服务要求进行合理报价，如后期出现重大管理失误或严重违约不合格情形视同虚假承诺谋取中标成交</w:t>
      </w:r>
      <w:r>
        <w:rPr>
          <w:rFonts w:hint="eastAsia" w:ascii="宋体" w:hAnsi="宋体"/>
          <w:b/>
          <w:bCs/>
          <w:color w:val="000000"/>
          <w:sz w:val="24"/>
          <w:highlight w:val="none"/>
        </w:rPr>
        <w:t xml:space="preserve">，将被列入不良行为记录名单。</w:t>
      </w:r>
      <w:r>
        <w:rPr>
          <w:rFonts w:ascii="宋体" w:hAnsi="宋体" w:cs="宋体"/>
          <w:b/>
          <w:bCs/>
          <w:color w:val="000000"/>
          <w:sz w:val="24"/>
          <w:szCs w:val="24"/>
          <w:highlight w:val="none"/>
        </w:rPr>
      </w:r>
      <w:r/>
    </w:p>
    <w:p>
      <w:pPr>
        <w:pStyle w:val="885"/>
        <w:ind w:firstLine="480"/>
        <w:spacing w:line="440" w:lineRule="exact"/>
        <w:rPr>
          <w:rFonts w:ascii="宋体" w:hAnsi="宋体"/>
          <w:bCs/>
          <w:color w:val="000000"/>
          <w:sz w:val="24"/>
          <w:highlight w:val="none"/>
        </w:rPr>
      </w:pP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 </w:t>
      </w:r>
      <w:r>
        <w:rPr>
          <w:rFonts w:hint="eastAsia" w:ascii="宋体" w:hAnsi="宋体" w:eastAsia="宋体" w:cs="Arial"/>
          <w:color w:val="000000"/>
          <w:sz w:val="24"/>
          <w:szCs w:val="24"/>
          <w:highlight w:val="none"/>
          <w:lang w:val="en-US" w:eastAsia="zh-CN" w:bidi="ar-SA"/>
        </w:rPr>
        <w:t xml:space="preserve">供应商自行承担运输、指导安装、调试过程中的安全责任</w:t>
      </w:r>
      <w:r>
        <w:rPr>
          <w:rFonts w:hint="eastAsia" w:ascii="宋体" w:hAnsi="宋体"/>
          <w:bCs/>
          <w:color w:val="000000"/>
          <w:sz w:val="24"/>
          <w:highlight w:val="none"/>
        </w:rPr>
        <w:t xml:space="preserve">。</w:t>
      </w:r>
      <w:r>
        <w:rPr>
          <w:rFonts w:ascii="宋体" w:hAnsi="宋体"/>
          <w:bCs/>
          <w:color w:val="000000"/>
          <w:sz w:val="24"/>
          <w:highlight w:val="none"/>
        </w:rPr>
      </w:r>
      <w:r/>
    </w:p>
    <w:p>
      <w:pPr>
        <w:pStyle w:val="885"/>
        <w:ind w:firstLine="480"/>
        <w:spacing w:line="440" w:lineRule="exact"/>
        <w:rPr>
          <w:rFonts w:hint="eastAsia" w:ascii="宋体" w:hAnsi="宋体" w:cs="宋体"/>
          <w:bCs/>
          <w:color w:val="000000"/>
          <w:sz w:val="24"/>
          <w:szCs w:val="22"/>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 </w:t>
      </w:r>
      <w:r>
        <w:rPr>
          <w:rFonts w:hint="eastAsia" w:ascii="宋体" w:hAnsi="宋体" w:cs="宋体"/>
          <w:bCs/>
          <w:color w:val="000000"/>
          <w:sz w:val="24"/>
          <w:szCs w:val="22"/>
          <w:highlight w:val="none"/>
        </w:rPr>
        <w:t xml:space="preserve">供应商在服务过程中涉及第三方产品知识产权情况，若出现技术、经济或法律上的纠纷，应由承包方全面承担并全权解决，并确保不影响项目的进度。</w:t>
      </w:r>
      <w:r>
        <w:rPr>
          <w:rFonts w:hint="eastAsia" w:ascii="宋体" w:hAnsi="宋体" w:cs="宋体"/>
          <w:bCs/>
          <w:color w:val="000000"/>
          <w:sz w:val="24"/>
          <w:szCs w:val="22"/>
          <w:highlight w:val="none"/>
        </w:rPr>
      </w:r>
      <w:r/>
    </w:p>
    <w:p>
      <w:pPr>
        <w:pStyle w:val="885"/>
        <w:ind w:firstLine="480"/>
        <w:spacing w:line="440" w:lineRule="exact"/>
        <w:rPr>
          <w:rFonts w:ascii="宋体" w:hAnsi="宋体" w:eastAsia="宋体" w:cs="宋体"/>
          <w:bCs/>
          <w:color w:val="000000"/>
          <w:sz w:val="24"/>
          <w:szCs w:val="22"/>
          <w:highlight w:val="none"/>
          <w:lang w:val="en-US" w:eastAsia="zh-CN"/>
        </w:rPr>
      </w:pPr>
      <w:r>
        <w:rPr>
          <w:rFonts w:hint="eastAsia" w:ascii="宋体" w:hAnsi="宋体" w:eastAsia="宋体" w:cs="宋体"/>
          <w:bCs/>
          <w:color w:val="000000"/>
          <w:sz w:val="24"/>
          <w:szCs w:val="22"/>
          <w:highlight w:val="none"/>
          <w:lang w:val="en-US" w:eastAsia="zh-CN"/>
        </w:rPr>
        <w:t xml:space="preserve">4.本项目涉及与学校正在使用的相关系统管控平台需要进行无缝对接，相关对接开发，功能兼容，接口开发对接调试，数据互通及技术适配等工作内容及费用均由投标人综合考虑并包含在投标报价中，采购人不另行支付任何费用。</w:t>
      </w:r>
      <w:r>
        <w:rPr>
          <w:rFonts w:ascii="宋体" w:hAnsi="宋体" w:eastAsia="宋体" w:cs="宋体"/>
          <w:bCs/>
          <w:color w:val="000000"/>
          <w:sz w:val="24"/>
          <w:szCs w:val="22"/>
          <w:highlight w:val="none"/>
          <w:lang w:val="en-US" w:eastAsia="zh-CN"/>
        </w:rPr>
      </w:r>
      <w:r/>
    </w:p>
    <w:p>
      <w:pPr>
        <w:pStyle w:val="1128"/>
        <w:ind w:firstLine="482"/>
        <w:jc w:val="both"/>
        <w:spacing w:before="0" w:beforeAutospacing="0" w:after="0" w:afterAutospacing="0" w:line="440" w:lineRule="exact"/>
        <w:rPr>
          <w:rFonts w:ascii="宋体" w:hAnsi="宋体" w:cs="宋体"/>
          <w:b/>
          <w:color w:val="000000"/>
          <w:highlight w:val="none"/>
        </w:rPr>
      </w:pPr>
      <w:r>
        <w:rPr>
          <w:rFonts w:hint="eastAsia" w:ascii="宋体" w:hAnsi="宋体" w:cs="宋体"/>
          <w:b/>
          <w:color w:val="000000"/>
          <w:highlight w:val="none"/>
          <w:lang w:val="en-US" w:eastAsia="zh-CN"/>
        </w:rPr>
        <w:t xml:space="preserve">五</w:t>
      </w:r>
      <w:r>
        <w:rPr>
          <w:rFonts w:hint="eastAsia" w:ascii="宋体" w:hAnsi="宋体" w:cs="宋体"/>
          <w:b/>
          <w:color w:val="000000"/>
          <w:highlight w:val="none"/>
        </w:rPr>
        <w:t xml:space="preserve">、采购标的对应的中小企业划分标准所属行业一览表</w:t>
      </w:r>
      <w:r>
        <w:rPr>
          <w:rFonts w:ascii="宋体" w:hAnsi="宋体" w:cs="宋体"/>
          <w:b/>
          <w:color w:val="000000"/>
          <w:highlight w:val="none"/>
        </w:rPr>
      </w:r>
      <w:r/>
    </w:p>
    <w:tbl>
      <w:tblPr>
        <w:tblW w:w="8663" w:type="dxa"/>
        <w:jc w:val="center"/>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tblCellSpacing w:w="0" w:type="dxa"/>
          <w:trHeight w:val="852"/>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135"/>
              <w:jc w:val="center"/>
              <w:spacing w:beforeAutospacing="0" w:afterAutospacing="0"/>
              <w:widowControl w:val="off"/>
              <w:rPr>
                <w:rFonts w:eastAsia="宋体" w:cs="Times New Roman"/>
                <w:color w:val="000000"/>
                <w:sz w:val="24"/>
                <w:highlight w:val="none"/>
                <w:lang w:val="en-US" w:eastAsia="zh-CN" w:bidi="ar-SA"/>
              </w:rPr>
            </w:pPr>
            <w:r>
              <w:rPr>
                <w:rFonts w:hint="eastAsia" w:eastAsia="宋体" w:cs="Times New Roman"/>
                <w:color w:val="000000"/>
                <w:sz w:val="24"/>
                <w:highlight w:val="none"/>
                <w:lang w:val="en-US" w:eastAsia="zh-CN" w:bidi="ar-SA"/>
              </w:rPr>
              <w:t xml:space="preserve">序号</w:t>
            </w:r>
            <w:r>
              <w:rPr>
                <w:rFonts w:eastAsia="宋体" w:cs="Times New Roman"/>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135"/>
              <w:jc w:val="center"/>
              <w:spacing w:beforeAutospacing="0" w:afterAutospacing="0"/>
              <w:widowControl w:val="off"/>
              <w:rPr>
                <w:rFonts w:eastAsia="宋体" w:cs="Times New Roman"/>
                <w:color w:val="000000"/>
                <w:sz w:val="24"/>
                <w:highlight w:val="none"/>
                <w:lang w:val="en-US" w:eastAsia="zh-CN" w:bidi="ar-SA"/>
              </w:rPr>
            </w:pPr>
            <w:r>
              <w:rPr>
                <w:rFonts w:hint="eastAsia" w:eastAsia="宋体" w:cs="Times New Roman"/>
                <w:color w:val="000000"/>
                <w:sz w:val="24"/>
                <w:highlight w:val="none"/>
                <w:lang w:val="en-US" w:eastAsia="zh-CN" w:bidi="ar-SA"/>
              </w:rPr>
              <w:t xml:space="preserve">采购标的</w:t>
            </w:r>
            <w:r>
              <w:rPr>
                <w:rFonts w:eastAsia="宋体" w:cs="Times New Roman"/>
                <w:color w:val="000000"/>
                <w:sz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135"/>
              <w:jc w:val="center"/>
              <w:spacing w:beforeAutospacing="0" w:afterAutospacing="0"/>
              <w:widowControl w:val="off"/>
              <w:rPr>
                <w:rFonts w:eastAsia="宋体" w:cs="Times New Roman"/>
                <w:color w:val="000000"/>
                <w:sz w:val="24"/>
                <w:highlight w:val="none"/>
                <w:lang w:val="en-US" w:eastAsia="zh-CN" w:bidi="ar-SA"/>
              </w:rPr>
            </w:pPr>
            <w:r>
              <w:rPr>
                <w:rFonts w:hint="eastAsia" w:eastAsia="宋体" w:cs="Times New Roman"/>
                <w:color w:val="000000"/>
                <w:sz w:val="24"/>
                <w:highlight w:val="none"/>
                <w:lang w:val="en-US" w:eastAsia="zh-CN" w:bidi="ar-SA"/>
              </w:rPr>
              <w:t xml:space="preserve">对应中小企业划分标准所属行业</w:t>
            </w:r>
            <w:r>
              <w:rPr>
                <w:rFonts w:eastAsia="宋体" w:cs="Times New Roman"/>
                <w:color w:val="000000"/>
                <w:sz w:val="24"/>
                <w:highlight w:val="none"/>
                <w:lang w:val="en-US" w:eastAsia="zh-CN" w:bidi="ar-SA"/>
              </w:rPr>
            </w:r>
            <w:r/>
          </w:p>
        </w:tc>
      </w:tr>
      <w:tr>
        <w:trPr>
          <w:tblCellSpacing w:w="0" w:type="dxa"/>
          <w:trHeight w:val="664"/>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135"/>
              <w:jc w:val="center"/>
              <w:spacing w:beforeAutospacing="0" w:afterAutospacing="0" w:line="0" w:lineRule="atLeast"/>
              <w:widowControl w:val="off"/>
              <w:rPr>
                <w:rFonts w:eastAsia="宋体" w:cs="Times New Roman"/>
                <w:color w:val="000000"/>
                <w:sz w:val="20"/>
                <w:szCs w:val="20"/>
                <w:highlight w:val="none"/>
                <w:lang w:val="en-US" w:eastAsia="zh-CN" w:bidi="ar"/>
              </w:rPr>
            </w:pPr>
            <w:r>
              <w:rPr>
                <w:rFonts w:hint="eastAsia" w:eastAsia="宋体" w:cs="Times New Roman"/>
                <w:color w:val="000000"/>
                <w:sz w:val="20"/>
                <w:szCs w:val="20"/>
                <w:highlight w:val="none"/>
                <w:lang w:val="en-US" w:eastAsia="zh-CN" w:bidi="ar"/>
              </w:rPr>
              <w:t xml:space="preserve">1</w:t>
            </w:r>
            <w:r>
              <w:rPr>
                <w:rFonts w:eastAsia="宋体" w:cs="Times New Roman"/>
                <w:color w:val="000000"/>
                <w:sz w:val="20"/>
                <w:szCs w:val="20"/>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135"/>
              <w:jc w:val="center"/>
              <w:spacing w:beforeAutospacing="0" w:afterAutospacing="0" w:line="0" w:lineRule="atLeast"/>
              <w:widowControl w:val="off"/>
              <w:rPr>
                <w:rFonts w:eastAsia="宋体" w:cs="Times New Roman"/>
                <w:color w:val="000000"/>
                <w:sz w:val="24"/>
                <w:highlight w:val="none"/>
                <w:lang w:val="en-US" w:eastAsia="zh-CN" w:bidi="ar"/>
              </w:rPr>
            </w:pPr>
            <w:r>
              <w:rPr>
                <w:rFonts w:hint="eastAsia" w:hAnsi="宋体" w:eastAsia="宋体" w:cs="宋体"/>
                <w:color w:val="000000"/>
                <w:sz w:val="24"/>
                <w:highlight w:val="none"/>
                <w:lang w:val="en-US" w:eastAsia="zh-CN" w:bidi="ar-SA"/>
              </w:rPr>
              <w:t xml:space="preserve">清单中所有产品标的</w:t>
            </w:r>
            <w:r>
              <w:rPr>
                <w:rFonts w:eastAsia="宋体" w:cs="Times New Roman"/>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135"/>
              <w:jc w:val="center"/>
              <w:spacing w:beforeAutospacing="0" w:afterAutospacing="0" w:line="0" w:lineRule="atLeast"/>
              <w:widowControl w:val="off"/>
              <w:rPr>
                <w:rFonts w:hint="eastAsia" w:eastAsia="宋体" w:cs="Times New Roman"/>
                <w:color w:val="000000"/>
                <w:sz w:val="24"/>
                <w:highlight w:val="none"/>
                <w:lang w:val="en-US" w:eastAsia="zh-CN" w:bidi="ar"/>
              </w:rPr>
            </w:pPr>
            <w:r>
              <w:rPr>
                <w:rFonts w:hint="eastAsia" w:eastAsia="宋体" w:cs="Times New Roman"/>
                <w:color w:val="000000"/>
                <w:sz w:val="24"/>
                <w:highlight w:val="none"/>
                <w:lang w:val="en-US" w:eastAsia="zh-CN" w:bidi="ar"/>
              </w:rPr>
              <w:t xml:space="preserve">工业</w:t>
            </w:r>
            <w:r>
              <w:rPr>
                <w:rFonts w:hint="eastAsia" w:eastAsia="宋体" w:cs="Times New Roman"/>
                <w:color w:val="000000"/>
                <w:sz w:val="24"/>
                <w:highlight w:val="none"/>
                <w:lang w:val="en-US" w:eastAsia="zh-CN" w:bidi="ar"/>
              </w:rPr>
            </w:r>
            <w:r/>
          </w:p>
        </w:tc>
      </w:tr>
    </w:tbl>
    <w:p>
      <w:pPr>
        <w:pStyle w:val="885"/>
        <w:ind w:firstLine="482"/>
        <w:keepLines w:val="0"/>
        <w:keepNext w:val="0"/>
        <w:pageBreakBefore w:val="0"/>
        <w:spacing w:line="480" w:lineRule="exact"/>
        <w:tabs>
          <w:tab w:val="left" w:pos="9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5"/>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85"/>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85"/>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85"/>
        <w:rPr>
          <w:rFonts w:hint="eastAsia"/>
          <w:highlight w:val="none"/>
        </w:rPr>
      </w:pPr>
      <w:r>
        <w:rPr>
          <w:rFonts w:hint="eastAsia"/>
          <w:highlight w:val="none"/>
        </w:rPr>
      </w:r>
      <w:r/>
    </w:p>
    <w:p>
      <w:pPr>
        <w:pStyle w:val="885"/>
        <w:rPr>
          <w:rFonts w:hint="eastAsia"/>
          <w:highlight w:val="none"/>
        </w:rPr>
      </w:pPr>
      <w:r>
        <w:rPr>
          <w:rFonts w:hint="eastAsia"/>
          <w:highlight w:val="none"/>
        </w:rPr>
      </w:r>
      <w:r/>
    </w:p>
    <w:p>
      <w:pPr>
        <w:pStyle w:val="885"/>
        <w:ind w:firstLine="2209"/>
        <w:jc w:val="both"/>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885"/>
        <w:ind w:firstLine="883"/>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第四章  评标办法及评分标准</w:t>
      </w:r>
      <w:r>
        <w:rPr>
          <w:rFonts w:hint="eastAsia" w:ascii="宋体" w:hAnsi="宋体" w:cs="宋体"/>
          <w:b/>
          <w:color w:val="000000"/>
          <w:sz w:val="44"/>
          <w:szCs w:val="44"/>
          <w:highlight w:val="none"/>
        </w:rPr>
      </w:r>
      <w:r/>
    </w:p>
    <w:p>
      <w:pPr>
        <w:pStyle w:val="885"/>
        <w:ind w:firstLine="480"/>
        <w:spacing w:line="48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一、</w:t>
      </w:r>
      <w:r>
        <w:rPr>
          <w:rFonts w:hint="eastAsia" w:ascii="宋体" w:hAnsi="宋体" w:cs="宋体"/>
          <w:b/>
          <w:bCs/>
          <w:color w:val="000000"/>
          <w:sz w:val="24"/>
          <w:highlight w:val="none"/>
        </w:rPr>
        <w:t xml:space="preserve">评标办法：综合评分法。</w:t>
      </w:r>
      <w:r>
        <w:rPr>
          <w:rFonts w:hint="eastAsia" w:ascii="宋体" w:hAnsi="宋体" w:cs="宋体"/>
          <w:b/>
          <w:bCs/>
          <w:color w:val="000000"/>
          <w:sz w:val="24"/>
          <w:highlight w:val="none"/>
        </w:rPr>
      </w:r>
      <w:r/>
    </w:p>
    <w:p>
      <w:pPr>
        <w:pStyle w:val="885"/>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bCs/>
          <w:color w:val="000000"/>
          <w:sz w:val="24"/>
          <w:highlight w:val="none"/>
        </w:rPr>
      </w:r>
      <w:r/>
    </w:p>
    <w:p>
      <w:pPr>
        <w:pStyle w:val="885"/>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cs="宋体"/>
          <w:bCs/>
          <w:color w:val="000000"/>
          <w:sz w:val="24"/>
          <w:highlight w:val="none"/>
        </w:rPr>
      </w:r>
      <w:r/>
    </w:p>
    <w:p>
      <w:pPr>
        <w:pStyle w:val="885"/>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3.总得分最高的即为中标候选人。</w:t>
      </w:r>
      <w:r>
        <w:rPr>
          <w:rFonts w:hint="eastAsia" w:ascii="宋体" w:hAnsi="宋体" w:cs="宋体"/>
          <w:bCs/>
          <w:color w:val="000000"/>
          <w:sz w:val="24"/>
          <w:highlight w:val="none"/>
        </w:rPr>
      </w:r>
      <w:r/>
    </w:p>
    <w:p>
      <w:pPr>
        <w:pStyle w:val="885"/>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4.推荐的中标候选人数：1名。</w:t>
      </w:r>
      <w:r>
        <w:rPr>
          <w:rFonts w:hint="eastAsia" w:ascii="宋体" w:hAnsi="宋体" w:cs="宋体"/>
          <w:bCs/>
          <w:color w:val="000000"/>
          <w:sz w:val="24"/>
          <w:highlight w:val="none"/>
        </w:rPr>
      </w:r>
      <w:r/>
    </w:p>
    <w:p>
      <w:pPr>
        <w:pStyle w:val="885"/>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rPr>
          <w:rFonts w:hint="eastAsia" w:ascii="宋体" w:hAnsi="宋体" w:cs="宋体"/>
          <w:b/>
          <w:color w:val="000000"/>
          <w:sz w:val="24"/>
          <w:highlight w:val="none"/>
        </w:rPr>
      </w:r>
      <w:r/>
    </w:p>
    <w:p>
      <w:pPr>
        <w:pStyle w:val="885"/>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1. 对小型和微型企业产品最后价格给予</w:t>
      </w:r>
      <w:r>
        <w:rPr>
          <w:rFonts w:ascii="宋体" w:hAnsi="宋体" w:cs="宋体"/>
          <w:bCs/>
          <w:sz w:val="24"/>
          <w:highlight w:val="none"/>
        </w:rPr>
        <w:t xml:space="preserve">2</w:t>
      </w:r>
      <w:r>
        <w:rPr>
          <w:rFonts w:hint="eastAsia" w:ascii="宋体" w:hAnsi="宋体" w:cs="宋体"/>
          <w:bCs/>
          <w:sz w:val="24"/>
          <w:highlight w:val="none"/>
        </w:rPr>
        <w:t xml:space="preserve">0%的扣除，用扣除后的价格参与评审。 </w:t>
      </w:r>
      <w:r>
        <w:rPr>
          <w:rFonts w:hint="eastAsia" w:ascii="宋体" w:hAnsi="宋体" w:cs="宋体"/>
          <w:bCs/>
          <w:sz w:val="24"/>
          <w:highlight w:val="none"/>
        </w:rPr>
      </w:r>
      <w:r/>
    </w:p>
    <w:p>
      <w:pPr>
        <w:pStyle w:val="885"/>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如项目为工程类或服务类，施工单位/服务全部由符合政策要求的小微企业承接，对其总报价给予</w:t>
      </w:r>
      <w:r>
        <w:rPr>
          <w:rFonts w:ascii="宋体" w:hAnsi="宋体" w:cs="宋体"/>
          <w:bCs/>
          <w:sz w:val="24"/>
          <w:highlight w:val="none"/>
        </w:rPr>
        <w:t xml:space="preserve">2</w:t>
      </w:r>
      <w:r>
        <w:rPr>
          <w:rFonts w:hint="eastAsia" w:ascii="宋体" w:hAnsi="宋体" w:cs="宋体"/>
          <w:bCs/>
          <w:sz w:val="24"/>
          <w:highlight w:val="none"/>
        </w:rPr>
        <w:t xml:space="preserve">0%的扣除，用扣除后的价格参与价格评审。</w:t>
      </w:r>
      <w:r>
        <w:rPr>
          <w:rFonts w:hint="eastAsia" w:ascii="宋体" w:hAnsi="宋体" w:cs="宋体"/>
          <w:bCs/>
          <w:sz w:val="24"/>
          <w:highlight w:val="none"/>
        </w:rPr>
      </w:r>
      <w:r/>
    </w:p>
    <w:p>
      <w:pPr>
        <w:pStyle w:val="885"/>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如项目为货物类采购，提供的货物全部由符合政策要求的小微企业制造，对其总报价给予</w:t>
      </w:r>
      <w:r>
        <w:rPr>
          <w:rFonts w:ascii="宋体" w:hAnsi="宋体" w:cs="宋体"/>
          <w:bCs/>
          <w:sz w:val="24"/>
          <w:highlight w:val="none"/>
        </w:rPr>
        <w:t xml:space="preserve">2</w:t>
      </w:r>
      <w:r>
        <w:rPr>
          <w:rFonts w:hint="eastAsia" w:ascii="宋体" w:hAnsi="宋体" w:cs="宋体"/>
          <w:bCs/>
          <w:sz w:val="24"/>
          <w:highlight w:val="none"/>
        </w:rPr>
        <w:t xml:space="preserve">0%的扣除，用扣除后的价格参与价格评审。如供应商提供的货物既有中小企业制造货物，也有大型企业制造货物，不享受中小企业扶持政策，价格不作相应扣除。</w:t>
      </w:r>
      <w:r>
        <w:rPr>
          <w:rFonts w:hint="eastAsia" w:ascii="宋体" w:hAnsi="宋体" w:cs="宋体"/>
          <w:bCs/>
          <w:sz w:val="24"/>
          <w:highlight w:val="none"/>
        </w:rPr>
      </w:r>
      <w:r/>
    </w:p>
    <w:p>
      <w:pPr>
        <w:pStyle w:val="885"/>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2. 供应商须按照采购文件要求提供相应的《企业声明函》（格式附后），不提供声明函或有弄虚作假的，将依法承担相应责任。</w:t>
      </w:r>
      <w:r>
        <w:rPr>
          <w:rFonts w:hint="eastAsia" w:ascii="宋体" w:hAnsi="宋体" w:cs="宋体"/>
          <w:bCs/>
          <w:sz w:val="24"/>
          <w:highlight w:val="none"/>
        </w:rPr>
      </w:r>
      <w:r/>
    </w:p>
    <w:p>
      <w:pPr>
        <w:pStyle w:val="885"/>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3. 企业标准请参照《关于印发中小企业划型标准规定的通知》（工信部联企业【2011】300号）文件规定自行填写。</w:t>
      </w:r>
      <w:r>
        <w:rPr>
          <w:rFonts w:hint="eastAsia" w:ascii="宋体" w:hAnsi="宋体" w:cs="宋体"/>
          <w:bCs/>
          <w:sz w:val="24"/>
          <w:highlight w:val="none"/>
        </w:rPr>
      </w:r>
      <w:r/>
    </w:p>
    <w:p>
      <w:pPr>
        <w:pStyle w:val="885"/>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4. 以上规定未尽事项，按《政府采购促进中小企业发展管理办法》 （财库【2020】46号）等有关制度规定执行。</w:t>
      </w:r>
      <w:r>
        <w:rPr>
          <w:rFonts w:hint="eastAsia" w:ascii="宋体" w:hAnsi="宋体" w:cs="宋体"/>
          <w:bCs/>
          <w:sz w:val="24"/>
          <w:highlight w:val="none"/>
        </w:rPr>
      </w:r>
      <w:r/>
    </w:p>
    <w:p>
      <w:pPr>
        <w:pStyle w:val="885"/>
        <w:ind w:firstLine="482"/>
        <w:jc w:val="left"/>
        <w:spacing w:after="0" w:line="440" w:lineRule="exact"/>
        <w:rPr>
          <w:rFonts w:hint="eastAsia" w:ascii="宋体" w:hAnsi="宋体" w:cs="宋体"/>
          <w:b/>
          <w:sz w:val="24"/>
          <w:highlight w:val="none"/>
        </w:rPr>
      </w:pPr>
      <w:r>
        <w:rPr>
          <w:rFonts w:hint="eastAsia" w:ascii="宋体" w:hAnsi="宋体" w:cs="宋体"/>
          <w:b/>
          <w:sz w:val="24"/>
          <w:highlight w:val="none"/>
        </w:rPr>
        <w:t xml:space="preserve">三、残疾人福利单位价格扣除：</w:t>
      </w:r>
      <w:r>
        <w:rPr>
          <w:rFonts w:hint="eastAsia" w:ascii="宋体" w:hAnsi="宋体" w:cs="宋体"/>
          <w:b/>
          <w:sz w:val="24"/>
          <w:highlight w:val="none"/>
        </w:rPr>
      </w:r>
      <w:r/>
    </w:p>
    <w:p>
      <w:pPr>
        <w:pStyle w:val="885"/>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 </w:t>
      </w:r>
      <w:r>
        <w:rPr>
          <w:rFonts w:hint="eastAsia" w:ascii="宋体" w:hAnsi="宋体" w:cs="宋体"/>
          <w:sz w:val="24"/>
          <w:highlight w:val="none"/>
        </w:rPr>
        <w:t xml:space="preserve">本项目对残疾人福利性单位视同小型、微型企业，给予</w:t>
      </w:r>
      <w:r>
        <w:rPr>
          <w:rFonts w:ascii="宋体" w:hAnsi="宋体" w:cs="宋体"/>
          <w:sz w:val="24"/>
          <w:highlight w:val="none"/>
        </w:rPr>
        <w:t xml:space="preserve">2</w:t>
      </w:r>
      <w:r>
        <w:rPr>
          <w:rFonts w:hint="eastAsia" w:ascii="宋体" w:hAnsi="宋体" w:cs="宋体"/>
          <w:sz w:val="24"/>
          <w:highlight w:val="none"/>
        </w:rPr>
        <w:t xml:space="preserve">0%的价格扣除，用扣除后的价格参与评审。</w:t>
      </w:r>
      <w:r>
        <w:rPr>
          <w:rFonts w:hint="eastAsia" w:ascii="宋体" w:hAnsi="宋体" w:cs="宋体"/>
          <w:sz w:val="24"/>
          <w:highlight w:val="none"/>
        </w:rPr>
      </w:r>
      <w:r/>
    </w:p>
    <w:p>
      <w:pPr>
        <w:pStyle w:val="885"/>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 </w:t>
      </w:r>
      <w:r>
        <w:rPr>
          <w:rFonts w:hint="eastAsia" w:ascii="宋体" w:hAnsi="宋体" w:cs="宋体"/>
          <w:sz w:val="24"/>
          <w:highlight w:val="none"/>
        </w:rPr>
        <w:t xml:space="preserve">残疾人福利单位需按照采购文件的要求提供《残疾人福利性单位声明函》</w:t>
      </w:r>
      <w:r>
        <w:rPr>
          <w:rFonts w:hint="eastAsia" w:ascii="宋体" w:hAnsi="宋体" w:cs="宋体"/>
          <w:bCs/>
          <w:sz w:val="24"/>
          <w:highlight w:val="none"/>
        </w:rPr>
        <w:t xml:space="preserve">（格式附后）</w:t>
      </w:r>
      <w:r>
        <w:rPr>
          <w:rFonts w:hint="eastAsia" w:ascii="宋体" w:hAnsi="宋体" w:cs="宋体"/>
          <w:sz w:val="24"/>
          <w:highlight w:val="none"/>
        </w:rPr>
        <w:t xml:space="preserve">。</w:t>
      </w:r>
      <w:r>
        <w:rPr>
          <w:rFonts w:hint="eastAsia" w:ascii="宋体" w:hAnsi="宋体" w:cs="宋体"/>
          <w:sz w:val="24"/>
          <w:highlight w:val="none"/>
        </w:rPr>
      </w:r>
      <w:r/>
    </w:p>
    <w:p>
      <w:pPr>
        <w:pStyle w:val="885"/>
        <w:ind w:firstLine="480"/>
        <w:jc w:val="left"/>
        <w:spacing w:after="0" w:line="440" w:lineRule="exact"/>
        <w:widowControl/>
        <w:rPr>
          <w:highlight w:val="none"/>
        </w:rPr>
      </w:pPr>
      <w:r>
        <w:rPr>
          <w:rFonts w:hint="eastAsia" w:ascii="宋体" w:hAnsi="宋体" w:cs="宋体"/>
          <w:sz w:val="24"/>
          <w:highlight w:val="none"/>
        </w:rPr>
        <w:t xml:space="preserve">3</w:t>
      </w:r>
      <w:r>
        <w:rPr>
          <w:rFonts w:ascii="宋体" w:hAnsi="宋体" w:cs="宋体"/>
          <w:sz w:val="24"/>
          <w:highlight w:val="none"/>
        </w:rPr>
        <w:t xml:space="preserve">. </w:t>
      </w:r>
      <w:r>
        <w:rPr>
          <w:rFonts w:hint="eastAsia" w:ascii="宋体" w:hAnsi="宋体" w:cs="宋体"/>
          <w:sz w:val="24"/>
          <w:highlight w:val="none"/>
        </w:rPr>
        <w:t xml:space="preserve">残疾人福利单位标准请参照《关于促进残疾人就业政府采购政策的通知》（财库〔2017〕141号）。</w:t>
      </w:r>
      <w:r>
        <w:rPr>
          <w:highlight w:val="none"/>
        </w:rPr>
      </w:r>
      <w:r/>
    </w:p>
    <w:p>
      <w:pPr>
        <w:pStyle w:val="885"/>
        <w:ind w:firstLine="482"/>
        <w:jc w:val="left"/>
        <w:spacing w:after="0" w:line="440" w:lineRule="exact"/>
        <w:widowControl/>
        <w:rPr>
          <w:rFonts w:hint="eastAsia" w:ascii="宋体" w:hAnsi="宋体" w:cs="宋体"/>
          <w:b/>
          <w:sz w:val="24"/>
          <w:highlight w:val="none"/>
        </w:rPr>
      </w:pPr>
      <w:r>
        <w:rPr>
          <w:rFonts w:hint="eastAsia" w:ascii="宋体" w:hAnsi="宋体" w:cs="宋体"/>
          <w:b/>
          <w:sz w:val="24"/>
          <w:highlight w:val="none"/>
        </w:rPr>
        <w:t xml:space="preserve">四、监狱和戒毒企业价格扣除：</w:t>
      </w:r>
      <w:r>
        <w:rPr>
          <w:rFonts w:hint="eastAsia" w:ascii="宋体" w:hAnsi="宋体" w:cs="宋体"/>
          <w:b/>
          <w:sz w:val="24"/>
          <w:highlight w:val="none"/>
        </w:rPr>
      </w:r>
      <w:r/>
    </w:p>
    <w:p>
      <w:pPr>
        <w:pStyle w:val="885"/>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 </w:t>
      </w:r>
      <w:r>
        <w:rPr>
          <w:rFonts w:hint="eastAsia" w:ascii="宋体" w:hAnsi="宋体" w:cs="宋体"/>
          <w:sz w:val="24"/>
          <w:highlight w:val="none"/>
        </w:rPr>
        <w:t xml:space="preserve">本项目对监狱和戒毒企业（简称监狱企业）视同小型、微型企业，给予</w:t>
      </w:r>
      <w:r>
        <w:rPr>
          <w:rFonts w:ascii="宋体" w:hAnsi="宋体" w:cs="宋体"/>
          <w:sz w:val="24"/>
          <w:highlight w:val="none"/>
        </w:rPr>
        <w:t xml:space="preserve">2</w:t>
      </w:r>
      <w:r>
        <w:rPr>
          <w:rFonts w:hint="eastAsia" w:ascii="宋体" w:hAnsi="宋体" w:cs="宋体"/>
          <w:sz w:val="24"/>
          <w:highlight w:val="none"/>
        </w:rPr>
        <w:t xml:space="preserve">0%的价格扣除，用扣除后的价格参与评审。</w:t>
      </w:r>
      <w:r>
        <w:rPr>
          <w:rFonts w:hint="eastAsia" w:ascii="宋体" w:hAnsi="宋体" w:cs="宋体"/>
          <w:sz w:val="24"/>
          <w:highlight w:val="none"/>
        </w:rPr>
      </w:r>
      <w:r/>
    </w:p>
    <w:p>
      <w:pPr>
        <w:pStyle w:val="885"/>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 </w:t>
      </w:r>
      <w:r>
        <w:rPr>
          <w:rFonts w:hint="eastAsia" w:ascii="宋体" w:hAnsi="宋体" w:cs="宋体"/>
          <w:sz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sz w:val="24"/>
          <w:highlight w:val="none"/>
        </w:rPr>
      </w:r>
      <w:r/>
    </w:p>
    <w:p>
      <w:pPr>
        <w:pStyle w:val="885"/>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 </w:t>
      </w:r>
      <w:r>
        <w:rPr>
          <w:rFonts w:hint="eastAsia" w:ascii="宋体" w:hAnsi="宋体" w:cs="宋体"/>
          <w:sz w:val="24"/>
          <w:highlight w:val="none"/>
        </w:rPr>
        <w:t xml:space="preserve">监狱企业标准请参照《关于政府采购支持监狱企业发展有关问题的通知》（财库[2014]68号）。</w:t>
      </w:r>
      <w:r>
        <w:rPr>
          <w:rFonts w:hint="eastAsia" w:ascii="宋体" w:hAnsi="宋体" w:cs="宋体"/>
          <w:sz w:val="24"/>
          <w:highlight w:val="none"/>
        </w:rPr>
      </w:r>
      <w:r/>
    </w:p>
    <w:p>
      <w:pPr>
        <w:pStyle w:val="885"/>
        <w:ind w:firstLine="482"/>
        <w:jc w:val="left"/>
        <w:spacing w:after="0" w:line="440" w:lineRule="exact"/>
        <w:widowControl/>
        <w:rPr>
          <w:rFonts w:hint="eastAsia" w:ascii="宋体" w:hAnsi="宋体" w:cs="宋体"/>
          <w:b/>
          <w:sz w:val="24"/>
          <w:highlight w:val="none"/>
        </w:rPr>
      </w:pPr>
      <w:r>
        <w:rPr>
          <w:rFonts w:hint="eastAsia" w:ascii="宋体" w:hAnsi="宋体" w:cs="宋体"/>
          <w:b/>
          <w:sz w:val="24"/>
          <w:highlight w:val="none"/>
        </w:rPr>
        <w:t xml:space="preserve">五、残疾人福利单位、监狱企业属于小型、微型企业的，不重复享受政策。</w:t>
      </w:r>
      <w:r>
        <w:rPr>
          <w:rFonts w:hint="eastAsia" w:ascii="宋体" w:hAnsi="宋体" w:cs="宋体"/>
          <w:b/>
          <w:sz w:val="24"/>
          <w:highlight w:val="none"/>
        </w:rPr>
      </w:r>
      <w:r/>
    </w:p>
    <w:p>
      <w:pPr>
        <w:pStyle w:val="885"/>
        <w:ind w:firstLine="482"/>
        <w:jc w:val="left"/>
        <w:spacing w:after="0" w:line="440" w:lineRule="exact"/>
        <w:widowControl/>
        <w:rPr>
          <w:rFonts w:hint="eastAsia" w:ascii="宋体" w:hAnsi="宋体" w:cs="宋体"/>
          <w:b w:val="0"/>
          <w:bCs/>
          <w:sz w:val="24"/>
          <w:highlight w:val="none"/>
        </w:rPr>
      </w:pPr>
      <w:r>
        <w:rPr>
          <w:rFonts w:hint="eastAsia" w:ascii="宋体" w:hAnsi="宋体" w:cs="宋体"/>
          <w:b/>
          <w:sz w:val="24"/>
          <w:highlight w:val="none"/>
        </w:rPr>
        <w:t xml:space="preserve">六、</w:t>
      </w:r>
      <w:r>
        <w:rPr>
          <w:rFonts w:hint="eastAsia" w:ascii="宋体" w:hAnsi="宋体" w:cs="宋体"/>
          <w:b w:val="0"/>
          <w:bCs/>
          <w:sz w:val="24"/>
          <w:highlight w:val="none"/>
        </w:rPr>
        <w:t xml:space="preserve">严格执行政府采购关于支持</w:t>
      </w:r>
      <w:r>
        <w:rPr>
          <w:rFonts w:hint="eastAsia" w:ascii="宋体" w:hAnsi="宋体" w:cs="宋体"/>
          <w:b w:val="0"/>
          <w:bCs/>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 w:val="0"/>
          <w:bCs/>
          <w:sz w:val="24"/>
          <w:highlight w:val="none"/>
        </w:rPr>
      </w:r>
      <w:r/>
    </w:p>
    <w:p>
      <w:pPr>
        <w:pStyle w:val="885"/>
        <w:ind w:firstLine="482"/>
        <w:jc w:val="left"/>
        <w:spacing w:after="0" w:line="440" w:lineRule="exact"/>
        <w:widowControl/>
        <w:rPr>
          <w:rFonts w:hint="eastAsia" w:ascii="宋体" w:hAnsi="宋体" w:cs="宋体"/>
          <w:b/>
          <w:bCs w:val="0"/>
          <w:sz w:val="24"/>
          <w:szCs w:val="24"/>
          <w:highlight w:val="none"/>
        </w:rPr>
      </w:pPr>
      <w:r>
        <w:rPr>
          <w:rFonts w:hint="eastAsia" w:ascii="宋体" w:hAnsi="宋体" w:cs="宋体"/>
          <w:b/>
          <w:bCs w:val="0"/>
          <w:spacing w:val="0"/>
          <w:sz w:val="24"/>
          <w:szCs w:val="24"/>
          <w:highlight w:val="none"/>
        </w:rPr>
        <w:t xml:space="preserve">七、</w:t>
      </w:r>
      <w:r>
        <w:rPr>
          <w:rFonts w:hint="eastAsia" w:ascii="宋体" w:hAnsi="宋体" w:cs="宋体"/>
          <w:b w:val="0"/>
          <w:bCs/>
          <w:sz w:val="24"/>
          <w:szCs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 。</w:t>
      </w:r>
      <w:r>
        <w:rPr>
          <w:rFonts w:hint="eastAsia" w:ascii="宋体" w:hAnsi="宋体" w:cs="宋体"/>
          <w:b/>
          <w:bCs w:val="0"/>
          <w:sz w:val="24"/>
          <w:szCs w:val="24"/>
          <w:highlight w:val="none"/>
        </w:rPr>
      </w:r>
      <w:r/>
    </w:p>
    <w:p>
      <w:pPr>
        <w:pStyle w:val="885"/>
        <w:ind w:firstLine="482"/>
        <w:jc w:val="left"/>
        <w:spacing w:after="0" w:line="440" w:lineRule="exact"/>
        <w:widowControl/>
        <w:rPr>
          <w:rFonts w:hint="eastAsia" w:ascii="宋体" w:hAnsi="宋体" w:cs="宋体"/>
          <w:b/>
          <w:bCs w:val="0"/>
          <w:sz w:val="24"/>
          <w:highlight w:val="none"/>
        </w:rPr>
      </w:pPr>
      <w:r>
        <w:rPr>
          <w:rFonts w:hint="eastAsia" w:ascii="宋体" w:hAnsi="宋体" w:cs="宋体"/>
          <w:b/>
          <w:bCs w:val="0"/>
          <w:sz w:val="24"/>
          <w:highlight w:val="none"/>
        </w:rPr>
        <w:t xml:space="preserve">八、</w:t>
      </w:r>
      <w:r>
        <w:rPr>
          <w:rFonts w:hint="eastAsia" w:ascii="宋体" w:hAnsi="宋体" w:cs="宋体"/>
          <w:b w:val="0"/>
          <w:bCs/>
          <w:sz w:val="24"/>
          <w:highlight w:val="none"/>
        </w:rPr>
        <w:t xml:space="preserve">执行数据中心采购相关政策：若涉及到数据中心采购，应按照“关于印发《绿色数据中心政府采购需求标准（试行）》的通知（财库〔2023〕7号）”执行。</w:t>
      </w:r>
      <w:r>
        <w:rPr>
          <w:rFonts w:hint="eastAsia" w:ascii="宋体" w:hAnsi="宋体" w:cs="宋体"/>
          <w:b/>
          <w:bCs w:val="0"/>
          <w:sz w:val="24"/>
          <w:highlight w:val="none"/>
        </w:rPr>
      </w:r>
      <w:r/>
    </w:p>
    <w:p>
      <w:pPr>
        <w:pStyle w:val="885"/>
        <w:ind w:firstLine="482"/>
        <w:jc w:val="left"/>
        <w:spacing w:after="0" w:line="440" w:lineRule="exact"/>
        <w:widowControl/>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九、采购本国产品的支持政策</w:t>
      </w:r>
      <w:r>
        <w:rPr>
          <w:rFonts w:hint="eastAsia" w:ascii="宋体" w:hAnsi="宋体" w:eastAsia="宋体" w:cs="宋体"/>
          <w:b/>
          <w:bCs w:val="0"/>
          <w:sz w:val="24"/>
          <w:highlight w:val="none"/>
          <w:lang w:val="en-US" w:eastAsia="zh-CN"/>
        </w:rPr>
      </w:r>
      <w:r/>
    </w:p>
    <w:p>
      <w:pPr>
        <w:pStyle w:val="885"/>
        <w:ind w:firstLine="480"/>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9</w:t>
      </w:r>
      <w:r>
        <w:rPr>
          <w:rFonts w:hint="eastAsia" w:ascii="宋体" w:hAnsi="宋体" w:cs="宋体"/>
          <w:b w:val="0"/>
          <w:bCs/>
          <w:sz w:val="24"/>
          <w:highlight w:val="none"/>
        </w:rPr>
        <w:t xml:space="preserve">.1 本项目政府采购活动中既有本国产品又有非本国产品参与竞争的，依法对本国产品给予价格评审优惠，对本国产品的报价给予 </w:t>
      </w:r>
      <w:r>
        <w:rPr>
          <w:rFonts w:hint="eastAsia" w:ascii="宋体" w:hAnsi="宋体" w:cs="宋体"/>
          <w:b w:val="0"/>
          <w:bCs/>
          <w:sz w:val="24"/>
          <w:highlight w:val="none"/>
          <w:u w:val="none"/>
        </w:rPr>
        <w:t xml:space="preserve">20%</w:t>
      </w:r>
      <w:r>
        <w:rPr>
          <w:rFonts w:hint="eastAsia" w:ascii="宋体" w:hAnsi="宋体" w:cs="宋体"/>
          <w:b w:val="0"/>
          <w:bCs/>
          <w:sz w:val="24"/>
          <w:highlight w:val="none"/>
        </w:rPr>
        <w:t xml:space="preserve">的价格扣除，用扣除后的价格参与评审。</w:t>
      </w:r>
      <w:r>
        <w:rPr>
          <w:rFonts w:hint="eastAsia" w:ascii="宋体" w:hAnsi="宋体" w:cs="宋体"/>
          <w:b w:val="0"/>
          <w:bCs/>
          <w:sz w:val="24"/>
          <w:highlight w:val="none"/>
        </w:rPr>
      </w:r>
      <w:r/>
    </w:p>
    <w:p>
      <w:pPr>
        <w:pStyle w:val="885"/>
        <w:ind w:firstLine="480"/>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9</w:t>
      </w:r>
      <w:r>
        <w:rPr>
          <w:rFonts w:hint="eastAsia" w:ascii="宋体" w:hAnsi="宋体" w:cs="宋体"/>
          <w:b w:val="0"/>
          <w:bCs/>
          <w:sz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val="0"/>
          <w:bCs/>
          <w:sz w:val="24"/>
          <w:highlight w:val="none"/>
          <w:u w:val="none"/>
        </w:rPr>
        <w:t xml:space="preserve">80%</w:t>
      </w:r>
      <w:r>
        <w:rPr>
          <w:rFonts w:hint="eastAsia" w:ascii="宋体" w:hAnsi="宋体" w:cs="宋体"/>
          <w:b w:val="0"/>
          <w:bCs/>
          <w:sz w:val="24"/>
          <w:highlight w:val="none"/>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sz w:val="24"/>
          <w:highlight w:val="none"/>
        </w:rPr>
      </w:r>
      <w:r/>
    </w:p>
    <w:p>
      <w:pPr>
        <w:pStyle w:val="885"/>
        <w:ind w:firstLine="480"/>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9</w:t>
      </w:r>
      <w:r>
        <w:rPr>
          <w:rFonts w:hint="eastAsia" w:ascii="宋体" w:hAnsi="宋体" w:cs="宋体"/>
          <w:b w:val="0"/>
          <w:bCs/>
          <w:sz w:val="24"/>
          <w:highlight w:val="none"/>
        </w:rPr>
        <w:t xml:space="preserve">.3 供应商需按照招标文件的要求提供《关于符合本国产品标准的声明函》（以下简称《声明函》），如不提供将不享受本国产品价格评审优惠。</w:t>
      </w:r>
      <w:r>
        <w:rPr>
          <w:rFonts w:hint="eastAsia" w:ascii="宋体" w:hAnsi="宋体" w:cs="宋体"/>
          <w:b w:val="0"/>
          <w:bCs/>
          <w:sz w:val="24"/>
          <w:highlight w:val="none"/>
        </w:rPr>
      </w:r>
      <w:r/>
    </w:p>
    <w:p>
      <w:pPr>
        <w:pStyle w:val="885"/>
        <w:ind w:firstLine="480"/>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9</w:t>
      </w:r>
      <w:r>
        <w:rPr>
          <w:rFonts w:hint="eastAsia" w:ascii="宋体" w:hAnsi="宋体" w:cs="宋体"/>
          <w:b w:val="0"/>
          <w:bCs/>
          <w:sz w:val="24"/>
          <w:highlight w:val="none"/>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b w:val="0"/>
          <w:bCs/>
          <w:sz w:val="24"/>
          <w:highlight w:val="none"/>
        </w:rPr>
      </w:r>
      <w:r/>
    </w:p>
    <w:p>
      <w:pPr>
        <w:pStyle w:val="885"/>
        <w:ind w:firstLine="480"/>
        <w:jc w:val="left"/>
        <w:spacing w:after="0" w:line="440" w:lineRule="exact"/>
        <w:widowControl/>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9</w:t>
      </w:r>
      <w:r>
        <w:rPr>
          <w:rFonts w:hint="eastAsia" w:ascii="宋体" w:hAnsi="宋体" w:cs="宋体"/>
          <w:b w:val="0"/>
          <w:bCs/>
          <w:sz w:val="24"/>
          <w:szCs w:val="24"/>
          <w:highlight w:val="none"/>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val="0"/>
          <w:bCs/>
          <w:sz w:val="24"/>
          <w:szCs w:val="24"/>
          <w:highlight w:val="none"/>
        </w:rPr>
      </w:r>
      <w:r/>
    </w:p>
    <w:p>
      <w:pPr>
        <w:pStyle w:val="885"/>
        <w:ind w:firstLine="482"/>
        <w:spacing w:line="420" w:lineRule="exact"/>
        <w:rPr>
          <w:rFonts w:ascii="宋体" w:hAnsi="宋体"/>
          <w:color w:val="000000"/>
          <w:sz w:val="24"/>
        </w:rPr>
      </w:pPr>
      <w:r>
        <w:rPr>
          <w:rFonts w:hint="eastAsia" w:ascii="宋体" w:hAnsi="宋体" w:cs="宋体"/>
          <w:b/>
          <w:color w:val="000000"/>
          <w:sz w:val="24"/>
          <w:lang w:val="en-US" w:eastAsia="zh-CN"/>
        </w:rPr>
        <w:t xml:space="preserve">十</w:t>
      </w:r>
      <w:r>
        <w:rPr>
          <w:rFonts w:hint="eastAsia" w:ascii="宋体" w:hAnsi="宋体" w:cs="宋体"/>
          <w:b/>
          <w:color w:val="000000"/>
          <w:sz w:val="24"/>
        </w:rPr>
        <w:t xml:space="preserve">、评标细则</w:t>
      </w:r>
      <w:r>
        <w:rPr>
          <w:rFonts w:hint="eastAsia" w:ascii="宋体" w:hAnsi="宋体"/>
          <w:b/>
          <w:color w:val="000000"/>
          <w:sz w:val="24"/>
        </w:rPr>
        <w:t xml:space="preserve">（总分值为100分）</w:t>
      </w:r>
      <w:r>
        <w:rPr>
          <w:rFonts w:ascii="宋体" w:hAnsi="宋体"/>
          <w:color w:val="000000"/>
          <w:sz w:val="24"/>
        </w:rPr>
      </w:r>
      <w:r/>
    </w:p>
    <w:tbl>
      <w:tblPr>
        <w:tblW w:w="9970" w:type="dxa"/>
        <w:jc w:val="center"/>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20"/>
        <w:gridCol w:w="987"/>
        <w:gridCol w:w="951"/>
        <w:gridCol w:w="787"/>
        <w:gridCol w:w="6625"/>
      </w:tblGrid>
      <w:tr>
        <w:trPr>
          <w:trHeight w:val="829"/>
        </w:trPr>
        <w:tc>
          <w:tcPr>
            <w:tcW w:w="620" w:type="dxa"/>
            <w:vAlign w:val="center"/>
            <w:textDirection w:val="lrTb"/>
            <w:noWrap w:val="false"/>
          </w:tcPr>
          <w:p>
            <w:pPr>
              <w:pStyle w:val="885"/>
              <w:jc w:val="center"/>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序号</w:t>
            </w:r>
            <w:r>
              <w:rPr>
                <w:rFonts w:hint="eastAsia" w:ascii="宋体" w:hAnsi="宋体" w:eastAsia="宋体" w:cs="宋体"/>
                <w:b/>
                <w:sz w:val="21"/>
                <w:szCs w:val="21"/>
                <w:lang w:val="en-US" w:eastAsia="zh-CN" w:bidi="ar-SA"/>
              </w:rPr>
            </w:r>
            <w:r/>
          </w:p>
        </w:tc>
        <w:tc>
          <w:tcPr>
            <w:gridSpan w:val="2"/>
            <w:tcW w:w="1938" w:type="dxa"/>
            <w:vAlign w:val="center"/>
            <w:textDirection w:val="lrTb"/>
            <w:noWrap w:val="false"/>
          </w:tcPr>
          <w:p>
            <w:pPr>
              <w:pStyle w:val="885"/>
              <w:jc w:val="center"/>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评分项目</w:t>
            </w:r>
            <w:r>
              <w:rPr>
                <w:rFonts w:hint="eastAsia" w:ascii="宋体" w:hAnsi="宋体" w:eastAsia="宋体" w:cs="宋体"/>
                <w:b/>
                <w:sz w:val="21"/>
                <w:szCs w:val="21"/>
                <w:lang w:val="en-US" w:eastAsia="zh-CN" w:bidi="ar-SA"/>
              </w:rPr>
            </w:r>
            <w:r/>
          </w:p>
        </w:tc>
        <w:tc>
          <w:tcPr>
            <w:tcW w:w="787" w:type="dxa"/>
            <w:vAlign w:val="center"/>
            <w:textDirection w:val="lrTb"/>
            <w:noWrap w:val="false"/>
          </w:tcPr>
          <w:p>
            <w:pPr>
              <w:pStyle w:val="885"/>
              <w:jc w:val="center"/>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满分分值</w:t>
            </w:r>
            <w:r>
              <w:rPr>
                <w:rFonts w:hint="eastAsia" w:ascii="宋体" w:hAnsi="宋体" w:eastAsia="宋体" w:cs="宋体"/>
                <w:b/>
                <w:sz w:val="21"/>
                <w:szCs w:val="21"/>
                <w:lang w:val="en-US" w:eastAsia="zh-CN" w:bidi="ar-SA"/>
              </w:rPr>
            </w:r>
            <w:r/>
          </w:p>
        </w:tc>
        <w:tc>
          <w:tcPr>
            <w:tcW w:w="6625" w:type="dxa"/>
            <w:vAlign w:val="center"/>
            <w:textDirection w:val="lrTb"/>
            <w:noWrap w:val="false"/>
          </w:tcPr>
          <w:p>
            <w:pPr>
              <w:pStyle w:val="885"/>
              <w:jc w:val="center"/>
              <w:widowControl/>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评 分 细 则</w:t>
            </w:r>
            <w:r>
              <w:rPr>
                <w:rFonts w:hint="eastAsia" w:ascii="宋体" w:hAnsi="宋体" w:eastAsia="宋体" w:cs="宋体"/>
                <w:b/>
                <w:sz w:val="21"/>
                <w:szCs w:val="21"/>
                <w:lang w:val="en-US" w:eastAsia="zh-CN" w:bidi="ar-SA"/>
              </w:rPr>
            </w:r>
            <w:r/>
          </w:p>
        </w:tc>
      </w:tr>
      <w:tr>
        <w:trPr>
          <w:trHeight w:val="1800"/>
        </w:trPr>
        <w:tc>
          <w:tcPr>
            <w:tcW w:w="620" w:type="dxa"/>
            <w:vAlign w:val="center"/>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w:t>
            </w:r>
            <w:r>
              <w:rPr>
                <w:rFonts w:hint="eastAsia" w:ascii="宋体" w:hAnsi="宋体" w:eastAsia="宋体" w:cs="宋体"/>
                <w:sz w:val="21"/>
                <w:szCs w:val="21"/>
                <w:lang w:val="en-US" w:eastAsia="zh-CN" w:bidi="ar-SA"/>
              </w:rPr>
            </w:r>
            <w:r/>
          </w:p>
        </w:tc>
        <w:tc>
          <w:tcPr>
            <w:tcW w:w="987" w:type="dxa"/>
            <w:vAlign w:val="center"/>
            <w:textDirection w:val="lrTb"/>
            <w:noWrap w:val="false"/>
          </w:tcPr>
          <w:p>
            <w:pPr>
              <w:pStyle w:val="885"/>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报价部分</w:t>
            </w:r>
            <w:r>
              <w:rPr>
                <w:rFonts w:hint="eastAsia" w:ascii="宋体" w:hAnsi="宋体" w:eastAsia="宋体" w:cs="宋体"/>
                <w:sz w:val="21"/>
                <w:szCs w:val="21"/>
                <w:lang w:val="en-US" w:eastAsia="zh-CN" w:bidi="ar-SA"/>
              </w:rPr>
            </w:r>
            <w:r/>
          </w:p>
          <w:p>
            <w:pPr>
              <w:pStyle w:val="885"/>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（30分）</w:t>
            </w:r>
            <w:r>
              <w:rPr>
                <w:rFonts w:hint="eastAsia" w:ascii="宋体" w:hAnsi="宋体" w:eastAsia="宋体" w:cs="宋体"/>
                <w:sz w:val="21"/>
                <w:szCs w:val="21"/>
                <w:lang w:val="en-US" w:eastAsia="zh-CN" w:bidi="ar-SA"/>
              </w:rPr>
            </w:r>
            <w:r/>
          </w:p>
        </w:tc>
        <w:tc>
          <w:tcPr>
            <w:tcW w:w="951" w:type="dxa"/>
            <w:vAlign w:val="center"/>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投标报价</w:t>
            </w:r>
            <w:r>
              <w:rPr>
                <w:rFonts w:hint="eastAsia" w:ascii="宋体" w:hAnsi="宋体" w:eastAsia="宋体" w:cs="宋体"/>
                <w:sz w:val="21"/>
                <w:szCs w:val="21"/>
                <w:lang w:val="en-US" w:eastAsia="zh-CN" w:bidi="ar-SA"/>
              </w:rPr>
            </w:r>
            <w:r/>
          </w:p>
        </w:tc>
        <w:tc>
          <w:tcPr>
            <w:tcW w:w="787" w:type="dxa"/>
            <w:vAlign w:val="center"/>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30分</w:t>
            </w:r>
            <w:r>
              <w:rPr>
                <w:rFonts w:hint="eastAsia" w:ascii="宋体" w:hAnsi="宋体" w:eastAsia="宋体" w:cs="宋体"/>
                <w:sz w:val="21"/>
                <w:szCs w:val="21"/>
                <w:lang w:val="en-US" w:eastAsia="zh-CN" w:bidi="ar-SA"/>
              </w:rPr>
            </w:r>
            <w:r/>
          </w:p>
        </w:tc>
        <w:tc>
          <w:tcPr>
            <w:tcW w:w="6625" w:type="dxa"/>
            <w:vAlign w:val="center"/>
            <w:textDirection w:val="lrTb"/>
            <w:noWrap w:val="false"/>
          </w:tcPr>
          <w:p>
            <w:pPr>
              <w:pStyle w:val="885"/>
              <w:ind w:firstLine="440"/>
              <w:jc w:val="both"/>
              <w:widowControl w:val="off"/>
              <w:rPr>
                <w:rFonts w:hint="eastAsia" w:ascii="宋体" w:hAnsi="宋体" w:eastAsia="宋体" w:cs="宋体"/>
                <w:color w:val="000000"/>
                <w:sz w:val="22"/>
                <w:szCs w:val="18"/>
                <w:lang w:val="en-US" w:eastAsia="zh-CN" w:bidi="ar-SA"/>
              </w:rPr>
            </w:pPr>
            <w:r>
              <w:rPr>
                <w:rFonts w:hint="eastAsia" w:ascii="宋体" w:hAnsi="宋体" w:eastAsia="宋体" w:cs="宋体"/>
                <w:color w:val="000000"/>
                <w:sz w:val="22"/>
                <w:szCs w:val="18"/>
                <w:lang w:val="en-US" w:eastAsia="zh-CN" w:bidi="ar-SA"/>
              </w:rPr>
              <w:t xml:space="preserve">满足招标文件要求且投标价格最低的有效投标报价为评标基准价，其价格分为满分30分。</w:t>
            </w:r>
            <w:r>
              <w:rPr>
                <w:rFonts w:hint="eastAsia" w:ascii="宋体" w:hAnsi="宋体" w:eastAsia="宋体" w:cs="宋体"/>
                <w:color w:val="000000"/>
                <w:sz w:val="22"/>
                <w:szCs w:val="18"/>
                <w:lang w:val="en-US" w:eastAsia="zh-CN" w:bidi="ar-SA"/>
              </w:rPr>
            </w:r>
            <w:r/>
          </w:p>
          <w:p>
            <w:pPr>
              <w:pStyle w:val="885"/>
              <w:ind w:firstLine="440"/>
              <w:jc w:val="both"/>
              <w:widowControl w:val="off"/>
              <w:rPr>
                <w:rFonts w:hint="eastAsia" w:ascii="宋体" w:hAnsi="宋体" w:eastAsia="宋体" w:cs="宋体"/>
                <w:b/>
                <w:color w:val="000000"/>
                <w:sz w:val="22"/>
                <w:szCs w:val="18"/>
                <w:lang w:val="en-US" w:eastAsia="zh-CN" w:bidi="ar-SA"/>
              </w:rPr>
            </w:pPr>
            <w:r>
              <w:rPr>
                <w:rFonts w:hint="eastAsia" w:ascii="宋体" w:hAnsi="宋体" w:eastAsia="宋体" w:cs="宋体"/>
                <w:color w:val="000000"/>
                <w:sz w:val="22"/>
                <w:szCs w:val="18"/>
                <w:lang w:val="en-US" w:eastAsia="zh-CN" w:bidi="ar-SA"/>
              </w:rPr>
              <w:t xml:space="preserve">其他投标人的价格分统一按照下列公式计算：</w:t>
            </w:r>
            <w:r>
              <w:rPr>
                <w:rFonts w:hint="eastAsia" w:ascii="宋体" w:hAnsi="宋体" w:eastAsia="宋体" w:cs="宋体"/>
                <w:b/>
                <w:color w:val="000000"/>
                <w:sz w:val="22"/>
                <w:szCs w:val="18"/>
                <w:lang w:val="en-US" w:eastAsia="zh-CN" w:bidi="ar-SA"/>
              </w:rPr>
              <w:t xml:space="preserve">投标报价得分=（评标基准价/投标报价）×30</w:t>
            </w:r>
            <w:r>
              <w:rPr>
                <w:rFonts w:hint="eastAsia" w:ascii="宋体" w:hAnsi="宋体" w:eastAsia="宋体" w:cs="宋体"/>
                <w:color w:val="000000"/>
                <w:sz w:val="22"/>
                <w:szCs w:val="18"/>
                <w:lang w:val="en-US" w:eastAsia="zh-CN" w:bidi="ar-SA"/>
              </w:rPr>
              <w:t xml:space="preserve">，结果保留两位小数</w:t>
            </w:r>
            <w:r>
              <w:rPr>
                <w:rFonts w:hint="eastAsia" w:ascii="宋体" w:hAnsi="宋体" w:eastAsia="宋体" w:cs="宋体"/>
                <w:b/>
                <w:color w:val="000000"/>
                <w:sz w:val="22"/>
                <w:szCs w:val="18"/>
                <w:lang w:val="en-US" w:eastAsia="zh-CN" w:bidi="ar-SA"/>
              </w:rPr>
              <w:t xml:space="preserve">（</w:t>
            </w:r>
            <w:r>
              <w:rPr>
                <w:rFonts w:hint="eastAsia" w:ascii="宋体" w:hAnsi="宋体" w:eastAsia="宋体" w:cs="宋体"/>
                <w:b/>
                <w:bCs/>
                <w:color w:val="000000"/>
                <w:sz w:val="22"/>
                <w:szCs w:val="18"/>
                <w:lang w:val="en-US" w:eastAsia="zh-CN" w:bidi="ar-SA"/>
              </w:rPr>
              <w:t xml:space="preserve">有效投标文件是指未被评标委员会判定为无效标的投标文件</w:t>
            </w:r>
            <w:r>
              <w:rPr>
                <w:rFonts w:hint="eastAsia" w:ascii="宋体" w:hAnsi="宋体" w:eastAsia="宋体" w:cs="宋体"/>
                <w:b/>
                <w:color w:val="000000"/>
                <w:sz w:val="22"/>
                <w:szCs w:val="18"/>
                <w:lang w:val="en-US" w:eastAsia="zh-CN" w:bidi="ar-SA"/>
              </w:rPr>
              <w:t xml:space="preserve">）。</w:t>
            </w:r>
            <w:r>
              <w:rPr>
                <w:rFonts w:hint="eastAsia" w:ascii="宋体" w:hAnsi="宋体" w:eastAsia="宋体" w:cs="宋体"/>
                <w:b/>
                <w:color w:val="000000"/>
                <w:sz w:val="22"/>
                <w:szCs w:val="18"/>
                <w:lang w:val="en-US" w:eastAsia="zh-CN" w:bidi="ar-SA"/>
              </w:rPr>
            </w:r>
            <w:r/>
          </w:p>
          <w:p>
            <w:pPr>
              <w:pStyle w:val="885"/>
              <w:ind w:firstLine="442"/>
              <w:jc w:val="both"/>
              <w:spacing w:line="400" w:lineRule="exact"/>
              <w:widowControl w:val="off"/>
              <w:rPr>
                <w:rFonts w:hint="eastAsia" w:ascii="宋体" w:hAnsi="宋体" w:eastAsia="宋体" w:cs="宋体"/>
                <w:b/>
                <w:sz w:val="21"/>
                <w:szCs w:val="21"/>
                <w:lang w:val="en-US" w:eastAsia="zh-CN" w:bidi="ar-SA"/>
              </w:rPr>
            </w:pPr>
            <w:r>
              <w:rPr>
                <w:rFonts w:hint="eastAsia" w:ascii="宋体" w:hAnsi="宋体" w:eastAsia="宋体" w:cs="宋体"/>
                <w:b/>
                <w:bCs/>
                <w:color w:val="000000"/>
                <w:sz w:val="22"/>
                <w:szCs w:val="18"/>
                <w:lang w:val="en-US" w:eastAsia="zh-CN" w:bidi="ar-SA"/>
              </w:rPr>
              <w:t xml:space="preserve">注：因落实政府采购政策进行价格调整的，以调整后的价格计算评标基准价和投标报价。小微企业、残疾人福利单位、监狱和戒毒企业优惠政策详见本文第四章。</w:t>
            </w:r>
            <w:r>
              <w:rPr>
                <w:rFonts w:hint="eastAsia" w:ascii="宋体" w:hAnsi="宋体" w:eastAsia="宋体" w:cs="宋体"/>
                <w:b/>
                <w:sz w:val="21"/>
                <w:szCs w:val="21"/>
                <w:lang w:val="en-US" w:eastAsia="zh-CN" w:bidi="ar-SA"/>
              </w:rPr>
            </w:r>
            <w:r/>
          </w:p>
        </w:tc>
      </w:tr>
      <w:tr>
        <w:trPr>
          <w:trHeight w:val="1139"/>
        </w:trPr>
        <w:tc>
          <w:tcPr>
            <w:tcW w:w="620" w:type="dxa"/>
            <w:vAlign w:val="center"/>
            <w:vMerge w:val="restart"/>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二</w:t>
            </w:r>
            <w:r>
              <w:rPr>
                <w:rFonts w:hint="eastAsia" w:ascii="宋体" w:hAnsi="宋体" w:eastAsia="宋体" w:cs="宋体"/>
                <w:sz w:val="21"/>
                <w:szCs w:val="21"/>
                <w:lang w:val="en-US" w:eastAsia="zh-CN" w:bidi="ar-SA"/>
              </w:rPr>
            </w:r>
            <w:r/>
          </w:p>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87" w:type="dxa"/>
            <w:vAlign w:val="center"/>
            <w:vMerge w:val="restart"/>
            <w:textDirection w:val="lrTb"/>
            <w:noWrap w:val="false"/>
          </w:tcPr>
          <w:p>
            <w:pPr>
              <w:pStyle w:val="885"/>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商务部分</w:t>
            </w:r>
            <w:r>
              <w:rPr>
                <w:rFonts w:hint="eastAsia" w:ascii="宋体" w:hAnsi="宋体" w:eastAsia="宋体" w:cs="宋体"/>
                <w:sz w:val="21"/>
                <w:szCs w:val="21"/>
                <w:lang w:val="en-US" w:eastAsia="zh-CN" w:bidi="ar-SA"/>
              </w:rPr>
            </w:r>
            <w:r/>
          </w:p>
          <w:p>
            <w:pPr>
              <w:pStyle w:val="885"/>
              <w:jc w:val="both"/>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（59分）</w:t>
            </w:r>
            <w:r>
              <w:rPr>
                <w:rFonts w:hint="eastAsia" w:ascii="宋体" w:hAnsi="宋体" w:eastAsia="宋体" w:cs="宋体"/>
                <w:sz w:val="21"/>
                <w:szCs w:val="21"/>
                <w:lang w:val="en-US" w:eastAsia="zh-CN" w:bidi="ar-SA"/>
              </w:rPr>
            </w:r>
            <w:r/>
          </w:p>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51" w:type="dxa"/>
            <w:vAlign w:val="center"/>
            <w:textDirection w:val="lrTb"/>
            <w:noWrap w:val="false"/>
          </w:tcPr>
          <w:p>
            <w:pPr>
              <w:pStyle w:val="885"/>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技术参数响应</w:t>
            </w:r>
            <w:r>
              <w:rPr>
                <w:rFonts w:hint="eastAsia" w:ascii="宋体" w:hAnsi="宋体" w:eastAsia="宋体" w:cs="宋体"/>
                <w:color w:val="000000"/>
                <w:sz w:val="21"/>
                <w:szCs w:val="21"/>
                <w:highlight w:val="none"/>
                <w:lang w:val="en-US" w:eastAsia="zh-CN" w:bidi="ar-SA"/>
              </w:rPr>
            </w:r>
            <w:r/>
          </w:p>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787" w:type="dxa"/>
            <w:vAlign w:val="center"/>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48分</w:t>
            </w:r>
            <w:r>
              <w:rPr>
                <w:rFonts w:hint="eastAsia" w:ascii="宋体" w:hAnsi="宋体" w:eastAsia="宋体" w:cs="宋体"/>
                <w:sz w:val="21"/>
                <w:szCs w:val="21"/>
                <w:lang w:val="en-US" w:eastAsia="zh-CN" w:bidi="ar-SA"/>
              </w:rPr>
            </w:r>
            <w:r/>
          </w:p>
        </w:tc>
        <w:tc>
          <w:tcPr>
            <w:tcW w:w="6625" w:type="dxa"/>
            <w:vAlign w:val="center"/>
            <w:textDirection w:val="lrTb"/>
            <w:noWrap w:val="false"/>
          </w:tcPr>
          <w:p>
            <w:pPr>
              <w:pStyle w:val="885"/>
              <w:ind w:firstLine="440"/>
              <w:jc w:val="both"/>
              <w:widowControl w:val="off"/>
              <w:rPr>
                <w:rFonts w:ascii="宋体" w:hAnsi="宋体" w:eastAsia="宋体" w:cs="宋体"/>
                <w:color w:val="000000"/>
                <w:sz w:val="22"/>
                <w:szCs w:val="18"/>
                <w:lang w:val="en-US" w:eastAsia="zh-CN" w:bidi="ar-SA"/>
              </w:rPr>
            </w:pPr>
            <w:r>
              <w:rPr>
                <w:rFonts w:hint="eastAsia" w:ascii="宋体" w:hAnsi="宋体" w:eastAsia="宋体" w:cs="宋体"/>
                <w:color w:val="000000"/>
                <w:sz w:val="22"/>
                <w:szCs w:val="18"/>
                <w:lang w:val="en-US" w:eastAsia="zh-CN" w:bidi="ar-SA"/>
              </w:rPr>
              <w:t xml:space="preserve">根据各投标人对本次招标技术参数部分响应情况进行评定。投标人的所有技术参数满足招标要求的得满分48分。技术参数中加“▲”部分重要指标，全部满足招标要求的得30分，出现负偏离有一项扣2分：技术参数中除加“▲”以外的其它条款为一般技术指标，全部满足招标要求的得18分，出现负偏离有一项扣0.06分，扣完为止。</w:t>
            </w:r>
            <w:r>
              <w:rPr>
                <w:rFonts w:ascii="宋体" w:hAnsi="宋体" w:eastAsia="宋体" w:cs="宋体"/>
                <w:color w:val="000000"/>
                <w:sz w:val="22"/>
                <w:szCs w:val="18"/>
                <w:lang w:val="en-US" w:eastAsia="zh-CN" w:bidi="ar-SA"/>
              </w:rPr>
            </w:r>
            <w:r/>
          </w:p>
          <w:p>
            <w:pPr>
              <w:pStyle w:val="885"/>
              <w:ind w:firstLine="440"/>
              <w:jc w:val="both"/>
              <w:widowControl w:val="off"/>
              <w:rPr>
                <w:rFonts w:hint="eastAsia" w:ascii="宋体" w:hAnsi="宋体" w:eastAsia="宋体" w:cs="宋体"/>
                <w:color w:val="000000"/>
                <w:sz w:val="22"/>
                <w:szCs w:val="18"/>
                <w:lang w:val="en-US" w:eastAsia="zh-CN" w:bidi="ar-SA"/>
              </w:rPr>
            </w:pPr>
            <w:r>
              <w:rPr>
                <w:rFonts w:hint="eastAsia" w:ascii="宋体" w:hAnsi="宋体" w:eastAsia="宋体" w:cs="宋体"/>
                <w:color w:val="000000"/>
                <w:sz w:val="22"/>
                <w:szCs w:val="18"/>
                <w:lang w:val="en-US" w:eastAsia="zh-CN" w:bidi="ar-SA"/>
              </w:rPr>
              <w:t xml:space="preserve">注：①技术参数要求提供的证明材料的以证明材料复印件加盖投标单位公章为准，其他参数以提供的技术参数响应表加盖投标单位公章为准；</w:t>
            </w:r>
            <w:r>
              <w:rPr>
                <w:rFonts w:hint="eastAsia" w:ascii="宋体" w:hAnsi="宋体" w:eastAsia="宋体" w:cs="宋体"/>
                <w:color w:val="000000"/>
                <w:sz w:val="22"/>
                <w:szCs w:val="18"/>
                <w:lang w:val="en-US" w:eastAsia="zh-CN" w:bidi="ar-SA"/>
              </w:rPr>
            </w:r>
            <w:r/>
          </w:p>
          <w:p>
            <w:pPr>
              <w:pStyle w:val="885"/>
              <w:ind w:firstLine="440"/>
              <w:jc w:val="both"/>
              <w:widowControl w:val="off"/>
              <w:rPr>
                <w:rFonts w:hint="eastAsia" w:ascii="宋体" w:hAnsi="宋体" w:eastAsia="宋体" w:cs="宋体"/>
                <w:bCs/>
                <w:sz w:val="21"/>
                <w:szCs w:val="21"/>
                <w:lang w:val="en-US" w:eastAsia="zh-CN" w:bidi="ar-SA"/>
              </w:rPr>
            </w:pPr>
            <w:r>
              <w:rPr>
                <w:rFonts w:hint="eastAsia" w:ascii="宋体" w:hAnsi="宋体" w:eastAsia="宋体" w:cs="宋体"/>
                <w:color w:val="000000"/>
                <w:sz w:val="22"/>
                <w:szCs w:val="18"/>
                <w:lang w:val="en-US" w:eastAsia="zh-CN" w:bidi="ar-SA"/>
              </w:rPr>
              <w:t xml:space="preserve">②技术参数中每一编号项的要求为一项；</w:t>
            </w:r>
            <w:r>
              <w:rPr>
                <w:rFonts w:hint="eastAsia" w:ascii="宋体" w:hAnsi="宋体" w:eastAsia="宋体" w:cs="宋体"/>
                <w:bCs/>
                <w:sz w:val="21"/>
                <w:szCs w:val="21"/>
                <w:lang w:val="en-US" w:eastAsia="zh-CN" w:bidi="ar-SA"/>
              </w:rPr>
            </w:r>
            <w:r/>
          </w:p>
        </w:tc>
      </w:tr>
      <w:tr>
        <w:trPr>
          <w:trHeight w:val="1616"/>
        </w:trPr>
        <w:tc>
          <w:tcPr>
            <w:tcW w:w="620" w:type="dxa"/>
            <w:vAlign w:val="center"/>
            <w:vMerge w:val="continue"/>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87" w:type="dxa"/>
            <w:vAlign w:val="center"/>
            <w:vMerge w:val="continue"/>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51" w:type="dxa"/>
            <w:vAlign w:val="center"/>
            <w:textDirection w:val="lrTb"/>
            <w:noWrap w:val="false"/>
          </w:tcPr>
          <w:p>
            <w:pPr>
              <w:pStyle w:val="885"/>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bidi="ar-SA"/>
              </w:rPr>
              <w:t xml:space="preserve">业绩证明</w:t>
            </w:r>
            <w:r>
              <w:rPr>
                <w:rFonts w:hint="eastAsia" w:ascii="宋体" w:hAnsi="宋体" w:eastAsia="宋体" w:cs="宋体"/>
                <w:sz w:val="21"/>
                <w:szCs w:val="21"/>
                <w:highlight w:val="none"/>
                <w:lang w:val="en-US" w:eastAsia="zh-CN" w:bidi="ar-SA"/>
              </w:rPr>
            </w:r>
            <w:r/>
          </w:p>
        </w:tc>
        <w:tc>
          <w:tcPr>
            <w:tcW w:w="787" w:type="dxa"/>
            <w:vAlign w:val="center"/>
            <w:textDirection w:val="lrTb"/>
            <w:noWrap w:val="false"/>
          </w:tcPr>
          <w:p>
            <w:pPr>
              <w:pStyle w:val="885"/>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bidi="ar-SA"/>
              </w:rPr>
              <w:t xml:space="preserve">6分</w:t>
            </w:r>
            <w:r>
              <w:rPr>
                <w:rFonts w:hint="eastAsia" w:ascii="宋体" w:hAnsi="宋体" w:eastAsia="宋体" w:cs="宋体"/>
                <w:sz w:val="21"/>
                <w:szCs w:val="21"/>
                <w:highlight w:val="none"/>
                <w:lang w:val="en-US" w:eastAsia="zh-CN" w:bidi="ar-SA"/>
              </w:rPr>
            </w:r>
            <w:r/>
          </w:p>
        </w:tc>
        <w:tc>
          <w:tcPr>
            <w:tcW w:w="6625" w:type="dxa"/>
            <w:vAlign w:val="center"/>
            <w:textDirection w:val="lrTb"/>
            <w:noWrap w:val="false"/>
          </w:tcPr>
          <w:p>
            <w:pPr>
              <w:pStyle w:val="885"/>
              <w:ind w:firstLine="440"/>
              <w:jc w:val="both"/>
              <w:widowControl w:val="off"/>
              <w:rPr>
                <w:rFonts w:hint="eastAsia" w:ascii="宋体" w:hAnsi="宋体" w:eastAsia="宋体" w:cs="宋体"/>
                <w:color w:val="000000"/>
                <w:sz w:val="22"/>
                <w:szCs w:val="18"/>
                <w:lang w:val="en-US" w:eastAsia="zh-CN" w:bidi="ar-SA"/>
              </w:rPr>
            </w:pPr>
            <w:r>
              <w:rPr>
                <w:rFonts w:hint="eastAsia" w:ascii="宋体" w:hAnsi="宋体" w:eastAsia="宋体" w:cs="宋体"/>
                <w:color w:val="000000"/>
                <w:sz w:val="22"/>
                <w:szCs w:val="18"/>
                <w:lang w:val="en-US" w:eastAsia="zh-CN" w:bidi="ar-SA"/>
              </w:rPr>
              <w:t xml:space="preserve">投标单位具有类似项目业绩合同（2022年1月1日以后所签合同）的，每提供一个得3分，最高得6分。（须提供合同原件彩色扫描件，分包合同不计分，不提供不得分）</w:t>
            </w:r>
            <w:r>
              <w:rPr>
                <w:rFonts w:hint="eastAsia" w:ascii="宋体" w:hAnsi="宋体" w:eastAsia="宋体" w:cs="宋体"/>
                <w:color w:val="000000"/>
                <w:sz w:val="22"/>
                <w:szCs w:val="18"/>
                <w:lang w:val="en-US" w:eastAsia="zh-CN" w:bidi="ar-SA"/>
              </w:rPr>
            </w:r>
            <w:r/>
          </w:p>
          <w:p>
            <w:pPr>
              <w:pStyle w:val="885"/>
              <w:ind w:firstLine="440"/>
              <w:jc w:val="both"/>
              <w:widowControl w:val="off"/>
              <w:rPr>
                <w:rFonts w:hint="eastAsia" w:ascii="宋体" w:hAnsi="宋体" w:eastAsia="宋体" w:cs="宋体"/>
                <w:color w:val="000000"/>
                <w:sz w:val="22"/>
                <w:szCs w:val="18"/>
                <w:lang w:val="en-US" w:eastAsia="zh-CN" w:bidi="ar-SA"/>
              </w:rPr>
            </w:pPr>
            <w:r>
              <w:rPr>
                <w:rFonts w:hint="eastAsia" w:ascii="宋体" w:hAnsi="宋体" w:eastAsia="宋体" w:cs="宋体"/>
                <w:color w:val="000000"/>
                <w:sz w:val="22"/>
                <w:szCs w:val="18"/>
                <w:lang w:val="en-US" w:eastAsia="zh-CN" w:bidi="ar-SA"/>
              </w:rPr>
              <w:t xml:space="preserve">注：</w:t>
            </w:r>
            <w:r>
              <w:rPr>
                <w:rFonts w:hint="eastAsia" w:ascii="宋体" w:hAnsi="宋体" w:eastAsia="宋体" w:cs="宋体"/>
                <w:color w:val="000000"/>
                <w:sz w:val="22"/>
                <w:szCs w:val="18"/>
                <w:lang w:val="zh-CN" w:eastAsia="zh-CN" w:bidi="ar-SA"/>
              </w:rPr>
              <w:t xml:space="preserve">类似业绩是指投标人所提供的业绩需与本项目</w:t>
            </w:r>
            <w:r>
              <w:rPr>
                <w:rFonts w:hint="eastAsia" w:ascii="宋体" w:hAnsi="宋体" w:eastAsia="宋体" w:cs="宋体"/>
                <w:color w:val="000000"/>
                <w:sz w:val="22"/>
                <w:szCs w:val="18"/>
                <w:lang w:val="en-US" w:eastAsia="zh-CN" w:bidi="ar-SA"/>
              </w:rPr>
              <w:t xml:space="preserve">任意一项</w:t>
            </w:r>
            <w:r>
              <w:rPr>
                <w:rFonts w:hint="eastAsia" w:ascii="宋体" w:hAnsi="宋体" w:eastAsia="宋体" w:cs="宋体"/>
                <w:color w:val="000000"/>
                <w:sz w:val="22"/>
                <w:szCs w:val="18"/>
                <w:lang w:val="zh-CN" w:eastAsia="zh-CN" w:bidi="ar-SA"/>
              </w:rPr>
              <w:t xml:space="preserve">内容</w:t>
            </w:r>
            <w:r>
              <w:rPr>
                <w:rFonts w:hint="eastAsia" w:ascii="宋体" w:hAnsi="宋体" w:eastAsia="宋体" w:cs="宋体"/>
                <w:color w:val="000000"/>
                <w:sz w:val="22"/>
                <w:szCs w:val="18"/>
                <w:lang w:val="en-US" w:eastAsia="zh-CN" w:bidi="ar-SA"/>
              </w:rPr>
              <w:t xml:space="preserve">类似的项目业绩，合同中必须体现甲乙双方单位名称及项目内容，否则不得分。</w:t>
            </w:r>
            <w:r>
              <w:rPr>
                <w:rFonts w:hint="eastAsia" w:ascii="宋体" w:hAnsi="宋体" w:eastAsia="宋体" w:cs="宋体"/>
                <w:color w:val="000000"/>
                <w:sz w:val="22"/>
                <w:szCs w:val="18"/>
                <w:lang w:val="en-US" w:eastAsia="zh-CN" w:bidi="ar-SA"/>
              </w:rPr>
            </w:r>
            <w:r/>
          </w:p>
        </w:tc>
      </w:tr>
      <w:tr>
        <w:trPr>
          <w:trHeight w:val="1616"/>
        </w:trPr>
        <w:tc>
          <w:tcPr>
            <w:tcW w:w="620" w:type="dxa"/>
            <w:vAlign w:val="center"/>
            <w:vMerge w:val="continue"/>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87" w:type="dxa"/>
            <w:vAlign w:val="center"/>
            <w:vMerge w:val="continue"/>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51" w:type="dxa"/>
            <w:vAlign w:val="center"/>
            <w:textDirection w:val="lrTb"/>
            <w:noWrap w:val="false"/>
          </w:tcPr>
          <w:p>
            <w:pPr>
              <w:pStyle w:val="885"/>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人员构成</w:t>
            </w:r>
            <w:r>
              <w:rPr>
                <w:rFonts w:hint="eastAsia" w:ascii="宋体" w:hAnsi="宋体" w:eastAsia="宋体" w:cs="宋体"/>
                <w:sz w:val="21"/>
                <w:szCs w:val="21"/>
                <w:highlight w:val="none"/>
                <w:lang w:val="en-US" w:eastAsia="zh-CN" w:bidi="ar-SA"/>
              </w:rPr>
            </w:r>
            <w:r/>
          </w:p>
        </w:tc>
        <w:tc>
          <w:tcPr>
            <w:tcW w:w="787" w:type="dxa"/>
            <w:vAlign w:val="center"/>
            <w:textDirection w:val="lrTb"/>
            <w:noWrap w:val="false"/>
          </w:tcPr>
          <w:p>
            <w:pPr>
              <w:pStyle w:val="885"/>
              <w:jc w:val="center"/>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3分</w:t>
            </w:r>
            <w:r>
              <w:rPr>
                <w:rFonts w:hint="eastAsia" w:ascii="宋体" w:hAnsi="宋体" w:eastAsia="宋体" w:cs="宋体"/>
                <w:sz w:val="21"/>
                <w:szCs w:val="21"/>
                <w:highlight w:val="none"/>
                <w:lang w:val="en-US" w:eastAsia="zh-CN" w:bidi="ar-SA"/>
              </w:rPr>
            </w:r>
            <w:r/>
          </w:p>
        </w:tc>
        <w:tc>
          <w:tcPr>
            <w:tcW w:w="6625" w:type="dxa"/>
            <w:vAlign w:val="center"/>
            <w:textDirection w:val="lrTb"/>
            <w:noWrap w:val="false"/>
          </w:tcPr>
          <w:p>
            <w:pPr>
              <w:pStyle w:val="885"/>
              <w:ind w:firstLine="440"/>
              <w:jc w:val="both"/>
              <w:widowControl w:val="off"/>
              <w:rPr>
                <w:rFonts w:hint="eastAsia" w:ascii="宋体" w:hAnsi="宋体" w:eastAsia="宋体" w:cs="宋体"/>
                <w:color w:val="000000"/>
                <w:sz w:val="22"/>
                <w:szCs w:val="18"/>
                <w:lang w:val="en-US" w:eastAsia="zh-CN" w:bidi="ar-SA"/>
              </w:rPr>
            </w:pPr>
            <w:r>
              <w:rPr>
                <w:rFonts w:hint="eastAsia" w:ascii="宋体" w:hAnsi="宋体" w:eastAsia="宋体" w:cs="宋体"/>
                <w:color w:val="000000"/>
                <w:sz w:val="22"/>
                <w:szCs w:val="18"/>
                <w:lang w:val="en-US" w:eastAsia="zh-CN" w:bidi="ar-SA"/>
              </w:rPr>
              <w:t xml:space="preserve">1.项目负责人（2分）：具有系统集成项目管理工程师证书，有一个得2分，最高得2分；</w:t>
            </w:r>
            <w:r>
              <w:rPr>
                <w:rFonts w:hint="eastAsia" w:ascii="宋体" w:hAnsi="宋体" w:eastAsia="宋体" w:cs="宋体"/>
                <w:color w:val="000000"/>
                <w:sz w:val="22"/>
                <w:szCs w:val="18"/>
                <w:lang w:val="en-US" w:eastAsia="zh-CN" w:bidi="ar-SA"/>
              </w:rPr>
            </w:r>
            <w:r/>
          </w:p>
          <w:p>
            <w:pPr>
              <w:pStyle w:val="885"/>
              <w:ind w:firstLine="440"/>
              <w:jc w:val="both"/>
              <w:widowControl w:val="off"/>
              <w:rPr>
                <w:rFonts w:hint="eastAsia" w:ascii="宋体" w:hAnsi="宋体" w:eastAsia="宋体" w:cs="宋体"/>
                <w:color w:val="000000"/>
                <w:sz w:val="22"/>
                <w:szCs w:val="18"/>
                <w:lang w:val="en-US" w:eastAsia="zh-CN" w:bidi="ar-SA"/>
              </w:rPr>
            </w:pPr>
            <w:r>
              <w:rPr>
                <w:rFonts w:hint="eastAsia" w:ascii="宋体" w:hAnsi="宋体" w:eastAsia="宋体" w:cs="宋体"/>
                <w:color w:val="000000"/>
                <w:sz w:val="22"/>
                <w:szCs w:val="18"/>
                <w:lang w:val="en-US" w:eastAsia="zh-CN" w:bidi="ar-SA"/>
              </w:rPr>
              <w:t xml:space="preserve">2.其他人员（1分）：</w:t>
            </w:r>
            <w:r>
              <w:rPr>
                <w:rFonts w:hint="eastAsia" w:ascii="宋体" w:hAnsi="宋体" w:eastAsia="宋体" w:cs="宋体"/>
                <w:color w:val="000000"/>
                <w:sz w:val="22"/>
                <w:szCs w:val="18"/>
                <w:lang w:val="en-US" w:eastAsia="zh-CN" w:bidi="ar-SA"/>
              </w:rPr>
            </w:r>
            <w:r/>
          </w:p>
          <w:p>
            <w:pPr>
              <w:pStyle w:val="885"/>
              <w:ind w:firstLine="440"/>
              <w:jc w:val="both"/>
              <w:widowControl w:val="off"/>
              <w:rPr>
                <w:rFonts w:ascii="宋体" w:hAnsi="宋体" w:eastAsia="宋体" w:cs="宋体"/>
                <w:color w:val="000000"/>
                <w:sz w:val="22"/>
                <w:szCs w:val="18"/>
                <w:lang w:val="en-US" w:eastAsia="zh-CN" w:bidi="ar-SA"/>
              </w:rPr>
            </w:pPr>
            <w:r>
              <w:rPr>
                <w:rFonts w:hint="eastAsia" w:ascii="宋体" w:hAnsi="宋体" w:eastAsia="宋体" w:cs="宋体"/>
                <w:color w:val="000000"/>
                <w:sz w:val="22"/>
                <w:szCs w:val="18"/>
                <w:lang w:val="en-US" w:eastAsia="zh-CN" w:bidi="ar-SA"/>
              </w:rPr>
              <w:t xml:space="preserve">2.1具有人工智能应用工程师证书的、提供1人得1分，本项最高得1分；</w:t>
            </w:r>
            <w:r>
              <w:rPr>
                <w:rFonts w:ascii="宋体" w:hAnsi="宋体" w:eastAsia="宋体" w:cs="宋体"/>
                <w:color w:val="000000"/>
                <w:sz w:val="22"/>
                <w:szCs w:val="18"/>
                <w:lang w:val="en-US" w:eastAsia="zh-CN" w:bidi="ar-SA"/>
              </w:rPr>
            </w:r>
            <w:r/>
          </w:p>
          <w:p>
            <w:pPr>
              <w:pStyle w:val="885"/>
              <w:ind w:firstLine="440"/>
              <w:jc w:val="both"/>
              <w:widowControl w:val="off"/>
              <w:rPr>
                <w:rFonts w:hint="eastAsia" w:ascii="宋体" w:hAnsi="宋体" w:eastAsia="宋体" w:cs="宋体"/>
                <w:color w:val="000000"/>
                <w:sz w:val="22"/>
                <w:szCs w:val="18"/>
                <w:lang w:val="en-US" w:eastAsia="zh-CN" w:bidi="ar-SA"/>
              </w:rPr>
            </w:pPr>
            <w:r>
              <w:rPr>
                <w:rFonts w:hint="eastAsia" w:ascii="宋体" w:hAnsi="宋体" w:eastAsia="宋体" w:cs="宋体"/>
                <w:color w:val="000000"/>
                <w:sz w:val="22"/>
                <w:szCs w:val="18"/>
                <w:lang w:val="en-US" w:eastAsia="zh-CN" w:bidi="ar-SA"/>
              </w:rPr>
              <w:t xml:space="preserve">注：上述1-2项须提供专业证书原件彩色扫描件及在职员工投标人为其缴纳的社会保险承诺书复印件加盖投标人公章，未提供或提供不全的不得分。上述人员一人多证不重复计分，且同一人员不可兼任。</w:t>
            </w:r>
            <w:r>
              <w:rPr>
                <w:rFonts w:hint="eastAsia" w:ascii="宋体" w:hAnsi="宋体" w:eastAsia="宋体" w:cs="宋体"/>
                <w:color w:val="000000"/>
                <w:sz w:val="22"/>
                <w:szCs w:val="18"/>
                <w:lang w:val="en-US" w:eastAsia="zh-CN" w:bidi="ar-SA"/>
              </w:rPr>
            </w:r>
            <w:r/>
          </w:p>
        </w:tc>
      </w:tr>
      <w:tr>
        <w:trPr>
          <w:trHeight w:val="90"/>
        </w:trPr>
        <w:tc>
          <w:tcPr>
            <w:tcW w:w="620" w:type="dxa"/>
            <w:vAlign w:val="center"/>
            <w:vMerge w:val="continue"/>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87" w:type="dxa"/>
            <w:vAlign w:val="center"/>
            <w:vMerge w:val="continue"/>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951" w:type="dxa"/>
            <w:vAlign w:val="center"/>
            <w:textDirection w:val="lrTb"/>
            <w:noWrap w:val="false"/>
          </w:tcPr>
          <w:p>
            <w:pPr>
              <w:pStyle w:val="885"/>
              <w:numPr>
                <w:ilvl w:val="0"/>
                <w:numId w:val="0"/>
              </w:numPr>
              <w:ind w:left="0" w:firstLine="0"/>
              <w:jc w:val="center"/>
              <w:keepLines w:val="0"/>
              <w:keepNext w:val="0"/>
              <w:pageBreakBefore w:val="0"/>
              <w:spacing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企业资质</w:t>
            </w:r>
            <w:r>
              <w:rPr>
                <w:rFonts w:hint="eastAsia" w:ascii="宋体" w:hAnsi="宋体" w:eastAsia="宋体" w:cs="宋体"/>
                <w:sz w:val="21"/>
                <w:szCs w:val="21"/>
                <w:highlight w:val="none"/>
                <w:lang w:val="en-US" w:eastAsia="zh-CN" w:bidi="ar-SA"/>
              </w:rPr>
            </w:r>
            <w:r/>
          </w:p>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787" w:type="dxa"/>
            <w:vAlign w:val="center"/>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2分</w:t>
            </w:r>
            <w:r>
              <w:rPr>
                <w:rFonts w:hint="eastAsia" w:ascii="宋体" w:hAnsi="宋体" w:eastAsia="宋体" w:cs="宋体"/>
                <w:sz w:val="21"/>
                <w:szCs w:val="21"/>
                <w:lang w:val="en-US" w:eastAsia="zh-CN" w:bidi="ar-SA"/>
              </w:rPr>
            </w:r>
            <w:r/>
          </w:p>
        </w:tc>
        <w:tc>
          <w:tcPr>
            <w:tcW w:w="6625" w:type="dxa"/>
            <w:vAlign w:val="center"/>
            <w:textDirection w:val="lrTb"/>
            <w:noWrap w:val="false"/>
          </w:tcPr>
          <w:p>
            <w:pPr>
              <w:pStyle w:val="885"/>
              <w:ind w:firstLine="440"/>
              <w:jc w:val="both"/>
              <w:widowControl w:val="off"/>
              <w:rPr>
                <w:rFonts w:hint="eastAsia" w:ascii="宋体" w:hAnsi="宋体" w:eastAsia="宋体" w:cs="宋体"/>
                <w:color w:val="000000"/>
                <w:sz w:val="22"/>
                <w:szCs w:val="18"/>
                <w:lang w:val="en-US" w:eastAsia="zh-CN" w:bidi="ar-SA"/>
              </w:rPr>
            </w:pPr>
            <w:r>
              <w:rPr>
                <w:rFonts w:hint="eastAsia" w:ascii="宋体" w:hAnsi="宋体" w:eastAsia="宋体" w:cs="宋体"/>
                <w:color w:val="000000"/>
                <w:sz w:val="22"/>
                <w:szCs w:val="18"/>
                <w:lang w:val="en-US" w:eastAsia="zh-CN" w:bidi="ar-SA"/>
              </w:rPr>
              <w:t xml:space="preserve">1.投标人具有ISO9001质量管理体系认证证书的得2分。须提供原件彩色复印件并加盖投标单位公章，不提供不得分。</w:t>
            </w:r>
            <w:r>
              <w:rPr>
                <w:rFonts w:hint="eastAsia" w:ascii="宋体" w:hAnsi="宋体" w:eastAsia="宋体" w:cs="宋体"/>
                <w:color w:val="000000"/>
                <w:sz w:val="22"/>
                <w:szCs w:val="18"/>
                <w:lang w:val="en-US" w:eastAsia="zh-CN" w:bidi="ar-SA"/>
              </w:rPr>
            </w:r>
            <w:r/>
          </w:p>
        </w:tc>
      </w:tr>
      <w:tr>
        <w:trPr>
          <w:trHeight w:val="1800"/>
        </w:trPr>
        <w:tc>
          <w:tcPr>
            <w:tcW w:w="620" w:type="dxa"/>
            <w:vAlign w:val="center"/>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三</w:t>
            </w:r>
            <w:r>
              <w:rPr>
                <w:rFonts w:hint="eastAsia" w:ascii="宋体" w:hAnsi="宋体" w:eastAsia="宋体" w:cs="宋体"/>
                <w:sz w:val="21"/>
                <w:szCs w:val="21"/>
                <w:lang w:val="en-US" w:eastAsia="zh-CN" w:bidi="ar-SA"/>
              </w:rPr>
            </w:r>
            <w:r/>
          </w:p>
        </w:tc>
        <w:tc>
          <w:tcPr>
            <w:tcW w:w="987" w:type="dxa"/>
            <w:vAlign w:val="center"/>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服务方案（9分）</w:t>
            </w:r>
            <w:r>
              <w:rPr>
                <w:rFonts w:hint="eastAsia" w:ascii="宋体" w:hAnsi="宋体" w:eastAsia="宋体" w:cs="宋体"/>
                <w:sz w:val="21"/>
                <w:szCs w:val="21"/>
                <w:lang w:val="en-US" w:eastAsia="zh-CN" w:bidi="ar-SA"/>
              </w:rPr>
            </w:r>
            <w:r/>
          </w:p>
        </w:tc>
        <w:tc>
          <w:tcPr>
            <w:tcW w:w="951" w:type="dxa"/>
            <w:vAlign w:val="center"/>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服务方案</w:t>
            </w:r>
            <w:r>
              <w:rPr>
                <w:rFonts w:hint="eastAsia" w:ascii="宋体" w:hAnsi="宋体" w:eastAsia="宋体" w:cs="宋体"/>
                <w:sz w:val="21"/>
                <w:szCs w:val="21"/>
                <w:lang w:val="en-US" w:eastAsia="zh-CN" w:bidi="ar-SA"/>
              </w:rPr>
            </w:r>
            <w:r/>
          </w:p>
        </w:tc>
        <w:tc>
          <w:tcPr>
            <w:tcW w:w="787" w:type="dxa"/>
            <w:vAlign w:val="center"/>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9分</w:t>
            </w:r>
            <w:r>
              <w:rPr>
                <w:rFonts w:hint="eastAsia" w:ascii="宋体" w:hAnsi="宋体" w:eastAsia="宋体" w:cs="宋体"/>
                <w:sz w:val="21"/>
                <w:szCs w:val="21"/>
                <w:lang w:val="en-US" w:eastAsia="zh-CN" w:bidi="ar-SA"/>
              </w:rPr>
            </w:r>
            <w:r/>
          </w:p>
        </w:tc>
        <w:tc>
          <w:tcPr>
            <w:tcW w:w="6625" w:type="dxa"/>
            <w:vAlign w:val="center"/>
            <w:textDirection w:val="lrTb"/>
            <w:noWrap w:val="false"/>
          </w:tcPr>
          <w:p>
            <w:pPr>
              <w:pStyle w:val="885"/>
              <w:ind w:firstLine="440"/>
              <w:jc w:val="both"/>
              <w:widowControl w:val="off"/>
              <w:rPr>
                <w:rFonts w:ascii="宋体" w:hAnsi="宋体" w:eastAsia="宋体" w:cs="宋体"/>
                <w:color w:val="000000"/>
                <w:sz w:val="22"/>
                <w:szCs w:val="18"/>
                <w:lang w:val="en-US" w:eastAsia="zh-CN" w:bidi="ar-SA"/>
              </w:rPr>
            </w:pPr>
            <w:r>
              <w:rPr>
                <w:rFonts w:hint="eastAsia" w:ascii="宋体" w:hAnsi="宋体" w:eastAsia="宋体" w:cs="宋体"/>
                <w:color w:val="000000"/>
                <w:sz w:val="22"/>
                <w:szCs w:val="18"/>
                <w:lang w:val="en-US" w:eastAsia="zh-CN" w:bidi="ar-SA"/>
              </w:rPr>
              <w:t xml:space="preserve">1、由评委根据投标人对根据供应商对江苏省建湖高级中学科学教育实验教室采购项目项目背景、项目目标、对特点了解情况进行打分，至少包括：①项目概况与实施总体思路，②组织管理体系与人员配置，③工期进度计划与保障措施及设备安装专项施工方案。投标人应在投标文件“实施方案”中设置专节来对上述3项内容作出响应性说明，每项为1分共3分，每缺一项说明或者说明内容与项目无关扣1分。</w:t>
            </w:r>
            <w:r>
              <w:rPr>
                <w:rFonts w:ascii="宋体" w:hAnsi="宋体" w:eastAsia="宋体" w:cs="宋体"/>
                <w:color w:val="000000"/>
                <w:sz w:val="22"/>
                <w:szCs w:val="18"/>
                <w:lang w:val="en-US" w:eastAsia="zh-CN" w:bidi="ar-SA"/>
              </w:rPr>
            </w:r>
            <w:r/>
          </w:p>
          <w:p>
            <w:pPr>
              <w:pStyle w:val="885"/>
              <w:ind w:firstLine="440"/>
              <w:jc w:val="both"/>
              <w:widowControl w:val="off"/>
              <w:rPr>
                <w:rFonts w:ascii="宋体" w:hAnsi="宋体" w:eastAsia="宋体" w:cs="宋体"/>
                <w:color w:val="000000"/>
                <w:sz w:val="22"/>
                <w:szCs w:val="18"/>
                <w:lang w:val="en-US" w:eastAsia="zh-CN" w:bidi="ar-SA"/>
              </w:rPr>
            </w:pPr>
            <w:r>
              <w:rPr>
                <w:rFonts w:hint="eastAsia" w:ascii="宋体" w:hAnsi="宋体" w:eastAsia="宋体" w:cs="宋体"/>
                <w:color w:val="000000"/>
                <w:sz w:val="22"/>
                <w:szCs w:val="18"/>
                <w:lang w:val="en-US" w:eastAsia="zh-CN" w:bidi="ar-SA"/>
              </w:rPr>
              <w:t xml:space="preserve">2、由评委根据投标人对项目的工作计划与质量管理措施等内容进行打分，至少包括：①项目质量目标、②项目施工质量控制、③安全保障方案。投标人应在投标文件“实施方案”中设置专节来对上述3项内容作出响应性说明，每项为1分共3分，每缺一项说明或者说明内容与项目无关扣1分。</w:t>
            </w:r>
            <w:r>
              <w:rPr>
                <w:rFonts w:ascii="宋体" w:hAnsi="宋体" w:eastAsia="宋体" w:cs="宋体"/>
                <w:color w:val="000000"/>
                <w:sz w:val="22"/>
                <w:szCs w:val="18"/>
                <w:lang w:val="en-US" w:eastAsia="zh-CN" w:bidi="ar-SA"/>
              </w:rPr>
            </w:r>
            <w:r/>
          </w:p>
          <w:p>
            <w:pPr>
              <w:pStyle w:val="885"/>
              <w:ind w:firstLine="440"/>
              <w:jc w:val="both"/>
              <w:widowControl w:val="off"/>
              <w:rPr>
                <w:rFonts w:hint="eastAsia" w:ascii="宋体" w:hAnsi="宋体" w:eastAsia="宋体" w:cs="宋体"/>
                <w:color w:val="000000"/>
                <w:sz w:val="22"/>
                <w:szCs w:val="18"/>
                <w:lang w:val="en-US" w:eastAsia="zh-CN" w:bidi="ar-SA"/>
              </w:rPr>
            </w:pPr>
            <w:r>
              <w:rPr>
                <w:rFonts w:hint="eastAsia" w:ascii="宋体" w:hAnsi="宋体" w:eastAsia="宋体" w:cs="宋体"/>
                <w:color w:val="000000"/>
                <w:sz w:val="22"/>
                <w:szCs w:val="18"/>
                <w:lang w:val="en-US" w:eastAsia="zh-CN" w:bidi="ar-SA"/>
              </w:rPr>
              <w:t xml:space="preserve">3、由评委根据投标人对本项目编制的成果内容、后续服务及服务过程的安全保障等工作安排的完整性、针对性、合理性、可行性等内容进行打分，至少包括：①售后服务保证措施，②对故障的接受工作制度和机制，③售后服务的响应时间、排除故障时间等。投标人应在投标文件“实施方案”中设置专节来对上述3项内容作出响应性说明，每项为1分共3分，每缺一项说明或者说明内容与项目无关扣1分。</w:t>
            </w:r>
            <w:r>
              <w:rPr>
                <w:rFonts w:hint="eastAsia" w:ascii="宋体" w:hAnsi="宋体" w:eastAsia="宋体" w:cs="宋体"/>
                <w:color w:val="000000"/>
                <w:sz w:val="22"/>
                <w:szCs w:val="18"/>
                <w:lang w:val="en-US" w:eastAsia="zh-CN" w:bidi="ar-SA"/>
              </w:rPr>
            </w:r>
            <w:r/>
          </w:p>
        </w:tc>
      </w:tr>
      <w:tr>
        <w:trPr>
          <w:trHeight w:val="1800"/>
        </w:trPr>
        <w:tc>
          <w:tcPr>
            <w:tcW w:w="620" w:type="dxa"/>
            <w:vAlign w:val="center"/>
            <w:textDirection w:val="lrTb"/>
            <w:noWrap w:val="false"/>
          </w:tcPr>
          <w:p>
            <w:pPr>
              <w:pStyle w:val="885"/>
              <w:jc w:val="center"/>
              <w:widowControl/>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四</w:t>
            </w:r>
            <w:r>
              <w:rPr>
                <w:rFonts w:ascii="宋体" w:hAnsi="宋体" w:eastAsia="宋体" w:cs="宋体"/>
                <w:sz w:val="21"/>
                <w:szCs w:val="21"/>
                <w:lang w:val="en-US" w:eastAsia="zh-CN" w:bidi="ar-SA"/>
              </w:rPr>
            </w:r>
            <w:r/>
          </w:p>
        </w:tc>
        <w:tc>
          <w:tcPr>
            <w:tcW w:w="987" w:type="dxa"/>
            <w:vAlign w:val="center"/>
            <w:textDirection w:val="lrTb"/>
            <w:noWrap w:val="false"/>
          </w:tcPr>
          <w:p>
            <w:pPr>
              <w:pStyle w:val="885"/>
              <w:jc w:val="both"/>
              <w:widowControl/>
              <w:rPr>
                <w:rFonts w:hint="eastAsia" w:ascii="宋体" w:hAnsi="宋体" w:eastAsia="宋体" w:cs="宋体"/>
                <w:sz w:val="21"/>
                <w:szCs w:val="21"/>
                <w:lang w:val="en-US" w:eastAsia="zh-CN" w:bidi="ar-SA"/>
              </w:rPr>
            </w:pPr>
            <w:r>
              <w:rPr>
                <w:rFonts w:hint="eastAsia" w:ascii="宋体" w:hAnsi="宋体" w:eastAsia="宋体" w:cs="宋体"/>
                <w:bCs/>
                <w:color w:val="000000"/>
                <w:sz w:val="24"/>
                <w:lang w:val="en-US" w:eastAsia="zh-CN" w:bidi="ar-SA"/>
              </w:rPr>
              <w:t xml:space="preserve">节能环保</w:t>
            </w:r>
            <w:r>
              <w:rPr>
                <w:rFonts w:hint="eastAsia" w:ascii="宋体" w:hAnsi="宋体" w:eastAsia="宋体" w:cs="宋体"/>
                <w:sz w:val="21"/>
                <w:szCs w:val="21"/>
                <w:lang w:val="en-US" w:eastAsia="zh-CN" w:bidi="ar-SA"/>
              </w:rPr>
              <w:t xml:space="preserve">（2分）</w:t>
            </w:r>
            <w:r>
              <w:rPr>
                <w:rFonts w:hint="eastAsia" w:ascii="宋体" w:hAnsi="宋体" w:eastAsia="宋体" w:cs="宋体"/>
                <w:sz w:val="21"/>
                <w:szCs w:val="21"/>
                <w:lang w:val="en-US" w:eastAsia="zh-CN" w:bidi="ar-SA"/>
              </w:rPr>
            </w:r>
            <w:r/>
          </w:p>
        </w:tc>
        <w:tc>
          <w:tcPr>
            <w:tcW w:w="951" w:type="dxa"/>
            <w:vAlign w:val="center"/>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s="宋体"/>
                <w:bCs/>
                <w:color w:val="000000"/>
                <w:sz w:val="24"/>
                <w:lang w:val="en-US" w:eastAsia="zh-CN" w:bidi="ar-SA"/>
              </w:rPr>
              <w:t xml:space="preserve">节能环保</w:t>
            </w:r>
            <w:r>
              <w:rPr>
                <w:rFonts w:hint="eastAsia" w:ascii="宋体" w:hAnsi="宋体" w:eastAsia="宋体" w:cs="宋体"/>
                <w:sz w:val="21"/>
                <w:szCs w:val="21"/>
                <w:lang w:val="en-US" w:eastAsia="zh-CN" w:bidi="ar-SA"/>
              </w:rPr>
            </w:r>
            <w:r/>
          </w:p>
        </w:tc>
        <w:tc>
          <w:tcPr>
            <w:tcW w:w="787" w:type="dxa"/>
            <w:vAlign w:val="center"/>
            <w:textDirection w:val="lrTb"/>
            <w:noWrap w:val="false"/>
          </w:tcPr>
          <w:p>
            <w:pPr>
              <w:pStyle w:val="885"/>
              <w:jc w:val="center"/>
              <w:widowControl/>
              <w:rPr>
                <w:rFonts w:hint="eastAsia" w:ascii="宋体" w:hAnsi="宋体" w:eastAsia="宋体" w:cs="宋体"/>
                <w:sz w:val="21"/>
                <w:szCs w:val="21"/>
                <w:lang w:val="en-US" w:eastAsia="zh-CN" w:bidi="ar-SA"/>
              </w:rPr>
            </w:pPr>
            <w:r>
              <w:rPr>
                <w:rFonts w:hint="eastAsia" w:ascii="宋体" w:hAnsi="宋体" w:eastAsia="宋体"/>
                <w:color w:val="000000"/>
                <w:sz w:val="24"/>
                <w:lang w:val="en-US" w:eastAsia="zh-CN" w:bidi="ar-SA"/>
              </w:rPr>
              <w:t xml:space="preserve">2</w:t>
            </w:r>
            <w:r>
              <w:rPr>
                <w:rFonts w:hint="eastAsia" w:ascii="宋体" w:hAnsi="宋体" w:eastAsia="宋体" w:cs="宋体"/>
                <w:sz w:val="21"/>
                <w:szCs w:val="21"/>
                <w:lang w:val="en-US" w:eastAsia="zh-CN" w:bidi="ar-SA"/>
              </w:rPr>
              <w:t xml:space="preserve">分</w:t>
            </w:r>
            <w:r>
              <w:rPr>
                <w:rFonts w:hint="eastAsia" w:ascii="宋体" w:hAnsi="宋体" w:eastAsia="宋体" w:cs="宋体"/>
                <w:sz w:val="21"/>
                <w:szCs w:val="21"/>
                <w:lang w:val="en-US" w:eastAsia="zh-CN" w:bidi="ar-SA"/>
              </w:rPr>
            </w:r>
            <w:r/>
          </w:p>
        </w:tc>
        <w:tc>
          <w:tcPr>
            <w:tcW w:w="6625" w:type="dxa"/>
            <w:vAlign w:val="center"/>
            <w:textDirection w:val="lrTb"/>
            <w:noWrap w:val="false"/>
          </w:tcPr>
          <w:p>
            <w:pPr>
              <w:pStyle w:val="885"/>
              <w:ind w:firstLine="440"/>
              <w:jc w:val="both"/>
              <w:widowControl w:val="off"/>
              <w:rPr>
                <w:rFonts w:hint="eastAsia" w:ascii="宋体" w:hAnsi="宋体" w:eastAsia="宋体" w:cs="宋体"/>
                <w:color w:val="000000"/>
                <w:sz w:val="22"/>
                <w:szCs w:val="18"/>
                <w:lang w:val="en-US" w:eastAsia="zh-CN" w:bidi="ar-SA"/>
              </w:rPr>
            </w:pPr>
            <w:r>
              <w:rPr>
                <w:rFonts w:hint="eastAsia" w:ascii="宋体" w:hAnsi="宋体" w:eastAsia="宋体" w:cs="宋体"/>
                <w:color w:val="000000"/>
                <w:sz w:val="22"/>
                <w:szCs w:val="18"/>
                <w:lang w:val="en-US" w:eastAsia="zh-CN" w:bidi="ar-SA"/>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color w:val="000000"/>
                <w:sz w:val="22"/>
                <w:szCs w:val="18"/>
                <w:lang w:val="en-US" w:eastAsia="zh-CN" w:bidi="ar-SA"/>
              </w:rPr>
            </w:r>
            <w:r/>
          </w:p>
          <w:p>
            <w:pPr>
              <w:pStyle w:val="885"/>
              <w:ind w:firstLine="440"/>
              <w:jc w:val="both"/>
              <w:widowControl w:val="off"/>
              <w:rPr>
                <w:rFonts w:hint="eastAsia" w:ascii="宋体" w:hAnsi="宋体" w:eastAsia="宋体" w:cs="宋体"/>
                <w:color w:val="000000"/>
                <w:sz w:val="22"/>
                <w:szCs w:val="18"/>
                <w:lang w:val="en-US" w:eastAsia="zh-CN" w:bidi="ar-SA"/>
              </w:rPr>
            </w:pPr>
            <w:r>
              <w:rPr>
                <w:rFonts w:hint="eastAsia" w:ascii="宋体" w:hAnsi="宋体" w:eastAsia="宋体" w:cs="宋体"/>
                <w:color w:val="000000"/>
                <w:sz w:val="22"/>
                <w:szCs w:val="18"/>
                <w:lang w:val="en-US" w:eastAsia="zh-CN" w:bidi="ar-SA"/>
              </w:rPr>
              <w:t xml:space="preserve">（2）投标产品属于财政部、生态环境部公布的“环境标志产品品目清单”范围内的，投标人提供国家确定的认证机构出具的、处于有效期内的该环保产品认证证书复印件的，有1个得 0.5分，最多得1分。</w:t>
            </w:r>
            <w:r>
              <w:rPr>
                <w:rFonts w:hint="eastAsia" w:ascii="宋体" w:hAnsi="宋体" w:eastAsia="宋体" w:cs="宋体"/>
                <w:color w:val="000000"/>
                <w:sz w:val="22"/>
                <w:szCs w:val="18"/>
                <w:lang w:val="en-US" w:eastAsia="zh-CN" w:bidi="ar-SA"/>
              </w:rPr>
            </w:r>
            <w:r/>
          </w:p>
        </w:tc>
      </w:tr>
    </w:tbl>
    <w:p>
      <w:pPr>
        <w:pStyle w:val="885"/>
        <w:ind w:firstLine="470"/>
        <w:spacing w:line="420" w:lineRule="exact"/>
        <w:rPr>
          <w:rFonts w:ascii="宋体" w:hAnsi="宋体"/>
          <w:color w:val="000000"/>
          <w:sz w:val="24"/>
        </w:rPr>
      </w:pPr>
      <w:r>
        <w:rPr>
          <w:rFonts w:ascii="宋体" w:hAnsi="宋体"/>
          <w:color w:val="000000"/>
          <w:sz w:val="24"/>
        </w:rPr>
      </w:r>
      <w:r/>
    </w:p>
    <w:p>
      <w:pPr>
        <w:pStyle w:val="885"/>
        <w:keepLines w:val="0"/>
        <w:keepNext w:val="0"/>
        <w:pageBreakBefore w:val="0"/>
        <w:spacing w:line="440" w:lineRule="exact"/>
        <w:widowControl w:val="off"/>
        <w:rPr>
          <w:rFonts w:hint="eastAsia" w:ascii="宋体" w:hAnsi="宋体" w:eastAsia="宋体" w:cs="宋体"/>
          <w:bCs/>
          <w:color w:val="000000"/>
          <w:sz w:val="24"/>
          <w:highlight w:val="none"/>
        </w:rPr>
        <w:sectPr>
          <w:headerReference w:type="default" r:id="rId9"/>
          <w:footerReference w:type="default" r:id="rId15"/>
          <w:footnotePr/>
          <w:endnotePr/>
          <w:type w:val="nextPage"/>
          <w:pgSz w:w="11907" w:h="16840" w:orient="portrait"/>
          <w:pgMar w:top="1440" w:right="1080" w:bottom="1440" w:left="1080" w:header="624" w:footer="992" w:gutter="0"/>
          <w:cols w:num="1" w:sep="0" w:space="1701" w:equalWidth="1"/>
          <w:docGrid w:linePitch="360"/>
        </w:sectPr>
      </w:pPr>
      <w:r>
        <w:rPr>
          <w:rFonts w:hint="eastAsia" w:ascii="宋体" w:hAnsi="宋体" w:eastAsia="宋体" w:cs="宋体"/>
          <w:bCs/>
          <w:color w:val="000000"/>
          <w:sz w:val="24"/>
          <w:highlight w:val="none"/>
        </w:rPr>
      </w:r>
      <w:r/>
    </w:p>
    <w:p>
      <w:pPr>
        <w:pStyle w:val="1073"/>
        <w:ind w:firstLine="723"/>
        <w:jc w:val="center"/>
        <w:spacing w:line="480" w:lineRule="exact"/>
        <w:rPr>
          <w:rFonts w:hint="eastAsia" w:ascii="宋体" w:hAnsi="宋体" w:eastAsia="宋体"/>
          <w:b/>
          <w:bCs/>
          <w:color w:val="000000"/>
          <w:sz w:val="36"/>
          <w:szCs w:val="36"/>
          <w:highlight w:val="none"/>
          <w:lang w:eastAsia="zh-CN"/>
        </w:rPr>
      </w:pPr>
      <w:r>
        <w:rPr>
          <w:rFonts w:hint="eastAsia" w:ascii="宋体" w:hAnsi="宋体"/>
          <w:b/>
          <w:color w:val="000000"/>
          <w:sz w:val="36"/>
          <w:szCs w:val="36"/>
          <w:highlight w:val="none"/>
        </w:rPr>
        <w:t xml:space="preserve">第五章    合同主要条款</w:t>
      </w:r>
      <w:r>
        <w:rPr>
          <w:rFonts w:hint="eastAsia" w:ascii="宋体" w:hAnsi="宋体" w:eastAsia="宋体"/>
          <w:b/>
          <w:bCs/>
          <w:color w:val="000000"/>
          <w:sz w:val="36"/>
          <w:szCs w:val="36"/>
          <w:highlight w:val="none"/>
          <w:lang w:eastAsia="zh-CN"/>
        </w:rPr>
      </w:r>
      <w:r/>
    </w:p>
    <w:p>
      <w:pPr>
        <w:pStyle w:val="885"/>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江苏省建湖高级中学</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885"/>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hint="eastAsia" w:ascii="宋体" w:hAnsi="宋体"/>
          <w:color w:val="000000"/>
          <w:sz w:val="24"/>
          <w:highlight w:val="none"/>
        </w:rPr>
      </w:r>
      <w:r/>
    </w:p>
    <w:p>
      <w:pPr>
        <w:pStyle w:val="885"/>
        <w:ind w:left="2" w:firstLine="480"/>
        <w:spacing w:line="48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w:t>
      </w:r>
      <w:r>
        <w:rPr>
          <w:rFonts w:hint="eastAsia" w:ascii="宋体" w:hAnsi="宋体"/>
          <w:color w:val="000000"/>
          <w:sz w:val="24"/>
          <w:highlight w:val="none"/>
          <w:lang w:val="en-US" w:eastAsia="zh-CN"/>
        </w:rPr>
        <w:t xml:space="preserve">双</w:t>
      </w:r>
      <w:r>
        <w:rPr>
          <w:rFonts w:hint="eastAsia" w:ascii="宋体" w:hAnsi="宋体"/>
          <w:color w:val="000000"/>
          <w:sz w:val="24"/>
          <w:highlight w:val="none"/>
        </w:rPr>
        <w:t xml:space="preserve">方就</w:t>
      </w:r>
      <w:r>
        <w:rPr>
          <w:rFonts w:hint="eastAsia" w:ascii="宋体" w:hAnsi="宋体"/>
          <w:color w:val="000000"/>
          <w:sz w:val="24"/>
          <w:highlight w:val="none"/>
          <w:u w:val="single"/>
          <w:lang w:eastAsia="zh-CN"/>
        </w:rPr>
        <w:t xml:space="preserve">江苏省建湖高级中学科学教育实验教室采购项目</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885"/>
        <w:ind w:firstLine="474"/>
        <w:spacing w:line="480" w:lineRule="exact"/>
        <w:rPr>
          <w:rFonts w:ascii="宋体" w:hAnsi="宋体" w:cs="宋体"/>
          <w:color w:val="000000"/>
          <w:spacing w:val="-2"/>
          <w:sz w:val="24"/>
          <w:highlight w:val="none"/>
        </w:rPr>
      </w:pPr>
      <w:r>
        <w:rPr>
          <w:rFonts w:hint="eastAsia" w:ascii="宋体" w:hAnsi="宋体" w:cs="宋体"/>
          <w:b/>
          <w:bCs/>
          <w:color w:val="000000"/>
          <w:spacing w:val="-2"/>
          <w:sz w:val="24"/>
          <w:highlight w:val="none"/>
        </w:rPr>
        <w:t xml:space="preserve">一、合同标的</w:t>
      </w:r>
      <w:r>
        <w:rPr>
          <w:rFonts w:ascii="宋体" w:hAnsi="宋体" w:cs="宋体"/>
          <w:color w:val="000000"/>
          <w:spacing w:val="-2"/>
          <w:sz w:val="24"/>
          <w:highlight w:val="none"/>
        </w:rPr>
      </w:r>
      <w:r/>
    </w:p>
    <w:p>
      <w:pPr>
        <w:pStyle w:val="885"/>
        <w:ind w:firstLine="480"/>
        <w:spacing w:line="480" w:lineRule="exact"/>
        <w:rPr>
          <w:rFonts w:hint="eastAsia" w:ascii="宋体" w:hAnsi="宋体" w:eastAsia="宋体" w:cs="宋体"/>
          <w:color w:val="000000"/>
          <w:sz w:val="24"/>
          <w:szCs w:val="24"/>
          <w:highlight w:val="none"/>
          <w:lang w:val="en-US" w:eastAsia="zh-CN"/>
        </w:rPr>
      </w:pPr>
      <w:r>
        <w:rPr>
          <w:rFonts w:hint="eastAsia"/>
          <w:color w:val="000000"/>
          <w:sz w:val="24"/>
          <w:highlight w:val="none"/>
        </w:rPr>
        <w:t xml:space="preserve">本合同项下</w:t>
      </w:r>
      <w:r>
        <w:rPr>
          <w:rFonts w:hint="eastAsia"/>
          <w:color w:val="000000"/>
          <w:sz w:val="24"/>
          <w:highlight w:val="none"/>
          <w:lang w:val="en-US" w:eastAsia="zh-CN"/>
        </w:rPr>
        <w:t xml:space="preserve">合同</w:t>
      </w:r>
      <w:r>
        <w:rPr>
          <w:rFonts w:hint="eastAsia"/>
          <w:color w:val="000000"/>
          <w:sz w:val="24"/>
          <w:highlight w:val="none"/>
        </w:rPr>
        <w:t xml:space="preserve">价为（大写</w:t>
      </w:r>
      <w:r>
        <w:rPr>
          <w:rFonts w:hint="eastAsia"/>
          <w:color w:val="000000"/>
          <w:sz w:val="24"/>
          <w:highlight w:val="none"/>
          <w:u w:val="none"/>
        </w:rPr>
        <w:t xml:space="preserve">）</w:t>
      </w:r>
      <w:r>
        <w:rPr>
          <w:rFonts w:hint="eastAsia"/>
          <w:color w:val="000000"/>
          <w:sz w:val="24"/>
          <w:highlight w:val="none"/>
          <w:u w:val="single"/>
          <w:lang w:val="en-US" w:eastAsia="zh-CN"/>
        </w:rPr>
        <w:t xml:space="preserve">        </w:t>
      </w:r>
      <w:r>
        <w:rPr>
          <w:rFonts w:hint="eastAsia"/>
          <w:color w:val="000000"/>
          <w:sz w:val="24"/>
          <w:highlight w:val="none"/>
          <w:lang w:eastAsia="zh-CN"/>
        </w:rPr>
        <w:t xml:space="preserve">，小写：</w:t>
      </w:r>
      <w:r>
        <w:rPr>
          <w:rFonts w:hint="eastAsia"/>
          <w:color w:val="000000"/>
          <w:sz w:val="24"/>
          <w:highlight w:val="none"/>
          <w:u w:val="single"/>
          <w:lang w:val="en-US" w:eastAsia="zh-CN"/>
        </w:rPr>
        <w:t xml:space="preserve">       </w:t>
      </w:r>
      <w:r>
        <w:rPr>
          <w:rFonts w:hint="eastAsia"/>
          <w:color w:val="000000"/>
          <w:sz w:val="24"/>
          <w:highlight w:val="none"/>
          <w:u w:val="none"/>
          <w:lang w:val="en-US" w:eastAsia="zh-CN"/>
        </w:rPr>
        <w:t xml:space="preserve"> ，</w:t>
      </w:r>
      <w:r>
        <w:rPr>
          <w:rFonts w:hint="eastAsia" w:ascii="宋体" w:hAnsi="宋体"/>
          <w:color w:val="000000"/>
          <w:sz w:val="24"/>
          <w:highlight w:val="none"/>
        </w:rPr>
        <w:t xml:space="preserve">合同中合同总价应是招标文件所确定招标范围内全部工作内容的价格体现，以及为完成上述内容所必须的人工费、材料费、不可预见的费用、管理费、利润、税金和文件规定的其他各项应有的全部费用。对乙方认为没有考虑到的费用项目甲方将不予支付，并认为此项费用已包含在投标报价中</w:t>
      </w:r>
      <w:r>
        <w:rPr>
          <w:rFonts w:hint="eastAsia" w:ascii="宋体" w:hAnsi="宋体"/>
          <w:color w:val="000000"/>
          <w:spacing w:val="-2"/>
          <w:sz w:val="24"/>
          <w:szCs w:val="20"/>
          <w:highlight w:val="none"/>
        </w:rPr>
        <w:t xml:space="preserve">。</w:t>
      </w:r>
      <w:r>
        <w:rPr>
          <w:rFonts w:hint="eastAsia" w:ascii="宋体" w:hAnsi="宋体" w:eastAsia="宋体" w:cs="宋体"/>
          <w:color w:val="000000"/>
          <w:sz w:val="24"/>
          <w:szCs w:val="24"/>
          <w:highlight w:val="none"/>
          <w:lang w:val="en-US" w:eastAsia="zh-CN"/>
        </w:rPr>
      </w:r>
      <w:r/>
    </w:p>
    <w:p>
      <w:pPr>
        <w:pStyle w:val="885"/>
        <w:ind w:left="59" w:firstLine="482"/>
        <w:spacing w:line="520" w:lineRule="exact"/>
        <w:rPr>
          <w:b/>
          <w:bCs/>
          <w:color w:val="000000"/>
          <w:sz w:val="24"/>
          <w:highlight w:val="none"/>
        </w:rPr>
      </w:pPr>
      <w:r>
        <w:rPr>
          <w:rFonts w:hint="eastAsia" w:ascii="宋体" w:hAnsi="宋体"/>
          <w:b/>
          <w:color w:val="000000"/>
          <w:sz w:val="24"/>
          <w:highlight w:val="none"/>
        </w:rPr>
        <w:t xml:space="preserve">二、</w:t>
      </w:r>
      <w:r>
        <w:rPr>
          <w:rFonts w:hint="eastAsia"/>
          <w:b/>
          <w:bCs/>
          <w:color w:val="000000"/>
          <w:sz w:val="24"/>
          <w:highlight w:val="none"/>
        </w:rPr>
        <w:t xml:space="preserve">组成本合同的有关文件</w:t>
      </w:r>
      <w:r>
        <w:rPr>
          <w:b/>
          <w:bCs/>
          <w:color w:val="000000"/>
          <w:sz w:val="24"/>
          <w:highlight w:val="none"/>
        </w:rPr>
      </w:r>
      <w:r/>
    </w:p>
    <w:p>
      <w:pPr>
        <w:pStyle w:val="885"/>
        <w:ind w:firstLine="480"/>
        <w:spacing w:line="520" w:lineRule="exact"/>
        <w:rPr>
          <w:color w:val="000000"/>
          <w:sz w:val="24"/>
          <w:highlight w:val="none"/>
        </w:rPr>
      </w:pPr>
      <w:r>
        <w:rPr>
          <w:rFonts w:hint="eastAsia"/>
          <w:color w:val="000000"/>
          <w:sz w:val="24"/>
          <w:highlight w:val="none"/>
        </w:rPr>
        <w:t xml:space="preserve">招标文件或与本次采购活动方式相适应的文件及有关附件是本合同不可分割的组成部分，与本合同具有同等法律效力，这些文件包括：</w:t>
      </w:r>
      <w:r>
        <w:rPr>
          <w:color w:val="000000"/>
          <w:sz w:val="24"/>
          <w:highlight w:val="none"/>
        </w:rPr>
      </w:r>
      <w:r/>
    </w:p>
    <w:p>
      <w:pPr>
        <w:pStyle w:val="885"/>
        <w:ind w:firstLine="480"/>
        <w:spacing w:line="520" w:lineRule="exact"/>
        <w:rPr>
          <w:color w:val="000000"/>
          <w:sz w:val="24"/>
          <w:highlight w:val="none"/>
        </w:rPr>
      </w:pPr>
      <w:r>
        <w:rPr>
          <w:rFonts w:hint="eastAsia"/>
          <w:color w:val="000000"/>
          <w:sz w:val="24"/>
          <w:highlight w:val="none"/>
        </w:rPr>
        <w:t xml:space="preserve">（1）乙方提供的投标文件和投标报价表；</w:t>
      </w:r>
      <w:r>
        <w:rPr>
          <w:color w:val="000000"/>
          <w:sz w:val="24"/>
          <w:highlight w:val="none"/>
        </w:rPr>
      </w:r>
      <w:r/>
    </w:p>
    <w:p>
      <w:pPr>
        <w:pStyle w:val="885"/>
        <w:ind w:firstLine="480"/>
        <w:spacing w:line="520" w:lineRule="exact"/>
        <w:rPr>
          <w:color w:val="000000"/>
          <w:sz w:val="24"/>
          <w:highlight w:val="none"/>
        </w:rPr>
      </w:pPr>
      <w:r>
        <w:rPr>
          <w:rFonts w:hint="eastAsia"/>
          <w:color w:val="000000"/>
          <w:sz w:val="24"/>
          <w:highlight w:val="none"/>
        </w:rPr>
        <w:t xml:space="preserve">（2）开标一览表；</w:t>
      </w:r>
      <w:r>
        <w:rPr>
          <w:color w:val="000000"/>
          <w:sz w:val="24"/>
          <w:highlight w:val="none"/>
        </w:rPr>
      </w:r>
      <w:r/>
    </w:p>
    <w:p>
      <w:pPr>
        <w:pStyle w:val="885"/>
        <w:ind w:firstLine="480"/>
        <w:spacing w:line="520" w:lineRule="exact"/>
        <w:rPr>
          <w:color w:val="000000"/>
          <w:sz w:val="24"/>
          <w:highlight w:val="none"/>
        </w:rPr>
      </w:pPr>
      <w:r>
        <w:rPr>
          <w:rFonts w:hint="eastAsia"/>
          <w:color w:val="000000"/>
          <w:sz w:val="24"/>
          <w:highlight w:val="none"/>
        </w:rPr>
        <w:t xml:space="preserve">（3）投标承诺；</w:t>
      </w:r>
      <w:r>
        <w:rPr>
          <w:color w:val="000000"/>
          <w:sz w:val="24"/>
          <w:highlight w:val="none"/>
        </w:rPr>
      </w:r>
      <w:r/>
    </w:p>
    <w:p>
      <w:pPr>
        <w:pStyle w:val="885"/>
        <w:ind w:firstLine="48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（4）服务承诺；</w:t>
      </w:r>
      <w:r>
        <w:rPr>
          <w:rFonts w:ascii="宋体" w:hAnsi="宋体" w:cs="宋体"/>
          <w:color w:val="000000"/>
          <w:sz w:val="24"/>
          <w:szCs w:val="24"/>
          <w:highlight w:val="none"/>
        </w:rPr>
      </w:r>
      <w:r/>
    </w:p>
    <w:p>
      <w:pPr>
        <w:pStyle w:val="885"/>
        <w:ind w:firstLine="480"/>
        <w:spacing w:line="520" w:lineRule="exact"/>
        <w:rPr>
          <w:color w:val="000000"/>
          <w:sz w:val="24"/>
          <w:highlight w:val="none"/>
        </w:rPr>
      </w:pPr>
      <w:r>
        <w:rPr>
          <w:rFonts w:hint="eastAsia"/>
          <w:color w:val="000000"/>
          <w:sz w:val="24"/>
          <w:highlight w:val="none"/>
        </w:rPr>
        <w:t xml:space="preserve">（5）中标或成交通知书；</w:t>
      </w:r>
      <w:r>
        <w:rPr>
          <w:color w:val="000000"/>
          <w:sz w:val="24"/>
          <w:highlight w:val="none"/>
        </w:rPr>
      </w:r>
      <w:r/>
    </w:p>
    <w:p>
      <w:pPr>
        <w:pStyle w:val="885"/>
        <w:ind w:firstLine="480"/>
        <w:spacing w:line="520" w:lineRule="exact"/>
        <w:rPr>
          <w:color w:val="000000"/>
          <w:highlight w:val="none"/>
        </w:rPr>
      </w:pPr>
      <w:r>
        <w:rPr>
          <w:rFonts w:hint="eastAsia"/>
          <w:color w:val="000000"/>
          <w:sz w:val="24"/>
          <w:highlight w:val="none"/>
        </w:rPr>
        <w:t xml:space="preserve">（6）甲乙双方商定的其他文件。</w:t>
      </w:r>
      <w:r>
        <w:rPr>
          <w:color w:val="000000"/>
          <w:highlight w:val="none"/>
        </w:rPr>
      </w:r>
      <w:r/>
    </w:p>
    <w:p>
      <w:pPr>
        <w:pStyle w:val="885"/>
        <w:ind w:firstLine="482"/>
        <w:spacing w:line="4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三、履约保证金</w:t>
      </w:r>
      <w:r>
        <w:rPr>
          <w:rFonts w:ascii="宋体" w:hAnsi="宋体" w:cs="宋体"/>
          <w:b/>
          <w:bCs/>
          <w:color w:val="000000"/>
          <w:sz w:val="24"/>
          <w:szCs w:val="24"/>
          <w:highlight w:val="none"/>
        </w:rPr>
      </w:r>
      <w:r/>
    </w:p>
    <w:p>
      <w:pPr>
        <w:pStyle w:val="88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1.乙方在签订合同前须向甲方交纳中标价的5%作为履约保证金（人民币</w:t>
      </w:r>
      <w:r>
        <w:rPr>
          <w:rFonts w:hint="eastAsia" w:ascii="宋体" w:hAnsi="宋体" w:cs="宋体"/>
          <w:color w:val="000000"/>
          <w:sz w:val="24"/>
          <w:szCs w:val="24"/>
          <w:highlight w:val="none"/>
          <w:u w:val="single"/>
        </w:rPr>
        <w:t xml:space="preserve">￥      元</w:t>
      </w:r>
      <w:r>
        <w:rPr>
          <w:rFonts w:hint="eastAsia" w:ascii="宋体" w:hAnsi="宋体" w:cs="宋体"/>
          <w:color w:val="000000"/>
          <w:sz w:val="24"/>
          <w:szCs w:val="24"/>
          <w:highlight w:val="none"/>
        </w:rPr>
        <w:t xml:space="preserve">），</w:t>
      </w:r>
      <w:r>
        <w:rPr>
          <w:rFonts w:hint="eastAsia" w:ascii="宋体" w:hAnsi="宋体"/>
          <w:bCs/>
          <w:color w:val="000000"/>
          <w:sz w:val="24"/>
          <w:highlight w:val="none"/>
        </w:rPr>
        <w:t xml:space="preserve">在供货结束验收合格后退还</w:t>
      </w:r>
      <w:r>
        <w:rPr>
          <w:rFonts w:hint="eastAsia" w:ascii="宋体" w:hAnsi="宋体" w:cs="宋体"/>
          <w:color w:val="000000"/>
          <w:sz w:val="24"/>
          <w:szCs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szCs w:val="24"/>
          <w:highlight w:val="none"/>
        </w:rPr>
      </w:r>
      <w:r/>
    </w:p>
    <w:p>
      <w:pPr>
        <w:pStyle w:val="88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2.合同履行结束后，甲方应及时退还交纳的履约保证金。</w:t>
      </w:r>
      <w:r>
        <w:rPr>
          <w:rFonts w:hint="eastAsia" w:ascii="宋体" w:hAnsi="宋体" w:cs="宋体"/>
          <w:color w:val="000000"/>
          <w:sz w:val="24"/>
          <w:szCs w:val="24"/>
          <w:highlight w:val="none"/>
        </w:rPr>
      </w:r>
      <w:r/>
    </w:p>
    <w:p>
      <w:pPr>
        <w:pStyle w:val="88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3.履约保证金的退还：</w:t>
      </w:r>
      <w:r>
        <w:rPr>
          <w:rFonts w:hint="eastAsia" w:ascii="宋体" w:hAnsi="宋体" w:cs="宋体"/>
          <w:color w:val="000000"/>
          <w:sz w:val="24"/>
          <w:szCs w:val="24"/>
          <w:highlight w:val="none"/>
        </w:rPr>
      </w:r>
      <w:r/>
    </w:p>
    <w:p>
      <w:pPr>
        <w:pStyle w:val="88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3.1方式：无息退还至投标人缴纳履约保证金的账户。如为保函，在到期时自行失效。</w:t>
      </w:r>
      <w:r>
        <w:rPr>
          <w:rFonts w:hint="eastAsia" w:ascii="宋体" w:hAnsi="宋体" w:cs="宋体"/>
          <w:color w:val="000000"/>
          <w:sz w:val="24"/>
          <w:szCs w:val="24"/>
          <w:highlight w:val="none"/>
        </w:rPr>
      </w:r>
      <w:r/>
    </w:p>
    <w:p>
      <w:pPr>
        <w:pStyle w:val="88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3.2时间：验收合格且采购人收到发票后30日内。</w:t>
      </w:r>
      <w:r>
        <w:rPr>
          <w:rFonts w:hint="eastAsia" w:ascii="宋体" w:hAnsi="宋体" w:cs="宋体"/>
          <w:color w:val="000000"/>
          <w:sz w:val="24"/>
          <w:szCs w:val="24"/>
          <w:highlight w:val="none"/>
        </w:rPr>
      </w:r>
      <w:r/>
    </w:p>
    <w:p>
      <w:pPr>
        <w:pStyle w:val="88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3.3条件：按合同要求全部履约完成并经甲方验收合格，且甲方收到乙方出具的发票。</w:t>
      </w:r>
      <w:r>
        <w:rPr>
          <w:rFonts w:hint="eastAsia" w:ascii="宋体" w:hAnsi="宋体" w:cs="宋体"/>
          <w:color w:val="000000"/>
          <w:sz w:val="24"/>
          <w:szCs w:val="24"/>
          <w:highlight w:val="none"/>
        </w:rPr>
      </w:r>
      <w:r/>
    </w:p>
    <w:p>
      <w:pPr>
        <w:pStyle w:val="88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3.4不予退还情形：</w:t>
      </w:r>
      <w:r>
        <w:rPr>
          <w:rFonts w:hint="eastAsia" w:ascii="宋体" w:hAnsi="宋体" w:cs="宋体"/>
          <w:color w:val="000000"/>
          <w:sz w:val="24"/>
          <w:szCs w:val="24"/>
          <w:highlight w:val="none"/>
        </w:rPr>
      </w:r>
      <w:r/>
    </w:p>
    <w:p>
      <w:pPr>
        <w:pStyle w:val="88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除不可抗力情况外，投标人出现下列情形之一的，其履约保证金，甲方将视情节决定不予退还或部分不予退还。</w:t>
      </w:r>
      <w:r>
        <w:rPr>
          <w:rFonts w:hint="eastAsia" w:ascii="宋体" w:hAnsi="宋体" w:cs="宋体"/>
          <w:color w:val="000000"/>
          <w:sz w:val="24"/>
          <w:szCs w:val="24"/>
          <w:highlight w:val="none"/>
        </w:rPr>
      </w:r>
      <w:r/>
    </w:p>
    <w:p>
      <w:pPr>
        <w:pStyle w:val="88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（1）乙方无正当理由拒绝签订合同的，或者在签订合同时向采购人提出附加条件或者更改合同实质性内容要求的；</w:t>
      </w:r>
      <w:r>
        <w:rPr>
          <w:rFonts w:hint="eastAsia" w:ascii="宋体" w:hAnsi="宋体" w:cs="宋体"/>
          <w:color w:val="000000"/>
          <w:sz w:val="24"/>
          <w:szCs w:val="24"/>
          <w:highlight w:val="none"/>
        </w:rPr>
      </w:r>
      <w:r/>
    </w:p>
    <w:p>
      <w:pPr>
        <w:pStyle w:val="88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（2）乙方不履行与采购人订立的合同的；</w:t>
      </w:r>
      <w:r>
        <w:rPr>
          <w:rFonts w:hint="eastAsia" w:ascii="宋体" w:hAnsi="宋体" w:cs="宋体"/>
          <w:color w:val="000000"/>
          <w:sz w:val="24"/>
          <w:szCs w:val="24"/>
          <w:highlight w:val="none"/>
        </w:rPr>
      </w:r>
      <w:r/>
    </w:p>
    <w:p>
      <w:pPr>
        <w:pStyle w:val="88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（3）乙方所供货物或服务不符合招标文件规定要求的；</w:t>
      </w:r>
      <w:r>
        <w:rPr>
          <w:rFonts w:hint="eastAsia" w:ascii="宋体" w:hAnsi="宋体" w:cs="宋体"/>
          <w:color w:val="000000"/>
          <w:sz w:val="24"/>
          <w:szCs w:val="24"/>
          <w:highlight w:val="none"/>
        </w:rPr>
      </w:r>
      <w:r/>
    </w:p>
    <w:p>
      <w:pPr>
        <w:pStyle w:val="88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（4）乙方采取欺骗、弄虚作假方式投标的或与其它投标人串通投标的；</w:t>
      </w:r>
      <w:r>
        <w:rPr>
          <w:rFonts w:hint="eastAsia" w:ascii="宋体" w:hAnsi="宋体" w:cs="宋体"/>
          <w:color w:val="000000"/>
          <w:sz w:val="24"/>
          <w:szCs w:val="24"/>
          <w:highlight w:val="none"/>
        </w:rPr>
      </w:r>
      <w:r/>
    </w:p>
    <w:p>
      <w:pPr>
        <w:pStyle w:val="88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（5）乙方将合同内容转包、违法分包的；</w:t>
      </w:r>
      <w:r>
        <w:rPr>
          <w:rFonts w:hint="eastAsia" w:ascii="宋体" w:hAnsi="宋体" w:cs="宋体"/>
          <w:color w:val="000000"/>
          <w:sz w:val="24"/>
          <w:szCs w:val="24"/>
          <w:highlight w:val="none"/>
        </w:rPr>
      </w:r>
      <w:r/>
    </w:p>
    <w:p>
      <w:pPr>
        <w:pStyle w:val="88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（6）乙方故意捏造事实或伪造证明材料，进行虚假恶意投诉或反映的。</w:t>
      </w:r>
      <w:r>
        <w:rPr>
          <w:rFonts w:hint="eastAsia" w:ascii="宋体" w:hAnsi="宋体" w:cs="宋体"/>
          <w:color w:val="000000"/>
          <w:sz w:val="24"/>
          <w:szCs w:val="24"/>
          <w:highlight w:val="none"/>
        </w:rPr>
      </w:r>
      <w:r/>
    </w:p>
    <w:p>
      <w:pPr>
        <w:pStyle w:val="885"/>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3.5逾期退还的违约责任：采购人逾期无故未退还履约保证金的，按中国人民银行同期贷款基准利率上浮20%后的利率支付超期资金占用费，但因乙方自身原因导致无法及时退还的除外。</w:t>
      </w:r>
      <w:r>
        <w:rPr>
          <w:rFonts w:hint="eastAsia" w:ascii="宋体" w:hAnsi="宋体" w:cs="宋体"/>
          <w:color w:val="000000"/>
          <w:sz w:val="24"/>
          <w:szCs w:val="24"/>
          <w:highlight w:val="none"/>
        </w:rPr>
      </w:r>
      <w:r/>
    </w:p>
    <w:p>
      <w:pPr>
        <w:pStyle w:val="888"/>
        <w:ind w:firstLine="482"/>
        <w:spacing w:line="480" w:lineRule="exact"/>
        <w:rPr>
          <w:rFonts w:hint="eastAsia" w:ascii="宋体" w:hAnsi="宋体"/>
          <w:b/>
          <w:color w:val="000000"/>
          <w:highlight w:val="none"/>
        </w:rPr>
      </w:pPr>
      <w:r>
        <w:rPr>
          <w:rFonts w:hint="eastAsia" w:ascii="宋体" w:hAnsi="宋体"/>
          <w:b/>
          <w:color w:val="000000"/>
          <w:highlight w:val="none"/>
        </w:rPr>
        <w:t xml:space="preserve">四、质量保证</w:t>
      </w:r>
      <w:r>
        <w:rPr>
          <w:rFonts w:hint="eastAsia" w:ascii="宋体" w:hAnsi="宋体"/>
          <w:b/>
          <w:color w:val="000000"/>
          <w:highlight w:val="none"/>
        </w:rPr>
      </w:r>
      <w:r/>
    </w:p>
    <w:p>
      <w:pPr>
        <w:pStyle w:val="885"/>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乙方提供的产品性能及质量应符合国家标准并满足招标文件规定的相关质量技术要求，实现乙方的投标承诺书条款。</w:t>
      </w:r>
      <w:r>
        <w:rPr>
          <w:rFonts w:hint="eastAsia" w:ascii="宋体" w:hAnsi="宋体"/>
          <w:b/>
          <w:color w:val="000000"/>
          <w:sz w:val="24"/>
          <w:highlight w:val="none"/>
        </w:rPr>
      </w:r>
      <w:r/>
    </w:p>
    <w:p>
      <w:pPr>
        <w:pStyle w:val="885"/>
        <w:ind w:firstLine="482"/>
        <w:jc w:val="left"/>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具体标准详见招标文件中技术参数要求部分。</w:t>
      </w:r>
      <w:r>
        <w:rPr>
          <w:rFonts w:hint="eastAsia" w:ascii="宋体" w:hAnsi="宋体"/>
          <w:color w:val="000000"/>
          <w:sz w:val="24"/>
          <w:highlight w:val="none"/>
        </w:rPr>
      </w:r>
      <w:r/>
    </w:p>
    <w:p>
      <w:pPr>
        <w:pStyle w:val="885"/>
        <w:ind w:firstLine="48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五、产品的运输方式、费用负担及保险</w:t>
      </w:r>
      <w:r>
        <w:rPr>
          <w:rFonts w:hint="eastAsia" w:ascii="宋体" w:hAnsi="宋体"/>
          <w:b/>
          <w:color w:val="000000"/>
          <w:sz w:val="24"/>
          <w:highlight w:val="none"/>
        </w:rPr>
      </w:r>
      <w:r/>
    </w:p>
    <w:p>
      <w:pPr>
        <w:pStyle w:val="885"/>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1.乙方负责交货前产品的运输及保险，费用由乙方承担。乙方保证用最快捷与安全可靠的方式进行运输。产品运抵交货地点平稳摆放前产生的毁损、灭失风险均由乙方承担。</w:t>
      </w:r>
      <w:r>
        <w:rPr>
          <w:rFonts w:hint="eastAsia" w:ascii="宋体" w:hAnsi="宋体"/>
          <w:color w:val="000000"/>
          <w:sz w:val="24"/>
          <w:highlight w:val="none"/>
        </w:rPr>
      </w:r>
      <w:r/>
    </w:p>
    <w:p>
      <w:pPr>
        <w:pStyle w:val="885"/>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olor w:val="000000"/>
          <w:sz w:val="24"/>
          <w:highlight w:val="none"/>
        </w:rPr>
      </w:r>
      <w:r/>
    </w:p>
    <w:p>
      <w:pPr>
        <w:pStyle w:val="885"/>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六、交付与验收</w:t>
      </w:r>
      <w:r>
        <w:rPr>
          <w:rFonts w:hint="eastAsia" w:ascii="宋体" w:hAnsi="宋体"/>
          <w:color w:val="000000"/>
          <w:sz w:val="24"/>
          <w:highlight w:val="none"/>
        </w:rPr>
      </w:r>
      <w:r/>
    </w:p>
    <w:p>
      <w:pPr>
        <w:pStyle w:val="885"/>
        <w:ind w:firstLine="482"/>
        <w:spacing w:line="480" w:lineRule="exact"/>
        <w:widowControl/>
        <w:rPr>
          <w:rFonts w:hint="eastAsia" w:ascii="宋体" w:hAnsi="宋体"/>
          <w:b w:val="0"/>
          <w:bCs/>
          <w:color w:val="000000"/>
          <w:sz w:val="24"/>
        </w:rPr>
      </w:pPr>
      <w:r>
        <w:rPr>
          <w:rFonts w:hint="eastAsia" w:ascii="宋体" w:hAnsi="宋体"/>
          <w:b/>
          <w:color w:val="000000"/>
          <w:sz w:val="24"/>
          <w:highlight w:val="none"/>
        </w:rPr>
        <w:t xml:space="preserve">1.交付时间：</w:t>
      </w:r>
      <w:r>
        <w:rPr>
          <w:rFonts w:hint="eastAsia" w:ascii="宋体" w:hAnsi="宋体"/>
          <w:b w:val="0"/>
          <w:bCs/>
          <w:color w:val="000000"/>
          <w:sz w:val="24"/>
        </w:rPr>
        <w:t xml:space="preserve">合同签订后60天内完成项目（含安装调试）并通过验收；</w:t>
      </w:r>
      <w:r>
        <w:rPr>
          <w:rFonts w:hint="eastAsia" w:ascii="宋体" w:hAnsi="宋体"/>
          <w:b w:val="0"/>
          <w:bCs/>
          <w:color w:val="000000"/>
          <w:sz w:val="24"/>
        </w:rPr>
      </w:r>
      <w:r/>
    </w:p>
    <w:p>
      <w:pPr>
        <w:pStyle w:val="885"/>
        <w:ind w:firstLine="480"/>
        <w:spacing w:line="480" w:lineRule="exact"/>
        <w:widowControl/>
        <w:rPr>
          <w:rFonts w:hint="eastAsia" w:ascii="宋体" w:hAnsi="宋体"/>
          <w:b w:val="0"/>
          <w:bCs/>
          <w:color w:val="000000"/>
          <w:sz w:val="24"/>
        </w:rPr>
      </w:pPr>
      <w:r>
        <w:rPr>
          <w:rFonts w:hint="eastAsia" w:ascii="宋体" w:hAnsi="宋体"/>
          <w:b w:val="0"/>
          <w:bCs/>
          <w:color w:val="000000"/>
          <w:sz w:val="24"/>
        </w:rPr>
        <w:t xml:space="preserve">2.交付地点：</w:t>
      </w:r>
      <w:r>
        <w:rPr>
          <w:rFonts w:hint="eastAsia" w:ascii="宋体" w:hAnsi="宋体"/>
          <w:b w:val="0"/>
          <w:bCs/>
          <w:color w:val="000000"/>
          <w:sz w:val="24"/>
          <w:u w:val="single"/>
          <w:lang w:val="en-US" w:eastAsia="zh-CN"/>
        </w:rPr>
        <w:t xml:space="preserve">招标人</w:t>
      </w:r>
      <w:r>
        <w:rPr>
          <w:rFonts w:hint="eastAsia" w:ascii="宋体" w:hAnsi="宋体"/>
          <w:b w:val="0"/>
          <w:bCs/>
          <w:color w:val="000000"/>
          <w:sz w:val="24"/>
          <w:u w:val="single"/>
        </w:rPr>
        <w:t xml:space="preserve">指定地点</w:t>
      </w:r>
      <w:r>
        <w:rPr>
          <w:rFonts w:hint="eastAsia" w:ascii="宋体" w:hAnsi="宋体"/>
          <w:b w:val="0"/>
          <w:bCs/>
          <w:color w:val="000000"/>
          <w:sz w:val="24"/>
        </w:rPr>
        <w:t xml:space="preserve">；</w:t>
      </w:r>
      <w:r>
        <w:rPr>
          <w:rFonts w:hint="eastAsia" w:ascii="宋体" w:hAnsi="宋体"/>
          <w:b w:val="0"/>
          <w:bCs/>
          <w:color w:val="000000"/>
          <w:sz w:val="24"/>
        </w:rPr>
      </w:r>
      <w:r/>
    </w:p>
    <w:p>
      <w:pPr>
        <w:pStyle w:val="885"/>
        <w:ind w:firstLine="482"/>
        <w:keepLines w:val="0"/>
        <w:keepNext w:val="0"/>
        <w:pageBreakBefore w:val="0"/>
        <w:spacing w:line="480" w:lineRule="exact"/>
        <w:rPr>
          <w:rFonts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.乙方按照本合同或招标文件规定的时间和方式向甲方交付货物，交付地点由甲方指定。货物的验收包括型号、规格、数量、外观质量及包装、货物的装箱清单、用户手册、原厂保修卡、随货物资料及配件工具。</w:t>
      </w:r>
      <w:r>
        <w:rPr>
          <w:rFonts w:ascii="宋体" w:hAnsi="宋体"/>
          <w:color w:val="000000"/>
          <w:sz w:val="24"/>
          <w:highlight w:val="none"/>
        </w:rPr>
      </w:r>
      <w:r/>
    </w:p>
    <w:p>
      <w:pPr>
        <w:pStyle w:val="885"/>
        <w:ind w:firstLine="482"/>
        <w:jc w:val="left"/>
        <w:keepLines w:val="0"/>
        <w:keepNext w:val="0"/>
        <w:pageBreakBefore w:val="0"/>
        <w:spacing w:line="480" w:lineRule="exact"/>
        <w:widowControl/>
        <w:tabs>
          <w:tab w:val="left" w:pos="7560" w:leader="none"/>
        </w:tabs>
        <w:rPr>
          <w:rFonts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color w:val="000000"/>
          <w:sz w:val="24"/>
          <w:highlight w:val="none"/>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rPr>
          <w:rFonts w:ascii="宋体" w:hAnsi="宋体"/>
          <w:color w:val="000000"/>
          <w:sz w:val="24"/>
          <w:highlight w:val="none"/>
        </w:rPr>
      </w:r>
      <w:r/>
    </w:p>
    <w:p>
      <w:pPr>
        <w:pStyle w:val="885"/>
        <w:ind w:firstLine="482"/>
        <w:keepLines w:val="0"/>
        <w:keepNext w:val="0"/>
        <w:pageBreakBefore w:val="0"/>
        <w:spacing w:line="480" w:lineRule="exact"/>
        <w:rPr>
          <w:rFonts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color w:val="000000"/>
          <w:sz w:val="24"/>
          <w:highlight w:val="none"/>
        </w:rPr>
        <w:t xml:space="preserve"> 甲方根据合同规定的内容和国家标准进行验收，同时比较乙方出具的检验证明，经检验无误后由甲方出具验收合格证明加盖单位公章，该证明作为最终付款所需文件的组成部分。</w:t>
      </w:r>
      <w:r>
        <w:rPr>
          <w:rFonts w:ascii="宋体" w:hAnsi="宋体"/>
          <w:color w:val="000000"/>
          <w:sz w:val="24"/>
          <w:highlight w:val="none"/>
        </w:rPr>
      </w:r>
      <w:r/>
    </w:p>
    <w:p>
      <w:pPr>
        <w:pStyle w:val="885"/>
        <w:ind w:firstLine="482"/>
        <w:keepLines w:val="0"/>
        <w:keepNext w:val="0"/>
        <w:pageBreakBefore w:val="0"/>
        <w:spacing w:line="480" w:lineRule="exact"/>
        <w:rPr>
          <w:rFonts w:ascii="宋体" w:hAnsi="宋体"/>
          <w:color w:val="000000"/>
          <w:sz w:val="24"/>
          <w:highlight w:val="none"/>
        </w:rPr>
      </w:pPr>
      <w:r>
        <w:rPr>
          <w:rFonts w:hint="eastAsia" w:ascii="宋体" w:hAnsi="宋体"/>
          <w:b/>
          <w:color w:val="000000"/>
          <w:sz w:val="24"/>
          <w:highlight w:val="none"/>
        </w:rPr>
        <w:t xml:space="preserve">5.</w:t>
      </w:r>
      <w:r>
        <w:rPr>
          <w:rFonts w:hint="eastAsia" w:ascii="宋体" w:hAnsi="宋体"/>
          <w:color w:val="000000"/>
          <w:sz w:val="24"/>
          <w:highlight w:val="none"/>
        </w:rPr>
        <w:t xml:space="preserve">甲方在验收中，如果发现产品的品种、规格、质量不合规定的情况，应妥为保管，同时甲方应在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天内负责处理。</w:t>
      </w:r>
      <w:r>
        <w:rPr>
          <w:rFonts w:ascii="宋体" w:hAnsi="宋体"/>
          <w:color w:val="000000"/>
          <w:sz w:val="24"/>
          <w:highlight w:val="none"/>
        </w:rPr>
      </w:r>
      <w:r/>
    </w:p>
    <w:p>
      <w:pPr>
        <w:pStyle w:val="885"/>
        <w:ind w:firstLine="482"/>
        <w:keepLines w:val="0"/>
        <w:keepNext w:val="0"/>
        <w:pageBreakBefore w:val="0"/>
        <w:spacing w:line="480" w:lineRule="exact"/>
        <w:rPr>
          <w:rFonts w:ascii="宋体" w:hAnsi="宋体"/>
          <w:b/>
          <w:color w:val="000000"/>
          <w:sz w:val="24"/>
          <w:highlight w:val="none"/>
        </w:rPr>
      </w:pPr>
      <w:r>
        <w:rPr>
          <w:rFonts w:hint="eastAsia" w:ascii="宋体" w:hAnsi="宋体"/>
          <w:b/>
          <w:color w:val="000000"/>
          <w:sz w:val="24"/>
          <w:highlight w:val="none"/>
          <w:lang w:val="en-US" w:eastAsia="zh-CN"/>
        </w:rPr>
        <w:t xml:space="preserve">七</w:t>
      </w:r>
      <w:r>
        <w:rPr>
          <w:rFonts w:hint="eastAsia" w:ascii="宋体" w:hAnsi="宋体"/>
          <w:b/>
          <w:color w:val="000000"/>
          <w:sz w:val="24"/>
          <w:highlight w:val="none"/>
        </w:rPr>
        <w:t xml:space="preserve">、售后服务</w:t>
      </w:r>
      <w:r>
        <w:rPr>
          <w:rFonts w:ascii="宋体" w:hAnsi="宋体"/>
          <w:b/>
          <w:color w:val="000000"/>
          <w:sz w:val="24"/>
          <w:highlight w:val="none"/>
        </w:rPr>
      </w:r>
      <w:r/>
    </w:p>
    <w:p>
      <w:pPr>
        <w:pStyle w:val="885"/>
        <w:ind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color w:val="000000"/>
          <w:sz w:val="24"/>
          <w:highlight w:val="none"/>
        </w:rPr>
        <w:t xml:space="preserve">1. 乙方承诺提供</w:t>
      </w:r>
      <w:r>
        <w:rPr>
          <w:rFonts w:hint="eastAsia" w:ascii="宋体" w:hAnsi="宋体"/>
          <w:sz w:val="24"/>
          <w:highlight w:val="none"/>
          <w:u w:val="single"/>
        </w:rPr>
        <w:t xml:space="preserve"> </w:t>
      </w:r>
      <w:r>
        <w:rPr>
          <w:rFonts w:hint="eastAsia" w:ascii="宋体" w:hAnsi="宋体"/>
          <w:b/>
          <w:bCs/>
          <w:sz w:val="24"/>
          <w:highlight w:val="none"/>
          <w:u w:val="single"/>
          <w:lang w:val="en-US" w:eastAsia="zh-CN"/>
        </w:rPr>
        <w:t xml:space="preserve">三</w:t>
      </w:r>
      <w:r>
        <w:rPr>
          <w:rFonts w:hint="eastAsia" w:ascii="宋体" w:hAnsi="宋体"/>
          <w:b/>
          <w:bCs/>
          <w:sz w:val="24"/>
          <w:highlight w:val="none"/>
          <w:u w:val="single"/>
        </w:rPr>
        <w:t xml:space="preserve">年 </w:t>
      </w:r>
      <w:r>
        <w:rPr>
          <w:rFonts w:hint="eastAsia" w:ascii="宋体" w:hAnsi="宋体"/>
          <w:sz w:val="24"/>
          <w:highlight w:val="none"/>
        </w:rPr>
        <w:t xml:space="preserve">免费质保</w:t>
      </w:r>
      <w:r>
        <w:rPr>
          <w:rFonts w:hint="eastAsia" w:ascii="宋体" w:hAnsi="宋体" w:cs="宋体"/>
          <w:sz w:val="24"/>
          <w:highlight w:val="none"/>
        </w:rPr>
        <w:t xml:space="preserve">。</w:t>
      </w:r>
      <w:r>
        <w:rPr>
          <w:rFonts w:hint="eastAsia" w:ascii="宋体" w:hAnsi="宋体" w:cs="宋体"/>
          <w:color w:val="000000"/>
          <w:sz w:val="24"/>
          <w:highlight w:val="none"/>
        </w:rPr>
        <w:t xml:space="preserve">免费质保期间出现的问题，必须在2小时内响应，</w:t>
      </w:r>
      <w:r>
        <w:rPr>
          <w:rFonts w:ascii="宋体" w:hAnsi="宋体" w:cs="宋体"/>
          <w:color w:val="000000"/>
          <w:sz w:val="24"/>
          <w:highlight w:val="none"/>
        </w:rPr>
        <w:t xml:space="preserve">12</w:t>
      </w:r>
      <w:r>
        <w:rPr>
          <w:rFonts w:hint="eastAsia" w:ascii="宋体" w:hAnsi="宋体" w:cs="宋体"/>
          <w:color w:val="000000"/>
          <w:sz w:val="24"/>
          <w:highlight w:val="none"/>
        </w:rPr>
        <w:t xml:space="preserve">个小时内到达现场，</w:t>
      </w:r>
      <w:r>
        <w:rPr>
          <w:rFonts w:ascii="宋体" w:hAnsi="宋体" w:cs="宋体"/>
          <w:color w:val="000000"/>
          <w:sz w:val="24"/>
          <w:highlight w:val="none"/>
        </w:rPr>
        <w:t xml:space="preserve">24</w:t>
      </w:r>
      <w:r>
        <w:rPr>
          <w:rFonts w:hint="eastAsia" w:ascii="宋体" w:hAnsi="宋体" w:cs="宋体"/>
          <w:color w:val="000000"/>
          <w:sz w:val="24"/>
          <w:highlight w:val="none"/>
        </w:rPr>
        <w:t xml:space="preserve">小时内修复。</w:t>
      </w:r>
      <w:r>
        <w:rPr>
          <w:rFonts w:hint="eastAsia" w:ascii="宋体" w:hAnsi="宋体" w:cs="宋体"/>
          <w:color w:val="000000"/>
          <w:sz w:val="24"/>
          <w:highlight w:val="none"/>
          <w:lang w:val="en-US" w:eastAsia="zh-CN"/>
        </w:rPr>
        <w:t xml:space="preserve">现场</w:t>
      </w:r>
      <w:r>
        <w:rPr>
          <w:rFonts w:hint="eastAsia" w:ascii="宋体" w:hAnsi="宋体" w:eastAsia="宋体" w:cs="宋体"/>
          <w:sz w:val="24"/>
          <w:szCs w:val="24"/>
          <w:highlight w:val="none"/>
          <w:lang w:val="en-US" w:eastAsia="zh-CN"/>
        </w:rPr>
        <w:t xml:space="preserve">不能修复的，应提供备用机、备件替代。若超时未完成故障排除，且不能及时提供备用机、备件替代的，乙方对因故障所造成的损失后果负责。所发生的一切费用均由乙方自行承担。</w:t>
      </w:r>
      <w:r>
        <w:rPr>
          <w:rFonts w:hint="eastAsia" w:ascii="宋体" w:hAnsi="宋体"/>
          <w:color w:val="000000"/>
          <w:sz w:val="24"/>
          <w:highlight w:val="none"/>
        </w:rPr>
        <w:t xml:space="preserve">如乙方供应的产品因质量原因不能通过相关部门的验收，乙方无偿更换全部产品，不收取任何费用，并承担相应责任。</w:t>
      </w:r>
      <w:r>
        <w:rPr>
          <w:rFonts w:hint="eastAsia" w:ascii="宋体" w:hAnsi="宋体" w:eastAsia="宋体" w:cs="宋体"/>
          <w:sz w:val="24"/>
          <w:szCs w:val="24"/>
          <w:highlight w:val="none"/>
          <w:lang w:val="en-US" w:eastAsia="zh-CN"/>
        </w:rPr>
      </w:r>
      <w:r/>
    </w:p>
    <w:p>
      <w:pPr>
        <w:pStyle w:val="885"/>
        <w:ind w:firstLine="480"/>
        <w:jc w:val="left"/>
        <w:keepLines w:val="0"/>
        <w:keepNext w:val="0"/>
        <w:pageBreakBefore w:val="0"/>
        <w:spacing w:line="480" w:lineRule="exact"/>
        <w:widowControl/>
        <w:rPr>
          <w:highlight w:val="none"/>
        </w:rPr>
      </w:pPr>
      <w:r>
        <w:rPr>
          <w:rFonts w:hint="eastAsia" w:ascii="宋体" w:hAnsi="宋体"/>
          <w:color w:val="000000"/>
          <w:sz w:val="24"/>
          <w:highlight w:val="none"/>
        </w:rPr>
        <w:t xml:space="preserve">2. 乙方应严格执行厂家的保修规定，质量保证期满后，产品须维修的，供货方或生产方应本着微利服务原则，按最低价格收取维修费用。</w:t>
      </w:r>
      <w:r>
        <w:rPr>
          <w:rFonts w:hint="eastAsia" w:ascii="宋体" w:hAnsi="宋体"/>
          <w:color w:val="000000"/>
          <w:sz w:val="24"/>
          <w:highlight w:val="none"/>
        </w:rPr>
        <w:br w:type="textWrapping" w:clear="all"/>
      </w:r>
      <w:r>
        <w:rPr>
          <w:rFonts w:hint="eastAsia" w:ascii="宋体" w:hAnsi="宋体"/>
          <w:color w:val="000000"/>
          <w:sz w:val="24"/>
          <w:highlight w:val="none"/>
          <w:lang w:val="en-US" w:eastAsia="zh-CN"/>
        </w:rPr>
        <w:t xml:space="preserve">    </w:t>
      </w:r>
      <w:r>
        <w:rPr>
          <w:rFonts w:hint="eastAsia" w:ascii="宋体" w:hAnsi="宋体" w:eastAsia="宋体" w:cs="宋体"/>
          <w:sz w:val="24"/>
          <w:szCs w:val="24"/>
          <w:highlight w:val="none"/>
          <w:lang w:val="en-US" w:eastAsia="zh-CN"/>
        </w:rPr>
        <w:t xml:space="preserve">3.乙方负责对甲方相关部门及指定的用户进行培训，需根据项目实施的进度及时安排培训和授课，培训的主要内容应侧重于对设备的使用、维护、常见问题及解决办法等方面，并进行实践性的操作演示，使受训者熟悉课程教学的方法，掌握设备的操作和维护等。供应商需制定详细的培训计划，明确培训目标、参训人员、课程内容、时间、场地等相关安排。</w:t>
      </w:r>
      <w:r>
        <w:rPr>
          <w:highlight w:val="none"/>
        </w:rPr>
      </w:r>
      <w:r/>
    </w:p>
    <w:p>
      <w:pPr>
        <w:pStyle w:val="885"/>
        <w:ind w:firstLine="472"/>
        <w:spacing w:line="480" w:lineRule="exact"/>
        <w:widowControl/>
        <w:rPr>
          <w:rFonts w:hint="eastAsia" w:ascii="宋体" w:hAnsi="宋体"/>
          <w:b/>
          <w:color w:val="000000"/>
          <w:sz w:val="24"/>
          <w:highlight w:val="none"/>
          <w:lang w:val="en-US" w:eastAsia="zh-CN"/>
        </w:rPr>
      </w:pPr>
      <w:r>
        <w:rPr>
          <w:rFonts w:hint="eastAsia" w:ascii="宋体" w:hAnsi="宋体"/>
          <w:b/>
          <w:color w:val="000000"/>
          <w:sz w:val="24"/>
          <w:highlight w:val="none"/>
          <w:lang w:val="en-US" w:eastAsia="zh-CN"/>
        </w:rPr>
      </w:r>
      <w:r/>
    </w:p>
    <w:p>
      <w:pPr>
        <w:pStyle w:val="885"/>
        <w:ind w:firstLine="48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八、结算方式及期限</w:t>
      </w:r>
      <w:r>
        <w:rPr>
          <w:rFonts w:hint="eastAsia" w:ascii="宋体" w:hAnsi="宋体"/>
          <w:b/>
          <w:color w:val="000000"/>
          <w:sz w:val="24"/>
          <w:highlight w:val="none"/>
        </w:rPr>
      </w:r>
      <w:r/>
    </w:p>
    <w:p>
      <w:pPr>
        <w:pStyle w:val="885"/>
        <w:ind w:firstLine="482"/>
        <w:spacing w:line="480" w:lineRule="exact"/>
        <w:rPr>
          <w:rFonts w:hint="eastAsia" w:ascii="宋体" w:hAnsi="宋体" w:eastAsia="宋体"/>
          <w:color w:val="000000"/>
          <w:sz w:val="24"/>
          <w:highlight w:val="none"/>
          <w:lang w:eastAsia="zh-CN"/>
        </w:rPr>
      </w:pPr>
      <w:r>
        <w:rPr>
          <w:rFonts w:hint="eastAsia" w:ascii="宋体" w:hAnsi="宋体"/>
          <w:b/>
          <w:color w:val="000000"/>
          <w:sz w:val="24"/>
          <w:highlight w:val="none"/>
        </w:rPr>
        <w:t xml:space="preserve">1.</w:t>
      </w:r>
      <w:r>
        <w:rPr>
          <w:rFonts w:hint="eastAsia" w:ascii="宋体" w:hAnsi="宋体"/>
          <w:color w:val="000000"/>
          <w:sz w:val="24"/>
          <w:highlight w:val="none"/>
        </w:rPr>
        <w:t xml:space="preserve">结付程序：乙方按本合同内容合格地履行供货义务后，凭验收收货单、销售发票办理货款结算手续</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85"/>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color w:val="000000"/>
          <w:sz w:val="24"/>
          <w:highlight w:val="none"/>
        </w:rPr>
        <w:t xml:space="preserve">结付方式及付款方式：</w:t>
      </w:r>
      <w:r>
        <w:rPr>
          <w:rFonts w:hint="eastAsia" w:ascii="宋体" w:hAnsi="宋体"/>
          <w:color w:val="000000"/>
          <w:sz w:val="24"/>
          <w:highlight w:val="none"/>
        </w:rPr>
      </w:r>
      <w:r/>
    </w:p>
    <w:p>
      <w:pPr>
        <w:pStyle w:val="885"/>
        <w:ind w:firstLine="480"/>
        <w:spacing w:line="48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1）</w:t>
      </w:r>
      <w:r>
        <w:rPr>
          <w:rFonts w:hint="eastAsia" w:ascii="宋体" w:hAnsi="宋体" w:cs="宋体"/>
          <w:b/>
          <w:bCs/>
          <w:color w:val="000000"/>
          <w:sz w:val="24"/>
          <w:highlight w:val="none"/>
        </w:rPr>
        <w:t xml:space="preserve">供货结束验收合格后付至合同价的</w:t>
      </w:r>
      <w:r>
        <w:rPr>
          <w:rFonts w:hint="eastAsia" w:ascii="宋体" w:hAnsi="宋体" w:cs="宋体"/>
          <w:b/>
          <w:bCs/>
          <w:color w:val="000000"/>
          <w:sz w:val="24"/>
          <w:highlight w:val="none"/>
          <w:lang w:val="en-US" w:eastAsia="zh-CN"/>
        </w:rPr>
        <w:t xml:space="preserve">8</w:t>
      </w:r>
      <w:r>
        <w:rPr>
          <w:rFonts w:ascii="宋体" w:hAnsi="宋体" w:cs="宋体"/>
          <w:b/>
          <w:bCs/>
          <w:color w:val="000000"/>
          <w:sz w:val="24"/>
          <w:highlight w:val="none"/>
        </w:rPr>
        <w:t xml:space="preserve">0</w:t>
      </w:r>
      <w:r>
        <w:rPr>
          <w:rFonts w:hint="eastAsia" w:ascii="宋体" w:hAnsi="宋体" w:cs="宋体"/>
          <w:b/>
          <w:bCs/>
          <w:color w:val="000000"/>
          <w:sz w:val="24"/>
          <w:highlight w:val="none"/>
        </w:rPr>
        <w:t xml:space="preserve">%，</w:t>
      </w:r>
      <w:r>
        <w:rPr>
          <w:rFonts w:hint="eastAsia" w:ascii="宋体" w:hAnsi="宋体" w:eastAsia="宋体" w:cs="宋体"/>
          <w:b/>
          <w:bCs/>
          <w:color w:val="000000"/>
          <w:sz w:val="24"/>
          <w:szCs w:val="24"/>
          <w:highlight w:val="none"/>
          <w:u w:val="none"/>
          <w:lang w:val="en-US" w:eastAsia="zh-CN" w:bidi="zh-CN"/>
        </w:rPr>
        <w:t xml:space="preserve">一年后无质量问题付合同价款的</w:t>
      </w:r>
      <w:r>
        <w:rPr>
          <w:rFonts w:hint="eastAsia" w:ascii="宋体" w:hAnsi="宋体" w:cs="宋体"/>
          <w:b/>
          <w:bCs/>
          <w:color w:val="000000"/>
          <w:sz w:val="24"/>
          <w:szCs w:val="24"/>
          <w:highlight w:val="none"/>
          <w:u w:val="none"/>
          <w:lang w:val="en-US" w:eastAsia="zh-CN" w:bidi="zh-CN"/>
        </w:rPr>
        <w:t xml:space="preserve">1</w:t>
      </w:r>
      <w:r>
        <w:rPr>
          <w:rFonts w:hint="eastAsia" w:ascii="宋体" w:hAnsi="宋体" w:eastAsia="宋体" w:cs="宋体"/>
          <w:b/>
          <w:bCs/>
          <w:color w:val="000000"/>
          <w:sz w:val="24"/>
          <w:szCs w:val="24"/>
          <w:highlight w:val="none"/>
          <w:u w:val="none"/>
          <w:lang w:val="en-US" w:eastAsia="zh-CN" w:bidi="zh-CN"/>
        </w:rPr>
        <w:t xml:space="preserve">0%，</w:t>
      </w:r>
      <w:r>
        <w:rPr>
          <w:rFonts w:hint="eastAsia" w:ascii="宋体" w:hAnsi="宋体"/>
          <w:b/>
          <w:bCs/>
          <w:color w:val="000000"/>
          <w:sz w:val="24"/>
          <w:highlight w:val="none"/>
        </w:rPr>
        <w:t xml:space="preserve">余款质保期满后无质量问题一次性结清</w:t>
      </w:r>
      <w:r>
        <w:rPr>
          <w:rFonts w:hint="eastAsia" w:ascii="宋体" w:hAnsi="宋体" w:cs="宋体"/>
          <w:b/>
          <w:bCs/>
          <w:color w:val="000000"/>
          <w:sz w:val="24"/>
          <w:highlight w:val="none"/>
        </w:rPr>
        <w:t xml:space="preserve">（支付货款时须提供正式发票）</w:t>
      </w:r>
      <w:r>
        <w:rPr>
          <w:rFonts w:hint="eastAsia" w:ascii="宋体" w:hAnsi="宋体" w:cs="宋体"/>
          <w:b w:val="0"/>
          <w:bCs/>
          <w:color w:val="000000"/>
          <w:sz w:val="24"/>
          <w:highlight w:val="none"/>
        </w:rPr>
        <w:t xml:space="preserve">。</w:t>
      </w:r>
      <w:r>
        <w:rPr>
          <w:rFonts w:hint="eastAsia" w:ascii="宋体" w:hAnsi="宋体" w:cs="宋体"/>
          <w:b w:val="0"/>
          <w:bCs/>
          <w:color w:val="000000"/>
          <w:sz w:val="24"/>
          <w:highlight w:val="none"/>
        </w:rPr>
      </w:r>
      <w:r/>
    </w:p>
    <w:p>
      <w:pPr>
        <w:pStyle w:val="885"/>
        <w:ind w:firstLine="480"/>
        <w:spacing w:line="480" w:lineRule="exact"/>
        <w:widowControl/>
        <w:tabs>
          <w:tab w:val="left" w:pos="630" w:leader="none"/>
        </w:tabs>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2）</w:t>
      </w:r>
      <w:r>
        <w:rPr>
          <w:rFonts w:hint="eastAsia" w:ascii="宋体" w:hAnsi="宋体" w:cs="宋体"/>
          <w:b w:val="0"/>
          <w:bCs/>
          <w:color w:val="000000"/>
          <w:sz w:val="24"/>
          <w:highlight w:val="none"/>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eastAsia="zh-CN"/>
        </w:rPr>
      </w:r>
      <w:r/>
    </w:p>
    <w:p>
      <w:pPr>
        <w:pStyle w:val="885"/>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九、违约责任</w:t>
      </w:r>
      <w:r>
        <w:rPr>
          <w:rFonts w:hint="eastAsia" w:ascii="宋体" w:hAnsi="宋体"/>
          <w:color w:val="000000"/>
          <w:sz w:val="24"/>
          <w:highlight w:val="none"/>
        </w:rPr>
      </w:r>
      <w:r/>
    </w:p>
    <w:p>
      <w:pPr>
        <w:pStyle w:val="885"/>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color w:val="000000"/>
          <w:sz w:val="24"/>
          <w:highlight w:val="none"/>
        </w:rPr>
      </w:r>
      <w:r/>
    </w:p>
    <w:p>
      <w:pPr>
        <w:pStyle w:val="885"/>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2.甲方违约责任</w:t>
      </w:r>
      <w:r>
        <w:rPr>
          <w:rFonts w:hint="eastAsia" w:ascii="宋体" w:hAnsi="宋体"/>
          <w:color w:val="000000"/>
          <w:sz w:val="24"/>
          <w:highlight w:val="none"/>
        </w:rPr>
      </w:r>
      <w:r/>
    </w:p>
    <w:p>
      <w:pPr>
        <w:pStyle w:val="885"/>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甲方违反合同规定，拒绝接收乙方交付的合格货物，应当承担乙方由此造成的损失。</w:t>
      </w:r>
      <w:r>
        <w:rPr>
          <w:rFonts w:hint="eastAsia" w:ascii="宋体" w:hAnsi="宋体"/>
          <w:color w:val="000000"/>
          <w:sz w:val="24"/>
          <w:highlight w:val="none"/>
        </w:rPr>
      </w:r>
      <w:r/>
    </w:p>
    <w:p>
      <w:pPr>
        <w:pStyle w:val="885"/>
        <w:ind w:firstLine="482"/>
        <w:spacing w:line="480" w:lineRule="exact"/>
        <w:rPr>
          <w:rFonts w:ascii="宋体" w:hAnsi="宋体"/>
          <w:b/>
          <w:color w:val="000000"/>
          <w:sz w:val="24"/>
          <w:highlight w:val="none"/>
        </w:rPr>
      </w:pPr>
      <w:r>
        <w:rPr>
          <w:rFonts w:hint="eastAsia" w:ascii="宋体" w:hAnsi="宋体"/>
          <w:b/>
          <w:color w:val="000000"/>
          <w:sz w:val="24"/>
          <w:highlight w:val="none"/>
        </w:rPr>
        <w:t xml:space="preserve">3.乙方违约责任</w:t>
      </w:r>
      <w:r>
        <w:rPr>
          <w:rFonts w:ascii="宋体" w:hAnsi="宋体"/>
          <w:b/>
          <w:color w:val="000000"/>
          <w:sz w:val="24"/>
          <w:highlight w:val="none"/>
        </w:rPr>
      </w:r>
      <w:r/>
    </w:p>
    <w:p>
      <w:pPr>
        <w:pStyle w:val="885"/>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（1）乙方不能交货（逾期超过十五天视为不能交货），或交货不合格从而影响甲方按期正常使用的，甲方有权解除合同，乙方向甲方偿付合同总价款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rPr>
          <w:rFonts w:ascii="宋体" w:hAnsi="宋体"/>
          <w:color w:val="000000"/>
          <w:sz w:val="24"/>
          <w:highlight w:val="none"/>
        </w:rPr>
      </w:r>
      <w:r/>
    </w:p>
    <w:p>
      <w:pPr>
        <w:pStyle w:val="885"/>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rPr>
          <w:rFonts w:hint="eastAsia" w:ascii="宋体" w:hAnsi="宋体"/>
          <w:color w:val="000000"/>
          <w:sz w:val="24"/>
          <w:highlight w:val="none"/>
        </w:rPr>
      </w:r>
      <w:r/>
    </w:p>
    <w:p>
      <w:pPr>
        <w:pStyle w:val="885"/>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（3）乙方必须保证项目施工过程中以及货物供应、安装、运输、装卸、使用过程中的安全。如因产品质量不合理、不坚固、</w:t>
      </w:r>
      <w:r>
        <w:rPr>
          <w:rFonts w:hint="eastAsia" w:ascii="宋体" w:hAnsi="宋体"/>
          <w:color w:val="000000"/>
          <w:sz w:val="24"/>
          <w:highlight w:val="none"/>
          <w:lang w:val="en-US" w:eastAsia="zh-CN"/>
        </w:rPr>
        <w:t xml:space="preserve">实施</w:t>
      </w:r>
      <w:r>
        <w:rPr>
          <w:rFonts w:hint="eastAsia" w:ascii="宋体" w:hAnsi="宋体"/>
          <w:color w:val="000000"/>
          <w:sz w:val="24"/>
          <w:highlight w:val="none"/>
        </w:rPr>
        <w:t xml:space="preserve">不规范，以及一切自然损坏而造成的货物损坏和人身伤害事故（不包括不可抗力因素），由乙方承担全部责任；</w:t>
      </w:r>
      <w:r>
        <w:rPr>
          <w:rFonts w:hint="eastAsia" w:ascii="宋体" w:hAnsi="宋体"/>
          <w:color w:val="000000"/>
          <w:sz w:val="24"/>
          <w:highlight w:val="none"/>
        </w:rPr>
      </w:r>
      <w:r/>
    </w:p>
    <w:p>
      <w:pPr>
        <w:pStyle w:val="885"/>
        <w:ind w:firstLine="482"/>
        <w:spacing w:line="480" w:lineRule="exact"/>
        <w:widowControl/>
        <w:rPr>
          <w:rFonts w:ascii="宋体" w:hAnsi="宋体"/>
          <w:b/>
          <w:bCs/>
          <w:color w:val="000000"/>
          <w:sz w:val="24"/>
          <w:highlight w:val="none"/>
        </w:rPr>
      </w:pPr>
      <w:r>
        <w:rPr>
          <w:rFonts w:hint="eastAsia" w:ascii="宋体" w:hAnsi="宋体"/>
          <w:b/>
          <w:bCs/>
          <w:color w:val="000000"/>
          <w:sz w:val="24"/>
          <w:highlight w:val="none"/>
        </w:rPr>
        <w:t xml:space="preserve">十、安全问题</w:t>
      </w:r>
      <w:r>
        <w:rPr>
          <w:rFonts w:ascii="宋体" w:hAnsi="宋体"/>
          <w:b/>
          <w:bCs/>
          <w:color w:val="000000"/>
          <w:sz w:val="24"/>
          <w:highlight w:val="none"/>
        </w:rPr>
      </w:r>
      <w:r/>
    </w:p>
    <w:p>
      <w:pPr>
        <w:pStyle w:val="885"/>
        <w:ind w:firstLine="480"/>
        <w:spacing w:line="480" w:lineRule="exact"/>
        <w:widowControl/>
        <w:rPr>
          <w:rFonts w:hint="eastAsia"/>
          <w:color w:val="000000"/>
          <w:highlight w:val="none"/>
        </w:rPr>
      </w:pPr>
      <w:r>
        <w:rPr>
          <w:rFonts w:hint="eastAsia" w:ascii="宋体" w:hAnsi="宋体"/>
          <w:color w:val="000000"/>
          <w:sz w:val="24"/>
          <w:highlight w:val="none"/>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rPr>
          <w:rFonts w:hint="eastAsia"/>
          <w:color w:val="000000"/>
          <w:highlight w:val="none"/>
        </w:rPr>
      </w:r>
      <w:r/>
    </w:p>
    <w:p>
      <w:pPr>
        <w:pStyle w:val="885"/>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十一、不可抗力</w:t>
      </w:r>
      <w:r>
        <w:rPr>
          <w:rFonts w:hint="eastAsia" w:ascii="宋体" w:hAnsi="宋体"/>
          <w:color w:val="000000"/>
          <w:sz w:val="24"/>
          <w:highlight w:val="none"/>
        </w:rPr>
      </w:r>
      <w:r/>
    </w:p>
    <w:p>
      <w:pPr>
        <w:pStyle w:val="885"/>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highlight w:val="none"/>
        </w:rPr>
      </w:r>
      <w:r/>
    </w:p>
    <w:p>
      <w:pPr>
        <w:pStyle w:val="885"/>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不可抗力事件持续超过15日，任一方均有权解除本合同。</w:t>
      </w:r>
      <w:r>
        <w:rPr>
          <w:rFonts w:hint="eastAsia" w:ascii="宋体" w:hAnsi="宋体"/>
          <w:color w:val="000000"/>
          <w:sz w:val="24"/>
          <w:highlight w:val="none"/>
        </w:rPr>
      </w:r>
      <w:r/>
    </w:p>
    <w:p>
      <w:pPr>
        <w:pStyle w:val="885"/>
        <w:ind w:firstLine="48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十二、其他事项</w:t>
      </w:r>
      <w:r>
        <w:rPr>
          <w:rFonts w:hint="eastAsia" w:ascii="宋体" w:hAnsi="宋体"/>
          <w:b/>
          <w:color w:val="000000"/>
          <w:sz w:val="24"/>
          <w:highlight w:val="none"/>
        </w:rPr>
      </w:r>
      <w:r/>
    </w:p>
    <w:p>
      <w:pPr>
        <w:pStyle w:val="885"/>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rPr>
          <w:rFonts w:hint="eastAsia" w:ascii="宋体" w:hAnsi="宋体"/>
          <w:color w:val="000000"/>
          <w:sz w:val="24"/>
          <w:highlight w:val="none"/>
        </w:rPr>
      </w:r>
      <w:r/>
    </w:p>
    <w:p>
      <w:pPr>
        <w:pStyle w:val="885"/>
        <w:ind w:firstLine="482"/>
        <w:spacing w:line="480" w:lineRule="exact"/>
        <w:widowControl/>
        <w:rPr>
          <w:rFonts w:hint="eastAsia" w:ascii="宋体" w:hAnsi="宋体"/>
          <w:color w:val="000000"/>
          <w:sz w:val="24"/>
          <w:highlight w:val="none"/>
        </w:rPr>
      </w:pPr>
      <w:r>
        <w:rPr>
          <w:rFonts w:hint="eastAsia" w:ascii="宋体" w:hAnsi="宋体"/>
          <w:b/>
          <w:color w:val="000000"/>
          <w:sz w:val="24"/>
          <w:highlight w:val="none"/>
        </w:rPr>
        <w:t xml:space="preserve">十三、合同争议解决方式</w:t>
      </w:r>
      <w:r>
        <w:rPr>
          <w:rFonts w:hint="eastAsia" w:ascii="宋体" w:hAnsi="宋体"/>
          <w:color w:val="000000"/>
          <w:sz w:val="24"/>
          <w:highlight w:val="none"/>
        </w:rPr>
      </w:r>
      <w:r/>
    </w:p>
    <w:p>
      <w:pPr>
        <w:pStyle w:val="885"/>
        <w:ind w:firstLine="480"/>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highlight w:val="none"/>
        </w:rPr>
      </w:r>
      <w:r/>
    </w:p>
    <w:p>
      <w:pPr>
        <w:pStyle w:val="885"/>
        <w:ind w:firstLine="482"/>
        <w:spacing w:line="48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十四、其他</w:t>
      </w:r>
      <w:r>
        <w:rPr>
          <w:rFonts w:hint="eastAsia" w:ascii="宋体" w:hAnsi="宋体"/>
          <w:b/>
          <w:color w:val="000000"/>
          <w:sz w:val="24"/>
          <w:highlight w:val="none"/>
        </w:rPr>
      </w:r>
      <w:r/>
    </w:p>
    <w:p>
      <w:pPr>
        <w:pStyle w:val="885"/>
        <w:ind w:firstLine="482"/>
        <w:keepLines w:val="0"/>
        <w:keepNext w:val="0"/>
        <w:pageBreakBefore w:val="0"/>
        <w:spacing w:line="460" w:lineRule="exact"/>
        <w:widowControl/>
        <w:rPr>
          <w:rFonts w:hint="eastAsia"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color w:val="000000"/>
          <w:sz w:val="24"/>
          <w:highlight w:val="none"/>
        </w:rPr>
      </w:r>
      <w:r/>
    </w:p>
    <w:p>
      <w:pPr>
        <w:pStyle w:val="885"/>
        <w:ind w:firstLine="482"/>
        <w:keepLines w:val="0"/>
        <w:keepNext w:val="0"/>
        <w:pageBreakBefore w:val="0"/>
        <w:spacing w:line="460" w:lineRule="exact"/>
        <w:widowControl/>
        <w:rPr>
          <w:rFonts w:hint="eastAsia" w:ascii="宋体" w:hAnsi="宋体"/>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任何一方无权在没有另一方事先书面同意的情况下，向第三方给予、授予和转让本合同所规定的任何权利和义务。</w:t>
      </w:r>
      <w:r>
        <w:rPr>
          <w:rFonts w:hint="eastAsia" w:ascii="宋体" w:hAnsi="宋体"/>
          <w:color w:val="000000"/>
          <w:sz w:val="24"/>
          <w:highlight w:val="none"/>
        </w:rPr>
      </w:r>
      <w:r/>
    </w:p>
    <w:p>
      <w:pPr>
        <w:pStyle w:val="885"/>
        <w:ind w:firstLine="482"/>
        <w:keepLines w:val="0"/>
        <w:keepNext w:val="0"/>
        <w:pageBreakBefore w:val="0"/>
        <w:spacing w:line="46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rPr>
        <w:t xml:space="preserve">3</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本合同自甲乙双方代表签字盖章之日起生效，一式陆份，甲乙双方各贰份，</w:t>
      </w:r>
      <w:r>
        <w:rPr>
          <w:rFonts w:hint="eastAsia" w:ascii="宋体" w:hAnsi="宋体"/>
          <w:color w:val="000000"/>
          <w:sz w:val="24"/>
          <w:highlight w:val="none"/>
          <w:lang w:eastAsia="zh-CN"/>
        </w:rPr>
        <w:t xml:space="preserve">南京工采招标有限公司</w:t>
      </w:r>
      <w:r>
        <w:rPr>
          <w:rFonts w:hint="eastAsia" w:ascii="宋体" w:hAnsi="宋体"/>
          <w:color w:val="000000"/>
          <w:sz w:val="24"/>
          <w:highlight w:val="none"/>
        </w:rPr>
        <w:t xml:space="preserve">贰份。</w:t>
      </w:r>
      <w:r>
        <w:rPr>
          <w:rFonts w:hint="eastAsia" w:ascii="宋体" w:hAnsi="宋体"/>
          <w:color w:val="000000"/>
          <w:sz w:val="24"/>
          <w:highlight w:val="none"/>
        </w:rPr>
      </w:r>
      <w:r/>
    </w:p>
    <w:p>
      <w:pPr>
        <w:pStyle w:val="885"/>
        <w:ind w:firstLine="482"/>
        <w:keepLines w:val="0"/>
        <w:keepNext w:val="0"/>
        <w:pageBreakBefore w:val="0"/>
        <w:spacing w:line="46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lang w:val="en-US" w:eastAsia="zh-CN"/>
        </w:rPr>
        <w:t xml:space="preserve">.</w:t>
      </w:r>
      <w:r>
        <w:rPr>
          <w:rFonts w:hint="eastAsia" w:ascii="宋体" w:hAnsi="宋体"/>
          <w:color w:val="000000"/>
          <w:sz w:val="24"/>
          <w:highlight w:val="none"/>
        </w:rPr>
        <w:t xml:space="preserve">本合同附件包括：招标文件、开标一览表及投标报价表。</w:t>
      </w:r>
      <w:r>
        <w:rPr>
          <w:rFonts w:hint="eastAsia" w:ascii="宋体" w:hAnsi="宋体"/>
          <w:color w:val="000000"/>
          <w:sz w:val="24"/>
          <w:highlight w:val="none"/>
        </w:rPr>
      </w:r>
      <w:r/>
    </w:p>
    <w:p>
      <w:pPr>
        <w:pStyle w:val="885"/>
        <w:ind w:firstLine="482"/>
        <w:jc w:val="left"/>
        <w:keepLines w:val="0"/>
        <w:keepNext w:val="0"/>
        <w:pageBreakBefore w:val="0"/>
        <w:spacing w:line="460" w:lineRule="exact"/>
        <w:rPr>
          <w:rFonts w:hint="eastAsia" w:ascii="宋体" w:hAnsi="Courier New"/>
          <w:b/>
          <w:color w:val="000000"/>
          <w:sz w:val="32"/>
          <w:szCs w:val="32"/>
          <w:highlight w:val="none"/>
        </w:rPr>
        <w:outlineLvl w:val="0"/>
      </w:pPr>
      <w:r>
        <w:rPr>
          <w:rFonts w:hint="eastAsia" w:ascii="宋体" w:hAnsi="宋体"/>
          <w:b/>
          <w:bCs/>
          <w:color w:val="000000"/>
          <w:sz w:val="24"/>
          <w:highlight w:val="none"/>
        </w:rPr>
        <w:t xml:space="preserve">5</w:t>
      </w:r>
      <w:r>
        <w:rPr>
          <w:rFonts w:hint="eastAsia" w:ascii="宋体" w:hAnsi="宋体" w:cs="宋体"/>
          <w:b/>
          <w:color w:val="000000"/>
          <w:sz w:val="24"/>
          <w:highlight w:val="none"/>
          <w:lang w:val="en-US" w:eastAsia="zh-CN"/>
        </w:rPr>
        <w:t xml:space="preserve">.</w:t>
      </w:r>
      <w:r>
        <w:rPr>
          <w:rFonts w:ascii="宋体" w:hAnsi="宋体"/>
          <w:b/>
          <w:bCs/>
          <w:color w:val="000000"/>
          <w:sz w:val="24"/>
          <w:highlight w:val="none"/>
        </w:rPr>
        <w:t xml:space="preserve">该合同在签订之日起2个工作日内在江苏省政府采购网、盐城市政府采购网上予以公示。</w:t>
      </w:r>
      <w:r>
        <w:rPr>
          <w:rFonts w:hint="eastAsia" w:ascii="宋体" w:hAnsi="Courier New"/>
          <w:b/>
          <w:color w:val="000000"/>
          <w:sz w:val="32"/>
          <w:szCs w:val="32"/>
          <w:highlight w:val="none"/>
        </w:rPr>
      </w:r>
      <w:r/>
    </w:p>
    <w:p>
      <w:pPr>
        <w:pStyle w:val="885"/>
        <w:numPr>
          <w:ilvl w:val="0"/>
          <w:numId w:val="0"/>
        </w:numPr>
        <w:ind w:firstLine="883"/>
        <w:jc w:val="center"/>
        <w:spacing w:line="520" w:lineRule="exact"/>
        <w:rPr>
          <w:b/>
          <w:color w:val="000000"/>
          <w:sz w:val="44"/>
          <w:szCs w:val="44"/>
          <w:highlight w:val="none"/>
        </w:rPr>
      </w:pPr>
      <w:r>
        <w:rPr>
          <w:rFonts w:hint="eastAsia"/>
          <w:b/>
          <w:color w:val="000000"/>
          <w:sz w:val="44"/>
          <w:szCs w:val="44"/>
          <w:highlight w:val="none"/>
          <w:lang w:val="en-US" w:eastAsia="zh-CN"/>
        </w:rPr>
        <w:br w:type="page" w:clear="all"/>
      </w:r>
      <w:r>
        <w:rPr>
          <w:rFonts w:hint="eastAsia"/>
          <w:b/>
          <w:color w:val="000000"/>
          <w:sz w:val="44"/>
          <w:szCs w:val="44"/>
          <w:highlight w:val="none"/>
          <w:lang w:val="en-US" w:eastAsia="zh-CN"/>
        </w:rPr>
        <w:t xml:space="preserve">第六章  </w:t>
      </w:r>
      <w:r>
        <w:rPr>
          <w:rFonts w:hint="eastAsia"/>
          <w:b/>
          <w:color w:val="000000"/>
          <w:sz w:val="44"/>
          <w:szCs w:val="44"/>
          <w:highlight w:val="none"/>
        </w:rPr>
        <w:t xml:space="preserve">投标文件及格式</w:t>
      </w:r>
      <w:r>
        <w:rPr>
          <w:b/>
          <w:color w:val="000000"/>
          <w:sz w:val="44"/>
          <w:szCs w:val="44"/>
          <w:highlight w:val="none"/>
        </w:rPr>
      </w:r>
      <w:r/>
    </w:p>
    <w:p>
      <w:pPr>
        <w:pStyle w:val="885"/>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85"/>
        <w:ind w:firstLine="723"/>
        <w:jc w:val="center"/>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一</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rPr>
        <w:t xml:space="preserve">开标一览表</w:t>
      </w:r>
      <w:r>
        <w:rPr>
          <w:rFonts w:hint="eastAsia" w:ascii="黑体" w:hAnsi="黑体" w:eastAsia="黑体" w:cs="黑体"/>
          <w:b/>
          <w:color w:val="000000"/>
          <w:sz w:val="36"/>
          <w:szCs w:val="36"/>
          <w:highlight w:val="none"/>
          <w:lang w:eastAsia="zh-CN"/>
        </w:rPr>
      </w:r>
      <w:r/>
    </w:p>
    <w:p>
      <w:pPr>
        <w:pStyle w:val="885"/>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885"/>
        <w:ind w:firstLine="540"/>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项目</w:t>
      </w:r>
      <w:r>
        <w:rPr>
          <w:rFonts w:hint="eastAsia" w:ascii="宋体" w:hAnsi="宋体" w:cs="Segoe UI"/>
          <w:color w:val="000000"/>
          <w:sz w:val="27"/>
          <w:szCs w:val="27"/>
          <w:highlight w:val="none"/>
          <w:lang w:val="en-US" w:eastAsia="zh-CN"/>
        </w:rPr>
        <w:t xml:space="preserve">名称</w:t>
      </w:r>
      <w:r>
        <w:rPr>
          <w:rFonts w:hint="eastAsia" w:ascii="宋体" w:hAnsi="宋体" w:cs="Segoe UI"/>
          <w:color w:val="000000"/>
          <w:sz w:val="27"/>
          <w:szCs w:val="27"/>
          <w:highlight w:val="none"/>
        </w:rPr>
        <w:t xml:space="preserve">：</w:t>
      </w:r>
      <w:r>
        <w:rPr>
          <w:rFonts w:hint="eastAsia" w:ascii="宋体" w:hAnsi="宋体" w:cs="Segoe UI"/>
          <w:color w:val="000000"/>
          <w:sz w:val="27"/>
          <w:szCs w:val="27"/>
          <w:highlight w:val="none"/>
        </w:rPr>
      </w:r>
      <w:r/>
    </w:p>
    <w:p>
      <w:pPr>
        <w:pStyle w:val="885"/>
        <w:ind w:firstLine="540"/>
        <w:jc w:val="left"/>
        <w:spacing w:before="100" w:beforeAutospacing="1" w:after="100" w:afterAutospacing="1"/>
        <w:widowControl/>
        <w:rPr>
          <w:rFonts w:ascii="宋体" w:hAnsi="宋体" w:cs="Segoe UI"/>
          <w:color w:val="000000"/>
          <w:sz w:val="27"/>
          <w:szCs w:val="27"/>
          <w:highlight w:val="none"/>
        </w:rPr>
      </w:pPr>
      <w:r>
        <w:rPr>
          <w:rFonts w:hint="eastAsia" w:ascii="宋体" w:hAnsi="宋体" w:cs="Segoe UI"/>
          <w:color w:val="000000"/>
          <w:sz w:val="27"/>
          <w:szCs w:val="27"/>
          <w:highlight w:val="none"/>
          <w:lang w:val="en-US" w:eastAsia="zh-CN"/>
        </w:rPr>
        <w:t xml:space="preserve">项目编号</w:t>
      </w:r>
      <w:r>
        <w:rPr>
          <w:rFonts w:ascii="宋体" w:hAnsi="宋体" w:cs="Segoe UI"/>
          <w:color w:val="000000"/>
          <w:sz w:val="27"/>
          <w:szCs w:val="27"/>
          <w:highlight w:val="none"/>
        </w:rPr>
        <w:t xml:space="preserve">：</w:t>
      </w:r>
      <w:r>
        <w:rPr>
          <w:rFonts w:ascii="宋体" w:hAnsi="宋体" w:cs="Segoe UI"/>
          <w:color w:val="000000"/>
          <w:sz w:val="27"/>
          <w:szCs w:val="27"/>
          <w:highlight w:val="none"/>
        </w:rPr>
      </w:r>
      <w:r/>
    </w:p>
    <w:p>
      <w:pPr>
        <w:pStyle w:val="1088"/>
        <w:ind w:firstLine="480"/>
        <w:keepLines w:val="0"/>
        <w:keepNext w:val="0"/>
        <w:widowControl/>
        <w:rPr>
          <w:color w:val="000000"/>
          <w:highlight w:val="none"/>
        </w:rPr>
        <w:suppressLineNumbers w:val="0"/>
      </w:pPr>
      <w:r>
        <w:rPr>
          <w:color w:val="000000"/>
          <w:highlight w:val="none"/>
        </w:rPr>
        <w:t xml:space="preserve"> </w:t>
      </w:r>
      <w:r>
        <w:rPr>
          <w:color w:val="000000"/>
          <w:highlight w:val="none"/>
        </w:rPr>
      </w:r>
      <w:r/>
    </w:p>
    <w:tbl>
      <w:tblPr>
        <w:tblW w:w="92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89"/>
        <w:gridCol w:w="2301"/>
        <w:gridCol w:w="3095"/>
      </w:tblGrid>
      <w:tr>
        <w:trPr>
          <w:trHeight w:val="720"/>
        </w:trPr>
        <w:tc>
          <w:tcPr>
            <w:tcW w:w="3889" w:type="dxa"/>
            <w:vAlign w:val="center"/>
            <w:textDirection w:val="lrTb"/>
            <w:noWrap w:val="false"/>
          </w:tcPr>
          <w:p>
            <w:pPr>
              <w:pStyle w:val="885"/>
              <w:jc w:val="center"/>
              <w:spacing w:before="100" w:beforeAutospacing="1" w:after="100" w:afterAutospacing="1"/>
              <w:widowControl/>
              <w:rPr>
                <w:rFonts w:ascii="宋体" w:hAnsi="宋体" w:eastAsia="宋体" w:cs="Segoe UI"/>
                <w:color w:val="000000"/>
                <w:sz w:val="24"/>
                <w:highlight w:val="none"/>
                <w:lang w:val="en-US" w:eastAsia="zh-CN" w:bidi="ar-SA"/>
              </w:rPr>
            </w:pPr>
            <w:r>
              <w:rPr>
                <w:rFonts w:ascii="宋体" w:hAnsi="宋体" w:eastAsia="宋体" w:cs="Segoe UI"/>
                <w:color w:val="000000"/>
                <w:sz w:val="24"/>
                <w:highlight w:val="none"/>
                <w:lang w:val="en-US" w:eastAsia="zh-CN" w:bidi="ar-SA"/>
              </w:rPr>
              <w:t xml:space="preserve">项目名称</w:t>
            </w:r>
            <w:r>
              <w:rPr>
                <w:rFonts w:ascii="宋体" w:hAnsi="宋体" w:eastAsia="宋体" w:cs="Segoe UI"/>
                <w:color w:val="000000"/>
                <w:sz w:val="24"/>
                <w:highlight w:val="none"/>
                <w:lang w:val="en-US" w:eastAsia="zh-CN" w:bidi="ar-SA"/>
              </w:rPr>
            </w:r>
            <w:r/>
          </w:p>
        </w:tc>
        <w:tc>
          <w:tcPr>
            <w:tcW w:w="2301" w:type="dxa"/>
            <w:vAlign w:val="center"/>
            <w:textDirection w:val="lrTb"/>
            <w:noWrap w:val="false"/>
          </w:tcPr>
          <w:p>
            <w:pPr>
              <w:pStyle w:val="885"/>
              <w:jc w:val="center"/>
              <w:spacing w:before="100" w:beforeAutospacing="1" w:after="100" w:afterAutospacing="1"/>
              <w:widowControl/>
              <w:rPr>
                <w:rFonts w:ascii="宋体" w:hAnsi="宋体" w:eastAsia="宋体" w:cs="Segoe UI"/>
                <w:color w:val="000000"/>
                <w:sz w:val="24"/>
                <w:highlight w:val="none"/>
                <w:lang w:val="en-US" w:eastAsia="zh-CN" w:bidi="ar-SA"/>
              </w:rPr>
            </w:pPr>
            <w:r>
              <w:rPr>
                <w:rFonts w:ascii="宋体" w:hAnsi="宋体" w:eastAsia="宋体" w:cs="Segoe UI"/>
                <w:color w:val="000000"/>
                <w:sz w:val="24"/>
                <w:highlight w:val="none"/>
                <w:lang w:val="en-US" w:eastAsia="zh-CN" w:bidi="ar-SA"/>
              </w:rPr>
              <w:t xml:space="preserve">项目内容</w:t>
            </w:r>
            <w:r>
              <w:rPr>
                <w:rFonts w:ascii="宋体" w:hAnsi="宋体" w:eastAsia="宋体" w:cs="Segoe UI"/>
                <w:color w:val="000000"/>
                <w:sz w:val="24"/>
                <w:highlight w:val="none"/>
                <w:lang w:val="en-US" w:eastAsia="zh-CN" w:bidi="ar-SA"/>
              </w:rPr>
            </w:r>
            <w:r/>
          </w:p>
        </w:tc>
        <w:tc>
          <w:tcPr>
            <w:tcW w:w="3095" w:type="dxa"/>
            <w:vAlign w:val="center"/>
            <w:textDirection w:val="lrTb"/>
            <w:noWrap w:val="false"/>
          </w:tcPr>
          <w:p>
            <w:pPr>
              <w:pStyle w:val="885"/>
              <w:jc w:val="center"/>
              <w:spacing w:before="100" w:beforeAutospacing="1" w:after="100" w:afterAutospacing="1"/>
              <w:widowControl/>
              <w:rPr>
                <w:rFonts w:ascii="宋体" w:hAnsi="宋体" w:eastAsia="宋体" w:cs="Segoe UI"/>
                <w:color w:val="000000"/>
                <w:sz w:val="24"/>
                <w:highlight w:val="none"/>
                <w:lang w:val="en-US" w:eastAsia="zh-CN" w:bidi="ar-SA"/>
              </w:rPr>
            </w:pPr>
            <w:r>
              <w:rPr>
                <w:rFonts w:hint="eastAsia" w:ascii="宋体" w:hAnsi="宋体" w:eastAsia="宋体" w:cs="Segoe UI"/>
                <w:color w:val="000000"/>
                <w:sz w:val="24"/>
                <w:lang w:val="en-US" w:eastAsia="zh-CN" w:bidi="ar-SA"/>
              </w:rPr>
              <w:t xml:space="preserve">总价</w:t>
            </w:r>
            <w:r>
              <w:rPr>
                <w:rFonts w:ascii="宋体" w:hAnsi="宋体" w:eastAsia="宋体" w:cs="Segoe UI"/>
                <w:color w:val="000000"/>
                <w:sz w:val="24"/>
                <w:lang w:val="en-US" w:eastAsia="zh-CN" w:bidi="ar-SA"/>
              </w:rPr>
              <w:t xml:space="preserve">（小写）</w:t>
            </w:r>
            <w:r>
              <w:rPr>
                <w:rFonts w:ascii="宋体" w:hAnsi="宋体" w:eastAsia="宋体" w:cs="Segoe UI"/>
                <w:color w:val="000000"/>
                <w:sz w:val="24"/>
                <w:highlight w:val="none"/>
                <w:lang w:val="en-US" w:eastAsia="zh-CN" w:bidi="ar-SA"/>
              </w:rPr>
            </w:r>
            <w:r/>
          </w:p>
        </w:tc>
      </w:tr>
      <w:tr>
        <w:trPr>
          <w:trHeight w:val="897"/>
        </w:trPr>
        <w:tc>
          <w:tcPr>
            <w:tcW w:w="3889" w:type="dxa"/>
            <w:vAlign w:val="center"/>
            <w:textDirection w:val="lrTb"/>
            <w:noWrap w:val="false"/>
          </w:tcPr>
          <w:p>
            <w:pPr>
              <w:pStyle w:val="885"/>
              <w:jc w:val="center"/>
              <w:spacing w:before="100" w:beforeAutospacing="1" w:after="100" w:afterAutospacing="1"/>
              <w:widowControl/>
              <w:rPr>
                <w:rFonts w:ascii="宋体" w:hAnsi="宋体" w:eastAsia="宋体" w:cs="Segoe UI"/>
                <w:color w:val="000000"/>
                <w:sz w:val="24"/>
                <w:highlight w:val="none"/>
                <w:lang w:val="en-US" w:eastAsia="zh-CN" w:bidi="ar-SA"/>
              </w:rPr>
            </w:pPr>
            <w:r>
              <w:rPr>
                <w:rFonts w:ascii="宋体" w:hAnsi="宋体" w:eastAsia="宋体" w:cs="Segoe UI"/>
                <w:color w:val="000000"/>
                <w:sz w:val="24"/>
                <w:highlight w:val="none"/>
                <w:lang w:val="en-US" w:eastAsia="zh-CN" w:bidi="ar-SA"/>
              </w:rPr>
              <w:t xml:space="preserve">江苏省建湖高级中学科学教育实验教室采购项目</w:t>
            </w:r>
            <w:r>
              <w:rPr>
                <w:rFonts w:ascii="宋体" w:hAnsi="宋体" w:eastAsia="宋体" w:cs="Segoe UI"/>
                <w:color w:val="000000"/>
                <w:sz w:val="24"/>
                <w:highlight w:val="none"/>
                <w:lang w:val="en-US" w:eastAsia="zh-CN" w:bidi="ar-SA"/>
              </w:rPr>
            </w:r>
            <w:r/>
          </w:p>
        </w:tc>
        <w:tc>
          <w:tcPr>
            <w:tcW w:w="2301" w:type="dxa"/>
            <w:vAlign w:val="center"/>
            <w:textDirection w:val="lrTb"/>
            <w:noWrap w:val="false"/>
          </w:tcPr>
          <w:p>
            <w:pPr>
              <w:pStyle w:val="885"/>
              <w:jc w:val="center"/>
              <w:spacing w:before="100" w:beforeAutospacing="1" w:after="100" w:afterAutospacing="1"/>
              <w:widowControl/>
              <w:rPr>
                <w:rFonts w:ascii="宋体" w:hAnsi="宋体" w:eastAsia="宋体" w:cs="Segoe UI"/>
                <w:color w:val="000000"/>
                <w:sz w:val="24"/>
                <w:highlight w:val="none"/>
                <w:lang w:val="en-US" w:eastAsia="zh-CN" w:bidi="ar-SA"/>
              </w:rPr>
            </w:pPr>
            <w:r>
              <w:rPr>
                <w:rFonts w:ascii="宋体" w:hAnsi="宋体" w:eastAsia="宋体" w:cs="Segoe UI"/>
                <w:color w:val="000000"/>
                <w:sz w:val="24"/>
                <w:highlight w:val="none"/>
                <w:lang w:val="en-US" w:eastAsia="zh-CN" w:bidi="ar-SA"/>
              </w:rPr>
              <w:t xml:space="preserve">详见</w:t>
            </w:r>
            <w:r>
              <w:rPr>
                <w:rFonts w:hint="eastAsia" w:ascii="宋体" w:hAnsi="宋体" w:eastAsia="宋体" w:cs="Segoe UI"/>
                <w:color w:val="000000"/>
                <w:sz w:val="24"/>
                <w:highlight w:val="none"/>
                <w:lang w:val="en-US" w:eastAsia="zh-CN" w:bidi="ar-SA"/>
              </w:rPr>
              <w:t xml:space="preserve">招标</w:t>
            </w:r>
            <w:r>
              <w:rPr>
                <w:rFonts w:ascii="宋体" w:hAnsi="宋体" w:eastAsia="宋体" w:cs="Segoe UI"/>
                <w:color w:val="000000"/>
                <w:sz w:val="24"/>
                <w:highlight w:val="none"/>
                <w:lang w:val="en-US" w:eastAsia="zh-CN" w:bidi="ar-SA"/>
              </w:rPr>
              <w:t xml:space="preserve">文件</w:t>
            </w:r>
            <w:r>
              <w:rPr>
                <w:rFonts w:ascii="宋体" w:hAnsi="宋体" w:eastAsia="宋体" w:cs="Segoe UI"/>
                <w:color w:val="000000"/>
                <w:sz w:val="24"/>
                <w:highlight w:val="none"/>
                <w:lang w:val="en-US" w:eastAsia="zh-CN" w:bidi="ar-SA"/>
              </w:rPr>
            </w:r>
            <w:r/>
          </w:p>
        </w:tc>
        <w:tc>
          <w:tcPr>
            <w:tcW w:w="3095" w:type="dxa"/>
            <w:vAlign w:val="center"/>
            <w:textDirection w:val="lrTb"/>
            <w:noWrap w:val="false"/>
          </w:tcPr>
          <w:p>
            <w:pPr>
              <w:pStyle w:val="885"/>
              <w:jc w:val="right"/>
              <w:spacing w:before="100" w:beforeAutospacing="1" w:after="100" w:afterAutospacing="1"/>
              <w:widowControl/>
              <w:rPr>
                <w:rFonts w:ascii="宋体" w:hAnsi="宋体" w:eastAsia="宋体" w:cs="Segoe UI"/>
                <w:color w:val="000000"/>
                <w:sz w:val="24"/>
                <w:highlight w:val="none"/>
                <w:lang w:val="en-US" w:eastAsia="zh-CN" w:bidi="ar-SA"/>
              </w:rPr>
            </w:pPr>
            <w:r>
              <w:rPr>
                <w:rFonts w:hint="eastAsia" w:ascii="宋体" w:hAnsi="宋体" w:eastAsia="宋体" w:cs="Segoe UI"/>
                <w:color w:val="000000"/>
                <w:sz w:val="24"/>
                <w:highlight w:val="none"/>
                <w:lang w:val="en-US" w:eastAsia="zh-CN" w:bidi="ar-SA"/>
              </w:rPr>
              <w:t xml:space="preserve">元</w:t>
            </w:r>
            <w:r>
              <w:rPr>
                <w:rFonts w:ascii="宋体" w:hAnsi="宋体" w:eastAsia="宋体" w:cs="Segoe UI"/>
                <w:color w:val="000000"/>
                <w:sz w:val="24"/>
                <w:highlight w:val="none"/>
                <w:lang w:val="en-US" w:eastAsia="zh-CN" w:bidi="ar-SA"/>
              </w:rPr>
            </w:r>
            <w:r/>
          </w:p>
        </w:tc>
      </w:tr>
      <w:tr>
        <w:trPr>
          <w:trHeight w:val="897"/>
        </w:trPr>
        <w:tc>
          <w:tcPr>
            <w:tcW w:w="3889" w:type="dxa"/>
            <w:vAlign w:val="center"/>
            <w:textDirection w:val="lrTb"/>
            <w:noWrap w:val="false"/>
          </w:tcPr>
          <w:p>
            <w:pPr>
              <w:pStyle w:val="885"/>
              <w:jc w:val="center"/>
              <w:spacing w:before="100" w:beforeAutospacing="1" w:after="100" w:afterAutospacing="1"/>
              <w:widowControl/>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核心产品品牌：</w:t>
            </w:r>
            <w:r>
              <w:rPr>
                <w:rFonts w:hint="eastAsia" w:ascii="宋体" w:hAnsi="宋体" w:eastAsia="宋体" w:cs="宋体"/>
                <w:color w:val="000000"/>
                <w:sz w:val="24"/>
                <w:highlight w:val="none"/>
                <w:lang w:val="en-US" w:eastAsia="zh-CN" w:bidi="ar-SA"/>
              </w:rPr>
            </w:r>
            <w:r/>
          </w:p>
        </w:tc>
        <w:tc>
          <w:tcPr>
            <w:gridSpan w:val="2"/>
            <w:tcW w:w="5396" w:type="dxa"/>
            <w:vAlign w:val="center"/>
            <w:textDirection w:val="lrTb"/>
            <w:noWrap w:val="false"/>
          </w:tcPr>
          <w:p>
            <w:pPr>
              <w:pStyle w:val="885"/>
              <w:jc w:val="center"/>
              <w:spacing w:before="100" w:beforeAutospacing="1" w:after="100" w:afterAutospacing="1"/>
              <w:widowControl/>
              <w:rPr>
                <w:rFonts w:hint="eastAsia" w:ascii="宋体" w:hAnsi="宋体" w:eastAsia="宋体" w:cs="Segoe UI"/>
                <w:color w:val="000000"/>
                <w:sz w:val="24"/>
                <w:highlight w:val="none"/>
                <w:lang w:val="en-US" w:eastAsia="zh-CN" w:bidi="ar-SA"/>
              </w:rPr>
            </w:pPr>
            <w:r>
              <w:rPr>
                <w:rFonts w:hint="eastAsia" w:ascii="宋体" w:hAnsi="宋体" w:eastAsia="宋体" w:cs="Segoe UI"/>
                <w:color w:val="000000"/>
                <w:sz w:val="24"/>
                <w:highlight w:val="none"/>
                <w:lang w:val="en-US" w:eastAsia="zh-CN" w:bidi="ar-SA"/>
              </w:rPr>
            </w:r>
            <w:r/>
          </w:p>
        </w:tc>
      </w:tr>
      <w:tr>
        <w:trPr>
          <w:trHeight w:val="782"/>
        </w:trPr>
        <w:tc>
          <w:tcPr>
            <w:tcW w:w="3889" w:type="dxa"/>
            <w:vAlign w:val="center"/>
            <w:textDirection w:val="lrTb"/>
            <w:noWrap w:val="false"/>
          </w:tcPr>
          <w:p>
            <w:pPr>
              <w:pStyle w:val="885"/>
              <w:ind w:firstLine="960"/>
              <w:jc w:val="left"/>
              <w:spacing w:before="100" w:beforeAutospacing="1" w:after="100" w:afterAutospacing="1"/>
              <w:widowControl/>
              <w:rPr>
                <w:rFonts w:ascii="宋体" w:hAnsi="宋体" w:eastAsia="宋体" w:cs="Segoe UI"/>
                <w:color w:val="000000"/>
                <w:sz w:val="24"/>
                <w:highlight w:val="none"/>
                <w:lang w:val="en-US" w:eastAsia="zh-CN" w:bidi="ar-SA"/>
              </w:rPr>
            </w:pPr>
            <w:r>
              <w:rPr>
                <w:rFonts w:hint="eastAsia" w:ascii="宋体" w:hAnsi="宋体" w:eastAsia="宋体" w:cs="Segoe UI"/>
                <w:color w:val="000000"/>
                <w:sz w:val="24"/>
                <w:lang w:val="en-US" w:eastAsia="zh-CN" w:bidi="ar-SA"/>
              </w:rPr>
              <w:t xml:space="preserve">总价</w:t>
            </w:r>
            <w:r>
              <w:rPr>
                <w:rFonts w:ascii="宋体" w:hAnsi="宋体" w:eastAsia="宋体" w:cs="Segoe UI"/>
                <w:color w:val="000000"/>
                <w:sz w:val="24"/>
                <w:lang w:val="en-US" w:eastAsia="zh-CN" w:bidi="ar-SA"/>
              </w:rPr>
              <w:t xml:space="preserve">（大写）：</w:t>
            </w:r>
            <w:r>
              <w:rPr>
                <w:rFonts w:ascii="宋体" w:hAnsi="宋体" w:eastAsia="宋体" w:cs="Segoe UI"/>
                <w:color w:val="000000"/>
                <w:sz w:val="24"/>
                <w:highlight w:val="none"/>
                <w:lang w:val="en-US" w:eastAsia="zh-CN" w:bidi="ar-SA"/>
              </w:rPr>
            </w:r>
            <w:r/>
          </w:p>
        </w:tc>
        <w:tc>
          <w:tcPr>
            <w:gridSpan w:val="2"/>
            <w:tcW w:w="5396" w:type="dxa"/>
            <w:vAlign w:val="center"/>
            <w:textDirection w:val="lrTb"/>
            <w:noWrap w:val="false"/>
          </w:tcPr>
          <w:p>
            <w:pPr>
              <w:pStyle w:val="885"/>
              <w:jc w:val="left"/>
              <w:spacing w:before="100" w:beforeAutospacing="1" w:after="100" w:afterAutospacing="1"/>
              <w:widowControl/>
              <w:rPr>
                <w:rFonts w:ascii="宋体" w:hAnsi="宋体" w:eastAsia="宋体" w:cs="Segoe UI"/>
                <w:color w:val="000000"/>
                <w:sz w:val="24"/>
                <w:highlight w:val="none"/>
                <w:lang w:val="en-US" w:eastAsia="zh-CN" w:bidi="ar-SA"/>
              </w:rPr>
            </w:pPr>
            <w:r>
              <w:rPr>
                <w:rFonts w:ascii="宋体" w:hAnsi="宋体" w:eastAsia="宋体" w:cs="Segoe UI"/>
                <w:color w:val="000000"/>
                <w:sz w:val="24"/>
                <w:highlight w:val="none"/>
                <w:lang w:val="en-US" w:eastAsia="zh-CN" w:bidi="ar-SA"/>
              </w:rPr>
            </w:r>
            <w:r/>
          </w:p>
        </w:tc>
      </w:tr>
    </w:tbl>
    <w:p>
      <w:pPr>
        <w:pStyle w:val="1088"/>
        <w:keepLines w:val="0"/>
        <w:keepNext w:val="0"/>
        <w:widowControl/>
        <w:rPr>
          <w:color w:val="000000"/>
          <w:highlight w:val="none"/>
        </w:rPr>
        <w:suppressLineNumbers w:val="0"/>
      </w:pPr>
      <w:r>
        <w:rPr>
          <w:color w:val="000000"/>
          <w:highlight w:val="none"/>
        </w:rPr>
      </w:r>
      <w:r/>
    </w:p>
    <w:p>
      <w:pPr>
        <w:pStyle w:val="1088"/>
        <w:ind w:firstLine="480"/>
        <w:jc w:val="left"/>
        <w:keepLines w:val="0"/>
        <w:keepNext w:val="0"/>
        <w:widowControl/>
        <w:rPr>
          <w:color w:val="000000"/>
          <w:highlight w:val="none"/>
        </w:rPr>
        <w:suppressLineNumbers w:val="0"/>
      </w:pPr>
      <w:r>
        <w:rPr>
          <w:color w:val="000000"/>
          <w:highlight w:val="none"/>
        </w:rPr>
        <w:t xml:space="preserve">投标人公章：                               （电子签章）</w:t>
      </w:r>
      <w:r>
        <w:rPr>
          <w:color w:val="000000"/>
          <w:highlight w:val="none"/>
        </w:rPr>
      </w:r>
      <w:r/>
    </w:p>
    <w:p>
      <w:pPr>
        <w:pStyle w:val="1088"/>
        <w:ind w:firstLine="480"/>
        <w:jc w:val="right"/>
        <w:keepLines w:val="0"/>
        <w:keepNext w:val="0"/>
        <w:widowControl/>
        <w:rPr>
          <w:color w:val="000000"/>
          <w:highlight w:val="none"/>
        </w:rPr>
        <w:suppressLineNumbers w:val="0"/>
      </w:pPr>
      <w:r>
        <w:rPr>
          <w:color w:val="000000"/>
          <w:highlight w:val="none"/>
        </w:rPr>
        <w:t xml:space="preserve"> </w:t>
      </w:r>
      <w:r>
        <w:rPr>
          <w:color w:val="000000"/>
          <w:highlight w:val="none"/>
        </w:rPr>
      </w:r>
      <w:r/>
    </w:p>
    <w:p>
      <w:pPr>
        <w:pStyle w:val="885"/>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885"/>
        <w:ind w:firstLine="540"/>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t xml:space="preserve">日期： 年 月 日</w:t>
      </w:r>
      <w:r>
        <w:rPr>
          <w:rFonts w:hint="eastAsia" w:ascii="宋体" w:hAnsi="宋体" w:eastAsia="宋体" w:cs="Segoe UI"/>
          <w:color w:val="000000"/>
          <w:sz w:val="27"/>
          <w:szCs w:val="27"/>
          <w:highlight w:val="none"/>
        </w:rPr>
      </w:r>
      <w:r/>
    </w:p>
    <w:p>
      <w:pPr>
        <w:pStyle w:val="885"/>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85"/>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85"/>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77"/>
        <w:ind w:firstLine="723"/>
        <w:jc w:val="center"/>
        <w:spacing w:before="120" w:after="120" w:line="440" w:lineRule="exact"/>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rPr>
        <w:br w:type="page" w:clear="all"/>
      </w:r>
      <w:r>
        <w:rPr>
          <w:rFonts w:hint="eastAsia" w:ascii="黑体" w:hAnsi="黑体" w:eastAsia="黑体" w:cs="黑体"/>
          <w:b/>
          <w:color w:val="000000"/>
          <w:sz w:val="36"/>
          <w:szCs w:val="36"/>
          <w:highlight w:val="none"/>
        </w:rPr>
        <w:t xml:space="preserve">（二）投标函</w:t>
      </w:r>
      <w:r>
        <w:rPr>
          <w:rFonts w:hint="eastAsia" w:ascii="黑体" w:hAnsi="黑体" w:eastAsia="黑体" w:cs="黑体"/>
          <w:b/>
          <w:color w:val="000000"/>
          <w:sz w:val="36"/>
          <w:szCs w:val="36"/>
          <w:highlight w:val="none"/>
          <w:lang w:eastAsia="zh-CN"/>
        </w:rPr>
      </w:r>
      <w:r/>
    </w:p>
    <w:p>
      <w:pPr>
        <w:pStyle w:val="1077"/>
        <w:keepLines w:val="0"/>
        <w:keepNext w:val="0"/>
        <w:pageBreakBefore w:val="0"/>
        <w:spacing w:before="120" w:after="120" w:line="480" w:lineRule="exact"/>
        <w:widowControl w:val="off"/>
        <w:rPr>
          <w:rFonts w:hAnsi="宋体"/>
          <w:color w:val="000000"/>
          <w:sz w:val="24"/>
          <w:highlight w:val="none"/>
          <w:u w:val="single"/>
        </w:rPr>
      </w:pPr>
      <w:r>
        <w:rPr>
          <w:rFonts w:hint="eastAsia" w:hAnsi="宋体"/>
          <w:b/>
          <w:bCs/>
          <w:color w:val="000000"/>
          <w:sz w:val="24"/>
          <w:highlight w:val="none"/>
        </w:rPr>
        <w:t xml:space="preserve">采购人： </w:t>
      </w:r>
      <w:r>
        <w:rPr>
          <w:rFonts w:hint="eastAsia" w:hAnsi="宋体"/>
          <w:b/>
          <w:bCs/>
          <w:color w:val="000000"/>
          <w:sz w:val="24"/>
          <w:highlight w:val="none"/>
          <w:u w:val="single"/>
          <w:lang w:eastAsia="zh-CN"/>
        </w:rPr>
        <w:t xml:space="preserve">江苏省建湖高级中学</w:t>
      </w:r>
      <w:r>
        <w:rPr>
          <w:rFonts w:hint="eastAsia" w:hAnsi="宋体"/>
          <w:color w:val="000000"/>
          <w:sz w:val="24"/>
          <w:highlight w:val="none"/>
          <w:u w:val="single"/>
        </w:rPr>
        <w:t xml:space="preserve"> </w:t>
      </w:r>
      <w:r>
        <w:rPr>
          <w:rFonts w:hAnsi="宋体"/>
          <w:color w:val="000000"/>
          <w:sz w:val="24"/>
          <w:highlight w:val="none"/>
          <w:u w:val="single"/>
        </w:rPr>
      </w:r>
      <w:r/>
    </w:p>
    <w:p>
      <w:pPr>
        <w:pStyle w:val="1071"/>
        <w:ind w:firstLine="480"/>
        <w:spacing w:line="440" w:lineRule="exact"/>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eastAsia="zh-CN"/>
        </w:rPr>
        <w:t xml:space="preserve">.</w:t>
      </w:r>
      <w:r>
        <w:rPr>
          <w:rFonts w:ascii="宋体" w:hAnsi="宋体"/>
          <w:color w:val="000000"/>
          <w:sz w:val="24"/>
          <w:highlight w:val="none"/>
        </w:rPr>
        <w:t xml:space="preserve">根据</w:t>
      </w:r>
      <w:r>
        <w:rPr>
          <w:rFonts w:hint="eastAsia" w:ascii="宋体" w:hAnsi="宋体"/>
          <w:b/>
          <w:bCs/>
          <w:color w:val="000000"/>
          <w:sz w:val="24"/>
          <w:highlight w:val="none"/>
          <w:u w:val="single"/>
          <w:lang w:eastAsia="zh-CN"/>
        </w:rPr>
        <w:t xml:space="preserve">江苏省建湖高级中学科学教育实验教室采购项目</w:t>
      </w:r>
      <w:r>
        <w:rPr>
          <w:rFonts w:ascii="宋体" w:hAnsi="宋体"/>
          <w:color w:val="000000"/>
          <w:sz w:val="24"/>
          <w:highlight w:val="none"/>
        </w:rPr>
        <w:t xml:space="preserve">的招标文件，我单位经市场考察和研究上述项目招标文件的投标须知、相关标准及技术要求和其他有关文件后，我方愿以人民币</w:t>
      </w:r>
      <w:r>
        <w:rPr>
          <w:rFonts w:hint="eastAsia" w:ascii="宋体" w:hAnsi="宋体"/>
          <w:color w:val="000000"/>
          <w:sz w:val="24"/>
          <w:highlight w:val="none"/>
          <w:lang w:val="en-US" w:eastAsia="zh-CN"/>
        </w:rPr>
        <w:t xml:space="preserve"> </w:t>
      </w:r>
      <w:r>
        <w:rPr>
          <w:rFonts w:ascii="宋体" w:hAnsi="宋体"/>
          <w:color w:val="000000"/>
          <w:sz w:val="24"/>
          <w:highlight w:val="none"/>
        </w:rPr>
        <w:t xml:space="preserve">（大写）</w:t>
      </w:r>
      <w:r>
        <w:rPr>
          <w:rFonts w:ascii="宋体" w:hAnsi="宋体"/>
          <w:color w:val="000000"/>
          <w:sz w:val="24"/>
          <w:highlight w:val="none"/>
          <w:u w:val="single"/>
        </w:rPr>
        <w:t xml:space="preserve">          </w:t>
      </w:r>
      <w:r>
        <w:rPr>
          <w:rFonts w:hint="eastAsia" w:ascii="宋体" w:hAnsi="宋体"/>
          <w:color w:val="000000"/>
          <w:sz w:val="24"/>
          <w:highlight w:val="none"/>
          <w:u w:val="none"/>
        </w:rPr>
        <w:t xml:space="preserve">元</w:t>
      </w:r>
      <w:r>
        <w:rPr>
          <w:rFonts w:hint="eastAsia" w:ascii="宋体" w:hAnsi="宋体"/>
          <w:color w:val="000000"/>
          <w:sz w:val="24"/>
          <w:highlight w:val="none"/>
        </w:rPr>
        <w:t xml:space="preserve">，</w:t>
      </w:r>
      <w:r>
        <w:rPr>
          <w:rFonts w:ascii="宋体" w:hAnsi="宋体"/>
          <w:color w:val="000000"/>
          <w:sz w:val="24"/>
          <w:highlight w:val="none"/>
        </w:rPr>
        <w:t xml:space="preserve">（小写）￥</w:t>
      </w:r>
      <w:r>
        <w:rPr>
          <w:rFonts w:ascii="宋体" w:hAnsi="宋体"/>
          <w:color w:val="000000"/>
          <w:sz w:val="24"/>
          <w:highlight w:val="none"/>
          <w:u w:val="single"/>
        </w:rPr>
        <w:t xml:space="preserve">            </w:t>
      </w:r>
      <w:r>
        <w:rPr>
          <w:rFonts w:hint="eastAsia" w:ascii="宋体" w:hAnsi="宋体"/>
          <w:color w:val="000000"/>
          <w:sz w:val="24"/>
          <w:highlight w:val="none"/>
        </w:rPr>
        <w:t xml:space="preserve">元</w:t>
      </w:r>
      <w:r>
        <w:rPr>
          <w:rFonts w:ascii="宋体" w:hAnsi="宋体"/>
          <w:color w:val="000000"/>
          <w:sz w:val="24"/>
          <w:highlight w:val="none"/>
        </w:rPr>
        <w:t xml:space="preserve">的投标报价完成本项目，按招标要求实施此项目。</w:t>
      </w:r>
      <w:r>
        <w:rPr>
          <w:rFonts w:ascii="宋体" w:hAnsi="宋体"/>
          <w:color w:val="000000"/>
          <w:sz w:val="24"/>
          <w:highlight w:val="none"/>
        </w:rPr>
      </w:r>
      <w:r/>
    </w:p>
    <w:p>
      <w:pPr>
        <w:pStyle w:val="885"/>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一旦我方中标，我方保证在</w:t>
      </w:r>
      <w:r>
        <w:rPr>
          <w:rFonts w:hint="eastAsia" w:ascii="宋体" w:hAnsi="宋体" w:cs="Arial"/>
          <w:color w:val="000000"/>
          <w:sz w:val="24"/>
        </w:rPr>
        <w:t xml:space="preserve">合同签订后</w:t>
      </w:r>
      <w:r>
        <w:rPr>
          <w:rFonts w:hint="eastAsia" w:ascii="宋体" w:hAnsi="宋体" w:cs="Arial"/>
          <w:color w:val="000000"/>
          <w:sz w:val="24"/>
          <w:u w:val="single"/>
          <w:lang w:val="en-US" w:eastAsia="zh-CN"/>
        </w:rPr>
        <w:t xml:space="preserve">    </w:t>
      </w:r>
      <w:r>
        <w:rPr>
          <w:rFonts w:hint="eastAsia" w:ascii="宋体" w:hAnsi="宋体" w:cs="Arial"/>
          <w:color w:val="000000"/>
          <w:sz w:val="24"/>
        </w:rPr>
        <w:t xml:space="preserve">个日历天内完成项目（含安装调试）并通过验收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85"/>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 我方本项目的投标核心产品“★</w:t>
      </w:r>
      <w:r>
        <w:rPr>
          <w:rFonts w:hint="eastAsia" w:ascii="宋体" w:hAnsi="宋体" w:eastAsia="宋体" w:cs="Segoe UI"/>
          <w:color w:val="000000"/>
          <w:sz w:val="24"/>
          <w:highlight w:val="none"/>
          <w:lang w:val="en-US" w:eastAsia="zh-CN"/>
        </w:rPr>
        <w:t xml:space="preserve">学生编程终端</w:t>
      </w:r>
      <w:r>
        <w:rPr>
          <w:rFonts w:hint="eastAsia" w:ascii="宋体" w:hAnsi="宋体" w:cs="宋体"/>
          <w:color w:val="000000"/>
          <w:sz w:val="24"/>
          <w:highlight w:val="none"/>
        </w:rPr>
        <w:t xml:space="preserve">”品牌为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1"/>
        <w:ind w:firstLine="480"/>
        <w:spacing w:line="44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我方承诺所投产品质保期为</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年。如我方供应的产品因质量原因不能通过相关权威部门的验收，我方无偿更换全部产品，不收取任何费用，并承担相应责任。</w:t>
      </w:r>
      <w:r>
        <w:rPr>
          <w:rFonts w:hint="eastAsia" w:ascii="宋体" w:hAnsi="宋体"/>
          <w:color w:val="000000"/>
          <w:sz w:val="24"/>
          <w:highlight w:val="none"/>
        </w:rPr>
      </w:r>
      <w:r/>
    </w:p>
    <w:p>
      <w:pPr>
        <w:pStyle w:val="1071"/>
        <w:ind w:firstLine="480"/>
        <w:spacing w:line="440" w:lineRule="exact"/>
        <w:rPr>
          <w:rFonts w:ascii="宋体" w:hAnsi="宋体"/>
          <w:color w:val="000000"/>
          <w:sz w:val="24"/>
          <w:highlight w:val="none"/>
        </w:rPr>
      </w:pPr>
      <w:r>
        <w:rPr>
          <w:rFonts w:hint="eastAsia" w:ascii="宋体" w:hAnsi="宋体"/>
          <w:color w:val="000000"/>
          <w:sz w:val="24"/>
          <w:highlight w:val="none"/>
          <w:lang w:val="en-US" w:eastAsia="zh-CN"/>
        </w:rPr>
        <w:t xml:space="preserve">5.</w:t>
      </w:r>
      <w:r>
        <w:rPr>
          <w:rFonts w:ascii="宋体" w:hAnsi="宋体"/>
          <w:color w:val="000000"/>
          <w:sz w:val="24"/>
          <w:highlight w:val="none"/>
        </w:rPr>
        <w:t xml:space="preserve">我方接受招标文件中的货款支付条件</w:t>
      </w:r>
      <w:r>
        <w:rPr>
          <w:rFonts w:hint="eastAsia" w:ascii="宋体" w:hAnsi="宋体"/>
          <w:color w:val="000000"/>
          <w:sz w:val="24"/>
          <w:highlight w:val="none"/>
        </w:rPr>
        <w:t xml:space="preserve">和招标文件中规定的各项要求</w:t>
      </w:r>
      <w:r>
        <w:rPr>
          <w:rFonts w:ascii="宋体" w:hAnsi="宋体"/>
          <w:color w:val="000000"/>
          <w:sz w:val="24"/>
          <w:highlight w:val="none"/>
        </w:rPr>
        <w:t xml:space="preserve">。</w:t>
      </w:r>
      <w:r>
        <w:rPr>
          <w:rFonts w:ascii="宋体" w:hAnsi="宋体"/>
          <w:color w:val="000000"/>
          <w:sz w:val="24"/>
          <w:highlight w:val="none"/>
        </w:rPr>
      </w:r>
      <w:r/>
    </w:p>
    <w:p>
      <w:pPr>
        <w:pStyle w:val="885"/>
        <w:ind w:firstLine="480"/>
        <w:spacing w:line="480" w:lineRule="exact"/>
        <w:rPr>
          <w:rFonts w:hint="eastAsia" w:ascii="宋体" w:hAnsi="宋体" w:cs="Arial"/>
          <w:bCs/>
          <w:color w:val="000000"/>
          <w:sz w:val="24"/>
          <w:highlight w:val="none"/>
        </w:rPr>
      </w:pPr>
      <w:r>
        <w:rPr>
          <w:rFonts w:hint="eastAsia" w:ascii="宋体" w:hAnsi="宋体" w:cs="Arial"/>
          <w:bCs/>
          <w:color w:val="000000"/>
          <w:sz w:val="24"/>
          <w:highlight w:val="none"/>
          <w:lang w:val="en-US" w:eastAsia="zh-CN"/>
        </w:rPr>
        <w:t xml:space="preserve">6.</w:t>
      </w:r>
      <w:r>
        <w:rPr>
          <w:rFonts w:hint="eastAsia" w:ascii="宋体" w:hAnsi="宋体" w:cs="Arial"/>
          <w:bCs/>
          <w:color w:val="000000"/>
          <w:sz w:val="24"/>
          <w:highlight w:val="none"/>
        </w:rPr>
        <w:t xml:space="preserve">如果我方在招标文件规定的截止时间后撤回投标文件，或在接到中标通知书后30天内未能或拒绝签订合同协议书，我单位自愿接受被列为不良行为记录。</w:t>
      </w:r>
      <w:r>
        <w:rPr>
          <w:rFonts w:hint="eastAsia" w:ascii="宋体" w:hAnsi="宋体" w:cs="Arial"/>
          <w:bCs/>
          <w:color w:val="000000"/>
          <w:sz w:val="24"/>
          <w:highlight w:val="none"/>
        </w:rPr>
      </w:r>
      <w:r/>
    </w:p>
    <w:p>
      <w:pPr>
        <w:pStyle w:val="885"/>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85"/>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我方投标文件提供的所有资料真实、有效，如有不实，我方无条件接受采购人和主管部门依据法律法规做出的处理决定，并承担由此产生的责任。</w:t>
      </w:r>
      <w:r>
        <w:rPr>
          <w:rFonts w:hint="eastAsia" w:ascii="宋体" w:hAnsi="宋体"/>
          <w:color w:val="000000"/>
          <w:sz w:val="24"/>
          <w:highlight w:val="none"/>
        </w:rPr>
      </w:r>
      <w:r/>
    </w:p>
    <w:p>
      <w:pPr>
        <w:pStyle w:val="885"/>
        <w:ind w:firstLine="48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我方承诺服务过程中所有工作人员的人身安全以及我方在实施期间产生的各类安全责任事故均由我方自行承担。</w:t>
      </w:r>
      <w:r>
        <w:rPr>
          <w:rFonts w:hint="eastAsia" w:ascii="宋体" w:hAnsi="宋体"/>
          <w:color w:val="000000"/>
          <w:sz w:val="24"/>
          <w:highlight w:val="none"/>
        </w:rPr>
      </w:r>
      <w:r/>
    </w:p>
    <w:p>
      <w:pPr>
        <w:pStyle w:val="885"/>
        <w:ind w:firstLine="48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你方的中标通知书和本承诺书将成为约束双方合同文件的组成部分。</w:t>
      </w:r>
      <w:r>
        <w:rPr>
          <w:rFonts w:ascii="宋体" w:hAnsi="宋体"/>
          <w:color w:val="000000"/>
          <w:sz w:val="24"/>
          <w:highlight w:val="none"/>
        </w:rPr>
      </w:r>
      <w:r/>
    </w:p>
    <w:p>
      <w:pPr>
        <w:pStyle w:val="1077"/>
        <w:ind w:firstLine="480"/>
        <w:spacing w:line="480" w:lineRule="exact"/>
        <w:rPr>
          <w:rFonts w:hint="eastAsia" w:hAnsi="宋体"/>
          <w:color w:val="000000"/>
          <w:sz w:val="24"/>
          <w:highlight w:val="none"/>
        </w:rPr>
      </w:pPr>
      <w:r>
        <w:rPr>
          <w:rFonts w:hint="eastAsia" w:hAnsi="宋体"/>
          <w:color w:val="000000"/>
          <w:sz w:val="24"/>
          <w:highlight w:val="none"/>
        </w:rPr>
      </w:r>
      <w:r/>
    </w:p>
    <w:p>
      <w:pPr>
        <w:pStyle w:val="1077"/>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1077"/>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77"/>
        <w:ind w:firstLine="48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1077"/>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77"/>
        <w:ind w:firstLine="480"/>
        <w:jc w:val="right"/>
        <w:spacing w:line="480" w:lineRule="exac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885"/>
        <w:rPr>
          <w:color w:val="000000"/>
          <w:highlight w:val="none"/>
        </w:rPr>
      </w:pPr>
      <w:r>
        <w:rPr>
          <w:color w:val="000000"/>
          <w:highlight w:val="none"/>
        </w:rPr>
      </w:r>
      <w:r/>
    </w:p>
    <w:p>
      <w:pPr>
        <w:pStyle w:val="885"/>
        <w:ind w:firstLine="723"/>
        <w:jc w:val="center"/>
        <w:rPr>
          <w:rFonts w:hint="eastAsia" w:ascii="黑体" w:hAnsi="Arial" w:eastAsia="黑体"/>
          <w:b/>
          <w:color w:val="000000"/>
          <w:sz w:val="36"/>
          <w:szCs w:val="36"/>
          <w:highlight w:val="none"/>
        </w:rPr>
      </w:pPr>
      <w:r>
        <w:rPr>
          <w:rFonts w:hint="eastAsia" w:ascii="黑体" w:hAnsi="黑体" w:eastAsia="黑体" w:cs="黑体"/>
          <w:b/>
          <w:color w:val="000000"/>
          <w:sz w:val="36"/>
          <w:szCs w:val="36"/>
          <w:highlight w:val="none"/>
        </w:rPr>
        <w:br w:type="page" w:clear="all"/>
      </w:r>
      <w:r>
        <w:rPr>
          <w:rFonts w:hint="eastAsia" w:ascii="黑体" w:hAnsi="黑体" w:eastAsia="黑体" w:cs="黑体"/>
          <w:b/>
          <w:color w:val="000000"/>
          <w:sz w:val="36"/>
          <w:szCs w:val="36"/>
          <w:highlight w:val="none"/>
        </w:rPr>
        <w:t xml:space="preserve">（三）</w:t>
      </w:r>
      <w:r>
        <w:rPr>
          <w:rFonts w:hint="eastAsia" w:ascii="黑体" w:hAnsi="Arial" w:eastAsia="黑体"/>
          <w:b/>
          <w:color w:val="000000"/>
          <w:sz w:val="36"/>
          <w:szCs w:val="36"/>
          <w:highlight w:val="none"/>
        </w:rPr>
        <w:t xml:space="preserve">无</w:t>
      </w:r>
      <w:r>
        <w:rPr>
          <w:rFonts w:ascii="黑体" w:hAnsi="Arial" w:eastAsia="黑体"/>
          <w:b/>
          <w:color w:val="000000"/>
          <w:sz w:val="36"/>
          <w:szCs w:val="36"/>
          <w:highlight w:val="none"/>
        </w:rPr>
        <w:t xml:space="preserve">重大违法记录声明函</w:t>
      </w:r>
      <w:r>
        <w:rPr>
          <w:rFonts w:hint="eastAsia" w:ascii="黑体" w:hAnsi="Arial" w:eastAsia="黑体"/>
          <w:b/>
          <w:color w:val="000000"/>
          <w:sz w:val="36"/>
          <w:szCs w:val="36"/>
          <w:highlight w:val="none"/>
        </w:rPr>
      </w:r>
      <w:r/>
    </w:p>
    <w:p>
      <w:pPr>
        <w:pStyle w:val="885"/>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077"/>
        <w:ind w:firstLine="482"/>
        <w:spacing w:line="600" w:lineRule="exact"/>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b/>
          <w:bCs/>
          <w:color w:val="000000"/>
          <w:sz w:val="24"/>
          <w:highlight w:val="none"/>
          <w:u w:val="single"/>
          <w:lang w:eastAsia="zh-CN"/>
        </w:rPr>
        <w:t xml:space="preserve">江苏省建湖高级中学</w:t>
      </w:r>
      <w:r>
        <w:rPr>
          <w:rFonts w:hint="eastAsia" w:hAnsi="宋体" w:eastAsia="宋体" w:cs="Arial"/>
          <w:b/>
          <w:color w:val="000000"/>
          <w:sz w:val="24"/>
          <w:highlight w:val="none"/>
          <w:u w:val="single"/>
          <w:lang w:eastAsia="zh-CN"/>
        </w:rPr>
      </w:r>
      <w:r/>
    </w:p>
    <w:p>
      <w:pPr>
        <w:pStyle w:val="885"/>
        <w:ind w:firstLine="480"/>
        <w:spacing w:line="600" w:lineRule="exact"/>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江苏省建湖高级中学科学教育实验教室采购项目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885"/>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885"/>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885"/>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885"/>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77"/>
        <w:ind w:firstLine="480"/>
        <w:spacing w:line="480" w:lineRule="exact"/>
        <w:rPr>
          <w:rFonts w:hint="eastAsia" w:hAnsi="宋体" w:cs="Arial"/>
          <w:bCs/>
          <w:color w:val="000000"/>
          <w:sz w:val="24"/>
          <w:highlight w:val="none"/>
        </w:rPr>
      </w:pPr>
      <w:r>
        <w:rPr>
          <w:rFonts w:hint="eastAsia" w:hAnsi="宋体" w:cs="Arial"/>
          <w:bCs/>
          <w:color w:val="000000"/>
          <w:sz w:val="24"/>
          <w:highlight w:val="none"/>
        </w:rPr>
        <w:t xml:space="preserve">投标单位：(盖章)</w:t>
      </w:r>
      <w:r>
        <w:rPr>
          <w:rFonts w:hint="eastAsia" w:hAnsi="宋体" w:cs="Arial"/>
          <w:bCs/>
          <w:color w:val="000000"/>
          <w:sz w:val="24"/>
          <w:highlight w:val="none"/>
        </w:rPr>
      </w:r>
      <w:r/>
    </w:p>
    <w:p>
      <w:pPr>
        <w:pStyle w:val="1077"/>
        <w:ind w:firstLine="460"/>
        <w:spacing w:line="480" w:lineRule="exact"/>
        <w:rPr>
          <w:rFonts w:hint="eastAsia" w:hAnsi="宋体" w:cs="Arial"/>
          <w:bCs/>
          <w:color w:val="000000"/>
          <w:sz w:val="24"/>
          <w:highlight w:val="none"/>
        </w:rPr>
      </w:pPr>
      <w:r>
        <w:rPr>
          <w:rFonts w:hint="eastAsia" w:hAnsi="宋体" w:cs="Arial"/>
          <w:bCs/>
          <w:color w:val="000000"/>
          <w:sz w:val="24"/>
          <w:highlight w:val="none"/>
        </w:rPr>
      </w:r>
      <w:r/>
    </w:p>
    <w:p>
      <w:pPr>
        <w:pStyle w:val="1077"/>
        <w:ind w:firstLine="480"/>
        <w:spacing w:line="480" w:lineRule="exact"/>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1077"/>
        <w:ind w:left="5250" w:firstLine="403"/>
        <w:spacing w:line="480" w:lineRule="exact"/>
        <w:rPr>
          <w:rFonts w:hAnsi="宋体"/>
          <w:color w:val="000000"/>
          <w:highlight w:val="none"/>
        </w:rPr>
      </w:pPr>
      <w:r>
        <w:rPr>
          <w:rFonts w:hAnsi="宋体"/>
          <w:color w:val="000000"/>
          <w:highlight w:val="none"/>
        </w:rPr>
      </w:r>
      <w:r/>
    </w:p>
    <w:p>
      <w:pPr>
        <w:pStyle w:val="1077"/>
        <w:ind w:left="5250" w:firstLine="403"/>
        <w:spacing w:line="480" w:lineRule="exact"/>
        <w:rPr>
          <w:rFonts w:hAnsi="宋体"/>
          <w:color w:val="000000"/>
          <w:highlight w:val="none"/>
        </w:rPr>
      </w:pPr>
      <w:r>
        <w:rPr>
          <w:rFonts w:hAnsi="宋体"/>
          <w:color w:val="000000"/>
          <w:highlight w:val="none"/>
        </w:rPr>
      </w:r>
      <w:r/>
    </w:p>
    <w:p>
      <w:pPr>
        <w:pStyle w:val="885"/>
        <w:ind w:firstLine="480"/>
        <w:jc w:val="righ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885"/>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885"/>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65"/>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885"/>
        <w:ind w:firstLine="723"/>
        <w:jc w:val="center"/>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（四）</w:t>
      </w:r>
      <w:r>
        <w:rPr>
          <w:rFonts w:hint="eastAsia" w:ascii="黑体" w:hAnsi="黑体" w:eastAsia="黑体" w:cs="黑体"/>
          <w:b/>
          <w:color w:val="000000"/>
          <w:sz w:val="36"/>
          <w:szCs w:val="36"/>
          <w:highlight w:val="none"/>
          <w:lang w:val="zh-CN"/>
        </w:rPr>
        <w:t xml:space="preserve">供应商登记表</w:t>
      </w:r>
      <w:r>
        <w:rPr>
          <w:rFonts w:ascii="黑体" w:hAnsi="黑体" w:eastAsia="黑体" w:cs="黑体"/>
          <w:b/>
          <w:color w:val="000000"/>
          <w:sz w:val="36"/>
          <w:szCs w:val="36"/>
          <w:highlight w:val="none"/>
        </w:rPr>
      </w:r>
      <w:r/>
    </w:p>
    <w:p>
      <w:pPr>
        <w:pStyle w:val="885"/>
        <w:ind w:left="1447" w:firstLine="480"/>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企业名称</w:t>
            </w:r>
            <w:r>
              <w:rPr>
                <w:rFonts w:ascii="宋体" w:hAnsi="宋体" w:eastAsia="宋体" w:cs="宋体"/>
                <w:color w:val="000000"/>
                <w:sz w:val="24"/>
                <w:highlight w:val="none"/>
                <w:lang w:val="en-US" w:eastAsia="zh-CN" w:bidi="ar-SA"/>
              </w:rPr>
            </w:r>
            <w:r/>
          </w:p>
        </w:tc>
        <w:tc>
          <w:tcPr>
            <w:gridSpan w:val="5"/>
            <w:tcW w:w="8112"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r>
      <w:tr>
        <w:trPr/>
        <w:tc>
          <w:tcPr>
            <w:tcW w:w="130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详细地址</w:t>
            </w:r>
            <w:r>
              <w:rPr>
                <w:rFonts w:ascii="宋体" w:hAnsi="宋体" w:eastAsia="宋体" w:cs="宋体"/>
                <w:color w:val="000000"/>
                <w:sz w:val="24"/>
                <w:highlight w:val="none"/>
                <w:lang w:val="en-US" w:eastAsia="zh-CN" w:bidi="ar-SA"/>
              </w:rPr>
            </w:r>
            <w:r/>
          </w:p>
        </w:tc>
        <w:tc>
          <w:tcPr>
            <w:gridSpan w:val="3"/>
            <w:tcW w:w="448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c>
          <w:tcPr>
            <w:tcW w:w="130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邮   编</w:t>
            </w:r>
            <w:r>
              <w:rPr>
                <w:rFonts w:ascii="宋体" w:hAnsi="宋体" w:eastAsia="宋体" w:cs="宋体"/>
                <w:color w:val="000000"/>
                <w:sz w:val="24"/>
                <w:highlight w:val="none"/>
                <w:lang w:val="en-US" w:eastAsia="zh-CN" w:bidi="ar-SA"/>
              </w:rPr>
            </w:r>
            <w:r/>
          </w:p>
        </w:tc>
        <w:tc>
          <w:tcPr>
            <w:tcW w:w="2322"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r>
      <w:tr>
        <w:trPr/>
        <w:tc>
          <w:tcPr>
            <w:tcW w:w="130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法人代表</w:t>
            </w:r>
            <w:r>
              <w:rPr>
                <w:rFonts w:ascii="宋体" w:hAnsi="宋体" w:eastAsia="宋体" w:cs="宋体"/>
                <w:color w:val="000000"/>
                <w:sz w:val="24"/>
                <w:highlight w:val="none"/>
                <w:lang w:val="en-US" w:eastAsia="zh-CN" w:bidi="ar-SA"/>
              </w:rPr>
            </w:r>
            <w:r/>
          </w:p>
        </w:tc>
        <w:tc>
          <w:tcPr>
            <w:tcW w:w="118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c>
          <w:tcPr>
            <w:tcW w:w="139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企业性质</w:t>
            </w:r>
            <w:r>
              <w:rPr>
                <w:rFonts w:ascii="宋体" w:hAnsi="宋体" w:eastAsia="宋体" w:cs="宋体"/>
                <w:color w:val="000000"/>
                <w:sz w:val="24"/>
                <w:highlight w:val="none"/>
                <w:lang w:val="en-US" w:eastAsia="zh-CN" w:bidi="ar-SA"/>
              </w:rPr>
            </w:r>
            <w:r/>
          </w:p>
        </w:tc>
        <w:tc>
          <w:tcPr>
            <w:tcW w:w="190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c>
          <w:tcPr>
            <w:tcW w:w="130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注册资金</w:t>
            </w:r>
            <w:r>
              <w:rPr>
                <w:rFonts w:ascii="宋体" w:hAnsi="宋体" w:eastAsia="宋体" w:cs="宋体"/>
                <w:color w:val="000000"/>
                <w:sz w:val="24"/>
                <w:highlight w:val="none"/>
                <w:lang w:val="en-US" w:eastAsia="zh-CN" w:bidi="ar-SA"/>
              </w:rPr>
            </w:r>
            <w:r/>
          </w:p>
        </w:tc>
        <w:tc>
          <w:tcPr>
            <w:tcW w:w="2322"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r>
      <w:tr>
        <w:trPr/>
        <w:tc>
          <w:tcPr>
            <w:tcW w:w="130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联系 人</w:t>
            </w:r>
            <w:r>
              <w:rPr>
                <w:rFonts w:ascii="宋体" w:hAnsi="宋体" w:eastAsia="宋体" w:cs="宋体"/>
                <w:color w:val="000000"/>
                <w:sz w:val="24"/>
                <w:highlight w:val="none"/>
                <w:lang w:val="en-US" w:eastAsia="zh-CN" w:bidi="ar-SA"/>
              </w:rPr>
            </w:r>
            <w:r/>
          </w:p>
        </w:tc>
        <w:tc>
          <w:tcPr>
            <w:tcW w:w="118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c>
          <w:tcPr>
            <w:tcW w:w="139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职   务</w:t>
            </w:r>
            <w:r>
              <w:rPr>
                <w:rFonts w:ascii="宋体" w:hAnsi="宋体" w:eastAsia="宋体" w:cs="宋体"/>
                <w:color w:val="000000"/>
                <w:sz w:val="24"/>
                <w:highlight w:val="none"/>
                <w:lang w:val="en-US" w:eastAsia="zh-CN" w:bidi="ar-SA"/>
              </w:rPr>
            </w:r>
            <w:r/>
          </w:p>
        </w:tc>
        <w:tc>
          <w:tcPr>
            <w:tcW w:w="190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c>
          <w:tcPr>
            <w:tcW w:w="130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所在部门</w:t>
            </w:r>
            <w:r>
              <w:rPr>
                <w:rFonts w:ascii="宋体" w:hAnsi="宋体" w:eastAsia="宋体" w:cs="宋体"/>
                <w:color w:val="000000"/>
                <w:sz w:val="24"/>
                <w:highlight w:val="none"/>
                <w:lang w:val="en-US" w:eastAsia="zh-CN" w:bidi="ar-SA"/>
              </w:rPr>
            </w:r>
            <w:r/>
          </w:p>
        </w:tc>
        <w:tc>
          <w:tcPr>
            <w:tcW w:w="2322"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r>
      <w:tr>
        <w:trPr/>
        <w:tc>
          <w:tcPr>
            <w:tcW w:w="130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营业面积</w:t>
            </w:r>
            <w:r>
              <w:rPr>
                <w:rFonts w:ascii="宋体" w:hAnsi="宋体" w:eastAsia="宋体" w:cs="宋体"/>
                <w:color w:val="000000"/>
                <w:sz w:val="24"/>
                <w:highlight w:val="none"/>
                <w:lang w:val="en-US" w:eastAsia="zh-CN" w:bidi="ar-SA"/>
              </w:rPr>
            </w:r>
            <w:r/>
          </w:p>
        </w:tc>
        <w:tc>
          <w:tcPr>
            <w:tcW w:w="118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c>
          <w:tcPr>
            <w:tcW w:w="139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在册员工</w:t>
            </w:r>
            <w:r>
              <w:rPr>
                <w:rFonts w:ascii="宋体" w:hAnsi="宋体" w:eastAsia="宋体" w:cs="宋体"/>
                <w:color w:val="000000"/>
                <w:sz w:val="24"/>
                <w:highlight w:val="none"/>
                <w:lang w:val="en-US" w:eastAsia="zh-CN" w:bidi="ar-SA"/>
              </w:rPr>
            </w:r>
            <w:r/>
          </w:p>
        </w:tc>
        <w:tc>
          <w:tcPr>
            <w:tcW w:w="190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       名</w:t>
            </w:r>
            <w:r>
              <w:rPr>
                <w:rFonts w:ascii="宋体" w:hAnsi="宋体" w:eastAsia="宋体" w:cs="宋体"/>
                <w:color w:val="000000"/>
                <w:sz w:val="24"/>
                <w:highlight w:val="none"/>
                <w:lang w:val="en-US" w:eastAsia="zh-CN" w:bidi="ar-SA"/>
              </w:rPr>
            </w:r>
            <w:r/>
          </w:p>
        </w:tc>
        <w:tc>
          <w:tcPr>
            <w:tcW w:w="130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技术人员</w:t>
            </w:r>
            <w:r>
              <w:rPr>
                <w:rFonts w:ascii="宋体" w:hAnsi="宋体" w:eastAsia="宋体" w:cs="宋体"/>
                <w:color w:val="000000"/>
                <w:sz w:val="24"/>
                <w:highlight w:val="none"/>
                <w:lang w:val="en-US" w:eastAsia="zh-CN" w:bidi="ar-SA"/>
              </w:rPr>
            </w:r>
            <w:r/>
          </w:p>
        </w:tc>
        <w:tc>
          <w:tcPr>
            <w:tcW w:w="2322"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         名</w:t>
            </w:r>
            <w:r>
              <w:rPr>
                <w:rFonts w:ascii="宋体" w:hAnsi="宋体" w:eastAsia="宋体" w:cs="宋体"/>
                <w:color w:val="000000"/>
                <w:sz w:val="24"/>
                <w:highlight w:val="none"/>
                <w:lang w:val="en-US" w:eastAsia="zh-CN" w:bidi="ar-SA"/>
              </w:rPr>
            </w:r>
            <w:r/>
          </w:p>
        </w:tc>
      </w:tr>
      <w:tr>
        <w:trPr/>
        <w:tc>
          <w:tcPr>
            <w:tcW w:w="130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联系电话</w:t>
            </w:r>
            <w:r>
              <w:rPr>
                <w:rFonts w:ascii="宋体" w:hAnsi="宋体" w:eastAsia="宋体" w:cs="宋体"/>
                <w:color w:val="000000"/>
                <w:sz w:val="24"/>
                <w:highlight w:val="none"/>
                <w:lang w:val="en-US" w:eastAsia="zh-CN" w:bidi="ar-SA"/>
              </w:rPr>
            </w:r>
            <w:r/>
          </w:p>
        </w:tc>
        <w:tc>
          <w:tcPr>
            <w:gridSpan w:val="2"/>
            <w:tcW w:w="2580"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c>
          <w:tcPr>
            <w:tcW w:w="190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传  真</w:t>
            </w:r>
            <w:r>
              <w:rPr>
                <w:rFonts w:ascii="宋体" w:hAnsi="宋体" w:eastAsia="宋体" w:cs="宋体"/>
                <w:color w:val="000000"/>
                <w:sz w:val="24"/>
                <w:highlight w:val="none"/>
                <w:lang w:val="en-US" w:eastAsia="zh-CN" w:bidi="ar-SA"/>
              </w:rPr>
            </w:r>
            <w:r/>
          </w:p>
        </w:tc>
        <w:tc>
          <w:tcPr>
            <w:gridSpan w:val="2"/>
            <w:tcW w:w="3627"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r>
      <w:tr>
        <w:trPr/>
        <w:tc>
          <w:tcPr>
            <w:tcW w:w="130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手 机 号</w:t>
            </w:r>
            <w:r>
              <w:rPr>
                <w:rFonts w:ascii="宋体" w:hAnsi="宋体" w:eastAsia="宋体" w:cs="宋体"/>
                <w:color w:val="000000"/>
                <w:sz w:val="24"/>
                <w:highlight w:val="none"/>
                <w:lang w:val="en-US" w:eastAsia="zh-CN" w:bidi="ar-SA"/>
              </w:rPr>
            </w:r>
            <w:r/>
          </w:p>
        </w:tc>
        <w:tc>
          <w:tcPr>
            <w:gridSpan w:val="2"/>
            <w:tcW w:w="2580"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c>
          <w:tcPr>
            <w:tcW w:w="1905"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网 址</w:t>
            </w:r>
            <w:r>
              <w:rPr>
                <w:rFonts w:ascii="宋体" w:hAnsi="宋体" w:eastAsia="宋体" w:cs="宋体"/>
                <w:color w:val="000000"/>
                <w:sz w:val="24"/>
                <w:highlight w:val="none"/>
                <w:lang w:val="en-US" w:eastAsia="zh-CN" w:bidi="ar-SA"/>
              </w:rPr>
            </w:r>
            <w:r/>
          </w:p>
        </w:tc>
        <w:tc>
          <w:tcPr>
            <w:gridSpan w:val="2"/>
            <w:tcW w:w="3627"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r>
      <w:tr>
        <w:trPr/>
        <w:tc>
          <w:tcPr>
            <w:tcW w:w="1305" w:type="dxa"/>
            <w:vAlign w:val="center"/>
            <w:textDirection w:val="lrTb"/>
            <w:noWrap/>
          </w:tcPr>
          <w:p>
            <w:pPr>
              <w:pStyle w:val="885"/>
              <w:ind w:firstLine="480"/>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供应商品</w:t>
            </w:r>
            <w:r>
              <w:rPr>
                <w:rFonts w:ascii="宋体" w:hAnsi="宋体" w:eastAsia="宋体" w:cs="宋体"/>
                <w:color w:val="000000"/>
                <w:sz w:val="24"/>
                <w:highlight w:val="none"/>
                <w:lang w:val="en-US" w:eastAsia="zh-CN" w:bidi="ar-SA"/>
              </w:rPr>
            </w:r>
            <w:r/>
          </w:p>
          <w:p>
            <w:pPr>
              <w:pStyle w:val="885"/>
              <w:ind w:firstLine="480"/>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范   围</w:t>
            </w:r>
            <w:r>
              <w:rPr>
                <w:rFonts w:ascii="宋体" w:hAnsi="宋体" w:eastAsia="宋体" w:cs="宋体"/>
                <w:color w:val="000000"/>
                <w:sz w:val="24"/>
                <w:highlight w:val="none"/>
                <w:lang w:val="en-US" w:eastAsia="zh-CN" w:bidi="ar-SA"/>
              </w:rPr>
            </w:r>
            <w:r/>
          </w:p>
        </w:tc>
        <w:tc>
          <w:tcPr>
            <w:gridSpan w:val="5"/>
            <w:tcW w:w="8112" w:type="dxa"/>
            <w:vAlign w:val="center"/>
            <w:textDirection w:val="lrTb"/>
            <w:noWrap/>
          </w:tcPr>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r>
      <w:tr>
        <w:trPr>
          <w:trHeight w:val="3194"/>
        </w:trPr>
        <w:tc>
          <w:tcPr>
            <w:gridSpan w:val="6"/>
            <w:tcW w:w="9417" w:type="dxa"/>
            <w:vAlign w:val="center"/>
            <w:textDirection w:val="lrTb"/>
            <w:noWrap/>
          </w:tcPr>
          <w:p>
            <w:pPr>
              <w:pStyle w:val="885"/>
              <w:ind w:firstLine="480"/>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企业概况</w:t>
            </w:r>
            <w:r>
              <w:rPr>
                <w:rFonts w:ascii="宋体" w:hAnsi="宋体" w:eastAsia="宋体" w:cs="宋体"/>
                <w:color w:val="000000"/>
                <w:sz w:val="24"/>
                <w:highlight w:val="none"/>
                <w:lang w:val="en-US" w:eastAsia="zh-CN" w:bidi="ar-SA"/>
              </w:rPr>
            </w:r>
            <w:r/>
          </w:p>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p>
            <w:pPr>
              <w:pStyle w:val="885"/>
              <w:jc w:val="both"/>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r>
      <w:tr>
        <w:trPr>
          <w:trHeight w:val="3393"/>
        </w:trPr>
        <w:tc>
          <w:tcPr>
            <w:gridSpan w:val="6"/>
            <w:tcW w:w="9417" w:type="dxa"/>
            <w:vAlign w:val="center"/>
            <w:textDirection w:val="lrTb"/>
            <w:noWrap/>
          </w:tcPr>
          <w:p>
            <w:pPr>
              <w:pStyle w:val="885"/>
              <w:ind w:firstLine="480"/>
              <w:jc w:val="center"/>
              <w:spacing w:line="480" w:lineRule="exact"/>
              <w:widowControl/>
              <w:rPr>
                <w:rFonts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主要业绩</w:t>
            </w:r>
            <w:r>
              <w:rPr>
                <w:rFonts w:ascii="宋体" w:hAnsi="宋体" w:eastAsia="宋体" w:cs="宋体"/>
                <w:color w:val="000000"/>
                <w:sz w:val="24"/>
                <w:highlight w:val="none"/>
                <w:lang w:val="en-US" w:eastAsia="zh-CN" w:bidi="ar-SA"/>
              </w:rPr>
            </w:r>
            <w:r/>
          </w:p>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p>
            <w:pPr>
              <w:pStyle w:val="885"/>
              <w:jc w:val="center"/>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p>
            <w:pPr>
              <w:pStyle w:val="885"/>
              <w:jc w:val="both"/>
              <w:spacing w:line="480" w:lineRule="exact"/>
              <w:widowControl/>
              <w:rPr>
                <w:rFonts w:ascii="宋体" w:hAnsi="宋体" w:eastAsia="宋体" w:cs="宋体"/>
                <w:color w:val="000000"/>
                <w:sz w:val="24"/>
                <w:highlight w:val="none"/>
                <w:lang w:val="en-US" w:eastAsia="zh-CN" w:bidi="ar-SA"/>
              </w:rPr>
            </w:pPr>
            <w:r>
              <w:rPr>
                <w:rFonts w:ascii="宋体" w:hAnsi="宋体" w:eastAsia="宋体" w:cs="宋体"/>
                <w:color w:val="000000"/>
                <w:sz w:val="24"/>
                <w:highlight w:val="none"/>
                <w:lang w:val="en-US" w:eastAsia="zh-CN" w:bidi="ar-SA"/>
              </w:rPr>
            </w:r>
            <w:r/>
          </w:p>
        </w:tc>
      </w:tr>
    </w:tbl>
    <w:p>
      <w:pPr>
        <w:pStyle w:val="1089"/>
        <w:ind w:left="0" w:firstLine="0"/>
        <w:rPr>
          <w:rFonts w:hint="eastAsia"/>
          <w:color w:val="000000"/>
          <w:highlight w:val="none"/>
        </w:rPr>
      </w:pPr>
      <w:r>
        <w:rPr>
          <w:rFonts w:hint="eastAsia"/>
          <w:color w:val="000000"/>
          <w:highlight w:val="none"/>
        </w:rPr>
      </w:r>
      <w:r/>
    </w:p>
    <w:p>
      <w:pPr>
        <w:pStyle w:val="1077"/>
        <w:jc w:val="both"/>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77"/>
        <w:ind w:firstLine="723"/>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（五）法定代表人身份证明书</w:t>
      </w:r>
      <w:r>
        <w:rPr>
          <w:rFonts w:hint="eastAsia" w:hAnsi="宋体" w:cs="宋体"/>
          <w:b/>
          <w:color w:val="000000"/>
          <w:sz w:val="36"/>
          <w:szCs w:val="36"/>
          <w:highlight w:val="none"/>
        </w:rPr>
      </w:r>
      <w:r/>
    </w:p>
    <w:p>
      <w:pPr>
        <w:pStyle w:val="885"/>
        <w:rPr>
          <w:rFonts w:hint="eastAsia" w:ascii="宋体" w:hAnsi="宋体"/>
          <w:color w:val="000000"/>
          <w:sz w:val="32"/>
          <w:highlight w:val="none"/>
        </w:rPr>
      </w:pPr>
      <w:r>
        <w:rPr>
          <w:rFonts w:hint="eastAsia" w:ascii="宋体" w:hAnsi="宋体"/>
          <w:color w:val="000000"/>
          <w:sz w:val="32"/>
          <w:highlight w:val="none"/>
        </w:rPr>
      </w:r>
      <w:r/>
    </w:p>
    <w:p>
      <w:pPr>
        <w:pStyle w:val="885"/>
        <w:rPr>
          <w:rFonts w:hint="eastAsia" w:ascii="宋体" w:hAnsi="宋体"/>
          <w:color w:val="000000"/>
          <w:sz w:val="32"/>
          <w:highlight w:val="none"/>
        </w:rPr>
      </w:pPr>
      <w:r>
        <w:rPr>
          <w:rFonts w:hint="eastAsia" w:ascii="宋体" w:hAnsi="宋体"/>
          <w:color w:val="000000"/>
          <w:sz w:val="32"/>
          <w:highlight w:val="none"/>
        </w:rPr>
      </w:r>
      <w:r/>
    </w:p>
    <w:p>
      <w:pPr>
        <w:pStyle w:val="885"/>
        <w:rPr>
          <w:rFonts w:hint="eastAsia" w:ascii="宋体" w:hAnsi="宋体"/>
          <w:color w:val="000000"/>
          <w:sz w:val="24"/>
          <w:highlight w:val="none"/>
        </w:rPr>
      </w:pPr>
      <w:r>
        <w:rPr>
          <w:rFonts w:hint="eastAsia" w:ascii="宋体" w:hAnsi="宋体"/>
          <w:color w:val="000000"/>
          <w:sz w:val="24"/>
          <w:highlight w:val="none"/>
        </w:rPr>
      </w:r>
      <w:r/>
    </w:p>
    <w:p>
      <w:pPr>
        <w:pStyle w:val="885"/>
        <w:ind w:firstLine="480"/>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85"/>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85"/>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85"/>
        <w:ind w:firstLine="480"/>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85"/>
        <w:rPr>
          <w:rFonts w:hint="eastAsia" w:ascii="宋体" w:hAnsi="宋体"/>
          <w:color w:val="000000"/>
          <w:sz w:val="24"/>
          <w:highlight w:val="none"/>
        </w:rPr>
      </w:pPr>
      <w:r>
        <w:rPr>
          <w:rFonts w:hint="eastAsia" w:ascii="宋体" w:hAnsi="宋体"/>
          <w:color w:val="000000"/>
          <w:sz w:val="24"/>
          <w:highlight w:val="none"/>
        </w:rPr>
      </w:r>
      <w:r/>
    </w:p>
    <w:p>
      <w:pPr>
        <w:pStyle w:val="885"/>
        <w:ind w:firstLine="480"/>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885"/>
        <w:ind w:firstLine="48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85"/>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85"/>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85"/>
        <w:ind w:firstLine="480"/>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885"/>
        <w:ind w:firstLine="480"/>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885"/>
        <w:rPr>
          <w:rFonts w:hint="eastAsia" w:ascii="宋体" w:hAnsi="宋体"/>
          <w:color w:val="000000"/>
          <w:sz w:val="24"/>
          <w:highlight w:val="none"/>
        </w:rPr>
      </w:pPr>
      <w:r>
        <w:rPr>
          <w:rFonts w:hint="eastAsia" w:ascii="宋体" w:hAnsi="宋体"/>
          <w:color w:val="000000"/>
          <w:sz w:val="24"/>
          <w:highlight w:val="none"/>
        </w:rPr>
      </w:r>
      <w:r/>
    </w:p>
    <w:p>
      <w:pPr>
        <w:pStyle w:val="885"/>
        <w:ind w:firstLine="480"/>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85"/>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85"/>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85"/>
        <w:ind w:left="838" w:firstLine="480"/>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85"/>
        <w:ind w:left="3598" w:hanging="276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85"/>
        <w:rPr>
          <w:rFonts w:hint="eastAsia" w:ascii="宋体" w:hAnsi="宋体"/>
          <w:color w:val="000000"/>
          <w:sz w:val="24"/>
          <w:highlight w:val="none"/>
        </w:rPr>
      </w:pPr>
      <w:r>
        <w:rPr>
          <w:rFonts w:hint="eastAsia" w:ascii="宋体" w:hAnsi="宋体"/>
          <w:color w:val="000000"/>
          <w:sz w:val="24"/>
          <w:highlight w:val="none"/>
        </w:rPr>
      </w:r>
      <w:r/>
    </w:p>
    <w:p>
      <w:pPr>
        <w:pStyle w:val="885"/>
        <w:ind w:firstLine="480"/>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885"/>
        <w:rPr>
          <w:rFonts w:hint="eastAsia" w:ascii="宋体" w:hAnsi="宋体"/>
          <w:color w:val="000000"/>
          <w:sz w:val="24"/>
          <w:highlight w:val="none"/>
        </w:rPr>
      </w:pPr>
      <w:r>
        <w:rPr>
          <w:rFonts w:hint="eastAsia" w:ascii="宋体" w:hAnsi="宋体"/>
          <w:color w:val="000000"/>
          <w:sz w:val="24"/>
          <w:highlight w:val="none"/>
        </w:rPr>
      </w:r>
      <w:r/>
    </w:p>
    <w:p>
      <w:pPr>
        <w:pStyle w:val="885"/>
        <w:rPr>
          <w:rFonts w:hint="eastAsia" w:ascii="宋体" w:hAnsi="宋体"/>
          <w:color w:val="000000"/>
          <w:sz w:val="24"/>
          <w:highlight w:val="none"/>
        </w:rPr>
      </w:pPr>
      <w:r>
        <w:rPr>
          <w:rFonts w:hint="eastAsia" w:ascii="宋体" w:hAnsi="宋体"/>
          <w:color w:val="000000"/>
          <w:sz w:val="24"/>
          <w:highlight w:val="none"/>
        </w:rPr>
      </w:r>
      <w:r/>
    </w:p>
    <w:p>
      <w:pPr>
        <w:pStyle w:val="885"/>
        <w:ind w:firstLine="480"/>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885"/>
        <w:rPr>
          <w:rFonts w:hint="eastAsia" w:ascii="宋体" w:hAnsi="宋体"/>
          <w:color w:val="000000"/>
          <w:sz w:val="24"/>
          <w:highlight w:val="none"/>
        </w:rPr>
      </w:pPr>
      <w:r>
        <w:rPr>
          <w:rFonts w:hint="eastAsia" w:ascii="宋体" w:hAnsi="宋体"/>
          <w:color w:val="000000"/>
          <w:sz w:val="24"/>
          <w:highlight w:val="none"/>
        </w:rPr>
      </w:r>
      <w:r/>
    </w:p>
    <w:p>
      <w:pPr>
        <w:pStyle w:val="885"/>
        <w:rPr>
          <w:rFonts w:hint="eastAsia" w:ascii="宋体" w:hAnsi="宋体"/>
          <w:color w:val="000000"/>
          <w:sz w:val="24"/>
          <w:highlight w:val="none"/>
        </w:rPr>
      </w:pPr>
      <w:r>
        <w:rPr>
          <w:rFonts w:hint="eastAsia" w:ascii="宋体" w:hAnsi="宋体"/>
          <w:color w:val="000000"/>
          <w:sz w:val="24"/>
          <w:highlight w:val="none"/>
        </w:rPr>
      </w:r>
      <w:r/>
    </w:p>
    <w:p>
      <w:pPr>
        <w:pStyle w:val="885"/>
        <w:rPr>
          <w:rFonts w:hint="eastAsia" w:ascii="宋体" w:hAnsi="宋体"/>
          <w:color w:val="000000"/>
          <w:sz w:val="24"/>
          <w:highlight w:val="none"/>
        </w:rPr>
      </w:pPr>
      <w:r>
        <w:rPr>
          <w:rFonts w:hint="eastAsia" w:ascii="宋体" w:hAnsi="宋体"/>
          <w:color w:val="000000"/>
          <w:sz w:val="24"/>
          <w:highlight w:val="none"/>
        </w:rPr>
      </w:r>
      <w:r/>
    </w:p>
    <w:p>
      <w:pPr>
        <w:pStyle w:val="885"/>
        <w:rPr>
          <w:rFonts w:hint="eastAsia" w:ascii="宋体" w:hAnsi="宋体"/>
          <w:color w:val="000000"/>
          <w:sz w:val="24"/>
          <w:highlight w:val="none"/>
        </w:rPr>
      </w:pPr>
      <w:r>
        <w:rPr>
          <w:rFonts w:hint="eastAsia" w:ascii="宋体" w:hAnsi="宋体"/>
          <w:color w:val="000000"/>
          <w:sz w:val="24"/>
          <w:highlight w:val="none"/>
        </w:rPr>
      </w:r>
      <w:r/>
    </w:p>
    <w:p>
      <w:pPr>
        <w:pStyle w:val="885"/>
        <w:rPr>
          <w:rFonts w:hint="eastAsia" w:ascii="宋体" w:hAnsi="宋体"/>
          <w:color w:val="000000"/>
          <w:sz w:val="24"/>
          <w:highlight w:val="none"/>
        </w:rPr>
      </w:pPr>
      <w:r>
        <w:rPr>
          <w:rFonts w:hint="eastAsia" w:ascii="宋体" w:hAnsi="宋体"/>
          <w:color w:val="000000"/>
          <w:sz w:val="24"/>
          <w:highlight w:val="none"/>
        </w:rPr>
      </w:r>
      <w:r/>
    </w:p>
    <w:p>
      <w:pPr>
        <w:pStyle w:val="885"/>
        <w:ind w:firstLine="480"/>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885"/>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85"/>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885"/>
        <w:ind w:firstLine="480"/>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885"/>
        <w:rPr>
          <w:rFonts w:hint="eastAsia"/>
          <w:color w:val="000000"/>
          <w:highlight w:val="none"/>
        </w:rPr>
      </w:pPr>
      <w:r>
        <w:rPr>
          <w:rFonts w:hint="eastAsia"/>
          <w:color w:val="000000"/>
          <w:highlight w:val="none"/>
        </w:rPr>
      </w:r>
      <w:r/>
    </w:p>
    <w:p>
      <w:pPr>
        <w:pStyle w:val="1077"/>
        <w:ind w:firstLine="723"/>
        <w:jc w:val="center"/>
        <w:spacing w:before="120" w:after="120" w:line="440" w:lineRule="exact"/>
        <w:rPr>
          <w:rFonts w:hint="eastAsia" w:hAnsi="宋体" w:cs="宋体"/>
          <w:b/>
          <w:bCs w:val="0"/>
          <w:color w:val="000000"/>
          <w:sz w:val="36"/>
          <w:szCs w:val="36"/>
          <w:highlight w:val="none"/>
        </w:rPr>
      </w:pPr>
      <w:r>
        <w:rPr>
          <w:rFonts w:hint="eastAsia" w:hAnsi="宋体" w:cs="宋体"/>
          <w:b/>
          <w:bCs w:val="0"/>
          <w:color w:val="000000"/>
          <w:sz w:val="36"/>
          <w:szCs w:val="36"/>
          <w:highlight w:val="none"/>
        </w:rPr>
        <w:t xml:space="preserve">（六）法定代表人授权委托书</w:t>
      </w:r>
      <w:r>
        <w:rPr>
          <w:rFonts w:hint="eastAsia" w:hAnsi="宋体" w:cs="宋体"/>
          <w:b/>
          <w:bCs w:val="0"/>
          <w:color w:val="000000"/>
          <w:sz w:val="36"/>
          <w:szCs w:val="36"/>
          <w:highlight w:val="none"/>
        </w:rPr>
      </w:r>
      <w:r/>
    </w:p>
    <w:p>
      <w:pPr>
        <w:pStyle w:val="885"/>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885"/>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885"/>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885"/>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885"/>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885"/>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885"/>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投标人(法人印章)：</w:t>
      </w:r>
      <w:r>
        <w:rPr>
          <w:rFonts w:ascii="宋体" w:hAnsi="宋体"/>
          <w:color w:val="000000"/>
          <w:sz w:val="24"/>
          <w:highlight w:val="none"/>
        </w:rPr>
      </w:r>
      <w:r/>
    </w:p>
    <w:p>
      <w:pPr>
        <w:pStyle w:val="885"/>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885"/>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885"/>
        <w:rPr>
          <w:rFonts w:hint="eastAsia" w:ascii="宋体" w:hAnsi="宋体"/>
          <w:color w:val="000000"/>
          <w:sz w:val="24"/>
          <w:highlight w:val="none"/>
        </w:rPr>
      </w:pPr>
      <w:r>
        <w:rPr>
          <w:rFonts w:hint="eastAsia" w:ascii="宋体" w:hAnsi="宋体"/>
          <w:color w:val="000000"/>
          <w:sz w:val="24"/>
          <w:highlight w:val="none"/>
        </w:rPr>
      </w:r>
      <w:r/>
    </w:p>
    <w:p>
      <w:pPr>
        <w:pStyle w:val="885"/>
        <w:ind w:firstLine="480"/>
        <w:jc w:val="right"/>
        <w:spacing w:after="156" w:line="480" w:lineRule="exact"/>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885"/>
        <w:rPr>
          <w:rFonts w:hint="eastAsia" w:ascii="宋体" w:hAnsi="宋体"/>
          <w:color w:val="000000"/>
          <w:sz w:val="24"/>
          <w:highlight w:val="none"/>
        </w:rPr>
      </w:pPr>
      <w:r>
        <w:rPr>
          <w:rFonts w:hint="eastAsia" w:ascii="宋体" w:hAnsi="宋体"/>
          <w:color w:val="000000"/>
          <w:sz w:val="24"/>
          <w:highlight w:val="none"/>
        </w:rPr>
      </w:r>
      <w:r/>
    </w:p>
    <w:p>
      <w:pPr>
        <w:pStyle w:val="885"/>
        <w:rPr>
          <w:rFonts w:hint="eastAsia" w:ascii="宋体" w:hAnsi="宋体"/>
          <w:color w:val="000000"/>
          <w:sz w:val="24"/>
          <w:highlight w:val="none"/>
        </w:rPr>
      </w:pPr>
      <w:r>
        <w:rPr>
          <w:rFonts w:hint="eastAsia" w:ascii="宋体" w:hAnsi="宋体"/>
          <w:color w:val="000000"/>
          <w:sz w:val="24"/>
          <w:highlight w:val="none"/>
        </w:rPr>
      </w:r>
      <w:r/>
    </w:p>
    <w:p>
      <w:pPr>
        <w:pStyle w:val="885"/>
        <w:ind w:firstLine="480"/>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8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885"/>
              <w:jc w:val="center"/>
              <w:widowControl w:val="off"/>
              <w:rPr>
                <w:rFonts w:hint="eastAsia" w:ascii="宋体" w:hAnsi="宋体" w:eastAsia="宋体"/>
                <w:color w:val="000000"/>
                <w:sz w:val="24"/>
                <w:highlight w:val="none"/>
                <w:lang w:val="en-US" w:eastAsia="zh-CN" w:bidi="ar-SA"/>
              </w:rPr>
            </w:pPr>
            <w:r>
              <w:rPr>
                <w:rFonts w:hint="eastAsia" w:ascii="宋体" w:hAnsi="宋体" w:eastAsia="宋体"/>
                <w:color w:val="000000"/>
                <w:sz w:val="24"/>
                <w:highlight w:val="none"/>
                <w:lang w:val="en-US" w:eastAsia="zh-CN" w:bidi="ar-SA"/>
              </w:rPr>
              <w:t xml:space="preserve">（代理人身份证复印件粘贴处）</w:t>
            </w:r>
            <w:r>
              <w:rPr>
                <w:rFonts w:hint="eastAsia" w:ascii="宋体" w:hAnsi="宋体" w:eastAsia="宋体"/>
                <w:color w:val="000000"/>
                <w:sz w:val="24"/>
                <w:highlight w:val="none"/>
                <w:lang w:val="en-US" w:eastAsia="zh-CN" w:bidi="ar-SA"/>
              </w:rPr>
            </w:r>
            <w:r/>
          </w:p>
        </w:tc>
      </w:tr>
    </w:tbl>
    <w:p>
      <w:pPr>
        <w:pStyle w:val="885"/>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85"/>
        <w:ind w:firstLine="723"/>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（七）公共资源交易投标信用承诺书</w:t>
      </w:r>
      <w:r>
        <w:rPr>
          <w:rFonts w:ascii="黑体" w:hAnsi="黑体" w:eastAsia="黑体" w:cs="黑体"/>
          <w:b/>
          <w:color w:val="000000"/>
          <w:sz w:val="36"/>
          <w:szCs w:val="36"/>
          <w:highlight w:val="none"/>
        </w:rPr>
      </w:r>
      <w:r/>
    </w:p>
    <w:p>
      <w:pPr>
        <w:pStyle w:val="885"/>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rPr>
          <w:rFonts w:ascii="宋体" w:hAnsi="宋体"/>
          <w:color w:val="000000"/>
          <w:sz w:val="24"/>
          <w:highlight w:val="none"/>
        </w:rPr>
      </w:r>
      <w:r/>
    </w:p>
    <w:p>
      <w:pPr>
        <w:pStyle w:val="885"/>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885"/>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885"/>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885"/>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885"/>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885"/>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885"/>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885"/>
        <w:jc w:val="left"/>
        <w:spacing w:line="480" w:lineRule="exact"/>
        <w:rPr>
          <w:rFonts w:ascii="宋体" w:hAnsi="宋体"/>
          <w:color w:val="000000"/>
          <w:sz w:val="24"/>
          <w:highlight w:val="none"/>
        </w:rPr>
      </w:pPr>
      <w:r>
        <w:rPr>
          <w:rFonts w:ascii="宋体" w:hAnsi="宋体"/>
          <w:color w:val="000000"/>
          <w:sz w:val="24"/>
          <w:highlight w:val="none"/>
        </w:rPr>
      </w:r>
      <w:r/>
    </w:p>
    <w:p>
      <w:pPr>
        <w:pStyle w:val="885"/>
        <w:jc w:val="left"/>
        <w:spacing w:before="156" w:after="156" w:line="480" w:lineRule="exact"/>
        <w:rPr>
          <w:rFonts w:ascii="宋体" w:hAnsi="宋体"/>
          <w:b/>
          <w:color w:val="000000"/>
          <w:sz w:val="24"/>
          <w:highlight w:val="none"/>
        </w:rPr>
      </w:pPr>
      <w:r>
        <w:rPr>
          <w:rFonts w:ascii="宋体" w:hAnsi="宋体"/>
          <w:b/>
          <w:color w:val="000000"/>
          <w:sz w:val="24"/>
          <w:highlight w:val="none"/>
        </w:rPr>
      </w:r>
      <w:r/>
    </w:p>
    <w:p>
      <w:pPr>
        <w:pStyle w:val="885"/>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885"/>
        <w:ind w:firstLine="480"/>
        <w:spacing w:before="156" w:after="156" w:line="480" w:lineRule="exact"/>
        <w:rPr>
          <w:rFonts w:ascii="宋体" w:hAnsi="宋体"/>
          <w:bCs/>
          <w:color w:val="000000"/>
          <w:sz w:val="24"/>
          <w:highlight w:val="none"/>
        </w:rPr>
      </w:pPr>
      <w:r>
        <w:rPr>
          <w:rFonts w:ascii="宋体" w:hAnsi="宋体"/>
          <w:bCs/>
          <w:color w:val="000000"/>
          <w:sz w:val="24"/>
          <w:highlight w:val="none"/>
        </w:rPr>
      </w:r>
      <w:r/>
    </w:p>
    <w:p>
      <w:pPr>
        <w:pStyle w:val="885"/>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投标人（盖章）：</w:t>
      </w:r>
      <w:r>
        <w:rPr>
          <w:rFonts w:ascii="宋体" w:hAnsi="宋体"/>
          <w:bCs/>
          <w:color w:val="000000"/>
          <w:sz w:val="24"/>
          <w:highlight w:val="none"/>
        </w:rPr>
      </w:r>
      <w:r/>
    </w:p>
    <w:p>
      <w:pPr>
        <w:pStyle w:val="885"/>
        <w:jc w:val="left"/>
        <w:spacing w:after="156" w:line="480" w:lineRule="exact"/>
        <w:rPr>
          <w:rFonts w:ascii="宋体" w:hAnsi="宋体"/>
          <w:bCs/>
          <w:color w:val="000000"/>
          <w:sz w:val="24"/>
          <w:highlight w:val="none"/>
        </w:rPr>
      </w:pPr>
      <w:r>
        <w:rPr>
          <w:rFonts w:ascii="宋体" w:hAnsi="宋体"/>
          <w:bCs/>
          <w:color w:val="000000"/>
          <w:sz w:val="24"/>
          <w:highlight w:val="none"/>
        </w:rPr>
      </w:r>
      <w:r/>
    </w:p>
    <w:p>
      <w:pPr>
        <w:pStyle w:val="885"/>
        <w:ind w:firstLine="480"/>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t xml:space="preserve">年    月    日</w:t>
      </w:r>
      <w:bookmarkStart w:id="6" w:name="_GoBack"/>
      <w:r/>
      <w:bookmarkEnd w:id="6"/>
      <w:r>
        <w:rPr>
          <w:rFonts w:hint="eastAsia" w:ascii="宋体" w:hAnsi="宋体"/>
          <w:bCs/>
          <w:color w:val="000000"/>
          <w:sz w:val="24"/>
          <w:highlight w:val="none"/>
        </w:rPr>
      </w:r>
      <w:r/>
    </w:p>
    <w:p>
      <w:pPr>
        <w:pStyle w:val="885"/>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r>
      <w:r/>
    </w:p>
    <w:p>
      <w:pPr>
        <w:pStyle w:val="885"/>
        <w:ind w:firstLine="723"/>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（八）建湖县政府采购事前信用承诺书</w:t>
      </w:r>
      <w:r>
        <w:rPr>
          <w:rFonts w:ascii="黑体" w:hAnsi="黑体" w:eastAsia="黑体" w:cs="黑体"/>
          <w:b/>
          <w:color w:val="000000"/>
          <w:sz w:val="36"/>
          <w:szCs w:val="36"/>
          <w:highlight w:val="none"/>
        </w:rPr>
      </w:r>
      <w:r/>
    </w:p>
    <w:p>
      <w:pPr>
        <w:pStyle w:val="885"/>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rPr>
          <w:rFonts w:ascii="宋体" w:hAnsi="宋体"/>
          <w:color w:val="000000"/>
          <w:sz w:val="24"/>
          <w:szCs w:val="22"/>
          <w:highlight w:val="none"/>
        </w:rPr>
      </w:r>
      <w:r/>
    </w:p>
    <w:p>
      <w:pPr>
        <w:pStyle w:val="885"/>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885"/>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885"/>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885"/>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885"/>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885"/>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885"/>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885"/>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885"/>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885"/>
        <w:ind w:firstLine="480"/>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885"/>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885"/>
        <w:ind w:firstLine="480"/>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rPr>
          <w:rFonts w:ascii="宋体" w:hAnsi="宋体"/>
          <w:color w:val="000000"/>
          <w:sz w:val="24"/>
          <w:szCs w:val="22"/>
          <w:highlight w:val="none"/>
        </w:rPr>
      </w:r>
      <w:r/>
    </w:p>
    <w:p>
      <w:pPr>
        <w:pStyle w:val="885"/>
        <w:ind w:firstLine="480"/>
        <w:jc w:val="right"/>
        <w:spacing w:line="500" w:lineRule="exact"/>
        <w:widowControl/>
        <w:rPr>
          <w:rFonts w:hint="eastAsia" w:ascii="黑体" w:hAnsi="黑体" w:eastAsia="黑体" w:cs="黑体"/>
          <w:b/>
          <w:color w:val="000000"/>
          <w:sz w:val="36"/>
          <w:szCs w:val="36"/>
          <w:highlight w:val="none"/>
        </w:rPr>
      </w:pPr>
      <w:r>
        <w:rPr>
          <w:rFonts w:hint="eastAsia" w:ascii="宋体" w:hAnsi="宋体"/>
          <w:color w:val="000000"/>
          <w:sz w:val="24"/>
          <w:szCs w:val="22"/>
          <w:highlight w:val="none"/>
        </w:rPr>
        <w:t xml:space="preserve">年    月    </w:t>
      </w:r>
      <w:r>
        <w:rPr>
          <w:rFonts w:hint="eastAsia" w:ascii="宋体" w:hAnsi="宋体"/>
          <w:color w:val="000000"/>
          <w:sz w:val="24"/>
          <w:szCs w:val="22"/>
          <w:highlight w:val="none"/>
          <w:lang w:eastAsia="zh-CN"/>
        </w:rPr>
        <w:t xml:space="preserve">日</w:t>
      </w:r>
      <w:r>
        <w:rPr>
          <w:rFonts w:hint="eastAsia" w:ascii="黑体" w:hAnsi="黑体" w:eastAsia="黑体" w:cs="黑体"/>
          <w:b/>
          <w:color w:val="000000"/>
          <w:sz w:val="36"/>
          <w:szCs w:val="36"/>
          <w:highlight w:val="none"/>
        </w:rPr>
      </w:r>
      <w:r/>
    </w:p>
    <w:p>
      <w:pPr>
        <w:pStyle w:val="885"/>
        <w:ind w:firstLine="723"/>
        <w:jc w:val="center"/>
        <w:rPr>
          <w:rFonts w:eastAsia="黑体"/>
          <w:color w:val="000000"/>
          <w:highlight w:val="none"/>
          <w:lang w:val="en-US" w:eastAsia="zh-CN"/>
        </w:rPr>
      </w:pPr>
      <w:r>
        <w:rPr>
          <w:rFonts w:hint="eastAsia" w:ascii="黑体" w:hAnsi="黑体" w:eastAsia="黑体" w:cs="黑体"/>
          <w:b/>
          <w:color w:val="000000"/>
          <w:sz w:val="36"/>
          <w:szCs w:val="36"/>
          <w:highlight w:val="none"/>
        </w:rPr>
        <w:t xml:space="preserve">（九）中小企业声明函（</w:t>
      </w:r>
      <w:r>
        <w:rPr>
          <w:rFonts w:hint="eastAsia" w:ascii="黑体" w:hAnsi="黑体" w:eastAsia="黑体" w:cs="黑体"/>
          <w:b/>
          <w:color w:val="000000"/>
          <w:sz w:val="36"/>
          <w:szCs w:val="36"/>
          <w:highlight w:val="none"/>
          <w:lang w:val="en-US" w:eastAsia="zh-CN"/>
        </w:rPr>
        <w:t xml:space="preserve">货物</w:t>
      </w:r>
      <w:r>
        <w:rPr>
          <w:rFonts w:hint="eastAsia" w:ascii="黑体" w:hAnsi="黑体" w:eastAsia="黑体" w:cs="黑体"/>
          <w:b/>
          <w:color w:val="000000"/>
          <w:sz w:val="36"/>
          <w:szCs w:val="36"/>
          <w:highlight w:val="none"/>
        </w:rPr>
        <w:t xml:space="preserve">）（如有）</w:t>
      </w:r>
      <w:r>
        <w:rPr>
          <w:rFonts w:eastAsia="黑体"/>
          <w:color w:val="000000"/>
          <w:highlight w:val="none"/>
          <w:lang w:val="en-US" w:eastAsia="zh-CN"/>
        </w:rPr>
      </w:r>
      <w:r/>
    </w:p>
    <w:p>
      <w:pPr>
        <w:pStyle w:val="885"/>
        <w:ind w:firstLine="480"/>
        <w:spacing w:line="660" w:lineRule="exact"/>
        <w:shd w:val="clear" w:color="auto" w:fill="auto"/>
        <w:widowControl/>
        <w:rPr>
          <w:rFonts w:hint="eastAsia" w:ascii="宋体" w:hAnsi="宋体" w:cs="宋体"/>
          <w:color w:val="000000"/>
          <w:sz w:val="24"/>
          <w:highlight w:val="none"/>
          <w:u w:val="single"/>
          <w:lang w:bidi="ar"/>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hAnsi="宋体"/>
          <w:b/>
          <w:bCs/>
          <w:color w:val="000000"/>
          <w:sz w:val="24"/>
          <w:highlight w:val="none"/>
          <w:u w:val="single"/>
          <w:lang w:eastAsia="zh-CN"/>
        </w:rPr>
        <w:t xml:space="preserve">江苏省建湖高级中学</w:t>
      </w:r>
      <w:r>
        <w:rPr>
          <w:rFonts w:hint="eastAsia" w:ascii="宋体" w:hAnsi="宋体" w:cs="宋体"/>
          <w:color w:val="000000"/>
          <w:sz w:val="24"/>
          <w:highlight w:val="none"/>
          <w:lang w:bidi="ar"/>
        </w:rPr>
        <w:t xml:space="preserve">的</w:t>
      </w:r>
      <w:r>
        <w:rPr>
          <w:rFonts w:hint="eastAsia" w:ascii="宋体" w:hAnsi="宋体"/>
          <w:b/>
          <w:bCs/>
          <w:color w:val="000000"/>
          <w:sz w:val="24"/>
          <w:highlight w:val="none"/>
          <w:u w:val="single"/>
          <w:lang w:eastAsia="zh-CN"/>
        </w:rPr>
        <w:t xml:space="preserve">江苏省建湖高级中学科学教育实验教室采购项目</w:t>
      </w:r>
      <w:r>
        <w:rPr>
          <w:rFonts w:hint="eastAsia" w:ascii="宋体" w:hAnsi="宋体" w:cs="宋体"/>
          <w:color w:val="000000"/>
          <w:sz w:val="24"/>
          <w:highlight w:val="none"/>
          <w:lang w:bidi="ar"/>
        </w:rPr>
        <w:t xml:space="preserve">采购活动，提供的货物全部由符合政策要求的中小企业承接。相关企业（含联合体中的中小企业、签订分包意向协议的中小企业）的具体情况如下：</w:t>
      </w:r>
      <w:r>
        <w:rPr>
          <w:rFonts w:hint="eastAsia" w:ascii="宋体" w:hAnsi="宋体" w:cs="宋体"/>
          <w:color w:val="000000"/>
          <w:sz w:val="24"/>
          <w:highlight w:val="none"/>
          <w:u w:val="single"/>
          <w:lang w:bidi="ar"/>
        </w:rPr>
      </w:r>
      <w:r/>
    </w:p>
    <w:p>
      <w:pPr>
        <w:pStyle w:val="885"/>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885"/>
        <w:ind w:firstLine="480"/>
        <w:spacing w:line="660" w:lineRule="exact"/>
        <w:shd w:val="clear" w:color="auto" w:fill="auto"/>
        <w:widowControl/>
        <w:rPr>
          <w:rFonts w:hint="eastAsia" w:ascii="宋体" w:hAnsi="宋体" w:cs="宋体"/>
          <w:color w:val="000000"/>
          <w:sz w:val="24"/>
          <w:highlight w:val="none"/>
          <w:lang w:bidi="ar"/>
        </w:rPr>
      </w:pPr>
      <w:r>
        <w:rPr>
          <w:rFonts w:hint="eastAsia" w:ascii="宋体" w:hAnsi="宋体" w:cs="宋体"/>
          <w:color w:val="000000"/>
          <w:sz w:val="24"/>
          <w:highlight w:val="none"/>
          <w:u w:val="single"/>
          <w:lang w:bidi="ar"/>
        </w:rPr>
        <w:t xml:space="preserve">       </w:t>
      </w:r>
      <w:r>
        <w:rPr>
          <w:rFonts w:hint="eastAsia" w:ascii="宋体" w:hAnsi="宋体" w:cs="宋体"/>
          <w:b w:val="0"/>
          <w:bCs w:val="0"/>
          <w:color w:val="000000"/>
          <w:sz w:val="24"/>
          <w:szCs w:val="24"/>
          <w:highlight w:val="none"/>
          <w:u w:val="single"/>
          <w:lang w:val="en-US" w:eastAsia="zh-CN"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（采购文件中明确的所属行业）</w:t>
      </w:r>
      <w:r>
        <w:rPr>
          <w:rFonts w:hint="eastAsia" w:ascii="宋体" w:hAnsi="宋体" w:cs="宋体"/>
          <w:color w:val="000000"/>
          <w:sz w:val="24"/>
          <w:highlight w:val="none"/>
          <w:lang w:bidi="ar"/>
        </w:rPr>
        <w:t xml:space="preserve">；制造商为</w:t>
      </w:r>
      <w:r>
        <w:rPr>
          <w:rFonts w:hint="eastAsia" w:ascii="宋体" w:hAnsi="宋体" w:cs="宋体"/>
          <w:color w:val="000000"/>
          <w:sz w:val="24"/>
          <w:highlight w:val="none"/>
          <w:u w:val="single"/>
          <w:lang w:bidi="ar"/>
        </w:rPr>
        <w:t xml:space="preserve">       （企业名称）  </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万元，属于</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（中型企业、小型企业、微型企业）</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73"/>
        <w:ind w:firstLine="420"/>
        <w:shd w:val="clear" w:color="auto" w:fill="auto"/>
        <w:rPr>
          <w:rFonts w:hint="eastAsia"/>
          <w:color w:val="000000"/>
          <w:highlight w:val="none"/>
        </w:rPr>
      </w:pPr>
      <w:r>
        <w:rPr>
          <w:rFonts w:hint="eastAsia"/>
          <w:color w:val="000000"/>
          <w:highlight w:val="none"/>
          <w:lang w:val="en-US" w:eastAsia="zh-CN"/>
        </w:rPr>
        <w:t xml:space="preserve">....</w:t>
      </w:r>
      <w:r>
        <w:rPr>
          <w:rFonts w:hint="eastAsia"/>
          <w:color w:val="000000"/>
          <w:highlight w:val="none"/>
        </w:rPr>
      </w:r>
      <w:r/>
    </w:p>
    <w:p>
      <w:pPr>
        <w:pStyle w:val="885"/>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885"/>
        <w:ind w:firstLine="480"/>
        <w:spacing w:line="66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885"/>
        <w:ind w:firstLine="480"/>
        <w:spacing w:before="627" w:line="660" w:lineRule="exact"/>
        <w:widowControl/>
        <w:rPr>
          <w:rFonts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ascii="宋体" w:hAnsi="宋体" w:cs="宋体"/>
          <w:color w:val="000000"/>
          <w:sz w:val="24"/>
          <w:highlight w:val="none"/>
        </w:rPr>
      </w:r>
      <w:r/>
    </w:p>
    <w:p>
      <w:pPr>
        <w:pStyle w:val="885"/>
        <w:ind w:firstLine="480"/>
        <w:spacing w:before="156" w:line="660" w:lineRule="exact"/>
        <w:widowControl/>
        <w:rPr>
          <w:rFonts w:hint="eastAsia" w:ascii="宋体" w:hAnsi="宋体"/>
          <w:color w:val="000000"/>
          <w:sz w:val="24"/>
          <w:highlight w:val="none"/>
        </w:rPr>
      </w:pPr>
      <w:r>
        <w:rPr>
          <w:rFonts w:hint="eastAsia" w:ascii="宋体" w:hAnsi="宋体" w:cs="宋体"/>
          <w:color w:val="000000"/>
          <w:sz w:val="24"/>
          <w:highlight w:val="none"/>
          <w:lang w:bidi="ar"/>
        </w:rPr>
        <w:t xml:space="preserve">日 期：</w:t>
      </w:r>
      <w:r>
        <w:rPr>
          <w:rFonts w:hint="eastAsia" w:ascii="宋体" w:hAnsi="宋体"/>
          <w:color w:val="000000"/>
          <w:sz w:val="24"/>
          <w:highlight w:val="none"/>
        </w:rPr>
      </w:r>
      <w:r/>
    </w:p>
    <w:p>
      <w:pPr>
        <w:pStyle w:val="885"/>
        <w:ind w:firstLine="482"/>
        <w:spacing w:line="480" w:lineRule="exact"/>
        <w:tabs>
          <w:tab w:val="left" w:pos="180" w:leader="none"/>
        </w:tabs>
        <w:rPr>
          <w:rFonts w:hint="eastAsia" w:ascii="宋体" w:hAnsi="宋体" w:cs="宋体"/>
          <w:b/>
          <w:color w:val="000000"/>
          <w:sz w:val="32"/>
          <w:szCs w:val="32"/>
          <w:highlight w:val="none"/>
        </w:rPr>
      </w:pPr>
      <w:r>
        <w:rPr>
          <w:rFonts w:hint="eastAsia" w:ascii="宋体" w:hAnsi="宋体" w:cs="宋体"/>
          <w:b/>
          <w:bCs/>
          <w:color w:val="000000"/>
          <w:sz w:val="24"/>
          <w:highlight w:val="none"/>
          <w:lang w:bidi="ar"/>
        </w:rPr>
        <w:t xml:space="preserve">注：</w:t>
      </w:r>
      <w:r>
        <w:rPr>
          <w:rFonts w:hint="eastAsia" w:ascii="宋体" w:hAnsi="宋体"/>
          <w:b/>
          <w:bCs/>
          <w:color w:val="000000"/>
          <w:sz w:val="24"/>
          <w:highlight w:val="none"/>
        </w:rPr>
        <w:t xml:space="preserve">供应商如不提供此声明函或不提供证明材料的，投标报价将不做相应扣除。</w:t>
      </w:r>
      <w:r>
        <w:rPr>
          <w:rFonts w:hint="eastAsia" w:ascii="宋体" w:hAnsi="宋体" w:cs="宋体"/>
          <w:b/>
          <w:color w:val="000000"/>
          <w:sz w:val="32"/>
          <w:szCs w:val="32"/>
          <w:highlight w:val="none"/>
        </w:rPr>
      </w:r>
      <w:r/>
    </w:p>
    <w:p>
      <w:pPr>
        <w:pStyle w:val="885"/>
        <w:spacing w:line="360" w:lineRule="auto"/>
        <w:tabs>
          <w:tab w:val="left" w:pos="180" w:leader="none"/>
        </w:tabs>
        <w:rPr>
          <w:rFonts w:ascii="宋体" w:hAnsi="宋体" w:cs="宋体"/>
          <w:b/>
          <w:bCs/>
          <w:color w:val="000000"/>
          <w:sz w:val="24"/>
          <w:szCs w:val="20"/>
          <w:lang w:bidi="ar"/>
        </w:rPr>
      </w:pPr>
      <w:r>
        <w:rPr>
          <w:rFonts w:ascii="宋体" w:hAnsi="宋体" w:cs="宋体"/>
          <w:b/>
          <w:bCs/>
          <w:color w:val="000000"/>
          <w:sz w:val="24"/>
          <w:szCs w:val="20"/>
          <w:lang w:bidi="ar"/>
        </w:rPr>
      </w:r>
      <w:r/>
    </w:p>
    <w:p>
      <w:pPr>
        <w:pStyle w:val="885"/>
        <w:ind w:firstLine="320"/>
        <w:rPr>
          <w:rFonts w:ascii="宋体" w:hAnsi="宋体" w:cs="宋体"/>
          <w:b/>
          <w:bCs/>
          <w:color w:val="000000"/>
          <w:sz w:val="24"/>
          <w:highlight w:val="none"/>
          <w:lang w:bidi="ar"/>
        </w:rPr>
      </w:pPr>
      <w:r>
        <w:rPr>
          <w:rFonts w:hint="eastAsia" w:ascii="Times New Roman" w:hAnsi="Times New Roman"/>
          <w:color w:val="000000"/>
          <w:sz w:val="16"/>
          <w:szCs w:val="18"/>
          <w:u w:val="single"/>
        </w:rPr>
        <w:t xml:space="preserve">                                  </w:t>
      </w:r>
      <w:r>
        <w:rPr>
          <w:rFonts w:ascii="宋体" w:hAnsi="宋体" w:cs="宋体"/>
          <w:b/>
          <w:bCs/>
          <w:color w:val="000000"/>
          <w:sz w:val="24"/>
          <w:highlight w:val="none"/>
          <w:lang w:bidi="ar"/>
        </w:rPr>
      </w:r>
      <w:r/>
    </w:p>
    <w:p>
      <w:pPr>
        <w:pStyle w:val="885"/>
        <w:rPr>
          <w:color w:val="000000"/>
          <w:highlight w:val="none"/>
          <w:u w:val="single"/>
        </w:rPr>
      </w:pPr>
      <w:r>
        <w:rPr>
          <w:color w:val="000000"/>
          <w:highlight w:val="none"/>
          <w:u w:val="single"/>
        </w:rPr>
      </w:r>
      <w:r/>
    </w:p>
    <w:p>
      <w:pPr>
        <w:pStyle w:val="885"/>
        <w:ind w:firstLine="420"/>
        <w:rPr>
          <w:rFonts w:hint="eastAsia" w:eastAsia="宋体"/>
          <w:color w:val="000000"/>
          <w:highlight w:val="none"/>
          <w:lang w:eastAsia="zh-CN"/>
        </w:rPr>
      </w:pPr>
      <w:r>
        <w:rPr>
          <w:color w:val="000000"/>
          <w:highlight w:val="none"/>
        </w:rPr>
        <w:t xml:space="preserve">1</w:t>
      </w:r>
      <w:r>
        <w:rPr>
          <w:rFonts w:hint="eastAsia"/>
          <w:color w:val="000000"/>
          <w:highlight w:val="none"/>
        </w:rPr>
        <w:t xml:space="preserve">从业人员、营业收入、资产总额填报上一年度数据，无上一年度数据的新成立企业可不填报。</w:t>
      </w:r>
      <w:r>
        <w:rPr>
          <w:rFonts w:hint="eastAsia" w:eastAsia="宋体"/>
          <w:color w:val="000000"/>
          <w:highlight w:val="none"/>
          <w:lang w:eastAsia="zh-CN"/>
        </w:rPr>
      </w:r>
      <w:r/>
    </w:p>
    <w:p>
      <w:pPr>
        <w:pStyle w:val="1067"/>
        <w:ind w:firstLine="723"/>
        <w:jc w:val="center"/>
        <w:shd w:val="clear" w:color="auto" w:fill="auto"/>
        <w:rPr>
          <w:rFonts w:hint="eastAsia" w:ascii="宋体" w:hAnsi="宋体"/>
          <w:color w:val="000000"/>
          <w:highlight w:val="none"/>
        </w:rPr>
      </w:pPr>
      <w:r>
        <w:rPr>
          <w:rFonts w:hint="eastAsia" w:ascii="宋体" w:hAnsi="宋体" w:eastAsia="宋体" w:cs="Times New Roman"/>
          <w:color w:val="000000"/>
          <w:sz w:val="36"/>
          <w:szCs w:val="36"/>
          <w:highlight w:val="none"/>
        </w:rPr>
        <w:t xml:space="preserve">（</w:t>
      </w:r>
      <w:r>
        <w:rPr>
          <w:rFonts w:hint="eastAsia" w:ascii="宋体" w:hAnsi="宋体" w:cs="Times New Roman"/>
          <w:color w:val="000000"/>
          <w:sz w:val="36"/>
          <w:szCs w:val="36"/>
          <w:highlight w:val="none"/>
          <w:lang w:val="en-US" w:eastAsia="zh-CN"/>
        </w:rPr>
        <w:t xml:space="preserve">十</w:t>
      </w:r>
      <w:r>
        <w:rPr>
          <w:rFonts w:hint="eastAsia" w:ascii="宋体" w:hAnsi="宋体" w:eastAsia="宋体" w:cs="Times New Roman"/>
          <w:color w:val="000000"/>
          <w:sz w:val="36"/>
          <w:szCs w:val="36"/>
          <w:highlight w:val="none"/>
        </w:rPr>
        <w:t xml:space="preserve">）残</w:t>
      </w:r>
      <w:r>
        <w:rPr>
          <w:rFonts w:hint="eastAsia" w:ascii="宋体" w:hAnsi="宋体"/>
          <w:color w:val="000000"/>
          <w:sz w:val="36"/>
          <w:szCs w:val="36"/>
          <w:highlight w:val="none"/>
        </w:rPr>
        <w:t xml:space="preserve">疾人福利性单位声明函（如有）</w:t>
      </w:r>
      <w:r>
        <w:rPr>
          <w:rFonts w:hint="eastAsia" w:ascii="宋体" w:hAnsi="宋体"/>
          <w:color w:val="000000"/>
          <w:highlight w:val="none"/>
        </w:rPr>
      </w:r>
      <w:r/>
    </w:p>
    <w:p>
      <w:pPr>
        <w:pStyle w:val="885"/>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885"/>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885"/>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885"/>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885"/>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885"/>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885"/>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885"/>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885"/>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                                          投标单位（盖章）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89"/>
        <w:shd w:val="clear" w:color="auto" w:fill="auto"/>
        <w:rPr>
          <w:rFonts w:hint="eastAsia"/>
          <w:color w:val="000000"/>
          <w:highlight w:val="none"/>
        </w:rPr>
      </w:pPr>
      <w:r>
        <w:rPr>
          <w:rFonts w:hint="eastAsia"/>
          <w:color w:val="000000"/>
          <w:highlight w:val="none"/>
        </w:rPr>
      </w:r>
      <w:r/>
    </w:p>
    <w:p>
      <w:pPr>
        <w:pStyle w:val="885"/>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w:t>
      </w:r>
      <w:r>
        <w:rPr>
          <w:rFonts w:hint="eastAsia" w:ascii="宋体" w:hAnsi="宋体"/>
          <w:color w:val="000000"/>
          <w:sz w:val="24"/>
          <w:szCs w:val="22"/>
          <w:highlight w:val="none"/>
          <w:lang w:val="en-US" w:eastAsia="zh-CN"/>
        </w:rPr>
        <w:t xml:space="preserve"> </w:t>
      </w:r>
      <w:r>
        <w:rPr>
          <w:rFonts w:hint="eastAsia" w:ascii="宋体" w:hAnsi="宋体"/>
          <w:color w:val="000000"/>
          <w:sz w:val="24"/>
          <w:szCs w:val="22"/>
          <w:highlight w:val="none"/>
        </w:rPr>
        <w:t xml:space="preserve">___日</w:t>
      </w:r>
      <w:r>
        <w:rPr>
          <w:rFonts w:hint="eastAsia" w:ascii="宋体" w:hAnsi="宋体"/>
          <w:color w:val="000000"/>
          <w:sz w:val="24"/>
          <w:szCs w:val="22"/>
          <w:highlight w:val="none"/>
        </w:rPr>
      </w:r>
      <w:r/>
    </w:p>
    <w:p>
      <w:pPr>
        <w:pStyle w:val="1067"/>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88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8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8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8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8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8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73"/>
        <w:ind w:left="1454"/>
        <w:spacing w:before="75" w:line="190" w:lineRule="auto"/>
        <w:rPr>
          <w:b/>
          <w:bCs/>
          <w:spacing w:val="-3"/>
          <w:sz w:val="36"/>
          <w:szCs w:val="36"/>
        </w:rPr>
        <w:outlineLvl w:val="0"/>
      </w:pPr>
      <w:r>
        <w:rPr>
          <w:b/>
          <w:bCs/>
          <w:spacing w:val="-3"/>
          <w:sz w:val="36"/>
          <w:szCs w:val="36"/>
        </w:rPr>
      </w:r>
      <w:r/>
    </w:p>
    <w:p>
      <w:pPr>
        <w:pStyle w:val="1073"/>
        <w:ind w:left="1454" w:firstLine="711"/>
        <w:spacing w:before="75" w:line="190" w:lineRule="auto"/>
        <w:rPr>
          <w:rFonts w:ascii="Arial"/>
          <w:sz w:val="21"/>
        </w:rPr>
        <w:outlineLvl w:val="0"/>
      </w:pPr>
      <w:r>
        <w:rPr>
          <w:b/>
          <w:bCs/>
          <w:spacing w:val="-3"/>
          <w:sz w:val="36"/>
          <w:szCs w:val="36"/>
        </w:rPr>
        <w:t xml:space="preserve">（十一）关于符合本国产品标准的声明函</w:t>
      </w:r>
      <w:r>
        <w:rPr>
          <w:rFonts w:ascii="Arial"/>
          <w:sz w:val="21"/>
        </w:rPr>
      </w:r>
      <w:r/>
    </w:p>
    <w:p>
      <w:pPr>
        <w:pStyle w:val="1073"/>
        <w:ind w:firstLine="480"/>
        <w:jc w:val="both"/>
        <w:spacing w:before="103" w:line="364" w:lineRule="auto"/>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w:t>
      </w:r>
      <w:r>
        <w:rPr>
          <w:rFonts w:hint="eastAsia" w:ascii="宋体" w:hAnsi="宋体" w:eastAsia="宋体" w:cs="宋体"/>
          <w:spacing w:val="-1"/>
          <w:sz w:val="24"/>
          <w:szCs w:val="24"/>
        </w:rPr>
        <w:t xml:space="preserve">国产品标准</w:t>
      </w:r>
      <w:r>
        <w:rPr>
          <w:rFonts w:hint="eastAsia" w:ascii="宋体" w:hAnsi="宋体" w:eastAsia="宋体" w:cs="宋体"/>
          <w:sz w:val="24"/>
          <w:szCs w:val="24"/>
        </w:rPr>
        <w:t xml:space="preserve">及相关政策的通知》（国办发〔2025〕34</w:t>
      </w:r>
      <w:r>
        <w:rPr>
          <w:rFonts w:hint="eastAsia" w:ascii="宋体" w:hAnsi="宋体" w:eastAsia="宋体" w:cs="宋体"/>
          <w:spacing w:val="-56"/>
          <w:sz w:val="24"/>
          <w:szCs w:val="24"/>
        </w:rPr>
        <w:t xml:space="preserve"> </w:t>
      </w:r>
      <w:r>
        <w:rPr>
          <w:rFonts w:hint="eastAsia" w:ascii="宋体" w:hAnsi="宋体" w:eastAsia="宋体" w:cs="宋体"/>
          <w:sz w:val="24"/>
          <w:szCs w:val="24"/>
        </w:rPr>
        <w:t xml:space="preserve">号）的规定，本公司（单位）</w:t>
      </w:r>
      <w:r>
        <w:rPr>
          <w:rFonts w:hint="eastAsia" w:ascii="宋体" w:hAnsi="宋体" w:eastAsia="宋体" w:cs="宋体"/>
          <w:spacing w:val="-1"/>
          <w:sz w:val="24"/>
          <w:szCs w:val="24"/>
        </w:rPr>
        <w:t xml:space="preserve">提供的以下产品</w:t>
      </w:r>
      <w:r>
        <w:rPr>
          <w:rFonts w:hint="eastAsia" w:ascii="宋体" w:hAnsi="宋体" w:eastAsia="宋体" w:cs="宋体"/>
          <w:spacing w:val="-4"/>
          <w:sz w:val="24"/>
          <w:szCs w:val="24"/>
        </w:rPr>
        <w:t xml:space="preserve">属于本国产品。具体情况如下：</w:t>
      </w:r>
      <w:r>
        <w:rPr>
          <w:rFonts w:hint="eastAsia" w:ascii="宋体" w:hAnsi="宋体" w:eastAsia="宋体" w:cs="宋体"/>
          <w:sz w:val="24"/>
          <w:szCs w:val="24"/>
        </w:rPr>
      </w:r>
      <w:r/>
    </w:p>
    <w:p>
      <w:pPr>
        <w:pStyle w:val="1073"/>
        <w:ind w:left="11" w:right="3" w:firstLine="468"/>
        <w:spacing w:before="1" w:line="367" w:lineRule="auto"/>
        <w:rPr>
          <w:rFonts w:hint="eastAsia" w:ascii="宋体" w:hAnsi="宋体" w:eastAsia="宋体" w:cs="宋体"/>
          <w:sz w:val="24"/>
          <w:szCs w:val="24"/>
        </w:rPr>
      </w:pPr>
      <w:r>
        <w:rPr>
          <w:rFonts w:hint="eastAsia" w:ascii="宋体" w:hAnsi="宋体" w:eastAsia="宋体" w:cs="宋体"/>
          <w:spacing w:val="-3"/>
          <w:sz w:val="24"/>
          <w:szCs w:val="24"/>
        </w:rPr>
        <w:t xml:space="preserve">1.</w:t>
      </w:r>
      <w:r>
        <w:rPr>
          <w:rFonts w:hint="eastAsia" w:ascii="宋体" w:hAnsi="宋体" w:eastAsia="宋体" w:cs="宋体"/>
          <w:spacing w:val="-3"/>
          <w:sz w:val="24"/>
          <w:szCs w:val="24"/>
          <w:u w:val="single"/>
        </w:rPr>
        <w:t xml:space="preserve">（产品名称</w:t>
      </w:r>
      <w:r>
        <w:rPr>
          <w:rFonts w:hint="eastAsia" w:ascii="宋体" w:hAnsi="宋体" w:eastAsia="宋体" w:cs="宋体"/>
          <w:spacing w:val="23"/>
          <w:sz w:val="24"/>
          <w:szCs w:val="24"/>
          <w:u w:val="single"/>
        </w:rPr>
        <w:t xml:space="preserve"> </w:t>
      </w:r>
      <w:r>
        <w:rPr>
          <w:rFonts w:hint="eastAsia" w:ascii="宋体" w:hAnsi="宋体" w:eastAsia="宋体" w:cs="宋体"/>
          <w:spacing w:val="-3"/>
          <w:sz w:val="24"/>
          <w:szCs w:val="24"/>
          <w:u w:val="single"/>
        </w:rPr>
        <w:t xml:space="preserve">1）</w:t>
      </w:r>
      <w:r>
        <w:rPr>
          <w:rFonts w:hint="eastAsia" w:ascii="宋体" w:hAnsi="宋体" w:eastAsia="宋体" w:cs="宋体"/>
          <w:spacing w:val="-3"/>
          <w:position w:val="11"/>
          <w:sz w:val="24"/>
          <w:szCs w:val="24"/>
        </w:rPr>
        <w:t xml:space="preserve">1</w:t>
      </w:r>
      <w:r>
        <w:rPr>
          <w:rFonts w:hint="eastAsia" w:ascii="宋体" w:hAnsi="宋体" w:eastAsia="宋体" w:cs="宋体"/>
          <w:spacing w:val="-3"/>
          <w:sz w:val="24"/>
          <w:szCs w:val="24"/>
        </w:rPr>
        <w:t xml:space="preserve">，生产厂为</w:t>
      </w:r>
      <w:r>
        <w:rPr>
          <w:rFonts w:hint="eastAsia" w:ascii="宋体" w:hAnsi="宋体" w:eastAsia="宋体" w:cs="宋体"/>
          <w:spacing w:val="-3"/>
          <w:sz w:val="24"/>
          <w:szCs w:val="24"/>
          <w:u w:val="single"/>
        </w:rPr>
        <w:t xml:space="preserve">（厂名）</w:t>
      </w:r>
      <w:r>
        <w:rPr>
          <w:rFonts w:hint="eastAsia" w:ascii="宋体" w:hAnsi="宋体" w:eastAsia="宋体" w:cs="宋体"/>
          <w:spacing w:val="-3"/>
          <w:position w:val="11"/>
          <w:sz w:val="24"/>
          <w:szCs w:val="24"/>
        </w:rPr>
        <w:t xml:space="preserve">2</w:t>
      </w:r>
      <w:r>
        <w:rPr>
          <w:rFonts w:hint="eastAsia" w:ascii="宋体" w:hAnsi="宋体" w:eastAsia="宋体" w:cs="宋体"/>
          <w:spacing w:val="-3"/>
          <w:sz w:val="24"/>
          <w:szCs w:val="24"/>
        </w:rPr>
        <w:t xml:space="preserve">，厂址为</w:t>
      </w:r>
      <w:r>
        <w:rPr>
          <w:rFonts w:hint="eastAsia" w:ascii="宋体" w:hAnsi="宋体" w:eastAsia="宋体" w:cs="宋体"/>
          <w:spacing w:val="-3"/>
          <w:sz w:val="24"/>
          <w:szCs w:val="24"/>
          <w:u w:val="single"/>
        </w:rPr>
        <w:t xml:space="preserve">（生产厂址）</w:t>
      </w:r>
      <w:r>
        <w:rPr>
          <w:rFonts w:hint="eastAsia" w:ascii="宋体" w:hAnsi="宋体" w:eastAsia="宋体" w:cs="宋体"/>
          <w:spacing w:val="-3"/>
          <w:sz w:val="24"/>
          <w:szCs w:val="24"/>
        </w:rPr>
        <w:t xml:space="preserve">。</w:t>
      </w:r>
      <w:r>
        <w:rPr>
          <w:rFonts w:hint="eastAsia" w:ascii="宋体" w:hAnsi="宋体" w:eastAsia="宋体" w:cs="宋体"/>
          <w:spacing w:val="-3"/>
          <w:sz w:val="24"/>
          <w:szCs w:val="24"/>
          <w:u w:val="single"/>
        </w:rPr>
        <w:t xml:space="preserve">  / </w:t>
      </w:r>
      <w:r>
        <w:rPr>
          <w:rFonts w:hint="eastAsia" w:ascii="宋体" w:hAnsi="宋体" w:eastAsia="宋体" w:cs="宋体"/>
          <w:spacing w:val="-3"/>
          <w:sz w:val="24"/>
          <w:szCs w:val="24"/>
        </w:rPr>
        <w:t xml:space="preserve">的中国境内生产</w:t>
      </w:r>
      <w:r>
        <w:rPr>
          <w:rFonts w:hint="eastAsia" w:ascii="宋体" w:hAnsi="宋体" w:eastAsia="宋体" w:cs="宋体"/>
          <w:spacing w:val="-2"/>
          <w:sz w:val="24"/>
          <w:szCs w:val="24"/>
        </w:rPr>
        <w:t xml:space="preserve">的组件成本占比≥</w:t>
      </w:r>
      <w:r>
        <w:rPr>
          <w:rFonts w:hint="eastAsia" w:ascii="宋体" w:hAnsi="宋体" w:eastAsia="宋体" w:cs="宋体"/>
          <w:spacing w:val="-2"/>
          <w:sz w:val="24"/>
          <w:szCs w:val="24"/>
          <w:u w:val="single"/>
        </w:rPr>
        <w:t xml:space="preserve">   /   </w:t>
      </w:r>
      <w:r>
        <w:rPr>
          <w:rFonts w:hint="eastAsia" w:ascii="宋体" w:hAnsi="宋体" w:eastAsia="宋体" w:cs="宋体"/>
          <w:spacing w:val="-103"/>
          <w:sz w:val="24"/>
          <w:szCs w:val="24"/>
        </w:rPr>
        <w:t xml:space="preserve"> </w:t>
      </w:r>
      <w:r>
        <w:rPr>
          <w:rFonts w:hint="eastAsia" w:ascii="宋体" w:hAnsi="宋体" w:eastAsia="宋体" w:cs="宋体"/>
          <w:spacing w:val="-2"/>
          <w:position w:val="11"/>
          <w:sz w:val="24"/>
          <w:szCs w:val="24"/>
        </w:rPr>
        <w:t xml:space="preserve">3</w:t>
      </w:r>
      <w:r>
        <w:rPr>
          <w:rFonts w:hint="eastAsia" w:ascii="宋体" w:hAnsi="宋体" w:eastAsia="宋体" w:cs="宋体"/>
          <w:spacing w:val="-2"/>
          <w:sz w:val="24"/>
          <w:szCs w:val="24"/>
        </w:rPr>
        <w:t xml:space="preserve">。</w:t>
      </w:r>
      <w:r>
        <w:rPr>
          <w:rFonts w:hint="eastAsia" w:ascii="宋体" w:hAnsi="宋体" w:eastAsia="宋体" w:cs="宋体"/>
          <w:spacing w:val="-2"/>
          <w:sz w:val="24"/>
          <w:szCs w:val="24"/>
          <w:u w:val="single"/>
        </w:rPr>
        <w:t xml:space="preserve">   /   </w:t>
      </w:r>
      <w:r>
        <w:rPr>
          <w:rFonts w:hint="eastAsia" w:ascii="宋体" w:hAnsi="宋体" w:eastAsia="宋体" w:cs="宋体"/>
          <w:spacing w:val="-107"/>
          <w:sz w:val="24"/>
          <w:szCs w:val="24"/>
        </w:rPr>
        <w:t xml:space="preserve"> </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u w:val="single"/>
        </w:rPr>
        <w:t xml:space="preserve">   /   </w:t>
      </w:r>
      <w:r>
        <w:rPr>
          <w:rFonts w:hint="eastAsia" w:ascii="宋体" w:hAnsi="宋体" w:eastAsia="宋体" w:cs="宋体"/>
          <w:spacing w:val="-116"/>
          <w:sz w:val="24"/>
          <w:szCs w:val="24"/>
        </w:rPr>
        <w:t xml:space="preserve"> </w:t>
      </w:r>
      <w:r>
        <w:rPr>
          <w:rFonts w:hint="eastAsia" w:ascii="宋体" w:hAnsi="宋体" w:eastAsia="宋体" w:cs="宋体"/>
          <w:spacing w:val="-2"/>
          <w:position w:val="11"/>
          <w:sz w:val="24"/>
          <w:szCs w:val="24"/>
        </w:rPr>
        <w:t xml:space="preserve">4</w:t>
      </w:r>
      <w:r>
        <w:rPr>
          <w:rFonts w:hint="eastAsia" w:ascii="宋体" w:hAnsi="宋体" w:eastAsia="宋体" w:cs="宋体"/>
          <w:spacing w:val="-25"/>
          <w:position w:val="11"/>
          <w:sz w:val="24"/>
          <w:szCs w:val="24"/>
        </w:rPr>
        <w:t xml:space="preserve"> </w:t>
      </w:r>
      <w:r>
        <w:rPr>
          <w:rFonts w:hint="eastAsia" w:ascii="宋体" w:hAnsi="宋体" w:eastAsia="宋体" w:cs="宋体"/>
          <w:spacing w:val="-2"/>
          <w:sz w:val="24"/>
          <w:szCs w:val="24"/>
        </w:rPr>
        <w:t xml:space="preserve">在中国境内生产。</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104"/>
          <w:sz w:val="24"/>
          <w:szCs w:val="24"/>
        </w:rPr>
        <w:t xml:space="preserve"> </w:t>
      </w:r>
      <w:r>
        <w:rPr>
          <w:rFonts w:hint="eastAsia" w:ascii="宋体" w:hAnsi="宋体" w:eastAsia="宋体" w:cs="宋体"/>
          <w:spacing w:val="-2"/>
          <w:sz w:val="24"/>
          <w:szCs w:val="24"/>
        </w:rPr>
        <w:t xml:space="preserve">的</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111"/>
          <w:sz w:val="24"/>
          <w:szCs w:val="24"/>
        </w:rPr>
        <w:t xml:space="preserve"> </w:t>
      </w:r>
      <w:r>
        <w:rPr>
          <w:rFonts w:hint="eastAsia" w:ascii="宋体" w:hAnsi="宋体" w:eastAsia="宋体" w:cs="宋体"/>
          <w:spacing w:val="-2"/>
          <w:position w:val="11"/>
          <w:sz w:val="24"/>
          <w:szCs w:val="24"/>
        </w:rPr>
        <w:t xml:space="preserve">5</w:t>
      </w:r>
      <w:r>
        <w:rPr>
          <w:rFonts w:hint="eastAsia" w:ascii="宋体" w:hAnsi="宋体" w:eastAsia="宋体" w:cs="宋体"/>
          <w:spacing w:val="-25"/>
          <w:position w:val="11"/>
          <w:sz w:val="24"/>
          <w:szCs w:val="24"/>
        </w:rPr>
        <w:t xml:space="preserve"> </w:t>
      </w:r>
      <w:r>
        <w:rPr>
          <w:rFonts w:hint="eastAsia" w:ascii="宋体" w:hAnsi="宋体" w:eastAsia="宋体" w:cs="宋体"/>
          <w:spacing w:val="-2"/>
          <w:sz w:val="24"/>
          <w:szCs w:val="24"/>
        </w:rPr>
        <w:t xml:space="preserve">在</w:t>
      </w:r>
      <w:r>
        <w:rPr>
          <w:rFonts w:hint="eastAsia" w:ascii="宋体" w:hAnsi="宋体" w:eastAsia="宋体" w:cs="宋体"/>
          <w:spacing w:val="-8"/>
          <w:sz w:val="24"/>
          <w:szCs w:val="24"/>
        </w:rPr>
        <w:t xml:space="preserve">中国境内完成。</w:t>
      </w:r>
      <w:r>
        <w:rPr>
          <w:rFonts w:hint="eastAsia" w:ascii="宋体" w:hAnsi="宋体" w:eastAsia="宋体" w:cs="宋体"/>
          <w:sz w:val="24"/>
          <w:szCs w:val="24"/>
        </w:rPr>
      </w:r>
      <w:r/>
    </w:p>
    <w:p>
      <w:pPr>
        <w:pStyle w:val="1073"/>
        <w:ind w:right="58" w:firstLine="472"/>
        <w:spacing w:before="28" w:line="369" w:lineRule="auto"/>
        <w:rPr>
          <w:rFonts w:hint="eastAsia" w:ascii="宋体" w:hAnsi="宋体" w:eastAsia="宋体" w:cs="宋体"/>
          <w:sz w:val="24"/>
          <w:szCs w:val="24"/>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u w:val="single"/>
        </w:rPr>
        <w:t xml:space="preserve">（产品名称 2</w:t>
      </w:r>
      <w:r>
        <w:rPr>
          <w:rFonts w:hint="eastAsia" w:ascii="宋体" w:hAnsi="宋体" w:eastAsia="宋体" w:cs="宋体"/>
          <w:spacing w:val="1"/>
          <w:sz w:val="24"/>
          <w:szCs w:val="24"/>
          <w:u w:val="single"/>
        </w:rPr>
        <w:t xml:space="preserve">）</w:t>
      </w:r>
      <w:r>
        <w:rPr>
          <w:rFonts w:hint="eastAsia" w:ascii="宋体" w:hAnsi="宋体" w:eastAsia="宋体" w:cs="宋体"/>
          <w:spacing w:val="1"/>
          <w:sz w:val="24"/>
          <w:szCs w:val="24"/>
        </w:rPr>
        <w:t xml:space="preserve">，</w:t>
      </w:r>
      <w:r>
        <w:rPr>
          <w:rFonts w:hint="eastAsia" w:ascii="宋体" w:hAnsi="宋体" w:eastAsia="宋体" w:cs="宋体"/>
          <w:spacing w:val="-2"/>
          <w:sz w:val="24"/>
          <w:szCs w:val="24"/>
        </w:rPr>
        <w:t xml:space="preserve">生产厂为</w:t>
      </w:r>
      <w:r>
        <w:rPr>
          <w:rFonts w:hint="eastAsia" w:ascii="宋体" w:hAnsi="宋体" w:eastAsia="宋体" w:cs="宋体"/>
          <w:spacing w:val="-2"/>
          <w:sz w:val="24"/>
          <w:szCs w:val="24"/>
          <w:u w:val="single"/>
        </w:rPr>
        <w:t xml:space="preserve">（厂名</w:t>
      </w:r>
      <w:r>
        <w:rPr>
          <w:rFonts w:hint="eastAsia" w:ascii="宋体" w:hAnsi="宋体" w:eastAsia="宋体" w:cs="宋体"/>
          <w:spacing w:val="1"/>
          <w:sz w:val="24"/>
          <w:szCs w:val="24"/>
          <w:u w:val="single"/>
        </w:rPr>
        <w:t xml:space="preserve">）</w:t>
      </w:r>
      <w:r>
        <w:rPr>
          <w:rFonts w:hint="eastAsia" w:ascii="宋体" w:hAnsi="宋体" w:eastAsia="宋体" w:cs="宋体"/>
          <w:spacing w:val="1"/>
          <w:sz w:val="24"/>
          <w:szCs w:val="24"/>
        </w:rPr>
        <w:t xml:space="preserve">，</w:t>
      </w:r>
      <w:r>
        <w:rPr>
          <w:rFonts w:hint="eastAsia" w:ascii="宋体" w:hAnsi="宋体" w:eastAsia="宋体" w:cs="宋体"/>
          <w:spacing w:val="-2"/>
          <w:sz w:val="24"/>
          <w:szCs w:val="24"/>
        </w:rPr>
        <w:t xml:space="preserve">厂址为</w:t>
      </w:r>
      <w:r>
        <w:rPr>
          <w:rFonts w:hint="eastAsia" w:ascii="宋体" w:hAnsi="宋体" w:eastAsia="宋体" w:cs="宋体"/>
          <w:spacing w:val="-2"/>
          <w:sz w:val="24"/>
          <w:szCs w:val="24"/>
          <w:u w:val="single"/>
        </w:rPr>
        <w:t xml:space="preserve">（生产厂址）</w:t>
      </w:r>
      <w:r>
        <w:rPr>
          <w:rFonts w:hint="eastAsia" w:ascii="宋体" w:hAnsi="宋体" w:eastAsia="宋体" w:cs="宋体"/>
          <w:spacing w:val="-36"/>
          <w:sz w:val="24"/>
          <w:szCs w:val="24"/>
          <w:u w:val="single"/>
        </w:rPr>
        <w:t xml:space="preserve"> </w:t>
      </w:r>
      <w:r>
        <w:rPr>
          <w:rFonts w:hint="eastAsia" w:ascii="宋体" w:hAnsi="宋体" w:eastAsia="宋体" w:cs="宋体"/>
          <w:spacing w:val="-2"/>
          <w:sz w:val="24"/>
          <w:szCs w:val="24"/>
        </w:rPr>
        <w:t xml:space="preserve">。</w:t>
      </w:r>
      <w:r>
        <w:rPr>
          <w:rFonts w:hint="eastAsia" w:ascii="宋体" w:hAnsi="宋体" w:eastAsia="宋体" w:cs="宋体"/>
          <w:spacing w:val="-2"/>
          <w:sz w:val="24"/>
          <w:szCs w:val="24"/>
          <w:u w:val="single"/>
        </w:rPr>
        <w:t xml:space="preserve">  /   </w:t>
      </w:r>
      <w:r>
        <w:rPr>
          <w:rFonts w:hint="eastAsia" w:ascii="宋体" w:hAnsi="宋体" w:eastAsia="宋体" w:cs="宋体"/>
          <w:spacing w:val="-106"/>
          <w:sz w:val="24"/>
          <w:szCs w:val="24"/>
        </w:rPr>
        <w:t xml:space="preserve"> </w:t>
      </w:r>
      <w:r>
        <w:rPr>
          <w:rFonts w:hint="eastAsia" w:ascii="宋体" w:hAnsi="宋体" w:eastAsia="宋体" w:cs="宋体"/>
          <w:spacing w:val="-2"/>
          <w:sz w:val="24"/>
          <w:szCs w:val="24"/>
        </w:rPr>
        <w:t xml:space="preserve">的中国境内生</w:t>
      </w:r>
      <w:r>
        <w:rPr>
          <w:rFonts w:hint="eastAsia" w:ascii="宋体" w:hAnsi="宋体" w:eastAsia="宋体" w:cs="宋体"/>
          <w:spacing w:val="-1"/>
          <w:sz w:val="24"/>
          <w:szCs w:val="24"/>
        </w:rPr>
        <w:t xml:space="preserve">产的组件成本占比≥</w:t>
      </w:r>
      <w:r>
        <w:rPr>
          <w:rFonts w:hint="eastAsia" w:ascii="宋体" w:hAnsi="宋体" w:eastAsia="宋体" w:cs="宋体"/>
          <w:spacing w:val="-1"/>
          <w:sz w:val="24"/>
          <w:szCs w:val="24"/>
          <w:u w:val="single"/>
        </w:rPr>
        <w:t xml:space="preserve">   /   </w:t>
      </w:r>
      <w:r>
        <w:rPr>
          <w:rFonts w:hint="eastAsia" w:ascii="宋体" w:hAnsi="宋体" w:eastAsia="宋体" w:cs="宋体"/>
          <w:spacing w:val="-104"/>
          <w:sz w:val="24"/>
          <w:szCs w:val="24"/>
        </w:rPr>
        <w:t xml:space="preserve"> </w:t>
      </w:r>
      <w:r>
        <w:rPr>
          <w:rFonts w:hint="eastAsia" w:ascii="宋体" w:hAnsi="宋体" w:eastAsia="宋体" w:cs="宋体"/>
          <w:spacing w:val="-1"/>
          <w:sz w:val="24"/>
          <w:szCs w:val="24"/>
        </w:rPr>
        <w:t xml:space="preserve">。</w:t>
      </w:r>
      <w:r>
        <w:rPr>
          <w:rFonts w:hint="eastAsia" w:ascii="宋体" w:hAnsi="宋体" w:eastAsia="宋体" w:cs="宋体"/>
          <w:spacing w:val="-1"/>
          <w:sz w:val="24"/>
          <w:szCs w:val="24"/>
          <w:u w:val="single"/>
        </w:rPr>
        <w:t xml:space="preserve">   /   </w:t>
      </w:r>
      <w:r>
        <w:rPr>
          <w:rFonts w:hint="eastAsia" w:ascii="宋体" w:hAnsi="宋体" w:eastAsia="宋体" w:cs="宋体"/>
          <w:spacing w:val="-107"/>
          <w:sz w:val="24"/>
          <w:szCs w:val="24"/>
        </w:rPr>
        <w:t xml:space="preserve"> </w:t>
      </w:r>
      <w:r>
        <w:rPr>
          <w:rFonts w:hint="eastAsia" w:ascii="宋体" w:hAnsi="宋体" w:eastAsia="宋体" w:cs="宋体"/>
          <w:spacing w:val="-1"/>
          <w:sz w:val="24"/>
          <w:szCs w:val="24"/>
        </w:rPr>
        <w:t xml:space="preserve">的</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rPr>
        <w:t xml:space="preserve">在中国境内生产。</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7"/>
          <w:sz w:val="24"/>
          <w:szCs w:val="24"/>
        </w:rPr>
        <w:t xml:space="preserve"> </w:t>
      </w:r>
      <w:r>
        <w:rPr>
          <w:rFonts w:hint="eastAsia" w:ascii="宋体" w:hAnsi="宋体" w:eastAsia="宋体" w:cs="宋体"/>
          <w:spacing w:val="-2"/>
          <w:sz w:val="24"/>
          <w:szCs w:val="24"/>
        </w:rPr>
        <w:t xml:space="preserve">的</w:t>
      </w:r>
      <w:r>
        <w:rPr>
          <w:rFonts w:hint="eastAsia" w:ascii="宋体" w:hAnsi="宋体" w:eastAsia="宋体" w:cs="宋体"/>
          <w:spacing w:val="3"/>
          <w:sz w:val="24"/>
          <w:szCs w:val="24"/>
          <w:u w:val="single"/>
        </w:rPr>
        <w:t xml:space="preserve">   </w:t>
      </w:r>
      <w:r>
        <w:rPr>
          <w:rFonts w:hint="eastAsia" w:ascii="宋体" w:hAnsi="宋体" w:eastAsia="宋体" w:cs="宋体"/>
          <w:spacing w:val="-2"/>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2"/>
          <w:sz w:val="24"/>
          <w:szCs w:val="24"/>
        </w:rPr>
        <w:t xml:space="preserve">在</w:t>
      </w:r>
      <w:r>
        <w:rPr>
          <w:rFonts w:hint="eastAsia" w:ascii="宋体" w:hAnsi="宋体" w:eastAsia="宋体" w:cs="宋体"/>
          <w:spacing w:val="-6"/>
          <w:sz w:val="24"/>
          <w:szCs w:val="24"/>
        </w:rPr>
        <w:t xml:space="preserve">中国境内完成。</w:t>
      </w:r>
      <w:r>
        <w:rPr>
          <w:rFonts w:hint="eastAsia" w:ascii="宋体" w:hAnsi="宋体" w:eastAsia="宋体" w:cs="宋体"/>
          <w:sz w:val="24"/>
          <w:szCs w:val="24"/>
        </w:rPr>
      </w:r>
      <w:r/>
    </w:p>
    <w:p>
      <w:pPr>
        <w:pStyle w:val="1073"/>
        <w:ind w:left="435" w:firstLine="460"/>
        <w:spacing w:before="179" w:line="137" w:lineRule="exact"/>
        <w:rPr>
          <w:rFonts w:hint="eastAsia" w:ascii="宋体" w:hAnsi="宋体" w:eastAsia="宋体" w:cs="宋体"/>
          <w:sz w:val="24"/>
          <w:szCs w:val="24"/>
        </w:rPr>
      </w:pPr>
      <w:r>
        <w:rPr>
          <w:rFonts w:hint="eastAsia" w:ascii="宋体" w:hAnsi="宋体" w:eastAsia="宋体" w:cs="宋体"/>
          <w:spacing w:val="-5"/>
          <w:position w:val="-3"/>
          <w:sz w:val="24"/>
          <w:szCs w:val="24"/>
        </w:rPr>
        <w:t xml:space="preserve">……</w:t>
      </w:r>
      <w:r>
        <w:rPr>
          <w:rFonts w:hint="eastAsia" w:ascii="宋体" w:hAnsi="宋体" w:eastAsia="宋体" w:cs="宋体"/>
          <w:sz w:val="24"/>
          <w:szCs w:val="24"/>
        </w:rPr>
      </w:r>
      <w:r/>
    </w:p>
    <w:p>
      <w:pPr>
        <w:pStyle w:val="885"/>
        <w:spacing w:line="246" w:lineRule="auto"/>
        <w:rPr>
          <w:rFonts w:hint="eastAsia" w:ascii="宋体" w:hAnsi="宋体" w:eastAsia="宋体" w:cs="宋体"/>
          <w:sz w:val="24"/>
          <w:szCs w:val="24"/>
        </w:rPr>
      </w:pPr>
      <w:r>
        <w:rPr>
          <w:rFonts w:hint="eastAsia" w:ascii="宋体" w:hAnsi="宋体" w:eastAsia="宋体" w:cs="宋体"/>
          <w:sz w:val="24"/>
          <w:szCs w:val="24"/>
        </w:rPr>
      </w:r>
      <w:r/>
    </w:p>
    <w:p>
      <w:pPr>
        <w:pStyle w:val="1073"/>
        <w:ind w:left="421" w:firstLine="476"/>
        <w:spacing w:before="104" w:line="189" w:lineRule="auto"/>
        <w:rPr>
          <w:rFonts w:hint="eastAsia" w:ascii="宋体" w:hAnsi="宋体" w:eastAsia="宋体" w:cs="宋体"/>
          <w:sz w:val="24"/>
          <w:szCs w:val="24"/>
        </w:rPr>
      </w:pPr>
      <w:r>
        <w:rPr>
          <w:rFonts w:hint="eastAsia" w:ascii="宋体" w:hAnsi="宋体" w:eastAsia="宋体" w:cs="宋体"/>
          <w:spacing w:val="-1"/>
          <w:sz w:val="24"/>
          <w:szCs w:val="24"/>
        </w:rPr>
        <w:t xml:space="preserve">本公司（单位）对上述声明内容的真实性负责。如</w:t>
      </w:r>
      <w:r>
        <w:rPr>
          <w:rFonts w:hint="eastAsia" w:ascii="宋体" w:hAnsi="宋体" w:eastAsia="宋体" w:cs="宋体"/>
          <w:spacing w:val="-2"/>
          <w:sz w:val="24"/>
          <w:szCs w:val="24"/>
        </w:rPr>
        <w:t xml:space="preserve">有虚假，愿承担相应法律责任。</w:t>
      </w:r>
      <w:r>
        <w:rPr>
          <w:rFonts w:hint="eastAsia" w:ascii="宋体" w:hAnsi="宋体" w:eastAsia="宋体" w:cs="宋体"/>
          <w:sz w:val="24"/>
          <w:szCs w:val="24"/>
        </w:rPr>
      </w:r>
      <w:r/>
    </w:p>
    <w:p>
      <w:pPr>
        <w:pStyle w:val="885"/>
        <w:spacing w:line="281" w:lineRule="auto"/>
        <w:rPr>
          <w:rFonts w:hint="eastAsia" w:ascii="宋体" w:hAnsi="宋体" w:eastAsia="宋体" w:cs="宋体"/>
          <w:sz w:val="24"/>
          <w:szCs w:val="24"/>
        </w:rPr>
      </w:pPr>
      <w:r>
        <w:rPr>
          <w:rFonts w:hint="eastAsia" w:ascii="宋体" w:hAnsi="宋体" w:eastAsia="宋体" w:cs="宋体"/>
          <w:sz w:val="24"/>
          <w:szCs w:val="24"/>
        </w:rPr>
      </w:r>
      <w:r/>
    </w:p>
    <w:p>
      <w:pPr>
        <w:pStyle w:val="885"/>
        <w:spacing w:line="281" w:lineRule="auto"/>
        <w:rPr>
          <w:rFonts w:hint="eastAsia" w:ascii="宋体" w:hAnsi="宋体" w:eastAsia="宋体" w:cs="宋体"/>
          <w:sz w:val="24"/>
          <w:szCs w:val="24"/>
        </w:rPr>
      </w:pPr>
      <w:r>
        <w:rPr>
          <w:rFonts w:hint="eastAsia" w:ascii="宋体" w:hAnsi="宋体" w:eastAsia="宋体" w:cs="宋体"/>
          <w:sz w:val="24"/>
          <w:szCs w:val="24"/>
        </w:rPr>
      </w:r>
      <w:r/>
    </w:p>
    <w:p>
      <w:pPr>
        <w:pStyle w:val="1073"/>
        <w:ind w:left="2938" w:firstLine="468"/>
        <w:spacing w:before="104" w:line="189" w:lineRule="auto"/>
        <w:rPr>
          <w:rFonts w:hint="eastAsia" w:ascii="宋体" w:hAnsi="宋体" w:eastAsia="宋体" w:cs="宋体"/>
          <w:sz w:val="24"/>
          <w:szCs w:val="24"/>
        </w:rPr>
      </w:pPr>
      <w:r>
        <w:rPr>
          <w:rFonts w:hint="eastAsia" w:ascii="宋体" w:hAnsi="宋体" w:eastAsia="宋体" w:cs="宋体"/>
          <w:spacing w:val="-3"/>
          <w:sz w:val="24"/>
          <w:szCs w:val="24"/>
        </w:rPr>
        <w:t xml:space="preserve">公司（单位）名称（加盖 CA</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 xml:space="preserve">电子公章</w:t>
      </w:r>
      <w:r>
        <w:rPr>
          <w:rFonts w:hint="eastAsia" w:ascii="宋体" w:hAnsi="宋体" w:eastAsia="宋体" w:cs="宋体"/>
          <w:spacing w:val="-5"/>
          <w:sz w:val="24"/>
          <w:szCs w:val="24"/>
        </w:rPr>
        <w:t xml:space="preserve">）：</w:t>
      </w:r>
      <w:r>
        <w:rPr>
          <w:rFonts w:hint="eastAsia" w:ascii="宋体" w:hAnsi="宋体" w:eastAsia="宋体" w:cs="宋体"/>
          <w:sz w:val="24"/>
          <w:szCs w:val="24"/>
        </w:rPr>
      </w:r>
      <w:r/>
    </w:p>
    <w:p>
      <w:pPr>
        <w:pStyle w:val="1073"/>
        <w:ind w:left="3003" w:firstLine="472"/>
        <w:spacing w:before="329" w:line="194" w:lineRule="auto"/>
        <w:rPr>
          <w:rFonts w:hint="eastAsia" w:ascii="宋体" w:hAnsi="宋体" w:eastAsia="宋体" w:cs="宋体"/>
          <w:sz w:val="24"/>
          <w:szCs w:val="24"/>
        </w:rPr>
      </w:pPr>
      <w:r>
        <w:rPr>
          <w:rFonts w:hint="eastAsia" w:ascii="宋体" w:hAnsi="宋体" w:eastAsia="宋体" w:cs="宋体"/>
          <w:spacing w:val="-2"/>
          <w:sz w:val="24"/>
          <w:szCs w:val="24"/>
        </w:rPr>
        <w:t xml:space="preserve">日期：                 </w:t>
      </w:r>
      <w:r>
        <w:rPr>
          <w:rFonts w:hint="eastAsia" w:ascii="宋体" w:hAnsi="宋体" w:eastAsia="宋体" w:cs="宋体"/>
          <w:spacing w:val="-3"/>
          <w:sz w:val="24"/>
          <w:szCs w:val="24"/>
        </w:rPr>
        <w:t xml:space="preserve">  年         月         日</w:t>
      </w:r>
      <w:r>
        <w:rPr>
          <w:rFonts w:hint="eastAsia" w:ascii="宋体" w:hAnsi="宋体" w:eastAsia="宋体" w:cs="宋体"/>
          <w:sz w:val="24"/>
          <w:szCs w:val="24"/>
        </w:rPr>
      </w:r>
      <w:r/>
    </w:p>
    <w:p>
      <w:pPr>
        <w:pStyle w:val="885"/>
        <w:spacing w:line="273" w:lineRule="auto"/>
        <w:rPr>
          <w:rFonts w:hint="eastAsia" w:ascii="宋体" w:hAnsi="宋体" w:eastAsia="宋体" w:cs="宋体"/>
          <w:sz w:val="24"/>
          <w:szCs w:val="24"/>
        </w:rPr>
      </w:pPr>
      <w:r>
        <w:rPr>
          <w:rFonts w:hint="eastAsia" w:ascii="宋体" w:hAnsi="宋体" w:eastAsia="宋体" w:cs="宋体"/>
          <w:sz w:val="24"/>
          <w:szCs w:val="24"/>
        </w:rPr>
      </w:r>
      <w:r/>
    </w:p>
    <w:p>
      <w:pPr>
        <w:pStyle w:val="885"/>
        <w:ind w:firstLine="480"/>
        <w:spacing w:line="273"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150495</wp:posOffset>
                </wp:positionH>
                <wp:positionV relativeFrom="paragraph">
                  <wp:posOffset>63500</wp:posOffset>
                </wp:positionV>
                <wp:extent cx="1295400" cy="635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29540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1;o:allowoverlap:true;o:allowincell:true;mso-position-horizontal-relative:text;margin-left:11.8pt;mso-position-horizontal:absolute;mso-position-vertical-relative:text;margin-top:5.0pt;mso-position-vertical:absolute;width:102.0pt;height:0.5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sz w:val="24"/>
          <w:szCs w:val="24"/>
        </w:rPr>
      </w:r>
      <w:r/>
    </w:p>
    <w:p>
      <w:pPr>
        <w:pStyle w:val="1073"/>
        <w:ind w:left="24" w:firstLine="468"/>
        <w:spacing w:before="104" w:line="200" w:lineRule="auto"/>
        <w:rPr>
          <w:rFonts w:hint="eastAsia" w:ascii="宋体" w:hAnsi="宋体" w:eastAsia="宋体" w:cs="宋体"/>
          <w:sz w:val="24"/>
          <w:szCs w:val="24"/>
        </w:rPr>
      </w:pPr>
      <w:r>
        <w:rPr>
          <w:rFonts w:hint="eastAsia" w:ascii="宋体" w:hAnsi="宋体" w:eastAsia="宋体" w:cs="宋体"/>
          <w:spacing w:val="-3"/>
          <w:sz w:val="24"/>
          <w:szCs w:val="24"/>
        </w:rPr>
        <w:t xml:space="preserve">1.产品如有型号，请在“产品名称”栏一并填写。</w:t>
      </w:r>
      <w:r>
        <w:rPr>
          <w:rFonts w:hint="eastAsia" w:ascii="宋体" w:hAnsi="宋体" w:eastAsia="宋体" w:cs="宋体"/>
          <w:sz w:val="24"/>
          <w:szCs w:val="24"/>
        </w:rPr>
      </w:r>
      <w:r/>
    </w:p>
    <w:p>
      <w:pPr>
        <w:pStyle w:val="1073"/>
        <w:ind w:left="9" w:firstLine="476"/>
        <w:spacing w:before="309" w:line="201" w:lineRule="auto"/>
        <w:rPr>
          <w:rFonts w:hint="eastAsia" w:ascii="宋体" w:hAnsi="宋体" w:eastAsia="宋体" w:cs="宋体"/>
          <w:sz w:val="24"/>
          <w:szCs w:val="24"/>
        </w:rPr>
      </w:pPr>
      <w:r>
        <w:rPr>
          <w:rFonts w:hint="eastAsia" w:ascii="宋体" w:hAnsi="宋体" w:eastAsia="宋体" w:cs="宋体"/>
          <w:spacing w:val="-1"/>
          <w:sz w:val="24"/>
          <w:szCs w:val="24"/>
        </w:rPr>
        <w:t xml:space="preserve">2.生产厂名与厂址应与生产厂营业执照载明的相关</w:t>
      </w:r>
      <w:r>
        <w:rPr>
          <w:rFonts w:hint="eastAsia" w:ascii="宋体" w:hAnsi="宋体" w:eastAsia="宋体" w:cs="宋体"/>
          <w:spacing w:val="-2"/>
          <w:sz w:val="24"/>
          <w:szCs w:val="24"/>
        </w:rPr>
        <w:t xml:space="preserve">信息保持一致。</w:t>
      </w:r>
      <w:r>
        <w:rPr>
          <w:rFonts w:hint="eastAsia" w:ascii="宋体" w:hAnsi="宋体" w:eastAsia="宋体" w:cs="宋体"/>
          <w:sz w:val="24"/>
          <w:szCs w:val="24"/>
        </w:rPr>
      </w:r>
      <w:r/>
    </w:p>
    <w:p>
      <w:pPr>
        <w:pStyle w:val="1073"/>
        <w:ind w:left="11" w:firstLine="448"/>
        <w:spacing w:before="312" w:line="200" w:lineRule="auto"/>
        <w:rPr>
          <w:rFonts w:hint="eastAsia" w:ascii="宋体" w:hAnsi="宋体" w:eastAsia="宋体" w:cs="宋体"/>
          <w:sz w:val="24"/>
          <w:szCs w:val="24"/>
        </w:rPr>
      </w:pPr>
      <w:r>
        <w:rPr>
          <w:rFonts w:hint="eastAsia" w:ascii="宋体" w:hAnsi="宋体" w:eastAsia="宋体" w:cs="宋体"/>
          <w:spacing w:val="-8"/>
          <w:sz w:val="24"/>
          <w:szCs w:val="24"/>
        </w:rPr>
        <w:t xml:space="preserve">3.该产品的中国境内生产的组件成本占比相关要求实施</w:t>
      </w:r>
      <w:r>
        <w:rPr>
          <w:rFonts w:hint="eastAsia" w:ascii="宋体" w:hAnsi="宋体" w:eastAsia="宋体" w:cs="宋体"/>
          <w:spacing w:val="-9"/>
          <w:sz w:val="24"/>
          <w:szCs w:val="24"/>
        </w:rPr>
        <w:t xml:space="preserve">前，“规定比例”栏可不填，下同。</w:t>
      </w:r>
      <w:r>
        <w:rPr>
          <w:rFonts w:hint="eastAsia" w:ascii="宋体" w:hAnsi="宋体" w:eastAsia="宋体" w:cs="宋体"/>
          <w:sz w:val="24"/>
          <w:szCs w:val="24"/>
        </w:rPr>
      </w:r>
      <w:r/>
    </w:p>
    <w:p>
      <w:pPr>
        <w:pStyle w:val="1073"/>
        <w:ind w:left="5" w:firstLine="472"/>
        <w:spacing w:before="309" w:line="200" w:lineRule="auto"/>
        <w:rPr>
          <w:rFonts w:hint="eastAsia" w:ascii="宋体" w:hAnsi="宋体" w:eastAsia="宋体" w:cs="宋体"/>
          <w:sz w:val="24"/>
          <w:szCs w:val="24"/>
        </w:rPr>
      </w:pPr>
      <w:r>
        <w:rPr>
          <w:rFonts w:hint="eastAsia" w:ascii="宋体" w:hAnsi="宋体" w:eastAsia="宋体" w:cs="宋体"/>
          <w:spacing w:val="-2"/>
          <w:sz w:val="24"/>
          <w:szCs w:val="24"/>
        </w:rPr>
        <w:t xml:space="preserve">4.该产品的关键组件要求实施前，“关键组件”栏可不填，下同。</w:t>
      </w:r>
      <w:r>
        <w:rPr>
          <w:rFonts w:hint="eastAsia" w:ascii="宋体" w:hAnsi="宋体" w:eastAsia="宋体" w:cs="宋体"/>
          <w:sz w:val="24"/>
          <w:szCs w:val="24"/>
        </w:rPr>
      </w:r>
      <w:r/>
    </w:p>
    <w:p>
      <w:pPr>
        <w:pStyle w:val="1073"/>
        <w:ind w:left="11" w:firstLine="472"/>
        <w:spacing w:before="312" w:line="200" w:lineRule="auto"/>
        <w:rPr>
          <w:rFonts w:hint="eastAsia" w:ascii="宋体" w:hAnsi="宋体" w:eastAsia="宋体" w:cs="宋体"/>
          <w:sz w:val="24"/>
          <w:szCs w:val="24"/>
        </w:rPr>
      </w:pPr>
      <w:r>
        <w:rPr>
          <w:rFonts w:hint="eastAsia" w:ascii="宋体" w:hAnsi="宋体" w:eastAsia="宋体" w:cs="宋体"/>
          <w:spacing w:val="-2"/>
          <w:sz w:val="24"/>
          <w:szCs w:val="24"/>
        </w:rPr>
        <w:t xml:space="preserve">5.该产品的关键工序要求实施前，“关键工序”栏可不填，下同。</w:t>
      </w:r>
      <w:r>
        <w:rPr>
          <w:rFonts w:hint="eastAsia" w:ascii="宋体" w:hAnsi="宋体" w:eastAsia="宋体" w:cs="宋体"/>
          <w:sz w:val="24"/>
          <w:szCs w:val="24"/>
        </w:rPr>
      </w:r>
      <w:r/>
    </w:p>
    <w:p>
      <w:pPr>
        <w:pStyle w:val="1073"/>
        <w:ind w:left="8" w:firstLine="468"/>
        <w:spacing w:before="310" w:line="200" w:lineRule="auto"/>
        <w:rPr>
          <w:rFonts w:hint="eastAsia" w:ascii="宋体" w:hAnsi="宋体" w:eastAsia="宋体" w:cs="宋体"/>
          <w:sz w:val="24"/>
          <w:szCs w:val="24"/>
        </w:rPr>
      </w:pPr>
      <w:r>
        <w:rPr>
          <w:rFonts w:hint="eastAsia" w:ascii="宋体" w:hAnsi="宋体" w:eastAsia="宋体" w:cs="宋体"/>
          <w:spacing w:val="-3"/>
          <w:sz w:val="24"/>
          <w:szCs w:val="24"/>
        </w:rPr>
        <w:t xml:space="preserve">6.《声明函》中标注“</w:t>
      </w:r>
      <w:r>
        <w:rPr>
          <w:rFonts w:hint="eastAsia" w:ascii="宋体" w:hAnsi="宋体" w:eastAsia="宋体" w:cs="宋体"/>
          <w:spacing w:val="-43"/>
          <w:sz w:val="24"/>
          <w:szCs w:val="24"/>
        </w:rPr>
        <w:t xml:space="preserve"> </w:t>
      </w:r>
      <w:r>
        <w:rPr>
          <w:rFonts w:hint="eastAsia" w:ascii="宋体" w:hAnsi="宋体" w:eastAsia="宋体" w:cs="宋体"/>
          <w:spacing w:val="-3"/>
          <w:sz w:val="24"/>
          <w:szCs w:val="24"/>
          <w:u w:val="single"/>
        </w:rPr>
        <w:t xml:space="preserve">   /   </w:t>
      </w:r>
      <w:r>
        <w:rPr>
          <w:rFonts w:hint="eastAsia" w:ascii="宋体" w:hAnsi="宋体" w:eastAsia="宋体" w:cs="宋体"/>
          <w:spacing w:val="-3"/>
          <w:sz w:val="24"/>
          <w:szCs w:val="24"/>
        </w:rPr>
        <w:t xml:space="preserve">”的地方无需填写。</w:t>
      </w:r>
      <w:r>
        <w:rPr>
          <w:rFonts w:hint="eastAsia" w:ascii="宋体" w:hAnsi="宋体" w:eastAsia="宋体" w:cs="宋体"/>
          <w:sz w:val="24"/>
          <w:szCs w:val="24"/>
        </w:rPr>
      </w:r>
      <w:r/>
    </w:p>
    <w:p>
      <w:pPr>
        <w:pStyle w:val="885"/>
        <w:ind w:firstLine="480"/>
        <w:jc w:val="right"/>
        <w:keepLines w:val="0"/>
        <w:keepNext w:val="0"/>
        <w:pageBreakBefore w:val="0"/>
        <w:spacing w:line="520" w:lineRule="exact"/>
        <w:shd w:val="clear" w:color="auto" w:fill="auto"/>
        <w:widowControl/>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         </w:t>
      </w:r>
      <w:r>
        <w:rPr>
          <w:rFonts w:hint="eastAsia" w:ascii="宋体" w:hAnsi="宋体" w:eastAsia="宋体" w:cs="Times New Roman"/>
          <w:color w:val="000000"/>
          <w:sz w:val="24"/>
          <w:szCs w:val="22"/>
          <w:highlight w:val="none"/>
        </w:rPr>
      </w:r>
      <w:r/>
    </w:p>
    <w:p>
      <w:pPr>
        <w:pStyle w:val="885"/>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85"/>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二</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1067"/>
        <w:jc w:val="center"/>
        <w:rPr>
          <w:rFonts w:ascii="宋体" w:hAnsi="宋体"/>
          <w:color w:val="000000"/>
          <w:sz w:val="24"/>
          <w:szCs w:val="24"/>
          <w:highlight w:val="none"/>
        </w:rPr>
      </w:pPr>
      <w:r>
        <w:rPr>
          <w:rFonts w:ascii="宋体" w:hAnsi="宋体"/>
          <w:color w:val="000000"/>
          <w:sz w:val="24"/>
          <w:szCs w:val="24"/>
          <w:highlight w:val="none"/>
        </w:rPr>
      </w:r>
      <w:r/>
    </w:p>
    <w:p>
      <w:pPr>
        <w:pStyle w:val="885"/>
        <w:ind w:firstLine="480"/>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885"/>
        <w:ind w:firstLine="480"/>
        <w:spacing w:line="6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85"/>
        <w:ind w:firstLine="480"/>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885"/>
        <w:spacing w:line="600" w:lineRule="exact"/>
        <w:rPr>
          <w:rFonts w:ascii="宋体" w:hAnsi="宋体"/>
          <w:bCs/>
          <w:color w:val="000000"/>
          <w:sz w:val="24"/>
          <w:highlight w:val="none"/>
        </w:rPr>
      </w:pPr>
      <w:r>
        <w:rPr>
          <w:rFonts w:ascii="宋体" w:hAnsi="宋体"/>
          <w:bCs/>
          <w:color w:val="000000"/>
          <w:sz w:val="24"/>
          <w:highlight w:val="none"/>
        </w:rPr>
      </w:r>
      <w:r/>
    </w:p>
    <w:p>
      <w:pPr>
        <w:pStyle w:val="885"/>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885"/>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885"/>
        <w:spacing w:line="460" w:lineRule="exact"/>
        <w:rPr>
          <w:rFonts w:ascii="宋体" w:hAnsi="宋体"/>
          <w:bCs/>
          <w:color w:val="000000"/>
          <w:sz w:val="24"/>
          <w:highlight w:val="none"/>
        </w:rPr>
      </w:pPr>
      <w:r>
        <w:rPr>
          <w:rFonts w:ascii="宋体" w:hAnsi="宋体"/>
          <w:bCs/>
          <w:color w:val="000000"/>
          <w:sz w:val="24"/>
          <w:highlight w:val="none"/>
        </w:rPr>
      </w:r>
      <w:r/>
    </w:p>
    <w:p>
      <w:pPr>
        <w:pStyle w:val="1067"/>
        <w:jc w:val="center"/>
        <w:rPr>
          <w:rFonts w:ascii="宋体" w:hAnsi="宋体"/>
          <w:bCs w:val="0"/>
          <w:color w:val="000000"/>
          <w:sz w:val="24"/>
          <w:highlight w:val="none"/>
        </w:rPr>
      </w:pPr>
      <w:r>
        <w:rPr>
          <w:rFonts w:ascii="宋体" w:hAnsi="宋体"/>
          <w:bCs w:val="0"/>
          <w:color w:val="000000"/>
          <w:sz w:val="24"/>
          <w:highlight w:val="none"/>
        </w:rPr>
      </w:r>
      <w:r/>
    </w:p>
    <w:p>
      <w:pPr>
        <w:pStyle w:val="1067"/>
        <w:ind w:firstLine="480"/>
        <w:jc w:val="right"/>
        <w:rPr>
          <w:rFonts w:ascii="宋体" w:hAnsi="宋体"/>
          <w:b w:val="0"/>
          <w:bCs/>
          <w:color w:val="000000"/>
          <w:sz w:val="24"/>
          <w:highlight w:val="none"/>
        </w:rPr>
      </w:pPr>
      <w:r>
        <w:rPr>
          <w:rFonts w:hint="eastAsia" w:ascii="宋体" w:hAnsi="宋体"/>
          <w:b w:val="0"/>
          <w:bCs/>
          <w:color w:val="000000"/>
          <w:sz w:val="24"/>
          <w:highlight w:val="none"/>
        </w:rPr>
        <w:t xml:space="preserve"> 日期：______年</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月</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日</w:t>
      </w:r>
      <w:r>
        <w:rPr>
          <w:rFonts w:ascii="宋体" w:hAnsi="宋体"/>
          <w:b w:val="0"/>
          <w:bCs/>
          <w:color w:val="000000"/>
          <w:sz w:val="24"/>
          <w:highlight w:val="none"/>
        </w:rPr>
      </w:r>
      <w:r/>
    </w:p>
    <w:p>
      <w:pPr>
        <w:pStyle w:val="885"/>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85"/>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85"/>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85"/>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85"/>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885"/>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89"/>
        <w:ind w:firstLine="210"/>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885"/>
        <w:rPr>
          <w:rFonts w:hint="eastAsia"/>
          <w:color w:val="000000"/>
          <w:highlight w:val="none"/>
        </w:rPr>
      </w:pPr>
      <w:r>
        <w:rPr>
          <w:rFonts w:hint="eastAsia"/>
          <w:color w:val="000000"/>
          <w:highlight w:val="none"/>
        </w:rPr>
      </w:r>
      <w:r/>
    </w:p>
    <w:p>
      <w:pPr>
        <w:pStyle w:val="885"/>
        <w:jc w:val="both"/>
        <w:spacing w:line="400" w:lineRule="exact"/>
        <w:rPr>
          <w:rFonts w:ascii="宋体" w:hAnsi="宋体"/>
          <w:color w:val="000000"/>
          <w:sz w:val="24"/>
          <w:highlight w:val="none"/>
          <w:lang w:val="en-US"/>
        </w:rPr>
        <w:sectPr>
          <w:headerReference w:type="default" r:id="rId10"/>
          <w:footerReference w:type="default" r:id="rId16"/>
          <w:footnotePr/>
          <w:endnotePr/>
          <w:type w:val="nextPage"/>
          <w:pgSz w:w="11906" w:h="16838" w:orient="portrait"/>
          <w:pgMar w:top="1497" w:right="1080" w:bottom="1440" w:left="1140" w:header="0" w:footer="992" w:gutter="0"/>
          <w:pgNumType w:start="1"/>
          <w:cols w:num="1" w:sep="0" w:space="1701" w:equalWidth="1"/>
          <w:docGrid w:linePitch="360"/>
        </w:sectPr>
      </w:pPr>
      <w:r>
        <w:rPr>
          <w:rFonts w:ascii="宋体" w:hAnsi="宋体"/>
          <w:color w:val="000000"/>
          <w:sz w:val="24"/>
          <w:highlight w:val="none"/>
          <w:lang w:val="en-US"/>
        </w:rPr>
      </w:r>
      <w:r/>
    </w:p>
    <w:p>
      <w:pPr>
        <w:pStyle w:val="885"/>
        <w:ind w:firstLine="643"/>
        <w:jc w:val="center"/>
        <w:spacing w:line="48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（十三）</w:t>
      </w:r>
      <w:r>
        <w:rPr>
          <w:rFonts w:hint="eastAsia" w:ascii="宋体" w:hAnsi="宋体" w:eastAsia="宋体" w:cs="宋体"/>
          <w:b/>
          <w:color w:val="000000"/>
          <w:sz w:val="32"/>
          <w:szCs w:val="32"/>
          <w:highlight w:val="none"/>
        </w:rPr>
        <w:t xml:space="preserve">清单报价表</w:t>
      </w:r>
      <w:r>
        <w:rPr>
          <w:rFonts w:hint="eastAsia" w:ascii="宋体" w:hAnsi="宋体" w:eastAsia="宋体" w:cs="宋体"/>
          <w:b/>
          <w:color w:val="000000"/>
          <w:sz w:val="32"/>
          <w:szCs w:val="32"/>
          <w:highlight w:val="none"/>
          <w:lang w:eastAsia="zh-CN"/>
        </w:rPr>
      </w:r>
      <w:r/>
    </w:p>
    <w:p>
      <w:pPr>
        <w:pStyle w:val="885"/>
        <w:ind w:firstLine="482"/>
        <w:jc w:val="left"/>
        <w:spacing w:line="480" w:lineRule="exact"/>
        <w:widowControl/>
        <w:rPr>
          <w:rFonts w:hint="eastAsia" w:ascii="宋体" w:hAnsi="宋体"/>
          <w:color w:val="000000"/>
          <w:sz w:val="24"/>
          <w:szCs w:val="22"/>
          <w:highlight w:val="none"/>
          <w:u w:val="single"/>
        </w:rPr>
      </w:pPr>
      <w:r>
        <w:rPr>
          <w:rFonts w:hint="eastAsia" w:hAnsi="宋体"/>
          <w:b/>
          <w:bCs/>
          <w:color w:val="000000"/>
          <w:sz w:val="24"/>
          <w:highlight w:val="none"/>
          <w:u w:val="single"/>
          <w:lang w:eastAsia="zh-CN"/>
        </w:rPr>
        <w:t xml:space="preserve">江苏省建湖高级中学</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885"/>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我单位愿意按照招标文件的要求和下面的报价提供所需产品及服务，并保证所供产品为原厂合格产品，提供服务为优质服务。                          单位： 人民币元</w:t>
      </w:r>
      <w:r>
        <w:rPr>
          <w:rFonts w:hint="eastAsia" w:ascii="宋体" w:hAnsi="宋体"/>
          <w:color w:val="000000"/>
          <w:sz w:val="24"/>
          <w:highlight w:val="none"/>
        </w:rPr>
      </w:r>
      <w:r/>
    </w:p>
    <w:tbl>
      <w:tblPr>
        <w:tblW w:w="10245"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
        <w:gridCol w:w="2341"/>
        <w:gridCol w:w="2694"/>
        <w:gridCol w:w="756"/>
        <w:gridCol w:w="750"/>
        <w:gridCol w:w="1046"/>
        <w:gridCol w:w="1046"/>
        <w:gridCol w:w="1126"/>
      </w:tblGrid>
      <w:tr>
        <w:trPr>
          <w:trHeight w:val="720"/>
        </w:trPr>
        <w:tc>
          <w:tcPr>
            <w:tcW w:w="486" w:type="dxa"/>
            <w:vAlign w:val="center"/>
            <w:textDirection w:val="lrTb"/>
            <w:noWrap/>
          </w:tcPr>
          <w:p>
            <w:pPr>
              <w:pStyle w:val="885"/>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名称</w:t>
            </w:r>
            <w:r>
              <w:rPr>
                <w:rFonts w:hint="eastAsia" w:ascii="宋体" w:hAnsi="宋体" w:eastAsia="宋体" w:cs="宋体"/>
                <w:b/>
                <w:bCs/>
                <w:i w:val="0"/>
                <w:iCs w:val="0"/>
                <w:color w:val="000000"/>
                <w:sz w:val="20"/>
                <w:szCs w:val="20"/>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技术参数</w:t>
            </w:r>
            <w:r>
              <w:rPr>
                <w:rFonts w:hint="eastAsia" w:ascii="宋体" w:hAnsi="宋体" w:eastAsia="宋体" w:cs="宋体"/>
                <w:b/>
                <w:bCs/>
                <w:i w:val="0"/>
                <w:iCs w:val="0"/>
                <w:color w:val="000000"/>
                <w:sz w:val="20"/>
                <w:szCs w:val="20"/>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b/>
                <w:bCs/>
                <w:i w:val="0"/>
                <w:iCs w:val="0"/>
                <w:color w:val="000000"/>
                <w:sz w:val="20"/>
                <w:szCs w:val="20"/>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lang w:val="en-US" w:eastAsia="zh-CN" w:bidi="ar-SA"/>
              </w:rPr>
            </w:r>
            <w:r/>
          </w:p>
        </w:tc>
        <w:tc>
          <w:tcPr>
            <w:tcW w:w="1046" w:type="dxa"/>
            <w:vAlign w:val="center"/>
            <w:textDirection w:val="lrTb"/>
            <w:noWrap w:val="false"/>
          </w:tcPr>
          <w:p>
            <w:pPr>
              <w:pStyle w:val="885"/>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单价（元）</w:t>
            </w:r>
            <w:r>
              <w:rPr>
                <w:rFonts w:hint="eastAsia" w:ascii="宋体" w:hAnsi="宋体" w:eastAsia="宋体" w:cs="宋体"/>
                <w:b/>
                <w:bCs/>
                <w:i w:val="0"/>
                <w:iCs w:val="0"/>
                <w:color w:val="000000"/>
                <w:sz w:val="21"/>
                <w:szCs w:val="21"/>
                <w:u w:val="none"/>
                <w:lang w:val="en-US" w:eastAsia="zh-CN" w:bidi="ar-SA"/>
              </w:rPr>
            </w:r>
            <w:r/>
          </w:p>
        </w:tc>
        <w:tc>
          <w:tcPr>
            <w:tcW w:w="1046" w:type="dxa"/>
            <w:vAlign w:val="center"/>
            <w:textDirection w:val="lrTb"/>
            <w:noWrap w:val="false"/>
          </w:tcPr>
          <w:p>
            <w:pPr>
              <w:pStyle w:val="885"/>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合价（元）</w:t>
            </w:r>
            <w:r>
              <w:rPr>
                <w:rFonts w:hint="eastAsia" w:ascii="宋体" w:hAnsi="宋体" w:eastAsia="宋体" w:cs="宋体"/>
                <w:b/>
                <w:bCs/>
                <w:i w:val="0"/>
                <w:iCs w:val="0"/>
                <w:color w:val="000000"/>
                <w:sz w:val="21"/>
                <w:szCs w:val="21"/>
                <w:u w:val="none"/>
                <w:lang w:val="en-US" w:eastAsia="zh-CN" w:bidi="ar-SA"/>
              </w:rPr>
            </w:r>
            <w:r/>
          </w:p>
        </w:tc>
        <w:tc>
          <w:tcPr>
            <w:tcW w:w="1126" w:type="dxa"/>
            <w:vAlign w:val="center"/>
            <w:textDirection w:val="lrTb"/>
            <w:noWrap w:val="false"/>
          </w:tcPr>
          <w:p>
            <w:pPr>
              <w:pStyle w:val="885"/>
              <w:jc w:val="center"/>
              <w:keepLines w:val="0"/>
              <w:keepNext w:val="0"/>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选用品牌</w:t>
            </w:r>
            <w:r>
              <w:rPr>
                <w:rFonts w:hint="eastAsia" w:ascii="宋体" w:hAnsi="宋体" w:eastAsia="宋体" w:cs="宋体"/>
                <w:b/>
                <w:bCs/>
                <w:i w:val="0"/>
                <w:iCs w:val="0"/>
                <w:color w:val="000000"/>
                <w:sz w:val="20"/>
                <w:szCs w:val="20"/>
                <w:u w:val="none"/>
                <w:lang w:val="en-US" w:eastAsia="zh-CN" w:bidi="ar"/>
              </w:rPr>
              <w:br w:type="textWrapping" w:clear="all"/>
            </w:r>
            <w:r>
              <w:rPr>
                <w:rFonts w:hint="eastAsia" w:ascii="宋体" w:hAnsi="宋体" w:eastAsia="宋体" w:cs="宋体"/>
                <w:b/>
                <w:bCs/>
                <w:i w:val="0"/>
                <w:iCs w:val="0"/>
                <w:color w:val="000000"/>
                <w:sz w:val="20"/>
                <w:szCs w:val="20"/>
                <w:u w:val="none"/>
                <w:lang w:val="en-US" w:eastAsia="zh-CN" w:bidi="ar"/>
              </w:rPr>
              <w:t xml:space="preserve">及型号</w:t>
            </w:r>
            <w:r>
              <w:rPr>
                <w:rFonts w:hint="eastAsia" w:ascii="宋体" w:hAnsi="宋体" w:eastAsia="宋体" w:cs="宋体"/>
                <w:b/>
                <w:bCs/>
                <w:i w:val="0"/>
                <w:iCs w:val="0"/>
                <w:color w:val="000000"/>
                <w:sz w:val="20"/>
                <w:szCs w:val="20"/>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交互智能平板</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视频展台</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设备运维及教学教研管理平台</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领夹麦</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接收器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对</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扩声音箱</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对</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教师演示台</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三联水嘴</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移动智能水槽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（滴水架）</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防腐水槽</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教师椅</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台式单口紧急洗眼器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化学紧急喷淋</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化学废液回收桶</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物理教师智能电源主控台</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化学教师智能电源主控台</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生物教师电源主控台</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生物桌面光源装置</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学生实验桌</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功能柱</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化学学生智能安全实验电源</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生物学生安全实验电源</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升降学生实验凳</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144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物理操作台</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物理边台</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物理吊柜</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化学边台</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化学吊柜</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生物边台</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化学全钢款通风操作柜</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物理智能升降机构系统</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物理电源储藏模块装置</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物理顶部电源供应装置模块</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物理多功能电源模块</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物理高压电源模块</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组</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物理吊装安装支架</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化学可伸缩万向吸风罩</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化学室内通风系统</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96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化学室外通风系统</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化学离心式风机</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化学风机配件</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化学风机电源线</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化学风机控制变频器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化学通风系统安装调试</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理化生实验室设备安装调试</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理化生实验室电气布线</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289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理化生实验室给排水铺设</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328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理化生创新实验室学科文化</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间</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实验室地面找平层1</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225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实验室地面找平层2</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97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实验室卷材地面</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实验室块料墙面</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127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实验室吊顶天棚</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实验室抹灰面油漆</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250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实验室天棚喷刷涂料</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化学创新实验室隔断</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15.60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生物创新实验室隔断</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38.61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理化生实验室照明系统</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322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物理数据终端</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物理无线蓝牙多量程电压传感器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物理无线蓝牙多量程电流传感器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物理无线蓝牙多量程微电流传感器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物理无线蓝牙静电传感器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物理无线蓝牙交流电压传感器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物理无线蓝牙交流电流传感器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物理无线蓝牙光照度传感器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物理探究安培力实验器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物理探究影响交流电动势的因素（实验器）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物理测定液体的电阻率实验器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物理无线蓝牙三轴磁传感器（双量程）</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物理描绘二极管的伏安特性曲线实验板</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物理探究影响导体电阻的因素实验板</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物理探究电源内外电压关系实验板</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物理交流电的有效值实验板</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物理探究电容器电压与电量的关系实验板</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物理光电效应的定量研究实验板</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物理电学实验板</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物理双缝干涉实验仪（教师端）</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物理无线蓝牙力与加速度传感器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物理无线蓝牙微力传感器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物理无线蓝牙分体位移传感器（收发）</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物理无线彩屏一体位移（运动）传感器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物理无线蓝牙旋转运动传感器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物理无线光电门传感器（双门）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物理光电门扩展模块</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物理无线数智小车1</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物理无线数智小车2</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物理平抛运动数字实验仪</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物理力的合成与分解实验器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物理冲力研究实验器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物理向心力实验器（含转动平台）</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物理机械能守恒实验器I</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物理机械能守恒实验器II</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物理摩擦力演示器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物理光电门单摆实验装置</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物理探究弹力与形变量的关系实验器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物理无线蓝牙温度传感器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物理无线蓝牙快速温度传感器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物理无线蓝牙压强传感器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物理无线蓝牙相对压强传感器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物理玻意尔定律演示器（压缩气体做功）</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物理查理定律实验器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物理焦耳定律实验器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物理无线蓝牙声音传感器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物理实验室数据采集系统</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物理无线蓝牙适配器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物理USB充电站</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物理多功能学生电源</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物理无线蓝牙频率传感器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物理电学实验箱（学生端）</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化学旋转蒸发仪</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化学水浴锅</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化学电热鼓风干燥箱</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化学电导率仪</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化学实验箱</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箱</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化学电子天平</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化学综合制备仪器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化学加热板</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化学打孔器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化学多功能实验支架</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化学标准磨口组合仪</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化学自动滴定仪</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化学电热套</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化学药品粉碎机</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化学滴定台</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化学消化炉</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化学红外快速干燥器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化学超声波清洗机</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化学滴定与分析化学实验箱</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箱</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化学酸碱盐实验箱</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箱</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化学离子滴定计数实验装置</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化学酸碱反应热实验器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化学气液相密封实验器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化学磁力搅拌器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化学橡胶塞配件包</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化学多功能电极支架</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化学铁的吸氧腐蚀实验器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化学化学反应速率实验器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139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化学多量程电流传感器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化学无线智能宽量程氯离子传感器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化学硫化氢传感器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化学氧化还原传感器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化学二氧化硫传感器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化学充电坞</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化学手提式实验箱</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化学电导率传感器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生物相对湿度传感器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生物溶解二氧化碳传感器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生物土壤温湿度传感器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只</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生物3D实验室软件</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生物二氧化碳培养箱</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生物紫外分光光度计</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生物脱色摇床</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生物超净工作台</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生物全自动数显立式高压蒸汽灭菌器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生物PCR仪</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生物电泳仪</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生物水平电泳槽</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159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生物凝胶分析系统</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生物电热恒温培养箱</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生物振荡培养箱</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生物多参数水质分析仪（系统）</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生物水样检测药品</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生物智能光照培养架</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生物台式高速离心机</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生物数码显微镜</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生物数码体视显微镜</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生物磁力搅拌器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169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生物小型模拟生态缸</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生物组培试剂盒</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生物微生物实验试剂盒</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生物分子试剂盒</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生物解剖器具套装</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生物耗材包</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生物恒温水浴锅</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生化数据终端</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台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生化智能数字实验盘</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台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生化数字化实验系统</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套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179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生化pH传感器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生化温度传感器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生化无线智能电导率传感器（高分辨率）</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生化溶氧气氧一体传感器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生化二氧化碳传感器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生化绝对压强传感器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生化气体酒精传感器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生化通用接口</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生化分光光度计</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生化微量可调移液器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生化移液器架</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生化电子天平</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生化PH计</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生化无线智能色度计&amp;浊度计</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生化光纤光谱仪</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只 </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微波炉</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电磁炉</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冰箱</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学生编程终端</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110</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教师编程终端</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199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桌面控制器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114</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学生编程桌</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55</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座椅</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教师讲桌</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张</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24口交换机</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光模块</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网络机柜</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配线架</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理线器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网线</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4000</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电源线1</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900</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电源线2</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300</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米</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插座</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114</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蜡管</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114</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根</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工程辅材</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批</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信息教室系统集成服务</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信息技术教室学科文化</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室</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墙体拆除</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7.3</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m³</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开槽</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信息技术室地面找平层</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220.96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219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信息技术室卷材地面</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220.96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信息技术室抹灰面油漆</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186.25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信息技术室天棚喷刷涂料</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243.06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移动屏风隔墙</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同步显示器</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精品录播主机</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机械云台摄像机</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多目机械云台摄像机</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阵列麦克风</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控制面板</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229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AI课堂分析系统</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监听音箱</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对</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导播控制台</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导播控制台应用系统</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资源管理平台</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精品录播改造及系统集成服务</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LED 教室护眼灯</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 </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盏</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人形机器人</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编程机器人套件</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3D打印机</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239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3D扫描仪</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（含无线手柄）</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无尘台锯</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手持角磨机</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台钻</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手电钻</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电动螺丝刀套装</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小型电磨机</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编程型无人机资源包</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航模飞机</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架</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无线麦克风</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249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航拍无人机</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打印耗材1</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30</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卷</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251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打印耗材2</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卷</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252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打印耗材3</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卷</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253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人工智能室现场改造及系统集成服务</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254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常态化录播主机</w:t>
            </w:r>
            <w:r>
              <w:rPr>
                <w:rFonts w:hint="eastAsia" w:ascii="宋体" w:hAnsi="宋体" w:eastAsia="宋体" w:cs="宋体"/>
                <w:i w:val="0"/>
                <w:iCs w:val="0"/>
                <w:color w:val="000000"/>
                <w:sz w:val="20"/>
                <w:szCs w:val="20"/>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SA"/>
              </w:rPr>
            </w:r>
            <w:r/>
          </w:p>
        </w:tc>
        <w:tc>
          <w:tcPr>
            <w:tcW w:w="75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台</w:t>
            </w:r>
            <w:r>
              <w:rPr>
                <w:rFonts w:hint="eastAsia" w:ascii="宋体" w:hAnsi="宋体" w:eastAsia="宋体" w:cs="宋体"/>
                <w:i w:val="0"/>
                <w:iCs w:val="0"/>
                <w:color w:val="000000"/>
                <w:sz w:val="20"/>
                <w:szCs w:val="20"/>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255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教师摄像机</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256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学生摄像机</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257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全向麦克风</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258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AI备课平台</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套</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val="false"/>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259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AI音箱</w:t>
            </w:r>
            <w:r>
              <w:rPr>
                <w:rFonts w:hint="eastAsia" w:ascii="宋体" w:hAnsi="宋体" w:eastAsia="宋体" w:cs="宋体"/>
                <w:i w:val="0"/>
                <w:iCs w:val="0"/>
                <w:color w:val="000000"/>
                <w:sz w:val="20"/>
                <w:szCs w:val="20"/>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SA"/>
              </w:rPr>
            </w:r>
            <w:r/>
          </w:p>
        </w:tc>
        <w:tc>
          <w:tcPr>
            <w:tcW w:w="750"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对</w:t>
            </w:r>
            <w:r>
              <w:rPr>
                <w:rFonts w:hint="eastAsia" w:ascii="宋体" w:hAnsi="宋体" w:eastAsia="宋体" w:cs="宋体"/>
                <w:i w:val="0"/>
                <w:iCs w:val="0"/>
                <w:color w:val="000000"/>
                <w:sz w:val="20"/>
                <w:szCs w:val="20"/>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r>
      <w:tr>
        <w:trPr>
          <w:trHeight w:val="460"/>
        </w:trPr>
        <w:tc>
          <w:tcPr>
            <w:tcW w:w="48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260 </w:t>
            </w:r>
            <w:r>
              <w:rPr>
                <w:rFonts w:hint="eastAsia" w:ascii="宋体" w:hAnsi="宋体" w:eastAsia="宋体" w:cs="宋体"/>
                <w:i w:val="0"/>
                <w:iCs w:val="0"/>
                <w:color w:val="000000"/>
                <w:sz w:val="18"/>
                <w:szCs w:val="18"/>
                <w:u w:val="none"/>
                <w:lang w:val="en-US" w:eastAsia="zh-CN" w:bidi="ar-SA"/>
              </w:rPr>
            </w:r>
            <w:r/>
          </w:p>
        </w:tc>
        <w:tc>
          <w:tcPr>
            <w:tcW w:w="2341"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常态化录播系统集成服务</w:t>
            </w:r>
            <w:r>
              <w:rPr>
                <w:rFonts w:hint="eastAsia" w:ascii="宋体" w:hAnsi="宋体" w:eastAsia="宋体" w:cs="宋体"/>
                <w:i w:val="0"/>
                <w:iCs w:val="0"/>
                <w:color w:val="000000"/>
                <w:sz w:val="18"/>
                <w:szCs w:val="18"/>
                <w:u w:val="none"/>
                <w:lang w:val="en-US" w:eastAsia="zh-CN" w:bidi="ar-SA"/>
              </w:rPr>
            </w:r>
            <w:r/>
          </w:p>
        </w:tc>
        <w:tc>
          <w:tcPr>
            <w:tcW w:w="2694"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详见技术参数要求及相关说明</w:t>
            </w:r>
            <w:r>
              <w:rPr>
                <w:rFonts w:hint="eastAsia" w:ascii="宋体" w:hAnsi="宋体" w:eastAsia="宋体" w:cs="宋体"/>
                <w:i w:val="0"/>
                <w:iCs w:val="0"/>
                <w:color w:val="000000"/>
                <w:sz w:val="18"/>
                <w:szCs w:val="18"/>
                <w:u w:val="none"/>
                <w:lang w:val="en-US" w:eastAsia="zh-CN" w:bidi="ar-SA"/>
              </w:rPr>
            </w:r>
            <w:r/>
          </w:p>
        </w:tc>
        <w:tc>
          <w:tcPr>
            <w:tcW w:w="756"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lang w:val="en-US" w:eastAsia="zh-CN" w:bidi="ar-SA"/>
              </w:rPr>
            </w:r>
            <w:r/>
          </w:p>
        </w:tc>
        <w:tc>
          <w:tcPr>
            <w:tcW w:w="750" w:type="dxa"/>
            <w:vAlign w:val="center"/>
            <w:textDirection w:val="lrTb"/>
            <w:noWrap/>
          </w:tcPr>
          <w:p>
            <w:pPr>
              <w:pStyle w:val="885"/>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04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W w:w="1126" w:type="dxa"/>
            <w:vAlign w:val="center"/>
            <w:textDirection w:val="lrTb"/>
            <w:noWrap/>
          </w:tcPr>
          <w:p>
            <w:pPr>
              <w:pStyle w:val="885"/>
              <w:jc w:val="center"/>
              <w:widowControl w:val="off"/>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60"/>
        </w:trPr>
        <w:tc>
          <w:tcPr>
            <w:gridSpan w:val="2"/>
            <w:tcW w:w="2827" w:type="dxa"/>
            <w:vAlign w:val="center"/>
            <w:textDirection w:val="lrTb"/>
            <w:noWrap w:val="false"/>
          </w:tcPr>
          <w:p>
            <w:pPr>
              <w:pStyle w:val="885"/>
              <w:jc w:val="center"/>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1-260项合价</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（与开标一览表一致）</w:t>
            </w:r>
            <w:r>
              <w:rPr>
                <w:rFonts w:hint="eastAsia" w:ascii="宋体" w:hAnsi="宋体" w:eastAsia="宋体" w:cs="宋体"/>
                <w:i w:val="0"/>
                <w:iCs w:val="0"/>
                <w:color w:val="000000"/>
                <w:sz w:val="20"/>
                <w:szCs w:val="20"/>
                <w:u w:val="none"/>
                <w:lang w:val="en-US" w:eastAsia="zh-CN" w:bidi="ar-SA"/>
              </w:rPr>
            </w:r>
            <w:r/>
          </w:p>
        </w:tc>
        <w:tc>
          <w:tcPr>
            <w:gridSpan w:val="6"/>
            <w:tcW w:w="7418" w:type="dxa"/>
            <w:vAlign w:val="center"/>
            <w:textDirection w:val="lrTb"/>
            <w:noWrap w:val="false"/>
          </w:tcPr>
          <w:p>
            <w:pPr>
              <w:pStyle w:val="885"/>
              <w:jc w:val="left"/>
              <w:keepLines w:val="0"/>
              <w:keepNext w:val="0"/>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（大写）</w:t>
            </w:r>
            <w:r>
              <w:rPr>
                <w:rStyle w:val="1144"/>
                <w:rFonts w:ascii="宋体" w:hAnsi="宋体" w:eastAsia="宋体" w:cs="宋体"/>
                <w:i w:val="0"/>
                <w:iCs w:val="0"/>
                <w:color w:val="000000"/>
                <w:sz w:val="20"/>
                <w:szCs w:val="20"/>
                <w:u w:val="single"/>
                <w:lang w:val="en-US" w:eastAsia="zh-CN" w:bidi="ar"/>
              </w:rPr>
              <w:t xml:space="preserve">                           </w:t>
            </w:r>
            <w:r>
              <w:rPr>
                <w:rStyle w:val="1145"/>
                <w:rFonts w:ascii="宋体" w:hAnsi="宋体" w:eastAsia="宋体" w:cs="宋体"/>
                <w:i w:val="0"/>
                <w:iCs w:val="0"/>
                <w:color w:val="000000"/>
                <w:sz w:val="20"/>
                <w:szCs w:val="20"/>
                <w:u w:val="none"/>
                <w:lang w:val="en-US" w:eastAsia="zh-CN" w:bidi="ar"/>
              </w:rPr>
              <w:t xml:space="preserve">                                 </w:t>
            </w:r>
            <w:r>
              <w:rPr>
                <w:rStyle w:val="1145"/>
                <w:rFonts w:ascii="宋体" w:hAnsi="宋体" w:eastAsia="宋体" w:cs="宋体"/>
                <w:i w:val="0"/>
                <w:iCs w:val="0"/>
                <w:color w:val="000000"/>
                <w:sz w:val="20"/>
                <w:szCs w:val="20"/>
                <w:u w:val="none"/>
                <w:lang w:val="en-US" w:eastAsia="zh-CN" w:bidi="ar"/>
              </w:rPr>
              <w:br w:type="textWrapping" w:clear="all"/>
            </w:r>
            <w:r>
              <w:rPr>
                <w:rStyle w:val="1145"/>
                <w:rFonts w:ascii="宋体" w:hAnsi="宋体" w:eastAsia="宋体" w:cs="宋体"/>
                <w:i w:val="0"/>
                <w:iCs w:val="0"/>
                <w:color w:val="000000"/>
                <w:sz w:val="20"/>
                <w:szCs w:val="20"/>
                <w:u w:val="none"/>
                <w:lang w:val="en-US" w:eastAsia="zh-CN" w:bidi="ar"/>
              </w:rPr>
              <w:t xml:space="preserve">（小写）</w:t>
            </w:r>
            <w:r>
              <w:rPr>
                <w:rStyle w:val="1144"/>
                <w:rFonts w:ascii="宋体" w:hAnsi="宋体" w:eastAsia="宋体" w:cs="宋体"/>
                <w:i w:val="0"/>
                <w:iCs w:val="0"/>
                <w:color w:val="000000"/>
                <w:sz w:val="20"/>
                <w:szCs w:val="20"/>
                <w:u w:val="single"/>
                <w:lang w:val="en-US" w:eastAsia="zh-CN" w:bidi="ar"/>
              </w:rPr>
              <w:t xml:space="preserve">                           </w:t>
            </w:r>
            <w:r>
              <w:rPr>
                <w:rFonts w:hint="eastAsia" w:ascii="宋体" w:hAnsi="宋体" w:eastAsia="宋体" w:cs="宋体"/>
                <w:i w:val="0"/>
                <w:iCs w:val="0"/>
                <w:color w:val="000000"/>
                <w:sz w:val="20"/>
                <w:szCs w:val="20"/>
                <w:u w:val="none"/>
                <w:lang w:val="en-US" w:eastAsia="zh-CN" w:bidi="ar-SA"/>
              </w:rPr>
            </w:r>
            <w:r/>
          </w:p>
        </w:tc>
      </w:tr>
    </w:tbl>
    <w:p>
      <w:pPr>
        <w:pStyle w:val="1138"/>
        <w:ind w:firstLine="480"/>
        <w:spacing w:before="0" w:after="0" w:line="460" w:lineRule="exact"/>
        <w:rPr>
          <w:rFonts w:hint="eastAsia" w:hAnsi="宋体"/>
          <w:color w:val="000000"/>
          <w:highlight w:val="none"/>
        </w:rPr>
      </w:pPr>
      <w:r>
        <w:rPr>
          <w:rFonts w:hint="eastAsia"/>
          <w:color w:val="000000"/>
          <w:highlight w:val="none"/>
        </w:rPr>
        <w:t xml:space="preserve">注：</w:t>
      </w:r>
      <w:r>
        <w:rPr>
          <w:rFonts w:hint="eastAsia" w:hAnsi="宋体"/>
          <w:color w:val="000000"/>
          <w:highlight w:val="none"/>
        </w:rPr>
        <w:t xml:space="preserve">1.</w:t>
      </w:r>
      <w:r>
        <w:rPr>
          <w:rFonts w:hAnsi="宋体"/>
          <w:color w:val="000000"/>
          <w:highlight w:val="none"/>
        </w:rPr>
        <w:t xml:space="preserve"> </w:t>
      </w:r>
      <w:r>
        <w:rPr>
          <w:rFonts w:hint="eastAsia" w:hAnsi="宋体"/>
          <w:color w:val="000000"/>
          <w:highlight w:val="none"/>
        </w:rPr>
        <w:t xml:space="preserve">投标报价应是招标范围内全部工作内容的价格体现，报价明细表中的报价应包括全部工作内容的价格体现，以及为完成上述内容所必须的人工费、材料费、不可预见的费用、管理费、利润、税金和文件规定的其他各项应有的全部费用（综合报价）。对投标人认为没有考虑到的费用项目采购人将不予支付，并认为此项费用已包含在投标报价中。</w:t>
      </w:r>
      <w:r>
        <w:rPr>
          <w:rFonts w:hint="eastAsia" w:hAnsi="宋体"/>
          <w:color w:val="000000"/>
          <w:highlight w:val="none"/>
        </w:rPr>
      </w:r>
      <w:r/>
    </w:p>
    <w:p>
      <w:pPr>
        <w:pStyle w:val="1138"/>
        <w:numPr>
          <w:ilvl w:val="0"/>
          <w:numId w:val="0"/>
        </w:numPr>
        <w:ind w:left="0" w:firstLine="482"/>
        <w:spacing w:before="0" w:after="0" w:line="460" w:lineRule="exact"/>
        <w:rPr>
          <w:rFonts w:hint="eastAsia" w:ascii="宋体" w:hAnsi="宋体" w:cs="宋体"/>
          <w:b/>
          <w:bCs w:val="0"/>
          <w:color w:val="000000"/>
          <w:sz w:val="24"/>
          <w:highlight w:val="none"/>
          <w:lang w:val="en-US" w:eastAsia="zh-CN"/>
        </w:rPr>
      </w:pPr>
      <w:r>
        <w:rPr>
          <w:rFonts w:hint="eastAsia" w:ascii="宋体" w:hAnsi="宋体" w:eastAsia="宋体" w:cs="宋体"/>
          <w:b/>
          <w:bCs w:val="0"/>
          <w:color w:val="000000"/>
          <w:sz w:val="24"/>
          <w:szCs w:val="24"/>
          <w:lang w:val="en-US" w:eastAsia="zh-CN" w:bidi="ar-SA"/>
        </w:rPr>
        <w:t xml:space="preserve">2.</w:t>
      </w:r>
      <w:r>
        <w:rPr>
          <w:rFonts w:hint="eastAsia" w:ascii="宋体" w:hAnsi="宋体" w:cs="宋体"/>
          <w:b/>
          <w:bCs w:val="0"/>
          <w:color w:val="000000"/>
          <w:sz w:val="24"/>
          <w:highlight w:val="none"/>
          <w:lang w:val="en-US" w:eastAsia="zh-CN"/>
        </w:rPr>
        <w:t xml:space="preserve">本</w:t>
      </w:r>
      <w:r>
        <w:rPr>
          <w:rFonts w:hint="eastAsia" w:hAnsi="宋体" w:cs="宋体"/>
          <w:b/>
          <w:bCs w:val="0"/>
          <w:color w:val="000000"/>
          <w:sz w:val="24"/>
          <w:highlight w:val="none"/>
          <w:lang w:val="en-US" w:eastAsia="zh-CN"/>
        </w:rPr>
        <w:t xml:space="preserve">项目最高限价为300万元</w:t>
      </w:r>
      <w:r>
        <w:rPr>
          <w:rFonts w:hint="eastAsia" w:ascii="宋体" w:hAnsi="宋体" w:cs="宋体"/>
          <w:b/>
          <w:bCs w:val="0"/>
          <w:color w:val="000000"/>
          <w:sz w:val="24"/>
          <w:highlight w:val="none"/>
          <w:lang w:val="en-US" w:eastAsia="zh-CN"/>
        </w:rPr>
        <w:t xml:space="preserve">，投标单位报价高于</w:t>
      </w:r>
      <w:r>
        <w:rPr>
          <w:rFonts w:hint="eastAsia" w:hAnsi="宋体" w:cs="宋体"/>
          <w:b/>
          <w:bCs w:val="0"/>
          <w:color w:val="000000"/>
          <w:sz w:val="24"/>
          <w:highlight w:val="none"/>
          <w:lang w:val="en-US" w:eastAsia="zh-CN"/>
        </w:rPr>
        <w:t xml:space="preserve">最高限价</w:t>
      </w:r>
      <w:r>
        <w:rPr>
          <w:rFonts w:hint="eastAsia" w:ascii="宋体" w:hAnsi="宋体" w:cs="宋体"/>
          <w:b/>
          <w:bCs w:val="0"/>
          <w:color w:val="000000"/>
          <w:sz w:val="24"/>
          <w:highlight w:val="none"/>
          <w:lang w:val="en-US" w:eastAsia="zh-CN"/>
        </w:rPr>
        <w:t xml:space="preserve">的作无效标处理</w:t>
      </w:r>
      <w:r>
        <w:rPr>
          <w:rFonts w:hint="eastAsia" w:ascii="宋体" w:hAnsi="宋体" w:cs="宋体"/>
          <w:b/>
          <w:bCs w:val="0"/>
          <w:color w:val="000000"/>
          <w:sz w:val="24"/>
          <w:highlight w:val="none"/>
          <w:lang w:val="en-US" w:eastAsia="zh-CN"/>
        </w:rPr>
      </w:r>
      <w:r/>
    </w:p>
    <w:p>
      <w:pPr>
        <w:pStyle w:val="1138"/>
        <w:numPr>
          <w:ilvl w:val="0"/>
          <w:numId w:val="0"/>
        </w:numPr>
        <w:ind w:left="0" w:firstLine="482"/>
        <w:spacing w:before="0" w:after="0" w:line="460" w:lineRule="exact"/>
        <w:rPr>
          <w:rFonts w:hint="eastAsia" w:ascii="宋体" w:hAnsi="宋体" w:cs="宋体"/>
          <w:b/>
          <w:bCs w:val="0"/>
          <w:color w:val="000000"/>
          <w:sz w:val="24"/>
          <w:highlight w:val="none"/>
          <w:lang w:val="en-US" w:eastAsia="zh-CN"/>
        </w:rPr>
      </w:pPr>
      <w:r>
        <w:rPr>
          <w:rFonts w:hint="eastAsia" w:ascii="宋体" w:hAnsi="宋体" w:eastAsia="宋体" w:cs="宋体"/>
          <w:b/>
          <w:bCs w:val="0"/>
          <w:color w:val="000000"/>
          <w:sz w:val="24"/>
          <w:szCs w:val="24"/>
          <w:lang w:val="en-US" w:eastAsia="zh-CN" w:bidi="ar-SA"/>
        </w:rPr>
        <w:t xml:space="preserve">3.</w:t>
      </w:r>
      <w:r>
        <w:rPr>
          <w:rFonts w:hint="eastAsia" w:ascii="宋体" w:hAnsi="宋体"/>
          <w:sz w:val="24"/>
          <w:lang w:val="zh-CN"/>
        </w:rPr>
        <w:t xml:space="preserve">投标单位投标时须在报价明细表中注明投标选用品牌，本项目核心产品为</w:t>
      </w:r>
      <w:r>
        <w:rPr>
          <w:rFonts w:hint="eastAsia" w:hAnsi="宋体"/>
          <w:sz w:val="24"/>
          <w:lang w:val="zh-CN"/>
        </w:rPr>
        <w:t xml:space="preserve">“</w:t>
      </w:r>
      <w:r>
        <w:rPr>
          <w:rFonts w:hint="eastAsia" w:ascii="宋体" w:hAnsi="宋体" w:cs="宋体"/>
          <w:b/>
          <w:bCs/>
          <w:color w:val="000000"/>
          <w:szCs w:val="21"/>
        </w:rPr>
        <w:t xml:space="preserve">★</w:t>
      </w:r>
      <w:r>
        <w:rPr>
          <w:rFonts w:hint="eastAsia" w:ascii="宋体" w:hAnsi="宋体" w:eastAsia="宋体" w:cs="Segoe UI"/>
          <w:color w:val="000000"/>
          <w:sz w:val="24"/>
          <w:highlight w:val="none"/>
          <w:lang w:val="en-US" w:eastAsia="zh-CN"/>
        </w:rPr>
        <w:t xml:space="preserve">学生编程终端</w:t>
      </w:r>
      <w:r>
        <w:rPr>
          <w:rFonts w:hint="eastAsia" w:hAnsi="宋体"/>
          <w:sz w:val="24"/>
          <w:lang w:val="zh-CN"/>
        </w:rPr>
        <w:t xml:space="preserve">”。</w:t>
      </w:r>
      <w:r>
        <w:rPr>
          <w:rFonts w:hint="eastAsia" w:ascii="宋体" w:hAnsi="宋体" w:cs="宋体"/>
          <w:b/>
          <w:bCs w:val="0"/>
          <w:color w:val="000000"/>
          <w:sz w:val="24"/>
          <w:highlight w:val="none"/>
          <w:lang w:val="en-US" w:eastAsia="zh-CN"/>
        </w:rPr>
      </w:r>
      <w:r/>
    </w:p>
    <w:p>
      <w:pPr>
        <w:pStyle w:val="885"/>
        <w:ind w:firstLine="482"/>
        <w:spacing w:line="440" w:lineRule="exact"/>
        <w:rPr>
          <w:rFonts w:hint="eastAsia" w:ascii="宋体" w:hAnsi="宋体" w:cs="宋体"/>
          <w:color w:val="000000"/>
          <w:spacing w:val="-2"/>
          <w:sz w:val="24"/>
          <w:highlight w:val="none"/>
        </w:rPr>
      </w:pPr>
      <w:r>
        <w:rPr>
          <w:rFonts w:hint="eastAsia" w:ascii="宋体" w:hAnsi="宋体" w:eastAsia="宋体" w:cs="宋体"/>
          <w:b/>
          <w:bCs w:val="0"/>
          <w:color w:val="000000"/>
          <w:sz w:val="24"/>
          <w:szCs w:val="24"/>
          <w:lang w:val="en-US" w:eastAsia="zh-CN" w:bidi="ar-SA"/>
        </w:rPr>
        <w:t xml:space="preserve">4.</w:t>
      </w:r>
      <w:r>
        <w:rPr>
          <w:rFonts w:hint="eastAsia" w:ascii="宋体" w:hAnsi="宋体" w:cs="宋体"/>
          <w:color w:val="000000"/>
          <w:spacing w:val="-2"/>
          <w:sz w:val="24"/>
          <w:highlight w:val="none"/>
        </w:rPr>
        <w:t xml:space="preserve">各投标人必须使用本报价表且须逐格填写，除规定法定代表人或委托代理人签字处手写外，其余内容均要采用电脑打印。</w:t>
      </w:r>
      <w:r>
        <w:rPr>
          <w:rFonts w:hint="eastAsia" w:ascii="宋体" w:hAnsi="宋体" w:cs="宋体"/>
          <w:color w:val="000000"/>
          <w:spacing w:val="-2"/>
          <w:sz w:val="24"/>
          <w:highlight w:val="none"/>
        </w:rPr>
      </w:r>
      <w:r/>
    </w:p>
    <w:p>
      <w:pPr>
        <w:pStyle w:val="885"/>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885"/>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885"/>
        <w:ind w:firstLine="48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885"/>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ascii="宋体" w:hAnsi="宋体"/>
          <w:color w:val="000000"/>
          <w:sz w:val="24"/>
          <w:highlight w:val="none"/>
        </w:rPr>
      </w:r>
      <w:r/>
    </w:p>
    <w:p>
      <w:pPr>
        <w:pStyle w:val="885"/>
        <w:ind w:firstLine="480"/>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color w:val="000000"/>
          <w:sz w:val="24"/>
          <w:highlight w:val="none"/>
        </w:rPr>
        <w:t xml:space="preserve">法定代表人或委托代理人</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885"/>
        <w:jc w:val="right"/>
        <w:spacing w:line="400" w:lineRule="exact"/>
        <w:rPr>
          <w:rFonts w:ascii="宋体" w:hAnsi="宋体"/>
          <w:color w:val="000000"/>
          <w:sz w:val="24"/>
          <w:highlight w:val="none"/>
        </w:rPr>
      </w:pPr>
      <w:r>
        <w:rPr>
          <w:rFonts w:ascii="宋体" w:hAnsi="宋体"/>
          <w:color w:val="000000"/>
          <w:sz w:val="24"/>
          <w:highlight w:val="none"/>
        </w:rPr>
      </w:r>
      <w:r/>
    </w:p>
    <w:p>
      <w:pPr>
        <w:pStyle w:val="885"/>
        <w:ind w:firstLine="480"/>
        <w:jc w:val="right"/>
        <w:spacing w:line="400" w:lineRule="exact"/>
        <w:rPr>
          <w:rFonts w:hint="eastAsia"/>
          <w:color w:val="000000"/>
          <w:highlight w:val="none"/>
          <w:lang w:eastAsia="zh-CN"/>
        </w:rPr>
        <w:sectPr>
          <w:headerReference w:type="default" r:id="rId11"/>
          <w:footerReference w:type="default" r:id="rId17"/>
          <w:footnotePr/>
          <w:endnotePr/>
          <w:type w:val="nextPage"/>
          <w:pgSz w:w="11906" w:h="16838" w:orient="portrait"/>
          <w:pgMar w:top="1440" w:right="1080" w:bottom="1440" w:left="1080" w:header="0" w:footer="992" w:gutter="0"/>
          <w:pgNumType w:start="45"/>
          <w:cols w:num="1" w:sep="0" w:space="1701" w:equalWidth="1"/>
          <w:docGrid w:linePitch="360"/>
        </w:sectPr>
      </w:pPr>
      <w:r>
        <w:rPr>
          <w:rFonts w:ascii="宋体" w:hAnsi="宋体"/>
          <w:color w:val="000000"/>
          <w:sz w:val="24"/>
          <w:highlight w:val="none"/>
        </w:rPr>
        <w:t xml:space="preserve">________年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日</w:t>
      </w:r>
      <w:r>
        <w:rPr>
          <w:rFonts w:hint="eastAsia"/>
          <w:color w:val="000000"/>
          <w:highlight w:val="none"/>
          <w:lang w:eastAsia="zh-CN"/>
        </w:rPr>
      </w:r>
      <w:r/>
    </w:p>
    <w:p>
      <w:pPr>
        <w:pStyle w:val="885"/>
        <w:ind w:firstLine="723"/>
        <w:jc w:val="both"/>
        <w:spacing w:line="480" w:lineRule="exact"/>
        <w:rPr>
          <w:rFonts w:hint="eastAsia" w:ascii="宋体" w:hAnsi="宋体" w:eastAsia="宋体" w:cs="宋体"/>
          <w:b/>
          <w:color w:val="000000"/>
          <w:sz w:val="36"/>
          <w:szCs w:val="36"/>
          <w:highlight w:val="none"/>
          <w:lang w:eastAsia="zh-CN"/>
        </w:rPr>
      </w:pPr>
      <w:r>
        <w:rPr>
          <w:rFonts w:hint="eastAsia" w:ascii="黑体" w:eastAsia="黑体"/>
          <w:b/>
          <w:color w:val="000000"/>
          <w:sz w:val="36"/>
          <w:highlight w:val="none"/>
          <w:lang w:val="en-US" w:eastAsia="zh-CN"/>
        </w:rPr>
        <w:t xml:space="preserve">                </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十四</w:t>
      </w:r>
      <w:r>
        <w:rPr>
          <w:rFonts w:hint="eastAsia" w:ascii="宋体" w:hAnsi="宋体" w:eastAsia="宋体" w:cs="宋体"/>
          <w:b/>
          <w:color w:val="000000"/>
          <w:sz w:val="36"/>
          <w:szCs w:val="36"/>
          <w:highlight w:val="none"/>
          <w:lang w:eastAsia="zh-CN"/>
        </w:rPr>
        <w:t xml:space="preserve">）售后</w:t>
      </w:r>
      <w:r>
        <w:rPr>
          <w:rFonts w:hint="eastAsia" w:ascii="宋体" w:hAnsi="宋体" w:eastAsia="宋体" w:cs="宋体"/>
          <w:b/>
          <w:color w:val="000000"/>
          <w:sz w:val="36"/>
          <w:szCs w:val="36"/>
          <w:highlight w:val="none"/>
        </w:rPr>
        <w:t xml:space="preserve">服务承诺函</w:t>
      </w:r>
      <w:r>
        <w:rPr>
          <w:rFonts w:hint="eastAsia" w:ascii="宋体" w:hAnsi="宋体" w:eastAsia="宋体" w:cs="宋体"/>
          <w:b/>
          <w:color w:val="000000"/>
          <w:sz w:val="36"/>
          <w:szCs w:val="36"/>
          <w:highlight w:val="none"/>
          <w:lang w:eastAsia="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7421"/>
      </w:tblGrid>
      <w:tr>
        <w:trPr>
          <w:trHeight w:val="5022"/>
        </w:trPr>
        <w:tc>
          <w:tcPr>
            <w:tcW w:w="2405" w:type="dxa"/>
            <w:vAlign w:val="center"/>
            <w:textDirection w:val="lrTb"/>
            <w:noWrap w:val="false"/>
          </w:tcPr>
          <w:p>
            <w:pPr>
              <w:pStyle w:val="885"/>
              <w:ind w:firstLine="480"/>
              <w:jc w:val="center"/>
              <w:spacing w:line="480" w:lineRule="exact"/>
              <w:widowControl w:val="off"/>
              <w:tabs>
                <w:tab w:val="left" w:pos="0" w:leader="none"/>
              </w:tabs>
              <w:rPr>
                <w:rFonts w:hint="eastAsia" w:ascii="宋体" w:hAnsi="宋体" w:eastAsia="宋体"/>
                <w:color w:val="000000"/>
                <w:sz w:val="24"/>
                <w:highlight w:val="none"/>
                <w:lang w:val="en-US" w:eastAsia="zh-CN" w:bidi="ar-SA"/>
              </w:rPr>
            </w:pPr>
            <w:r>
              <w:rPr>
                <w:rFonts w:hint="eastAsia" w:ascii="宋体" w:hAnsi="宋体" w:eastAsia="宋体"/>
                <w:color w:val="000000"/>
                <w:sz w:val="24"/>
                <w:highlight w:val="none"/>
                <w:lang w:val="en-US" w:eastAsia="zh-CN" w:bidi="ar-SA"/>
              </w:rPr>
              <w:t xml:space="preserve">售      后</w:t>
            </w:r>
            <w:r>
              <w:rPr>
                <w:rFonts w:hint="eastAsia" w:ascii="宋体" w:hAnsi="宋体" w:eastAsia="宋体"/>
                <w:color w:val="000000"/>
                <w:sz w:val="24"/>
                <w:highlight w:val="none"/>
                <w:lang w:val="en-US" w:eastAsia="zh-CN" w:bidi="ar-SA"/>
              </w:rPr>
            </w:r>
            <w:r/>
          </w:p>
          <w:p>
            <w:pPr>
              <w:pStyle w:val="885"/>
              <w:ind w:firstLine="480"/>
              <w:jc w:val="center"/>
              <w:spacing w:line="480" w:lineRule="exact"/>
              <w:widowControl w:val="off"/>
              <w:tabs>
                <w:tab w:val="left" w:pos="0" w:leader="none"/>
              </w:tabs>
              <w:rPr>
                <w:rFonts w:hint="eastAsia" w:ascii="宋体" w:hAnsi="宋体" w:eastAsia="宋体"/>
                <w:color w:val="000000"/>
                <w:sz w:val="24"/>
                <w:highlight w:val="none"/>
                <w:lang w:val="en-US" w:eastAsia="zh-CN" w:bidi="ar-SA"/>
              </w:rPr>
            </w:pPr>
            <w:r>
              <w:rPr>
                <w:rFonts w:hint="eastAsia" w:ascii="宋体" w:hAnsi="宋体" w:eastAsia="宋体"/>
                <w:color w:val="000000"/>
                <w:sz w:val="24"/>
                <w:highlight w:val="none"/>
                <w:lang w:val="en-US" w:eastAsia="zh-CN" w:bidi="ar-SA"/>
              </w:rPr>
              <w:t xml:space="preserve">服      务</w:t>
            </w:r>
            <w:r>
              <w:rPr>
                <w:rFonts w:hint="eastAsia" w:ascii="宋体" w:hAnsi="宋体" w:eastAsia="宋体"/>
                <w:color w:val="000000"/>
                <w:sz w:val="24"/>
                <w:highlight w:val="none"/>
                <w:lang w:val="en-US" w:eastAsia="zh-CN" w:bidi="ar-SA"/>
              </w:rPr>
            </w:r>
            <w:r/>
          </w:p>
          <w:p>
            <w:pPr>
              <w:pStyle w:val="885"/>
              <w:ind w:firstLine="480"/>
              <w:jc w:val="center"/>
              <w:spacing w:line="480" w:lineRule="exact"/>
              <w:widowControl w:val="off"/>
              <w:tabs>
                <w:tab w:val="left" w:pos="0" w:leader="none"/>
              </w:tabs>
              <w:rPr>
                <w:rFonts w:hint="eastAsia" w:ascii="宋体" w:hAnsi="宋体" w:eastAsia="宋体"/>
                <w:color w:val="000000"/>
                <w:sz w:val="24"/>
                <w:highlight w:val="none"/>
                <w:lang w:val="en-US" w:eastAsia="zh-CN" w:bidi="ar-SA"/>
              </w:rPr>
            </w:pPr>
            <w:r>
              <w:rPr>
                <w:rFonts w:hint="eastAsia" w:ascii="宋体" w:hAnsi="宋体" w:eastAsia="宋体"/>
                <w:color w:val="000000"/>
                <w:sz w:val="24"/>
                <w:highlight w:val="none"/>
                <w:lang w:val="en-US" w:eastAsia="zh-CN" w:bidi="ar-SA"/>
              </w:rPr>
              <w:t xml:space="preserve">内      容</w:t>
            </w:r>
            <w:r>
              <w:rPr>
                <w:rFonts w:hint="eastAsia" w:ascii="宋体" w:hAnsi="宋体" w:eastAsia="宋体"/>
                <w:color w:val="000000"/>
                <w:sz w:val="24"/>
                <w:highlight w:val="none"/>
                <w:lang w:val="en-US" w:eastAsia="zh-CN" w:bidi="ar-SA"/>
              </w:rPr>
            </w:r>
            <w:r/>
          </w:p>
        </w:tc>
        <w:tc>
          <w:tcPr>
            <w:tcW w:w="7421" w:type="dxa"/>
            <w:vAlign w:val="top"/>
            <w:textDirection w:val="lrTb"/>
            <w:noWrap w:val="false"/>
          </w:tcPr>
          <w:p>
            <w:pPr>
              <w:pStyle w:val="1137"/>
              <w:contextualSpacing/>
              <w:ind w:left="0" w:firstLine="482"/>
              <w:jc w:val="both"/>
              <w:spacing w:line="440" w:lineRule="exact"/>
              <w:widowControl w:val="off"/>
              <w:tabs>
                <w:tab w:val="left" w:pos="525" w:leader="none"/>
                <w:tab w:val="left" w:pos="1050" w:leader="none"/>
              </w:tabs>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 各投标人必须严格按照本次招标服务要求进行合理报价，如后期出现重大管理失误或严重违约不合格情形视同虚假承诺谋取中标成交</w:t>
            </w:r>
            <w:r>
              <w:rPr>
                <w:rFonts w:hint="eastAsia" w:ascii="宋体" w:hAnsi="宋体" w:eastAsia="宋体"/>
                <w:b/>
                <w:bCs/>
                <w:color w:val="000000"/>
                <w:sz w:val="24"/>
                <w:szCs w:val="22"/>
                <w:highlight w:val="none"/>
                <w:lang w:val="en-US" w:eastAsia="zh-CN" w:bidi="ar-SA"/>
              </w:rPr>
              <w:t xml:space="preserve">，将被列入不良行为记录名单。</w:t>
            </w:r>
            <w:r>
              <w:rPr>
                <w:rFonts w:ascii="宋体" w:hAnsi="宋体" w:eastAsia="宋体" w:cs="宋体"/>
                <w:b/>
                <w:bCs/>
                <w:color w:val="000000"/>
                <w:sz w:val="24"/>
                <w:szCs w:val="24"/>
                <w:highlight w:val="none"/>
                <w:lang w:val="en-US" w:eastAsia="zh-CN" w:bidi="ar-SA"/>
              </w:rPr>
            </w:r>
            <w:r/>
          </w:p>
          <w:p>
            <w:pPr>
              <w:pStyle w:val="885"/>
              <w:ind w:firstLine="480"/>
              <w:jc w:val="both"/>
              <w:spacing w:line="440" w:lineRule="exact"/>
              <w:widowControl w:val="off"/>
              <w:rPr>
                <w:rFonts w:ascii="宋体" w:hAnsi="宋体" w:eastAsia="宋体"/>
                <w:bCs/>
                <w:color w:val="000000"/>
                <w:sz w:val="24"/>
                <w:highlight w:val="none"/>
                <w:lang w:val="en-US" w:eastAsia="zh-CN" w:bidi="ar-SA"/>
              </w:rPr>
            </w:pPr>
            <w:r>
              <w:rPr>
                <w:rFonts w:ascii="宋体" w:hAnsi="宋体" w:eastAsia="宋体" w:cs="宋体"/>
                <w:bCs/>
                <w:color w:val="000000"/>
                <w:sz w:val="24"/>
                <w:highlight w:val="none"/>
                <w:lang w:val="en-US" w:eastAsia="zh-CN" w:bidi="ar-SA"/>
              </w:rPr>
              <w:t xml:space="preserve">2</w:t>
            </w:r>
            <w:r>
              <w:rPr>
                <w:rFonts w:hint="eastAsia" w:ascii="宋体" w:hAnsi="宋体" w:eastAsia="宋体" w:cs="宋体"/>
                <w:bCs/>
                <w:color w:val="000000"/>
                <w:sz w:val="24"/>
                <w:highlight w:val="none"/>
                <w:lang w:val="en-US" w:eastAsia="zh-CN" w:bidi="ar-SA"/>
              </w:rPr>
              <w:t xml:space="preserve">. </w:t>
            </w:r>
            <w:r>
              <w:rPr>
                <w:rFonts w:hint="eastAsia" w:ascii="宋体" w:hAnsi="宋体" w:eastAsia="宋体" w:cs="Arial"/>
                <w:color w:val="000000"/>
                <w:sz w:val="24"/>
                <w:szCs w:val="24"/>
                <w:highlight w:val="none"/>
                <w:lang w:val="en-US" w:eastAsia="zh-CN" w:bidi="ar-SA"/>
              </w:rPr>
              <w:t xml:space="preserve">供应商自行承担运输、指导安装、调试过程中的安全责任</w:t>
            </w:r>
            <w:r>
              <w:rPr>
                <w:rFonts w:hint="eastAsia" w:ascii="宋体" w:hAnsi="宋体" w:eastAsia="宋体"/>
                <w:bCs/>
                <w:color w:val="000000"/>
                <w:sz w:val="24"/>
                <w:highlight w:val="none"/>
                <w:lang w:val="en-US" w:eastAsia="zh-CN" w:bidi="ar-SA"/>
              </w:rPr>
              <w:t xml:space="preserve">。</w:t>
            </w:r>
            <w:r>
              <w:rPr>
                <w:rFonts w:ascii="宋体" w:hAnsi="宋体" w:eastAsia="宋体"/>
                <w:bCs/>
                <w:color w:val="000000"/>
                <w:sz w:val="24"/>
                <w:highlight w:val="none"/>
                <w:lang w:val="en-US" w:eastAsia="zh-CN" w:bidi="ar-SA"/>
              </w:rPr>
            </w:r>
            <w:r/>
          </w:p>
          <w:p>
            <w:pPr>
              <w:pStyle w:val="885"/>
              <w:ind w:right="0" w:firstLine="480"/>
              <w:jc w:val="both"/>
              <w:keepLines w:val="0"/>
              <w:keepNext w:val="0"/>
              <w:pageBreakBefore w:val="0"/>
              <w:spacing w:line="480" w:lineRule="exact"/>
              <w:widowControl w:val="off"/>
              <w:rPr>
                <w:rFonts w:hint="eastAsia" w:ascii="宋体" w:hAnsi="宋体" w:eastAsia="宋体" w:cs="宋体"/>
                <w:bCs/>
                <w:color w:val="000000"/>
                <w:sz w:val="24"/>
                <w:szCs w:val="22"/>
                <w:highlight w:val="none"/>
                <w:lang w:val="en-US" w:eastAsia="zh-CN" w:bidi="ar-SA"/>
              </w:rPr>
            </w:pPr>
            <w:r>
              <w:rPr>
                <w:rFonts w:ascii="宋体" w:hAnsi="宋体" w:eastAsia="宋体" w:cs="宋体"/>
                <w:bCs/>
                <w:color w:val="000000"/>
                <w:sz w:val="24"/>
                <w:highlight w:val="none"/>
                <w:lang w:val="en-US" w:eastAsia="zh-CN" w:bidi="ar-SA"/>
              </w:rPr>
              <w:t xml:space="preserve">3</w:t>
            </w:r>
            <w:r>
              <w:rPr>
                <w:rFonts w:hint="eastAsia" w:ascii="宋体" w:hAnsi="宋体" w:eastAsia="宋体" w:cs="宋体"/>
                <w:bCs/>
                <w:color w:val="000000"/>
                <w:sz w:val="24"/>
                <w:highlight w:val="none"/>
                <w:lang w:val="en-US" w:eastAsia="zh-CN" w:bidi="ar-SA"/>
              </w:rPr>
              <w:t xml:space="preserve">.</w:t>
            </w:r>
            <w:r>
              <w:rPr>
                <w:rFonts w:ascii="宋体" w:hAnsi="宋体" w:eastAsia="宋体" w:cs="宋体"/>
                <w:bCs/>
                <w:color w:val="000000"/>
                <w:sz w:val="24"/>
                <w:highlight w:val="none"/>
                <w:lang w:val="en-US" w:eastAsia="zh-CN" w:bidi="ar-SA"/>
              </w:rPr>
              <w:t xml:space="preserve"> </w:t>
            </w:r>
            <w:r>
              <w:rPr>
                <w:rFonts w:hint="eastAsia" w:ascii="宋体" w:hAnsi="宋体" w:eastAsia="宋体" w:cs="宋体"/>
                <w:bCs/>
                <w:color w:val="000000"/>
                <w:sz w:val="24"/>
                <w:szCs w:val="22"/>
                <w:highlight w:val="none"/>
                <w:lang w:val="en-US" w:eastAsia="zh-CN" w:bidi="ar-SA"/>
              </w:rPr>
              <w:t xml:space="preserve">供应商在服务过程中涉及第三方产品知识产权情况，若出现技术、经济或法律上的纠纷，应由承包方全面承担并全权解决，并确保不影响项目的进度。</w:t>
            </w:r>
            <w:r>
              <w:rPr>
                <w:rFonts w:hint="eastAsia" w:ascii="宋体" w:hAnsi="宋体" w:eastAsia="宋体" w:cs="宋体"/>
                <w:bCs/>
                <w:color w:val="000000"/>
                <w:sz w:val="24"/>
                <w:szCs w:val="22"/>
                <w:highlight w:val="none"/>
                <w:lang w:val="en-US" w:eastAsia="zh-CN" w:bidi="ar-SA"/>
              </w:rPr>
            </w:r>
            <w:r/>
          </w:p>
          <w:p>
            <w:pPr>
              <w:pStyle w:val="885"/>
              <w:ind w:firstLine="480"/>
              <w:jc w:val="both"/>
              <w:spacing w:line="440" w:lineRule="exact"/>
              <w:widowControl w:val="off"/>
              <w:rPr>
                <w:rFonts w:ascii="宋体" w:hAnsi="宋体" w:eastAsia="宋体" w:cs="宋体"/>
                <w:bCs/>
                <w:color w:val="000000"/>
                <w:sz w:val="24"/>
                <w:szCs w:val="22"/>
                <w:highlight w:val="none"/>
                <w:lang w:val="en-US" w:eastAsia="zh-CN" w:bidi="ar-SA"/>
              </w:rPr>
            </w:pPr>
            <w:r>
              <w:rPr>
                <w:rFonts w:hint="eastAsia" w:ascii="宋体" w:hAnsi="宋体" w:eastAsia="宋体" w:cs="宋体"/>
                <w:bCs/>
                <w:color w:val="000000"/>
                <w:sz w:val="24"/>
                <w:szCs w:val="22"/>
                <w:highlight w:val="none"/>
                <w:lang w:val="en-US" w:eastAsia="zh-CN" w:bidi="ar-SA"/>
              </w:rPr>
              <w:t xml:space="preserve">4.本项目涉及与学校正在使用的相关系统管控平台需要进行无缝对接，相关对接开发，功能兼容，接口开发对接调试，数据互通及技术适配等工作内容及费用均由投标人综合考虑并包含在投标报价中，采购人不另行支付任何费用。</w:t>
            </w:r>
            <w:r>
              <w:rPr>
                <w:rFonts w:ascii="宋体" w:hAnsi="宋体" w:eastAsia="宋体" w:cs="宋体"/>
                <w:bCs/>
                <w:color w:val="000000"/>
                <w:sz w:val="24"/>
                <w:szCs w:val="22"/>
                <w:highlight w:val="none"/>
                <w:lang w:val="en-US" w:eastAsia="zh-CN" w:bidi="ar-SA"/>
              </w:rPr>
            </w:r>
            <w:r/>
          </w:p>
          <w:p>
            <w:pPr>
              <w:pStyle w:val="888"/>
              <w:ind w:firstLine="480"/>
              <w:spacing w:before="120" w:after="120" w:line="360" w:lineRule="auto"/>
              <w:widowControl w:val="off"/>
              <w:rPr>
                <w:rFonts w:ascii="Arial" w:hAnsi="Arial" w:eastAsia="宋体"/>
                <w:sz w:val="24"/>
                <w:szCs w:val="24"/>
                <w:lang w:val="en-US" w:eastAsia="zh-CN" w:bidi="ar-SA"/>
              </w:rPr>
            </w:pPr>
            <w:r>
              <w:rPr>
                <w:rFonts w:ascii="Arial" w:hAnsi="Arial" w:eastAsia="宋体"/>
                <w:sz w:val="24"/>
                <w:szCs w:val="24"/>
                <w:lang w:val="en-US" w:eastAsia="zh-CN" w:bidi="ar-SA"/>
              </w:rPr>
            </w:r>
            <w:r/>
          </w:p>
        </w:tc>
      </w:tr>
      <w:tr>
        <w:trPr>
          <w:trHeight w:val="2538"/>
        </w:trPr>
        <w:tc>
          <w:tcPr>
            <w:tcW w:w="2405" w:type="dxa"/>
            <w:vAlign w:val="center"/>
            <w:textDirection w:val="lrTb"/>
            <w:noWrap w:val="false"/>
          </w:tcPr>
          <w:p>
            <w:pPr>
              <w:pStyle w:val="885"/>
              <w:jc w:val="center"/>
              <w:spacing w:line="480" w:lineRule="exact"/>
              <w:widowControl w:val="off"/>
              <w:tabs>
                <w:tab w:val="left" w:pos="0" w:leader="none"/>
              </w:tabs>
              <w:rPr>
                <w:rFonts w:hint="eastAsia" w:ascii="宋体" w:hAnsi="宋体" w:eastAsia="宋体"/>
                <w:color w:val="000000"/>
                <w:sz w:val="24"/>
                <w:highlight w:val="none"/>
                <w:lang w:val="en-US" w:eastAsia="zh-CN" w:bidi="ar-SA"/>
              </w:rPr>
            </w:pPr>
            <w:r>
              <w:rPr>
                <w:rFonts w:hint="eastAsia" w:ascii="宋体" w:hAnsi="宋体" w:eastAsia="宋体"/>
                <w:color w:val="000000"/>
                <w:sz w:val="24"/>
                <w:highlight w:val="none"/>
                <w:lang w:val="en-US" w:eastAsia="zh-CN" w:bidi="ar-SA"/>
              </w:rPr>
              <w:t xml:space="preserve">承      诺</w:t>
            </w:r>
            <w:r>
              <w:rPr>
                <w:rFonts w:hint="eastAsia" w:ascii="宋体" w:hAnsi="宋体" w:eastAsia="宋体"/>
                <w:color w:val="000000"/>
                <w:sz w:val="24"/>
                <w:highlight w:val="none"/>
                <w:lang w:val="en-US" w:eastAsia="zh-CN" w:bidi="ar-SA"/>
              </w:rPr>
            </w:r>
            <w:r/>
          </w:p>
        </w:tc>
        <w:tc>
          <w:tcPr>
            <w:tcW w:w="7421" w:type="dxa"/>
            <w:vAlign w:val="top"/>
            <w:textDirection w:val="lrTb"/>
            <w:noWrap w:val="false"/>
          </w:tcPr>
          <w:p>
            <w:pPr>
              <w:pStyle w:val="885"/>
              <w:ind w:firstLine="480"/>
              <w:jc w:val="both"/>
              <w:spacing w:line="480" w:lineRule="exact"/>
              <w:widowControl w:val="off"/>
              <w:tabs>
                <w:tab w:val="left" w:pos="0" w:leader="none"/>
              </w:tabs>
              <w:rPr>
                <w:rFonts w:hint="eastAsia" w:ascii="宋体" w:hAnsi="宋体" w:eastAsia="宋体"/>
                <w:color w:val="000000"/>
                <w:sz w:val="24"/>
                <w:highlight w:val="none"/>
                <w:lang w:val="en-US" w:eastAsia="zh-CN" w:bidi="ar-SA"/>
              </w:rPr>
            </w:pPr>
            <w:r>
              <w:rPr>
                <w:rFonts w:hint="eastAsia" w:ascii="宋体" w:hAnsi="宋体" w:eastAsia="宋体"/>
                <w:color w:val="000000"/>
                <w:sz w:val="24"/>
                <w:highlight w:val="none"/>
                <w:lang w:val="en-US" w:eastAsia="zh-CN" w:bidi="ar-SA"/>
              </w:rPr>
            </w:r>
            <w:r/>
          </w:p>
        </w:tc>
      </w:tr>
    </w:tbl>
    <w:p>
      <w:pPr>
        <w:pStyle w:val="885"/>
        <w:ind w:firstLine="474"/>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注：各投标人须响应本项目招标文件</w:t>
      </w:r>
      <w:r>
        <w:rPr>
          <w:rFonts w:hint="eastAsia" w:ascii="宋体" w:hAnsi="宋体"/>
          <w:b/>
          <w:bCs/>
          <w:color w:val="000000"/>
          <w:spacing w:val="-2"/>
          <w:sz w:val="24"/>
          <w:highlight w:val="none"/>
          <w:lang w:eastAsia="zh-CN"/>
        </w:rPr>
        <w:t xml:space="preserve">中</w:t>
      </w:r>
      <w:r>
        <w:rPr>
          <w:rFonts w:hint="eastAsia" w:ascii="宋体" w:hAnsi="宋体"/>
          <w:b/>
          <w:bCs/>
          <w:color w:val="000000"/>
          <w:spacing w:val="-2"/>
          <w:sz w:val="24"/>
          <w:highlight w:val="none"/>
        </w:rPr>
        <w:t xml:space="preserve">的服务保障和承诺要求逐条响应，未响应或部分响应的作无效标</w:t>
      </w:r>
      <w:r>
        <w:rPr>
          <w:rFonts w:ascii="宋体" w:hAnsi="宋体"/>
          <w:b/>
          <w:bCs/>
          <w:color w:val="000000"/>
          <w:spacing w:val="-2"/>
          <w:sz w:val="24"/>
          <w:highlight w:val="none"/>
        </w:rPr>
        <w:t xml:space="preserve">论处</w:t>
      </w:r>
      <w:r>
        <w:rPr>
          <w:rFonts w:hint="eastAsia" w:ascii="宋体" w:hAnsi="宋体"/>
          <w:b/>
          <w:bCs/>
          <w:color w:val="000000"/>
          <w:spacing w:val="-2"/>
          <w:sz w:val="24"/>
          <w:highlight w:val="none"/>
        </w:rPr>
        <w:t xml:space="preserve">。</w:t>
      </w:r>
      <w:r>
        <w:rPr>
          <w:rFonts w:hint="eastAsia" w:ascii="宋体" w:hAnsi="宋体"/>
          <w:b/>
          <w:bCs/>
          <w:color w:val="000000"/>
          <w:spacing w:val="-2"/>
          <w:sz w:val="24"/>
          <w:highlight w:val="none"/>
        </w:rPr>
      </w:r>
      <w:r/>
    </w:p>
    <w:p>
      <w:pPr>
        <w:pStyle w:val="885"/>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885"/>
        <w:ind w:firstLine="480"/>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885"/>
        <w:ind w:firstLine="480"/>
        <w:spacing w:before="100" w:beforeAutospacing="1" w:after="100" w:afterAutospacing="1" w:line="480" w:lineRule="exact"/>
        <w:rPr>
          <w:rFonts w:hint="eastAsia"/>
          <w:color w:val="000000"/>
          <w:sz w:val="24"/>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sz w:val="24"/>
          <w:highlight w:val="none"/>
        </w:rPr>
      </w:r>
      <w:r/>
    </w:p>
    <w:p>
      <w:pPr>
        <w:pStyle w:val="885"/>
        <w:ind w:firstLine="480"/>
        <w:jc w:val="right"/>
        <w:spacing w:before="100" w:beforeAutospacing="1" w:after="100" w:afterAutospacing="1" w:line="480" w:lineRule="exact"/>
        <w:rPr>
          <w:rFonts w:hint="eastAsia" w:ascii="黑体" w:hAnsi="黑体" w:eastAsia="黑体" w:cs="黑体"/>
          <w:b/>
          <w:color w:val="000000"/>
          <w:sz w:val="36"/>
          <w:szCs w:val="36"/>
          <w:highlight w:val="none"/>
        </w:rPr>
      </w:pP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885"/>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85"/>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85"/>
        <w:ind w:firstLine="723"/>
        <w:jc w:val="center"/>
        <w:spacing w:line="480" w:lineRule="exact"/>
        <w:rPr>
          <w:rFonts w:eastAsia="黑体"/>
          <w:b/>
          <w:color w:val="000000"/>
          <w:sz w:val="36"/>
          <w:szCs w:val="36"/>
          <w:highlight w:val="none"/>
        </w:rPr>
      </w:pPr>
      <w:r>
        <w:rPr>
          <w:rFonts w:hint="eastAsia" w:ascii="宋体" w:hAnsi="宋体" w:eastAsia="宋体" w:cs="宋体"/>
          <w:b/>
          <w:color w:val="000000"/>
          <w:sz w:val="36"/>
          <w:szCs w:val="36"/>
          <w:highlight w:val="none"/>
        </w:rPr>
        <w:t xml:space="preserve">（十</w:t>
      </w:r>
      <w:r>
        <w:rPr>
          <w:rFonts w:hint="eastAsia" w:ascii="宋体" w:hAnsi="宋体" w:eastAsia="宋体" w:cs="宋体"/>
          <w:b/>
          <w:color w:val="000000"/>
          <w:sz w:val="36"/>
          <w:szCs w:val="36"/>
          <w:highlight w:val="none"/>
          <w:lang w:eastAsia="zh-CN"/>
        </w:rPr>
        <w:t xml:space="preserve">五</w:t>
      </w:r>
      <w:r>
        <w:rPr>
          <w:rFonts w:hint="eastAsia" w:ascii="宋体" w:hAnsi="宋体" w:eastAsia="宋体" w:cs="宋体"/>
          <w:b/>
          <w:color w:val="000000"/>
          <w:sz w:val="36"/>
          <w:szCs w:val="36"/>
          <w:highlight w:val="none"/>
        </w:rPr>
        <w:t xml:space="preserve">）</w:t>
      </w:r>
      <w:r>
        <w:rPr>
          <w:rFonts w:hint="eastAsia" w:eastAsia="黑体"/>
          <w:b/>
          <w:color w:val="000000"/>
          <w:sz w:val="36"/>
          <w:szCs w:val="36"/>
          <w:highlight w:val="none"/>
        </w:rPr>
        <w:t xml:space="preserve">技术参数响应表</w:t>
      </w:r>
      <w:r>
        <w:rPr>
          <w:rFonts w:eastAsia="黑体"/>
          <w:b/>
          <w:color w:val="000000"/>
          <w:sz w:val="36"/>
          <w:szCs w:val="36"/>
          <w:highlight w:val="none"/>
        </w:rPr>
      </w:r>
      <w:r/>
    </w:p>
    <w:tbl>
      <w:tblPr>
        <w:tblW w:w="9288" w:type="dxa"/>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t xml:space="preserve">序号</w:t>
            </w:r>
            <w:r>
              <w:rPr>
                <w:rFonts w:ascii="宋体" w:hAnsi="宋体" w:eastAsia="宋体"/>
                <w:color w:val="000000"/>
                <w:sz w:val="24"/>
                <w:highlight w:val="none"/>
                <w:lang w:val="en-US" w:eastAsia="zh-CN" w:bidi="ar-SA"/>
              </w:rPr>
            </w:r>
            <w:r/>
          </w:p>
        </w:tc>
        <w:tc>
          <w:tcPr>
            <w:tcW w:w="2587" w:type="dxa"/>
            <w:vAlign w:val="center"/>
            <w:textDirection w:val="lrTb"/>
            <w:noWrap w:val="false"/>
          </w:tcPr>
          <w:p>
            <w:pPr>
              <w:pStyle w:val="885"/>
              <w:jc w:val="center"/>
              <w:spacing w:line="480" w:lineRule="exact"/>
              <w:widowControl w:val="off"/>
              <w:rPr>
                <w:rFonts w:hint="eastAsia" w:ascii="宋体" w:hAnsi="宋体" w:eastAsia="宋体"/>
                <w:color w:val="000000"/>
                <w:sz w:val="24"/>
                <w:highlight w:val="none"/>
                <w:lang w:val="en-US" w:eastAsia="zh-CN" w:bidi="ar-SA"/>
              </w:rPr>
            </w:pPr>
            <w:r>
              <w:rPr>
                <w:rFonts w:hint="eastAsia" w:ascii="宋体" w:hAnsi="宋体" w:eastAsia="宋体"/>
                <w:color w:val="000000"/>
                <w:sz w:val="24"/>
                <w:highlight w:val="none"/>
                <w:lang w:val="en-US" w:eastAsia="zh-CN" w:bidi="ar-SA"/>
              </w:rPr>
              <w:t xml:space="preserve">服务内容</w:t>
            </w:r>
            <w:r>
              <w:rPr>
                <w:rFonts w:hint="eastAsia" w:ascii="宋体" w:hAnsi="宋体" w:eastAsia="宋体"/>
                <w:color w:val="000000"/>
                <w:sz w:val="24"/>
                <w:highlight w:val="none"/>
                <w:lang w:val="en-US" w:eastAsia="zh-CN" w:bidi="ar-SA"/>
              </w:rPr>
            </w:r>
            <w:r/>
          </w:p>
        </w:tc>
        <w:tc>
          <w:tcPr>
            <w:tcW w:w="2268"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t xml:space="preserve">招标</w:t>
            </w:r>
            <w:r>
              <w:rPr>
                <w:rFonts w:hint="eastAsia" w:ascii="宋体" w:hAnsi="宋体" w:eastAsia="宋体"/>
                <w:color w:val="000000"/>
                <w:sz w:val="24"/>
                <w:highlight w:val="none"/>
                <w:lang w:val="en-US" w:eastAsia="zh-CN" w:bidi="ar-SA"/>
              </w:rPr>
              <w:t xml:space="preserve">文件技术要求及相关说明</w:t>
            </w:r>
            <w:r>
              <w:rPr>
                <w:rFonts w:ascii="宋体" w:hAnsi="宋体" w:eastAsia="宋体"/>
                <w:color w:val="000000"/>
                <w:sz w:val="24"/>
                <w:highlight w:val="none"/>
                <w:lang w:val="en-US" w:eastAsia="zh-CN" w:bidi="ar-SA"/>
              </w:rPr>
            </w:r>
            <w:r/>
          </w:p>
        </w:tc>
        <w:tc>
          <w:tcPr>
            <w:tcW w:w="2268" w:type="dxa"/>
            <w:vAlign w:val="center"/>
            <w:textDirection w:val="lrTb"/>
            <w:noWrap w:val="false"/>
          </w:tcPr>
          <w:p>
            <w:pPr>
              <w:pStyle w:val="885"/>
              <w:jc w:val="center"/>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t xml:space="preserve">投标技术指标</w:t>
            </w:r>
            <w:r>
              <w:rPr>
                <w:rFonts w:hint="eastAsia" w:ascii="宋体" w:hAnsi="宋体" w:eastAsia="宋体"/>
                <w:color w:val="000000"/>
                <w:sz w:val="24"/>
                <w:highlight w:val="none"/>
                <w:lang w:val="en-US" w:eastAsia="zh-CN" w:bidi="ar-SA"/>
              </w:rPr>
              <w:t xml:space="preserve">（逐条对应招标文件技术要求）</w:t>
            </w:r>
            <w:r>
              <w:rPr>
                <w:rFonts w:ascii="宋体" w:hAnsi="宋体" w:eastAsia="宋体"/>
                <w:color w:val="000000"/>
                <w:sz w:val="24"/>
                <w:highlight w:val="none"/>
                <w:lang w:val="en-US" w:eastAsia="zh-CN" w:bidi="ar-SA"/>
              </w:rPr>
            </w:r>
            <w:r/>
          </w:p>
        </w:tc>
        <w:tc>
          <w:tcPr>
            <w:tcW w:w="1383"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hint="eastAsia" w:ascii="宋体" w:hAnsi="宋体" w:eastAsia="宋体"/>
                <w:color w:val="000000"/>
                <w:sz w:val="24"/>
                <w:highlight w:val="none"/>
                <w:lang w:val="en-US" w:eastAsia="zh-CN" w:bidi="ar-SA"/>
              </w:rPr>
              <w:t xml:space="preserve">偏离情况</w:t>
            </w:r>
            <w:r>
              <w:rPr>
                <w:rFonts w:ascii="宋体" w:hAnsi="宋体" w:eastAsia="宋体"/>
                <w:color w:val="000000"/>
                <w:sz w:val="24"/>
                <w:highlight w:val="none"/>
                <w:lang w:val="en-US" w:eastAsia="zh-CN" w:bidi="ar-SA"/>
              </w:rPr>
            </w:r>
            <w:r/>
          </w:p>
        </w:tc>
      </w:tr>
      <w:tr>
        <w:trPr>
          <w:trHeight w:val="737" w:hRule="exact"/>
        </w:trPr>
        <w:tc>
          <w:tcPr>
            <w:tcW w:w="782" w:type="dxa"/>
            <w:vAlign w:val="center"/>
            <w:textDirection w:val="lrTb"/>
            <w:noWrap w:val="false"/>
          </w:tcPr>
          <w:p>
            <w:pPr>
              <w:pStyle w:val="885"/>
              <w:jc w:val="center"/>
              <w:spacing w:line="480" w:lineRule="exact"/>
              <w:widowControl w:val="off"/>
              <w:rPr>
                <w:rFonts w:hint="eastAsia" w:ascii="宋体" w:hAnsi="宋体" w:eastAsia="宋体"/>
                <w:color w:val="000000"/>
                <w:sz w:val="24"/>
                <w:highlight w:val="none"/>
                <w:lang w:val="en-US" w:eastAsia="zh-CN" w:bidi="ar-SA"/>
              </w:rPr>
            </w:pPr>
            <w:r>
              <w:rPr>
                <w:rFonts w:hint="eastAsia" w:ascii="宋体" w:hAnsi="宋体" w:eastAsia="宋体"/>
                <w:color w:val="000000"/>
                <w:sz w:val="24"/>
                <w:highlight w:val="none"/>
                <w:lang w:val="en-US" w:eastAsia="zh-CN" w:bidi="ar-SA"/>
              </w:rPr>
            </w:r>
            <w:r/>
          </w:p>
        </w:tc>
        <w:tc>
          <w:tcPr>
            <w:tcW w:w="2587" w:type="dxa"/>
            <w:vAlign w:val="center"/>
            <w:textDirection w:val="lrTb"/>
            <w:noWrap w:val="false"/>
          </w:tcPr>
          <w:p>
            <w:pPr>
              <w:pStyle w:val="885"/>
              <w:jc w:val="center"/>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2268"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2268"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1383"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r>
      <w:tr>
        <w:trPr>
          <w:trHeight w:val="737" w:hRule="exact"/>
        </w:trPr>
        <w:tc>
          <w:tcPr>
            <w:tcW w:w="782" w:type="dxa"/>
            <w:vAlign w:val="center"/>
            <w:textDirection w:val="lrTb"/>
            <w:noWrap w:val="false"/>
          </w:tcPr>
          <w:p>
            <w:pPr>
              <w:pStyle w:val="885"/>
              <w:jc w:val="center"/>
              <w:spacing w:line="480" w:lineRule="exact"/>
              <w:widowControl w:val="off"/>
              <w:rPr>
                <w:rFonts w:hint="eastAsia" w:ascii="宋体" w:hAnsi="宋体" w:eastAsia="宋体"/>
                <w:color w:val="000000"/>
                <w:sz w:val="24"/>
                <w:highlight w:val="none"/>
                <w:lang w:val="en-US" w:eastAsia="zh-CN" w:bidi="ar-SA"/>
              </w:rPr>
            </w:pPr>
            <w:r>
              <w:rPr>
                <w:rFonts w:hint="eastAsia" w:ascii="宋体" w:hAnsi="宋体" w:eastAsia="宋体"/>
                <w:color w:val="000000"/>
                <w:sz w:val="24"/>
                <w:highlight w:val="none"/>
                <w:lang w:val="en-US" w:eastAsia="zh-CN" w:bidi="ar-SA"/>
              </w:rPr>
            </w:r>
            <w:r/>
          </w:p>
        </w:tc>
        <w:tc>
          <w:tcPr>
            <w:tcW w:w="2587" w:type="dxa"/>
            <w:vAlign w:val="center"/>
            <w:textDirection w:val="lrTb"/>
            <w:noWrap w:val="false"/>
          </w:tcPr>
          <w:p>
            <w:pPr>
              <w:pStyle w:val="885"/>
              <w:jc w:val="center"/>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2268"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2268"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1383"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r>
      <w:tr>
        <w:trPr>
          <w:trHeight w:val="737" w:hRule="exact"/>
        </w:trPr>
        <w:tc>
          <w:tcPr>
            <w:tcW w:w="782" w:type="dxa"/>
            <w:vAlign w:val="center"/>
            <w:textDirection w:val="lrTb"/>
            <w:noWrap w:val="false"/>
          </w:tcPr>
          <w:p>
            <w:pPr>
              <w:pStyle w:val="885"/>
              <w:jc w:val="center"/>
              <w:spacing w:line="480" w:lineRule="exact"/>
              <w:widowControl w:val="off"/>
              <w:rPr>
                <w:rFonts w:hint="eastAsia" w:ascii="宋体" w:hAnsi="宋体" w:eastAsia="宋体"/>
                <w:color w:val="000000"/>
                <w:sz w:val="24"/>
                <w:highlight w:val="none"/>
                <w:lang w:val="en-US" w:eastAsia="zh-CN" w:bidi="ar-SA"/>
              </w:rPr>
            </w:pPr>
            <w:r>
              <w:rPr>
                <w:rFonts w:hint="eastAsia" w:ascii="宋体" w:hAnsi="宋体" w:eastAsia="宋体"/>
                <w:color w:val="000000"/>
                <w:sz w:val="24"/>
                <w:highlight w:val="none"/>
                <w:lang w:val="en-US" w:eastAsia="zh-CN" w:bidi="ar-SA"/>
              </w:rPr>
            </w:r>
            <w:r/>
          </w:p>
        </w:tc>
        <w:tc>
          <w:tcPr>
            <w:tcW w:w="2587"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2268"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2268"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1383"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r>
      <w:tr>
        <w:trPr>
          <w:trHeight w:val="737" w:hRule="exact"/>
        </w:trPr>
        <w:tc>
          <w:tcPr>
            <w:tcW w:w="782" w:type="dxa"/>
            <w:vAlign w:val="center"/>
            <w:textDirection w:val="lrTb"/>
            <w:noWrap w:val="false"/>
          </w:tcPr>
          <w:p>
            <w:pPr>
              <w:pStyle w:val="885"/>
              <w:jc w:val="center"/>
              <w:spacing w:line="480" w:lineRule="exact"/>
              <w:widowControl w:val="off"/>
              <w:rPr>
                <w:rFonts w:hint="eastAsia" w:ascii="宋体" w:hAnsi="宋体" w:eastAsia="宋体"/>
                <w:color w:val="000000"/>
                <w:sz w:val="24"/>
                <w:highlight w:val="none"/>
                <w:lang w:val="en-US" w:eastAsia="zh-CN" w:bidi="ar-SA"/>
              </w:rPr>
            </w:pPr>
            <w:r>
              <w:rPr>
                <w:rFonts w:hint="eastAsia" w:ascii="宋体" w:hAnsi="宋体" w:eastAsia="宋体"/>
                <w:color w:val="000000"/>
                <w:sz w:val="24"/>
                <w:highlight w:val="none"/>
                <w:lang w:val="en-US" w:eastAsia="zh-CN" w:bidi="ar-SA"/>
              </w:rPr>
            </w:r>
            <w:r/>
          </w:p>
        </w:tc>
        <w:tc>
          <w:tcPr>
            <w:tcW w:w="2587" w:type="dxa"/>
            <w:vAlign w:val="center"/>
            <w:textDirection w:val="lrTb"/>
            <w:noWrap w:val="false"/>
          </w:tcPr>
          <w:p>
            <w:pPr>
              <w:pStyle w:val="885"/>
              <w:jc w:val="center"/>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2268"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2268"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1383"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r>
      <w:tr>
        <w:trPr>
          <w:trHeight w:val="737" w:hRule="exact"/>
        </w:trPr>
        <w:tc>
          <w:tcPr>
            <w:tcW w:w="782" w:type="dxa"/>
            <w:vAlign w:val="center"/>
            <w:textDirection w:val="lrTb"/>
            <w:noWrap w:val="false"/>
          </w:tcPr>
          <w:p>
            <w:pPr>
              <w:pStyle w:val="885"/>
              <w:jc w:val="center"/>
              <w:spacing w:line="480" w:lineRule="exact"/>
              <w:widowControl w:val="off"/>
              <w:rPr>
                <w:rFonts w:hint="eastAsia" w:ascii="宋体" w:hAnsi="宋体" w:eastAsia="宋体"/>
                <w:color w:val="000000"/>
                <w:sz w:val="24"/>
                <w:highlight w:val="none"/>
                <w:lang w:val="en-US" w:eastAsia="zh-CN" w:bidi="ar-SA"/>
              </w:rPr>
            </w:pPr>
            <w:r>
              <w:rPr>
                <w:rFonts w:hint="eastAsia" w:ascii="宋体" w:hAnsi="宋体" w:eastAsia="宋体"/>
                <w:color w:val="000000"/>
                <w:sz w:val="24"/>
                <w:highlight w:val="none"/>
                <w:lang w:val="en-US" w:eastAsia="zh-CN" w:bidi="ar-SA"/>
              </w:rPr>
            </w:r>
            <w:r/>
          </w:p>
        </w:tc>
        <w:tc>
          <w:tcPr>
            <w:tcW w:w="2587" w:type="dxa"/>
            <w:vAlign w:val="center"/>
            <w:textDirection w:val="lrTb"/>
            <w:noWrap w:val="false"/>
          </w:tcPr>
          <w:p>
            <w:pPr>
              <w:pStyle w:val="885"/>
              <w:jc w:val="center"/>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2268"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2268"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1383"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r>
      <w:tr>
        <w:trPr>
          <w:trHeight w:val="737" w:hRule="exact"/>
        </w:trPr>
        <w:tc>
          <w:tcPr>
            <w:tcW w:w="782" w:type="dxa"/>
            <w:vAlign w:val="center"/>
            <w:textDirection w:val="lrTb"/>
            <w:noWrap w:val="false"/>
          </w:tcPr>
          <w:p>
            <w:pPr>
              <w:pStyle w:val="885"/>
              <w:jc w:val="center"/>
              <w:spacing w:line="480" w:lineRule="exact"/>
              <w:widowControl w:val="off"/>
              <w:rPr>
                <w:rFonts w:hint="eastAsia" w:ascii="宋体" w:hAnsi="宋体" w:eastAsia="宋体"/>
                <w:color w:val="000000"/>
                <w:sz w:val="24"/>
                <w:highlight w:val="none"/>
                <w:lang w:val="en-US" w:eastAsia="zh-CN" w:bidi="ar-SA"/>
              </w:rPr>
            </w:pPr>
            <w:r>
              <w:rPr>
                <w:rFonts w:hint="eastAsia" w:ascii="宋体" w:hAnsi="宋体" w:eastAsia="宋体"/>
                <w:color w:val="000000"/>
                <w:sz w:val="24"/>
                <w:highlight w:val="none"/>
                <w:lang w:val="en-US" w:eastAsia="zh-CN" w:bidi="ar-SA"/>
              </w:rPr>
            </w:r>
            <w:r/>
          </w:p>
        </w:tc>
        <w:tc>
          <w:tcPr>
            <w:tcW w:w="2587" w:type="dxa"/>
            <w:vAlign w:val="center"/>
            <w:textDirection w:val="lrTb"/>
            <w:noWrap w:val="false"/>
          </w:tcPr>
          <w:p>
            <w:pPr>
              <w:pStyle w:val="885"/>
              <w:jc w:val="center"/>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2268"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2268"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1383"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r>
      <w:tr>
        <w:trPr>
          <w:trHeight w:val="737" w:hRule="exact"/>
        </w:trPr>
        <w:tc>
          <w:tcPr>
            <w:tcW w:w="782"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2587"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2268"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2268"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c>
          <w:tcPr>
            <w:tcW w:w="1383" w:type="dxa"/>
            <w:vAlign w:val="center"/>
            <w:textDirection w:val="lrTb"/>
            <w:noWrap w:val="false"/>
          </w:tcPr>
          <w:p>
            <w:pPr>
              <w:pStyle w:val="885"/>
              <w:jc w:val="center"/>
              <w:spacing w:line="480" w:lineRule="exact"/>
              <w:widowControl w:val="off"/>
              <w:rPr>
                <w:rFonts w:ascii="宋体" w:hAnsi="宋体" w:eastAsia="宋体"/>
                <w:color w:val="000000"/>
                <w:sz w:val="24"/>
                <w:highlight w:val="none"/>
                <w:lang w:val="en-US" w:eastAsia="zh-CN" w:bidi="ar-SA"/>
              </w:rPr>
            </w:pPr>
            <w:r>
              <w:rPr>
                <w:rFonts w:ascii="宋体" w:hAnsi="宋体" w:eastAsia="宋体"/>
                <w:color w:val="000000"/>
                <w:sz w:val="24"/>
                <w:highlight w:val="none"/>
                <w:lang w:val="en-US" w:eastAsia="zh-CN" w:bidi="ar-SA"/>
              </w:rPr>
            </w:r>
            <w:r/>
          </w:p>
        </w:tc>
      </w:tr>
    </w:tbl>
    <w:p>
      <w:pPr>
        <w:pStyle w:val="888"/>
        <w:ind w:firstLine="474"/>
        <w:keepLines w:val="0"/>
        <w:keepNext w:val="0"/>
        <w:pageBreakBefore w:val="0"/>
        <w:spacing w:before="0" w:after="0" w:line="480" w:lineRule="exact"/>
        <w:rPr>
          <w:rFonts w:hint="eastAsia" w:ascii="宋体"/>
          <w:b/>
          <w:bCs/>
          <w:color w:val="000000"/>
          <w:spacing w:val="-2"/>
          <w:sz w:val="24"/>
          <w:highlight w:val="none"/>
        </w:rPr>
      </w:pPr>
      <w:r>
        <w:rPr>
          <w:rFonts w:hint="eastAsia" w:ascii="宋体"/>
          <w:b/>
          <w:bCs/>
          <w:color w:val="000000"/>
          <w:spacing w:val="-2"/>
          <w:sz w:val="24"/>
          <w:highlight w:val="none"/>
        </w:rPr>
        <w:t xml:space="preserve">注：1.</w:t>
      </w:r>
      <w:r>
        <w:rPr>
          <w:rFonts w:ascii="宋体"/>
          <w:b/>
          <w:bCs/>
          <w:color w:val="000000"/>
          <w:spacing w:val="-2"/>
          <w:sz w:val="24"/>
          <w:highlight w:val="none"/>
        </w:rPr>
        <w:t xml:space="preserve"> </w:t>
      </w:r>
      <w:r>
        <w:rPr>
          <w:rFonts w:hint="eastAsia" w:ascii="宋体"/>
          <w:b/>
          <w:bCs/>
          <w:color w:val="000000"/>
          <w:spacing w:val="-2"/>
          <w:sz w:val="24"/>
          <w:highlight w:val="none"/>
        </w:rPr>
        <w:t xml:space="preserve">投标人应根据投标技术要求及相关说明的指标、对照招标文件</w:t>
      </w:r>
      <w:r>
        <w:rPr>
          <w:rFonts w:hint="eastAsia" w:ascii="宋体"/>
          <w:b/>
          <w:bCs/>
          <w:color w:val="000000"/>
          <w:spacing w:val="-2"/>
          <w:sz w:val="24"/>
          <w:highlight w:val="none"/>
          <w:lang w:eastAsia="zh-CN"/>
        </w:rPr>
        <w:t xml:space="preserve">“第三章</w:t>
      </w:r>
      <w:r>
        <w:rPr>
          <w:rFonts w:hint="eastAsia" w:ascii="宋体"/>
          <w:b/>
          <w:bCs/>
          <w:color w:val="000000"/>
          <w:spacing w:val="-2"/>
          <w:sz w:val="24"/>
          <w:highlight w:val="none"/>
          <w:lang w:val="en-US" w:eastAsia="zh-CN"/>
        </w:rPr>
        <w:t xml:space="preserve"> 招标内容及要求  </w:t>
      </w:r>
      <w:r>
        <w:rPr>
          <w:rFonts w:hint="eastAsia" w:ascii="宋体" w:hAnsi="宋体" w:cs="Arial"/>
          <w:b/>
          <w:bCs/>
          <w:color w:val="000000"/>
          <w:highlight w:val="none"/>
        </w:rPr>
        <w:t xml:space="preserve">二、技术要求及相关说明</w:t>
      </w:r>
      <w:r>
        <w:rPr>
          <w:rFonts w:hint="eastAsia" w:ascii="宋体" w:hAnsi="宋体" w:cs="Arial"/>
          <w:b/>
          <w:bCs/>
          <w:color w:val="000000"/>
          <w:highlight w:val="none"/>
          <w:lang w:eastAsia="zh-CN"/>
        </w:rPr>
        <w:t xml:space="preserve">”</w:t>
      </w:r>
      <w:r>
        <w:rPr>
          <w:rFonts w:hint="eastAsia" w:ascii="宋体"/>
          <w:b/>
          <w:bCs/>
          <w:color w:val="000000"/>
          <w:spacing w:val="-2"/>
          <w:sz w:val="24"/>
          <w:highlight w:val="none"/>
        </w:rPr>
        <w:t xml:space="preserve">要求在“偏离情况”栏注明“正偏离”或“无偏离”，投标人按照自身实际能力填写投标技术参数，所有技术参数必须在此表体现，不接受其他形式的投标技术响应说明；投标技术参数不得低于招标文件要求的技术参数，</w:t>
      </w:r>
      <w:r>
        <w:rPr>
          <w:rFonts w:hint="eastAsia" w:ascii="宋体" w:hAnsi="宋体" w:cs="宋体"/>
          <w:b/>
          <w:bCs/>
          <w:color w:val="000000"/>
          <w:sz w:val="24"/>
          <w:highlight w:val="none"/>
        </w:rPr>
        <w:t xml:space="preserve">未填写投标产品技术参数及达不到技术参数要求的作无效标处理</w:t>
      </w:r>
      <w:r>
        <w:rPr>
          <w:rFonts w:hint="eastAsia" w:ascii="宋体"/>
          <w:b/>
          <w:bCs/>
          <w:color w:val="000000"/>
          <w:spacing w:val="-2"/>
          <w:sz w:val="24"/>
          <w:highlight w:val="none"/>
        </w:rPr>
        <w:t xml:space="preserve">。</w:t>
      </w:r>
      <w:r>
        <w:rPr>
          <w:rFonts w:hint="eastAsia" w:ascii="宋体"/>
          <w:b/>
          <w:bCs/>
          <w:color w:val="000000"/>
          <w:spacing w:val="-2"/>
          <w:sz w:val="24"/>
          <w:highlight w:val="none"/>
        </w:rPr>
      </w:r>
      <w:r/>
    </w:p>
    <w:p>
      <w:pPr>
        <w:pStyle w:val="885"/>
        <w:ind w:firstLine="474"/>
        <w:jc w:val="left"/>
        <w:spacing w:line="460" w:lineRule="exact"/>
        <w:widowControl/>
        <w:rPr>
          <w:rFonts w:hint="eastAsia" w:ascii="宋体"/>
          <w:b/>
          <w:bCs/>
          <w:color w:val="000000"/>
          <w:spacing w:val="-2"/>
          <w:sz w:val="24"/>
          <w:highlight w:val="none"/>
        </w:rPr>
      </w:pPr>
      <w:r>
        <w:rPr>
          <w:rFonts w:hint="eastAsia" w:ascii="宋体"/>
          <w:b/>
          <w:bCs/>
          <w:color w:val="000000"/>
          <w:spacing w:val="-2"/>
          <w:sz w:val="24"/>
          <w:highlight w:val="none"/>
        </w:rPr>
        <w:t xml:space="preserve">2.</w:t>
      </w:r>
      <w:r>
        <w:rPr>
          <w:rFonts w:ascii="宋体"/>
          <w:b/>
          <w:bCs/>
          <w:color w:val="000000"/>
          <w:spacing w:val="-2"/>
          <w:sz w:val="24"/>
          <w:highlight w:val="none"/>
        </w:rPr>
        <w:t xml:space="preserve"> </w:t>
      </w:r>
      <w:r>
        <w:rPr>
          <w:rFonts w:hint="eastAsia" w:ascii="宋体"/>
          <w:b/>
          <w:bCs/>
          <w:color w:val="000000"/>
          <w:spacing w:val="-2"/>
          <w:sz w:val="24"/>
          <w:highlight w:val="none"/>
        </w:rPr>
        <w:t xml:space="preserve">投标人如在投标过程中提供虚假材料谋取中标成交的或采取不正当手段诋毁、排挤其他供应商的,将承担相应法律责任。</w:t>
      </w:r>
      <w:r>
        <w:rPr>
          <w:rFonts w:hint="eastAsia" w:ascii="宋体"/>
          <w:b/>
          <w:bCs/>
          <w:color w:val="000000"/>
          <w:spacing w:val="-2"/>
          <w:sz w:val="24"/>
          <w:highlight w:val="none"/>
        </w:rPr>
      </w:r>
      <w:r/>
    </w:p>
    <w:p>
      <w:pPr>
        <w:pStyle w:val="885"/>
        <w:ind w:firstLine="482"/>
        <w:keepLines w:val="0"/>
        <w:keepNext w:val="0"/>
        <w:pageBreakBefore w:val="0"/>
        <w:spacing w:line="480" w:lineRule="exact"/>
        <w:rPr>
          <w:rFonts w:hint="eastAsia"/>
          <w:color w:val="000000"/>
          <w:highlight w:val="none"/>
        </w:rPr>
      </w:pPr>
      <w:r>
        <w:rPr>
          <w:rFonts w:hint="eastAsia" w:ascii="宋体" w:hAnsi="宋体" w:eastAsia="宋体" w:cs="宋体"/>
          <w:b/>
          <w:bCs/>
          <w:color w:val="000000"/>
          <w:sz w:val="24"/>
          <w:lang w:eastAsia="zh-CN"/>
        </w:rPr>
        <w:t xml:space="preserve">注：加“▲”项参数须提供证明材料。</w:t>
      </w:r>
      <w:r>
        <w:rPr>
          <w:rFonts w:hint="eastAsia"/>
          <w:color w:val="000000"/>
          <w:highlight w:val="none"/>
        </w:rPr>
      </w:r>
      <w:r/>
    </w:p>
    <w:p>
      <w:pPr>
        <w:pStyle w:val="885"/>
        <w:ind w:firstLine="480"/>
        <w:jc w:val="left"/>
        <w:spacing w:line="460" w:lineRule="exact"/>
        <w:widowControl/>
        <w:rPr>
          <w:rFonts w:hint="eastAsia"/>
          <w:color w:val="000000"/>
          <w:sz w:val="24"/>
          <w:highlight w:val="none"/>
        </w:rPr>
      </w:pPr>
      <w:r>
        <w:rPr>
          <w:rFonts w:hint="eastAsia"/>
          <w:color w:val="000000"/>
          <w:sz w:val="24"/>
          <w:highlight w:val="none"/>
        </w:rPr>
      </w:r>
      <w:r/>
    </w:p>
    <w:p>
      <w:pPr>
        <w:pStyle w:val="885"/>
        <w:ind w:firstLine="480"/>
        <w:jc w:val="left"/>
        <w:spacing w:line="460" w:lineRule="exact"/>
        <w:widowControl/>
        <w:rPr>
          <w:rFonts w:hint="eastAsia"/>
          <w:color w:val="000000"/>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rFonts w:hint="eastAsia"/>
          <w:color w:val="000000"/>
          <w:highlight w:val="none"/>
        </w:rPr>
      </w:r>
      <w:r/>
    </w:p>
    <w:p>
      <w:pPr>
        <w:pStyle w:val="885"/>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highlight w:val="none"/>
        </w:rPr>
        <w:t xml:space="preserve"> </w:t>
      </w:r>
      <w:r>
        <w:rPr>
          <w:rFonts w:hint="eastAsia"/>
          <w:color w:val="000000"/>
          <w:sz w:val="24"/>
          <w:highlight w:val="none"/>
        </w:rPr>
        <w:t xml:space="preserve">                                                </w:t>
      </w:r>
      <w:r>
        <w:rPr>
          <w:color w:val="000000"/>
          <w:sz w:val="24"/>
          <w:highlight w:val="none"/>
        </w:rPr>
      </w:r>
      <w:r/>
    </w:p>
    <w:p>
      <w:pPr>
        <w:pStyle w:val="885"/>
        <w:ind w:firstLine="480"/>
        <w:jc w:val="right"/>
        <w:spacing w:before="100" w:beforeAutospacing="1" w:after="100" w:afterAutospacing="1" w:line="460" w:lineRule="exact"/>
        <w:rPr>
          <w:rFonts w:hint="eastAsia" w:ascii="宋体" w:hAnsi="宋体" w:eastAsia="宋体"/>
          <w:color w:val="000000"/>
          <w:sz w:val="24"/>
          <w:highlight w:val="none"/>
          <w:lang w:eastAsia="zh-CN"/>
        </w:rPr>
        <w:sectPr>
          <w:headerReference w:type="default" r:id="rId12"/>
          <w:footerReference w:type="default" r:id="rId18"/>
          <w:footnotePr/>
          <w:endnotePr/>
          <w:type w:val="nextPage"/>
          <w:pgSz w:w="11906" w:h="16838" w:orient="portrait"/>
          <w:pgMar w:top="1440" w:right="1080" w:bottom="1440" w:left="1080" w:header="0" w:footer="992" w:gutter="0"/>
          <w:pgNumType w:start="46"/>
          <w:cols w:num="1" w:sep="0" w:space="1701" w:equalWidth="1"/>
          <w:docGrid w:linePitch="360"/>
        </w:sectPr>
      </w:pPr>
      <w:r>
        <w:rPr>
          <w:rFonts w:hint="eastAsia"/>
          <w:color w:val="000000"/>
          <w:sz w:val="24"/>
          <w:highlight w:val="none"/>
        </w:rPr>
        <w:t xml:space="preserve"> 年    月    </w:t>
      </w:r>
      <w:r>
        <w:rPr>
          <w:rFonts w:hint="eastAsia"/>
          <w:color w:val="000000"/>
          <w:sz w:val="24"/>
          <w:highlight w:val="none"/>
          <w:lang w:eastAsia="zh-CN"/>
        </w:rPr>
        <w:t xml:space="preserve">日</w:t>
      </w:r>
      <w:r>
        <w:rPr>
          <w:rFonts w:hint="eastAsia" w:ascii="宋体" w:hAnsi="宋体" w:eastAsia="宋体"/>
          <w:color w:val="000000"/>
          <w:sz w:val="24"/>
          <w:highlight w:val="none"/>
          <w:lang w:eastAsia="zh-CN"/>
        </w:rPr>
      </w:r>
      <w:r/>
    </w:p>
    <w:p>
      <w:pPr>
        <w:pStyle w:val="885"/>
        <w:ind w:firstLine="723"/>
        <w:jc w:val="center"/>
        <w:spacing w:line="480" w:lineRule="exact"/>
        <w:rPr>
          <w:rFonts w:ascii="宋体" w:hAnsi="宋体"/>
          <w:b/>
          <w:color w:val="000000"/>
          <w:sz w:val="36"/>
        </w:rPr>
      </w:pPr>
      <w:r>
        <w:rPr>
          <w:rFonts w:hint="eastAsia" w:ascii="宋体" w:hAnsi="宋体"/>
          <w:b/>
          <w:color w:val="000000"/>
          <w:sz w:val="36"/>
        </w:rPr>
        <w:t xml:space="preserve">（十</w:t>
      </w:r>
      <w:r>
        <w:rPr>
          <w:rFonts w:hint="eastAsia" w:ascii="宋体" w:hAnsi="宋体"/>
          <w:b/>
          <w:color w:val="000000"/>
          <w:sz w:val="36"/>
          <w:lang w:eastAsia="zh-CN"/>
        </w:rPr>
        <w:t xml:space="preserve">六</w:t>
      </w:r>
      <w:r>
        <w:rPr>
          <w:rFonts w:hint="eastAsia" w:ascii="宋体" w:hAnsi="宋体"/>
          <w:b/>
          <w:color w:val="000000"/>
          <w:sz w:val="36"/>
        </w:rPr>
        <w:t xml:space="preserve">）</w:t>
      </w:r>
      <w:bookmarkStart w:id="7" w:name="_Toc414269640"/>
      <w:r>
        <w:rPr>
          <w:rFonts w:hint="eastAsia" w:ascii="宋体" w:hAnsi="宋体"/>
          <w:b/>
          <w:color w:val="000000"/>
          <w:sz w:val="36"/>
        </w:rPr>
        <w:t xml:space="preserve">人员配备表</w:t>
      </w:r>
      <w:r>
        <w:rPr>
          <w:rFonts w:ascii="宋体" w:hAnsi="宋体"/>
          <w:b/>
          <w:color w:val="000000"/>
          <w:sz w:val="36"/>
        </w:rPr>
      </w:r>
      <w:r/>
    </w:p>
    <w:tbl>
      <w:tblPr>
        <w:tblW w:w="10269"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1262"/>
        <w:gridCol w:w="2146"/>
        <w:gridCol w:w="1340"/>
        <w:gridCol w:w="1833"/>
        <w:gridCol w:w="2344"/>
      </w:tblGrid>
      <w:tr>
        <w:trPr>
          <w:trHeight w:val="964"/>
        </w:trPr>
        <w:tc>
          <w:tcPr>
            <w:tcW w:w="1344" w:type="dxa"/>
            <w:vAlign w:val="center"/>
            <w:textDirection w:val="lrTb"/>
            <w:noWrap/>
          </w:tcPr>
          <w:p>
            <w:pPr>
              <w:pStyle w:val="885"/>
              <w:jc w:val="center"/>
              <w:widowControl w:val="off"/>
              <w:rPr>
                <w:rFonts w:ascii="宋体" w:hAnsi="宋体" w:eastAsia="宋体"/>
                <w:color w:val="000000"/>
                <w:sz w:val="24"/>
                <w:lang w:val="en-US" w:eastAsia="zh-CN" w:bidi="ar-SA"/>
              </w:rPr>
            </w:pPr>
            <w:r>
              <w:rPr>
                <w:rFonts w:hint="eastAsia" w:ascii="宋体" w:hAnsi="宋体" w:eastAsia="宋体"/>
                <w:color w:val="000000"/>
                <w:sz w:val="24"/>
                <w:lang w:val="en-US" w:eastAsia="zh-CN" w:bidi="ar-SA"/>
              </w:rPr>
              <w:t xml:space="preserve">机   构</w:t>
            </w:r>
            <w:r>
              <w:rPr>
                <w:rFonts w:ascii="宋体" w:hAnsi="宋体" w:eastAsia="宋体"/>
                <w:color w:val="000000"/>
                <w:sz w:val="24"/>
                <w:lang w:val="en-US" w:eastAsia="zh-CN" w:bidi="ar-SA"/>
              </w:rPr>
            </w:r>
            <w:r/>
          </w:p>
        </w:tc>
        <w:tc>
          <w:tcPr>
            <w:tcW w:w="1262" w:type="dxa"/>
            <w:vAlign w:val="center"/>
            <w:textDirection w:val="lrTb"/>
            <w:noWrap/>
          </w:tcPr>
          <w:p>
            <w:pPr>
              <w:pStyle w:val="885"/>
              <w:ind w:firstLine="480"/>
              <w:jc w:val="center"/>
              <w:widowControl w:val="off"/>
              <w:rPr>
                <w:rFonts w:ascii="宋体" w:hAnsi="宋体" w:eastAsia="宋体"/>
                <w:color w:val="000000"/>
                <w:sz w:val="24"/>
                <w:lang w:val="en-US" w:eastAsia="zh-CN" w:bidi="ar-SA"/>
              </w:rPr>
            </w:pPr>
            <w:r>
              <w:rPr>
                <w:rFonts w:hint="eastAsia" w:ascii="宋体" w:hAnsi="宋体" w:eastAsia="宋体"/>
                <w:color w:val="000000"/>
                <w:sz w:val="24"/>
                <w:lang w:val="en-US" w:eastAsia="zh-CN" w:bidi="ar-SA"/>
              </w:rPr>
              <w:t xml:space="preserve">职 位</w:t>
            </w:r>
            <w:r>
              <w:rPr>
                <w:rFonts w:ascii="宋体" w:hAnsi="宋体" w:eastAsia="宋体"/>
                <w:color w:val="000000"/>
                <w:sz w:val="24"/>
                <w:lang w:val="en-US" w:eastAsia="zh-CN" w:bidi="ar-SA"/>
              </w:rPr>
            </w:r>
            <w:r/>
          </w:p>
          <w:p>
            <w:pPr>
              <w:pStyle w:val="885"/>
              <w:ind w:firstLine="480"/>
              <w:jc w:val="center"/>
              <w:widowControl w:val="off"/>
              <w:rPr>
                <w:rFonts w:ascii="宋体" w:hAnsi="宋体" w:eastAsia="宋体"/>
                <w:color w:val="000000"/>
                <w:sz w:val="24"/>
                <w:lang w:val="en-US" w:eastAsia="zh-CN" w:bidi="ar-SA"/>
              </w:rPr>
            </w:pPr>
            <w:r>
              <w:rPr>
                <w:rFonts w:hint="eastAsia" w:ascii="宋体" w:hAnsi="宋体" w:eastAsia="宋体"/>
                <w:color w:val="000000"/>
                <w:sz w:val="24"/>
                <w:lang w:val="en-US" w:eastAsia="zh-CN" w:bidi="ar-SA"/>
              </w:rPr>
              <w:t xml:space="preserve">名 称</w:t>
            </w:r>
            <w:r>
              <w:rPr>
                <w:rFonts w:ascii="宋体" w:hAnsi="宋体" w:eastAsia="宋体"/>
                <w:color w:val="000000"/>
                <w:sz w:val="24"/>
                <w:lang w:val="en-US" w:eastAsia="zh-CN" w:bidi="ar-SA"/>
              </w:rPr>
            </w:r>
            <w:r/>
          </w:p>
        </w:tc>
        <w:tc>
          <w:tcPr>
            <w:tcW w:w="2146" w:type="dxa"/>
            <w:vAlign w:val="center"/>
            <w:textDirection w:val="lrTb"/>
            <w:noWrap/>
          </w:tcPr>
          <w:p>
            <w:pPr>
              <w:pStyle w:val="885"/>
              <w:jc w:val="center"/>
              <w:widowControl w:val="off"/>
              <w:rPr>
                <w:rFonts w:ascii="宋体" w:hAnsi="宋体" w:eastAsia="宋体"/>
                <w:color w:val="000000"/>
                <w:sz w:val="24"/>
                <w:lang w:val="en-US" w:eastAsia="zh-CN" w:bidi="ar-SA"/>
              </w:rPr>
            </w:pPr>
            <w:r>
              <w:rPr>
                <w:rFonts w:hint="eastAsia" w:ascii="宋体" w:hAnsi="宋体" w:eastAsia="宋体"/>
                <w:color w:val="000000"/>
                <w:sz w:val="24"/>
                <w:lang w:val="en-US" w:eastAsia="zh-CN" w:bidi="ar-SA"/>
              </w:rPr>
              <w:t xml:space="preserve">姓  名</w:t>
            </w:r>
            <w:r>
              <w:rPr>
                <w:rFonts w:ascii="宋体" w:hAnsi="宋体" w:eastAsia="宋体"/>
                <w:color w:val="000000"/>
                <w:sz w:val="24"/>
                <w:lang w:val="en-US" w:eastAsia="zh-CN" w:bidi="ar-SA"/>
              </w:rPr>
            </w:r>
            <w:r/>
          </w:p>
        </w:tc>
        <w:tc>
          <w:tcPr>
            <w:tcW w:w="1340" w:type="dxa"/>
            <w:vAlign w:val="center"/>
            <w:textDirection w:val="lrTb"/>
            <w:noWrap/>
          </w:tcPr>
          <w:p>
            <w:pPr>
              <w:pStyle w:val="885"/>
              <w:jc w:val="center"/>
              <w:widowControl w:val="off"/>
              <w:rPr>
                <w:rFonts w:ascii="宋体" w:hAnsi="宋体" w:eastAsia="宋体"/>
                <w:color w:val="000000"/>
                <w:sz w:val="24"/>
                <w:lang w:val="en-US" w:eastAsia="zh-CN" w:bidi="ar-SA"/>
              </w:rPr>
            </w:pPr>
            <w:r>
              <w:rPr>
                <w:rFonts w:hint="eastAsia" w:ascii="宋体" w:hAnsi="宋体" w:eastAsia="宋体"/>
                <w:color w:val="000000"/>
                <w:sz w:val="24"/>
                <w:lang w:val="en-US" w:eastAsia="zh-CN" w:bidi="ar-SA"/>
              </w:rPr>
              <w:t xml:space="preserve">职  务</w:t>
            </w:r>
            <w:r>
              <w:rPr>
                <w:rFonts w:ascii="宋体" w:hAnsi="宋体" w:eastAsia="宋体"/>
                <w:color w:val="000000"/>
                <w:sz w:val="24"/>
                <w:lang w:val="en-US" w:eastAsia="zh-CN" w:bidi="ar-SA"/>
              </w:rPr>
            </w:r>
            <w:r/>
          </w:p>
        </w:tc>
        <w:tc>
          <w:tcPr>
            <w:tcW w:w="1833" w:type="dxa"/>
            <w:vAlign w:val="center"/>
            <w:textDirection w:val="lrTb"/>
            <w:noWrap/>
          </w:tcPr>
          <w:p>
            <w:pPr>
              <w:pStyle w:val="885"/>
              <w:jc w:val="center"/>
              <w:widowControl w:val="off"/>
              <w:rPr>
                <w:rFonts w:ascii="宋体" w:hAnsi="宋体" w:eastAsia="宋体"/>
                <w:color w:val="000000"/>
                <w:sz w:val="24"/>
                <w:lang w:val="en-US" w:eastAsia="zh-CN" w:bidi="ar-SA"/>
              </w:rPr>
            </w:pPr>
            <w:r>
              <w:rPr>
                <w:rFonts w:hint="eastAsia" w:ascii="宋体" w:hAnsi="宋体" w:eastAsia="宋体"/>
                <w:color w:val="000000"/>
                <w:sz w:val="24"/>
                <w:lang w:val="en-US" w:eastAsia="zh-CN" w:bidi="ar-SA"/>
              </w:rPr>
              <w:t xml:space="preserve">职  称</w:t>
            </w:r>
            <w:r>
              <w:rPr>
                <w:rFonts w:ascii="宋体" w:hAnsi="宋体" w:eastAsia="宋体"/>
                <w:color w:val="000000"/>
                <w:sz w:val="24"/>
                <w:lang w:val="en-US" w:eastAsia="zh-CN" w:bidi="ar-SA"/>
              </w:rPr>
            </w:r>
            <w:r/>
          </w:p>
        </w:tc>
        <w:tc>
          <w:tcPr>
            <w:tcW w:w="2344" w:type="dxa"/>
            <w:vAlign w:val="center"/>
            <w:textDirection w:val="lrTb"/>
            <w:noWrap/>
          </w:tcPr>
          <w:p>
            <w:pPr>
              <w:pStyle w:val="885"/>
              <w:jc w:val="center"/>
              <w:widowControl w:val="off"/>
              <w:rPr>
                <w:rFonts w:ascii="宋体" w:hAnsi="宋体" w:eastAsia="宋体"/>
                <w:color w:val="000000"/>
                <w:sz w:val="24"/>
                <w:lang w:val="en-US" w:eastAsia="zh-CN" w:bidi="ar-SA"/>
              </w:rPr>
            </w:pPr>
            <w:r>
              <w:rPr>
                <w:rFonts w:hint="eastAsia" w:ascii="宋体" w:hAnsi="宋体" w:eastAsia="宋体"/>
                <w:color w:val="000000"/>
                <w:sz w:val="24"/>
                <w:lang w:val="en-US" w:eastAsia="zh-CN" w:bidi="ar-SA"/>
              </w:rPr>
              <w:t xml:space="preserve">专 业</w:t>
            </w:r>
            <w:r>
              <w:rPr>
                <w:rFonts w:ascii="宋体" w:hAnsi="宋体" w:eastAsia="宋体"/>
                <w:color w:val="000000"/>
                <w:sz w:val="24"/>
                <w:lang w:val="en-US" w:eastAsia="zh-CN" w:bidi="ar-SA"/>
              </w:rPr>
            </w:r>
            <w:r/>
          </w:p>
        </w:tc>
      </w:tr>
      <w:tr>
        <w:trPr>
          <w:trHeight w:val="850"/>
        </w:trPr>
        <w:tc>
          <w:tcPr>
            <w:tcW w:w="1344" w:type="dxa"/>
            <w:vAlign w:val="center"/>
            <w:vMerge w:val="restart"/>
            <w:textDirection w:val="lrTb"/>
            <w:noWrap/>
          </w:tcPr>
          <w:p>
            <w:pPr>
              <w:pStyle w:val="885"/>
              <w:jc w:val="center"/>
              <w:widowControl w:val="off"/>
              <w:rPr>
                <w:rFonts w:ascii="宋体" w:hAnsi="宋体" w:eastAsia="宋体"/>
                <w:color w:val="000000"/>
                <w:sz w:val="24"/>
                <w:lang w:val="en-US" w:eastAsia="zh-CN" w:bidi="ar-SA"/>
              </w:rPr>
            </w:pPr>
            <w:r>
              <w:rPr>
                <w:rFonts w:hint="eastAsia" w:ascii="宋体" w:hAnsi="宋体" w:eastAsia="宋体"/>
                <w:color w:val="000000"/>
                <w:sz w:val="24"/>
                <w:lang w:val="en-US" w:eastAsia="zh-CN" w:bidi="ar-SA"/>
              </w:rPr>
              <w:t xml:space="preserve">投标人项目部人员</w:t>
            </w:r>
            <w:r>
              <w:rPr>
                <w:rFonts w:ascii="宋体" w:hAnsi="宋体" w:eastAsia="宋体"/>
                <w:color w:val="000000"/>
                <w:sz w:val="24"/>
                <w:lang w:val="en-US" w:eastAsia="zh-CN" w:bidi="ar-SA"/>
              </w:rPr>
            </w:r>
            <w:r/>
          </w:p>
        </w:tc>
        <w:tc>
          <w:tcPr>
            <w:tcW w:w="1262" w:type="dxa"/>
            <w:vAlign w:val="center"/>
            <w:textDirection w:val="lrTb"/>
            <w:noWrap/>
          </w:tcPr>
          <w:p>
            <w:pPr>
              <w:pStyle w:val="885"/>
              <w:jc w:val="both"/>
              <w:widowControl w:val="off"/>
              <w:rPr>
                <w:rFonts w:ascii="宋体" w:hAnsi="宋体" w:eastAsia="宋体"/>
                <w:color w:val="000000"/>
                <w:sz w:val="24"/>
                <w:lang w:val="en-US" w:eastAsia="zh-CN" w:bidi="ar-SA"/>
              </w:rPr>
            </w:pPr>
            <w:r>
              <w:rPr>
                <w:rFonts w:hint="eastAsia" w:ascii="宋体" w:hAnsi="宋体" w:eastAsia="宋体"/>
                <w:color w:val="000000"/>
                <w:sz w:val="24"/>
                <w:lang w:val="en-US" w:eastAsia="zh-CN" w:bidi="ar-SA"/>
              </w:rPr>
              <w:t xml:space="preserve">项目</w:t>
            </w:r>
            <w:r>
              <w:rPr>
                <w:rFonts w:ascii="宋体" w:hAnsi="宋体" w:eastAsia="宋体"/>
                <w:color w:val="000000"/>
                <w:sz w:val="24"/>
                <w:lang w:val="en-US" w:eastAsia="zh-CN" w:bidi="ar-SA"/>
              </w:rPr>
            </w:r>
            <w:r/>
          </w:p>
          <w:p>
            <w:pPr>
              <w:pStyle w:val="885"/>
              <w:jc w:val="both"/>
              <w:widowControl w:val="off"/>
              <w:rPr>
                <w:rFonts w:ascii="宋体" w:hAnsi="宋体" w:eastAsia="宋体"/>
                <w:color w:val="000000"/>
                <w:sz w:val="24"/>
                <w:lang w:val="en-US" w:eastAsia="zh-CN" w:bidi="ar-SA"/>
              </w:rPr>
            </w:pPr>
            <w:r>
              <w:rPr>
                <w:rFonts w:hint="eastAsia" w:ascii="宋体" w:hAnsi="宋体" w:eastAsia="宋体"/>
                <w:color w:val="000000"/>
                <w:sz w:val="24"/>
                <w:lang w:val="en-US" w:eastAsia="zh-CN" w:bidi="ar-SA"/>
              </w:rPr>
              <w:t xml:space="preserve">负责人</w:t>
            </w:r>
            <w:r>
              <w:rPr>
                <w:rFonts w:ascii="宋体" w:hAnsi="宋体" w:eastAsia="宋体"/>
                <w:color w:val="000000"/>
                <w:sz w:val="24"/>
                <w:lang w:val="en-US" w:eastAsia="zh-CN" w:bidi="ar-SA"/>
              </w:rPr>
            </w:r>
            <w:r/>
          </w:p>
        </w:tc>
        <w:tc>
          <w:tcPr>
            <w:tcW w:w="2146"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340"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833"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2344"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r>
      <w:tr>
        <w:trPr>
          <w:trHeight w:val="850"/>
        </w:trPr>
        <w:tc>
          <w:tcPr>
            <w:tcW w:w="1344" w:type="dxa"/>
            <w:vAlign w:val="center"/>
            <w:vMerge w:val="continue"/>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262" w:type="dxa"/>
            <w:vAlign w:val="center"/>
            <w:vMerge w:val="restart"/>
            <w:textDirection w:val="lrTb"/>
            <w:noWrap/>
          </w:tcPr>
          <w:p>
            <w:pPr>
              <w:pStyle w:val="885"/>
              <w:jc w:val="both"/>
              <w:widowControl w:val="off"/>
              <w:rPr>
                <w:rFonts w:ascii="宋体" w:hAnsi="宋体" w:eastAsia="宋体"/>
                <w:color w:val="000000"/>
                <w:sz w:val="24"/>
                <w:lang w:val="en-US" w:eastAsia="zh-CN" w:bidi="ar-SA"/>
              </w:rPr>
            </w:pPr>
            <w:r>
              <w:rPr>
                <w:rFonts w:hint="eastAsia" w:ascii="宋体" w:hAnsi="宋体" w:eastAsia="宋体"/>
                <w:color w:val="000000"/>
                <w:sz w:val="24"/>
                <w:lang w:val="en-US" w:eastAsia="zh-CN" w:bidi="ar-SA"/>
              </w:rPr>
              <w:t xml:space="preserve">项目组成员</w:t>
            </w:r>
            <w:r>
              <w:rPr>
                <w:rFonts w:ascii="宋体" w:hAnsi="宋体" w:eastAsia="宋体"/>
                <w:color w:val="000000"/>
                <w:sz w:val="24"/>
                <w:lang w:val="en-US" w:eastAsia="zh-CN" w:bidi="ar-SA"/>
              </w:rPr>
            </w:r>
            <w:r/>
          </w:p>
        </w:tc>
        <w:tc>
          <w:tcPr>
            <w:tcW w:w="2146"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340"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833"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2344"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r>
      <w:tr>
        <w:trPr>
          <w:trHeight w:val="850"/>
        </w:trPr>
        <w:tc>
          <w:tcPr>
            <w:tcW w:w="1344" w:type="dxa"/>
            <w:vAlign w:val="center"/>
            <w:vMerge w:val="continue"/>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262" w:type="dxa"/>
            <w:vAlign w:val="center"/>
            <w:vMerge w:val="continue"/>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2146"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340"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833"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2344"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r>
      <w:tr>
        <w:trPr>
          <w:trHeight w:val="850"/>
        </w:trPr>
        <w:tc>
          <w:tcPr>
            <w:tcW w:w="1344" w:type="dxa"/>
            <w:vAlign w:val="center"/>
            <w:vMerge w:val="continue"/>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262" w:type="dxa"/>
            <w:vAlign w:val="center"/>
            <w:vMerge w:val="continue"/>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2146"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340"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833"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2344"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r>
      <w:tr>
        <w:trPr>
          <w:trHeight w:val="850"/>
        </w:trPr>
        <w:tc>
          <w:tcPr>
            <w:tcW w:w="1344" w:type="dxa"/>
            <w:vAlign w:val="center"/>
            <w:vMerge w:val="continue"/>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262" w:type="dxa"/>
            <w:vAlign w:val="center"/>
            <w:vMerge w:val="continue"/>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2146"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340"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833"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2344"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r>
      <w:tr>
        <w:trPr>
          <w:trHeight w:val="850"/>
        </w:trPr>
        <w:tc>
          <w:tcPr>
            <w:tcW w:w="1344" w:type="dxa"/>
            <w:vAlign w:val="center"/>
            <w:vMerge w:val="continue"/>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262" w:type="dxa"/>
            <w:vAlign w:val="center"/>
            <w:vMerge w:val="continue"/>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2146"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340"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833"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2344"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r>
      <w:tr>
        <w:trPr>
          <w:trHeight w:val="850"/>
        </w:trPr>
        <w:tc>
          <w:tcPr>
            <w:tcW w:w="1344" w:type="dxa"/>
            <w:vAlign w:val="center"/>
            <w:vMerge w:val="continue"/>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262" w:type="dxa"/>
            <w:vAlign w:val="center"/>
            <w:vMerge w:val="continue"/>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2146"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340"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833"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2344"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r>
      <w:tr>
        <w:trPr>
          <w:trHeight w:val="850"/>
        </w:trPr>
        <w:tc>
          <w:tcPr>
            <w:tcW w:w="1344" w:type="dxa"/>
            <w:vAlign w:val="center"/>
            <w:vMerge w:val="continue"/>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262" w:type="dxa"/>
            <w:vAlign w:val="center"/>
            <w:vMerge w:val="continue"/>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2146"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340"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833"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2344"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r>
      <w:tr>
        <w:trPr>
          <w:trHeight w:val="850"/>
        </w:trPr>
        <w:tc>
          <w:tcPr>
            <w:tcW w:w="1344" w:type="dxa"/>
            <w:vAlign w:val="center"/>
            <w:vMerge w:val="continue"/>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262" w:type="dxa"/>
            <w:vAlign w:val="center"/>
            <w:vMerge w:val="continue"/>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2146"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340"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1833"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c>
          <w:tcPr>
            <w:tcW w:w="2344" w:type="dxa"/>
            <w:vAlign w:val="center"/>
            <w:textDirection w:val="lrTb"/>
            <w:noWrap/>
          </w:tcPr>
          <w:p>
            <w:pPr>
              <w:pStyle w:val="885"/>
              <w:jc w:val="center"/>
              <w:widowControl w:val="off"/>
              <w:rPr>
                <w:rFonts w:ascii="宋体" w:hAnsi="宋体" w:eastAsia="宋体"/>
                <w:color w:val="000000"/>
                <w:sz w:val="24"/>
                <w:lang w:val="en-US" w:eastAsia="zh-CN" w:bidi="ar-SA"/>
              </w:rPr>
            </w:pPr>
            <w:r>
              <w:rPr>
                <w:rFonts w:ascii="宋体" w:hAnsi="宋体" w:eastAsia="宋体"/>
                <w:color w:val="000000"/>
                <w:sz w:val="24"/>
                <w:lang w:val="en-US" w:eastAsia="zh-CN" w:bidi="ar-SA"/>
              </w:rPr>
            </w:r>
            <w:r/>
          </w:p>
        </w:tc>
      </w:tr>
    </w:tbl>
    <w:p>
      <w:pPr>
        <w:pStyle w:val="885"/>
        <w:rPr>
          <w:rFonts w:ascii="宋体" w:hAnsi="宋体"/>
          <w:b/>
          <w:color w:val="000000"/>
        </w:rPr>
      </w:pPr>
      <w:r>
        <w:rPr>
          <w:rFonts w:ascii="宋体" w:hAnsi="宋体"/>
          <w:b/>
          <w:color w:val="000000"/>
        </w:rPr>
      </w:r>
      <w:r/>
    </w:p>
    <w:p>
      <w:pPr>
        <w:pStyle w:val="1077"/>
        <w:ind w:firstLine="480"/>
        <w:jc w:val="left"/>
        <w:spacing w:before="120" w:after="120" w:line="480" w:lineRule="exact"/>
        <w:rPr>
          <w:rFonts w:hAnsi="宋体"/>
          <w:color w:val="000000"/>
          <w:sz w:val="24"/>
          <w:szCs w:val="24"/>
        </w:rPr>
      </w:pPr>
      <w:r/>
      <w:bookmarkEnd w:id="7"/>
      <w:r>
        <w:rPr>
          <w:rFonts w:hint="eastAsia" w:hAnsi="宋体"/>
          <w:color w:val="000000"/>
          <w:sz w:val="24"/>
          <w:szCs w:val="24"/>
        </w:rPr>
        <w:t xml:space="preserve">投标单位：(盖章)</w:t>
      </w:r>
      <w:r>
        <w:rPr>
          <w:rFonts w:hAnsi="宋体"/>
          <w:color w:val="000000"/>
          <w:sz w:val="24"/>
          <w:szCs w:val="24"/>
        </w:rPr>
      </w:r>
      <w:r/>
    </w:p>
    <w:p>
      <w:pPr>
        <w:pStyle w:val="1077"/>
        <w:ind w:firstLine="480"/>
        <w:jc w:val="left"/>
        <w:spacing w:before="120" w:after="120" w:line="480" w:lineRule="exact"/>
        <w:rPr>
          <w:rFonts w:hAnsi="宋体"/>
          <w:color w:val="000000"/>
          <w:sz w:val="24"/>
          <w:szCs w:val="24"/>
        </w:rPr>
      </w:pPr>
      <w:r>
        <w:rPr>
          <w:rFonts w:hint="eastAsia" w:hAnsi="宋体"/>
          <w:color w:val="000000"/>
          <w:sz w:val="24"/>
          <w:szCs w:val="24"/>
        </w:rPr>
        <w:t xml:space="preserve">法定代表人或委托代理人：(盖章或签字)</w:t>
      </w:r>
      <w:r>
        <w:rPr>
          <w:rFonts w:hAnsi="宋体"/>
          <w:color w:val="000000"/>
          <w:sz w:val="24"/>
          <w:szCs w:val="24"/>
        </w:rPr>
      </w:r>
      <w:r/>
    </w:p>
    <w:p>
      <w:pPr>
        <w:pStyle w:val="885"/>
        <w:ind w:right="105"/>
        <w:jc w:val="right"/>
        <w:spacing w:line="480" w:lineRule="exact"/>
        <w:rPr>
          <w:rFonts w:hint="eastAsia" w:ascii="宋体" w:hAnsi="宋体"/>
          <w:color w:val="000000"/>
          <w:sz w:val="24"/>
        </w:rPr>
      </w:pPr>
      <w:r>
        <w:rPr>
          <w:rFonts w:hint="eastAsia" w:ascii="宋体" w:hAnsi="宋体"/>
          <w:color w:val="000000"/>
          <w:sz w:val="24"/>
        </w:rPr>
      </w:r>
      <w:r/>
    </w:p>
    <w:p>
      <w:pPr>
        <w:pStyle w:val="885"/>
        <w:ind w:right="105" w:firstLine="480"/>
        <w:jc w:val="right"/>
        <w:spacing w:line="48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85"/>
        <w:jc w:val="center"/>
        <w:spacing w:line="480" w:lineRule="exact"/>
        <w:rPr>
          <w:rFonts w:ascii="黑体" w:eastAsia="黑体"/>
          <w:b/>
          <w:color w:val="000000"/>
          <w:sz w:val="36"/>
        </w:rPr>
      </w:pPr>
      <w:r>
        <w:rPr>
          <w:rFonts w:ascii="黑体" w:eastAsia="黑体"/>
          <w:b/>
          <w:color w:val="000000"/>
          <w:sz w:val="36"/>
        </w:rPr>
      </w:r>
      <w:r/>
    </w:p>
    <w:p>
      <w:pPr>
        <w:pStyle w:val="885"/>
        <w:spacing w:line="480" w:lineRule="exact"/>
        <w:rPr>
          <w:rFonts w:ascii="黑体" w:eastAsia="黑体"/>
          <w:b/>
          <w:color w:val="000000"/>
          <w:sz w:val="36"/>
        </w:rPr>
      </w:pPr>
      <w:r>
        <w:rPr>
          <w:rFonts w:ascii="黑体" w:eastAsia="黑体"/>
          <w:b/>
          <w:color w:val="000000"/>
          <w:sz w:val="36"/>
        </w:rPr>
      </w:r>
      <w:r/>
    </w:p>
    <w:p>
      <w:pPr>
        <w:pStyle w:val="1073"/>
        <w:rPr>
          <w:rFonts w:ascii="黑体" w:eastAsia="黑体"/>
          <w:b/>
          <w:color w:val="000000"/>
          <w:sz w:val="36"/>
        </w:rPr>
      </w:pPr>
      <w:r>
        <w:rPr>
          <w:rFonts w:ascii="黑体" w:eastAsia="黑体"/>
          <w:b/>
          <w:color w:val="000000"/>
          <w:sz w:val="36"/>
        </w:rPr>
      </w:r>
      <w:r/>
    </w:p>
    <w:p>
      <w:pPr>
        <w:pStyle w:val="885"/>
        <w:jc w:val="both"/>
        <w:rPr>
          <w:rFonts w:hint="eastAsia"/>
          <w:b/>
          <w:color w:val="000000"/>
          <w:sz w:val="36"/>
          <w:szCs w:val="36"/>
        </w:rPr>
      </w:pPr>
      <w:r>
        <w:rPr>
          <w:rFonts w:hint="eastAsia"/>
          <w:b/>
          <w:color w:val="000000"/>
          <w:sz w:val="36"/>
          <w:szCs w:val="36"/>
        </w:rPr>
      </w:r>
      <w:r/>
    </w:p>
    <w:p>
      <w:pPr>
        <w:pStyle w:val="885"/>
        <w:ind w:firstLine="723"/>
        <w:jc w:val="center"/>
        <w:spacing w:line="480" w:lineRule="exact"/>
        <w:rPr>
          <w:rFonts w:ascii="宋体" w:hAnsi="宋体" w:cs="宋体"/>
          <w:b/>
          <w:color w:val="000000"/>
          <w:sz w:val="36"/>
          <w:szCs w:val="36"/>
        </w:rPr>
      </w:pPr>
      <w:r>
        <w:rPr>
          <w:rFonts w:hint="eastAsia" w:ascii="宋体" w:hAnsi="宋体" w:cs="宋体"/>
          <w:b/>
          <w:color w:val="000000"/>
          <w:sz w:val="36"/>
        </w:rPr>
        <w:t xml:space="preserve">（十</w:t>
      </w:r>
      <w:r>
        <w:rPr>
          <w:rFonts w:hint="eastAsia" w:ascii="宋体" w:hAnsi="宋体" w:cs="宋体"/>
          <w:b/>
          <w:color w:val="000000"/>
          <w:sz w:val="36"/>
          <w:lang w:val="en-US" w:eastAsia="zh-CN"/>
        </w:rPr>
        <w:t xml:space="preserve">七</w:t>
      </w:r>
      <w:r>
        <w:rPr>
          <w:rFonts w:hint="eastAsia" w:ascii="宋体" w:hAnsi="宋体" w:cs="宋体"/>
          <w:b/>
          <w:color w:val="000000"/>
          <w:sz w:val="36"/>
        </w:rPr>
        <w:t xml:space="preserve">）</w:t>
      </w:r>
      <w:r>
        <w:rPr>
          <w:rFonts w:hint="eastAsia" w:ascii="宋体" w:hAnsi="宋体" w:cs="宋体"/>
          <w:b/>
          <w:color w:val="000000"/>
          <w:sz w:val="36"/>
          <w:szCs w:val="36"/>
        </w:rPr>
        <w:t xml:space="preserve">缴纳社会保险承诺函</w:t>
      </w:r>
      <w:r>
        <w:rPr>
          <w:rFonts w:ascii="宋体" w:hAnsi="宋体" w:cs="宋体"/>
          <w:b/>
          <w:color w:val="000000"/>
          <w:sz w:val="36"/>
          <w:szCs w:val="36"/>
        </w:rPr>
      </w:r>
      <w:r/>
    </w:p>
    <w:p>
      <w:pPr>
        <w:pStyle w:val="885"/>
        <w:ind w:firstLine="482"/>
        <w:jc w:val="left"/>
        <w:spacing w:line="480" w:lineRule="exact"/>
        <w:widowControl/>
        <w:rPr>
          <w:rFonts w:ascii="宋体"/>
          <w:color w:val="000000"/>
          <w:sz w:val="24"/>
          <w:highlight w:val="none"/>
        </w:rPr>
      </w:pPr>
      <w:r>
        <w:rPr>
          <w:rFonts w:hint="eastAsia" w:ascii="宋体" w:hAnsi="宋体"/>
          <w:b/>
          <w:bCs/>
          <w:color w:val="000000"/>
          <w:sz w:val="24"/>
          <w:highlight w:val="none"/>
          <w:lang w:val="en-US" w:eastAsia="zh-CN"/>
        </w:rPr>
        <w:t xml:space="preserve">采购</w:t>
      </w:r>
      <w:r>
        <w:rPr>
          <w:rFonts w:ascii="宋体" w:hAnsi="宋体"/>
          <w:b/>
          <w:bCs/>
          <w:color w:val="000000"/>
          <w:sz w:val="24"/>
          <w:highlight w:val="none"/>
        </w:rPr>
        <w:t xml:space="preserve">人</w:t>
      </w:r>
      <w:r>
        <w:rPr>
          <w:rFonts w:ascii="宋体" w:hAnsi="宋体"/>
          <w:color w:val="000000"/>
          <w:sz w:val="24"/>
          <w:highlight w:val="none"/>
        </w:rPr>
        <w:t xml:space="preserve">：</w:t>
      </w:r>
      <w:r>
        <w:rPr>
          <w:rFonts w:hint="eastAsia" w:hAnsi="宋体"/>
          <w:b/>
          <w:bCs/>
          <w:color w:val="000000"/>
          <w:sz w:val="24"/>
          <w:highlight w:val="none"/>
          <w:u w:val="single"/>
          <w:lang w:eastAsia="zh-CN"/>
        </w:rPr>
        <w:t xml:space="preserve">江苏省建湖高级中学</w:t>
      </w:r>
      <w:r>
        <w:rPr>
          <w:rFonts w:ascii="宋体"/>
          <w:color w:val="000000"/>
          <w:sz w:val="24"/>
          <w:highlight w:val="none"/>
        </w:rPr>
      </w:r>
      <w:r/>
    </w:p>
    <w:p>
      <w:pPr>
        <w:pStyle w:val="885"/>
        <w:ind w:left="2" w:firstLine="480"/>
        <w:jc w:val="left"/>
        <w:spacing w:line="660" w:lineRule="exact"/>
        <w:widowControl/>
        <w:rPr>
          <w:rFonts w:ascii="宋体"/>
          <w:color w:val="000000"/>
          <w:sz w:val="24"/>
          <w:highlight w:val="none"/>
        </w:rPr>
      </w:pPr>
      <w:r>
        <w:rPr>
          <w:rFonts w:ascii="宋体" w:hAnsi="宋体"/>
          <w:color w:val="000000"/>
          <w:sz w:val="24"/>
          <w:highlight w:val="none"/>
        </w:rPr>
        <w:t xml:space="preserve">我单位承诺项目组负责人为本单位的正式职工，并确保在本项目开标前1个月（不含投标当月）在本单位缴纳社会养老保险。如违反上述承诺，可视为我单位存在弄虚作假行为，我单位自愿放弃中标资格，并接受你方及行业主管部门的相关处罚。</w:t>
      </w:r>
      <w:r>
        <w:rPr>
          <w:rFonts w:ascii="宋体"/>
          <w:color w:val="000000"/>
          <w:sz w:val="24"/>
          <w:highlight w:val="none"/>
        </w:rPr>
      </w:r>
      <w:r/>
    </w:p>
    <w:p>
      <w:pPr>
        <w:pStyle w:val="885"/>
        <w:ind w:left="2" w:firstLine="480"/>
        <w:jc w:val="left"/>
        <w:spacing w:line="520" w:lineRule="exact"/>
        <w:widowControl/>
        <w:rPr>
          <w:rFonts w:ascii="宋体"/>
          <w:color w:val="000000"/>
          <w:sz w:val="24"/>
          <w:highlight w:val="none"/>
        </w:rPr>
      </w:pPr>
      <w:r>
        <w:rPr>
          <w:rFonts w:ascii="宋体"/>
          <w:color w:val="000000"/>
          <w:sz w:val="24"/>
          <w:highlight w:val="none"/>
        </w:rPr>
      </w:r>
      <w:r/>
    </w:p>
    <w:p>
      <w:pPr>
        <w:pStyle w:val="885"/>
        <w:ind w:left="2" w:firstLine="480"/>
        <w:jc w:val="left"/>
        <w:spacing w:line="520" w:lineRule="exact"/>
        <w:widowControl/>
        <w:rPr>
          <w:rFonts w:ascii="宋体"/>
          <w:color w:val="000000"/>
          <w:sz w:val="24"/>
          <w:highlight w:val="none"/>
        </w:rPr>
      </w:pPr>
      <w:r>
        <w:rPr>
          <w:rFonts w:ascii="宋体"/>
          <w:color w:val="000000"/>
          <w:sz w:val="24"/>
          <w:highlight w:val="none"/>
        </w:rPr>
      </w:r>
      <w:r/>
    </w:p>
    <w:p>
      <w:pPr>
        <w:pStyle w:val="885"/>
        <w:jc w:val="left"/>
        <w:spacing w:line="520" w:lineRule="exact"/>
        <w:widowControl/>
        <w:rPr>
          <w:rFonts w:ascii="宋体" w:hAnsi="宋体"/>
          <w:color w:val="000000"/>
          <w:sz w:val="24"/>
          <w:highlight w:val="none"/>
        </w:rPr>
      </w:pPr>
      <w:r>
        <w:rPr>
          <w:rFonts w:ascii="宋体" w:hAnsi="宋体"/>
          <w:color w:val="000000"/>
          <w:sz w:val="24"/>
          <w:highlight w:val="none"/>
        </w:rPr>
      </w:r>
      <w:r/>
    </w:p>
    <w:p>
      <w:pPr>
        <w:pStyle w:val="885"/>
        <w:ind w:left="2" w:firstLine="480"/>
        <w:jc w:val="left"/>
        <w:spacing w:line="520" w:lineRule="exact"/>
        <w:widowControl/>
        <w:rPr>
          <w:rFonts w:ascii="宋体"/>
          <w:color w:val="000000"/>
          <w:sz w:val="24"/>
          <w:highlight w:val="none"/>
        </w:rPr>
      </w:pPr>
      <w:r>
        <w:rPr>
          <w:rFonts w:ascii="宋体" w:hAnsi="宋体"/>
          <w:color w:val="000000"/>
          <w:sz w:val="24"/>
          <w:highlight w:val="none"/>
        </w:rPr>
        <w:t xml:space="preserve">投标单位：（盖章）</w:t>
      </w:r>
      <w:r>
        <w:rPr>
          <w:rFonts w:ascii="宋体"/>
          <w:color w:val="000000"/>
          <w:sz w:val="24"/>
          <w:highlight w:val="none"/>
        </w:rPr>
      </w:r>
      <w:r/>
    </w:p>
    <w:p>
      <w:pPr>
        <w:pStyle w:val="885"/>
        <w:jc w:val="left"/>
        <w:spacing w:line="520" w:lineRule="exact"/>
        <w:widowControl/>
        <w:rPr>
          <w:rFonts w:ascii="宋体"/>
          <w:color w:val="000000"/>
          <w:sz w:val="24"/>
          <w:highlight w:val="none"/>
        </w:rPr>
      </w:pPr>
      <w:r>
        <w:rPr>
          <w:rFonts w:ascii="宋体"/>
          <w:color w:val="000000"/>
          <w:sz w:val="24"/>
          <w:highlight w:val="none"/>
        </w:rPr>
      </w:r>
      <w:r/>
    </w:p>
    <w:p>
      <w:pPr>
        <w:pStyle w:val="885"/>
        <w:ind w:left="2" w:firstLine="480"/>
        <w:jc w:val="left"/>
        <w:spacing w:line="520" w:lineRule="exact"/>
        <w:widowControl/>
        <w:rPr>
          <w:rFonts w:ascii="宋体"/>
          <w:color w:val="000000"/>
          <w:sz w:val="24"/>
          <w:highlight w:val="none"/>
        </w:rPr>
      </w:pPr>
      <w:r>
        <w:rPr>
          <w:rFonts w:ascii="宋体" w:hAnsi="宋体"/>
          <w:color w:val="000000"/>
          <w:sz w:val="24"/>
          <w:highlight w:val="none"/>
        </w:rPr>
        <w:t xml:space="preserve">法定代表人/单位负责人（或委托代理人）：（签字或盖章）</w:t>
      </w:r>
      <w:r>
        <w:rPr>
          <w:rFonts w:ascii="宋体"/>
          <w:color w:val="000000"/>
          <w:sz w:val="24"/>
          <w:highlight w:val="none"/>
        </w:rPr>
      </w:r>
      <w:r/>
    </w:p>
    <w:p>
      <w:pPr>
        <w:pStyle w:val="885"/>
        <w:ind w:left="2" w:firstLine="480"/>
        <w:jc w:val="left"/>
        <w:spacing w:line="520" w:lineRule="exact"/>
        <w:widowControl/>
        <w:rPr>
          <w:rFonts w:ascii="宋体"/>
          <w:color w:val="000000"/>
          <w:sz w:val="24"/>
          <w:highlight w:val="none"/>
        </w:rPr>
      </w:pPr>
      <w:r>
        <w:rPr>
          <w:rFonts w:ascii="宋体"/>
          <w:color w:val="000000"/>
          <w:sz w:val="24"/>
          <w:highlight w:val="none"/>
        </w:rPr>
      </w:r>
      <w:r/>
    </w:p>
    <w:p>
      <w:pPr>
        <w:pStyle w:val="885"/>
        <w:ind w:left="2" w:firstLine="480"/>
        <w:jc w:val="left"/>
        <w:spacing w:line="520" w:lineRule="exact"/>
        <w:widowControl/>
        <w:rPr>
          <w:rFonts w:ascii="宋体"/>
          <w:color w:val="000000"/>
          <w:sz w:val="24"/>
          <w:highlight w:val="none"/>
        </w:rPr>
      </w:pPr>
      <w:r>
        <w:rPr>
          <w:rFonts w:ascii="宋体"/>
          <w:color w:val="000000"/>
          <w:sz w:val="24"/>
          <w:highlight w:val="none"/>
        </w:rPr>
      </w:r>
      <w:r/>
    </w:p>
    <w:p>
      <w:pPr>
        <w:pStyle w:val="885"/>
        <w:ind w:left="2" w:firstLine="480"/>
        <w:jc w:val="right"/>
        <w:spacing w:line="520" w:lineRule="exact"/>
        <w:widowControl/>
        <w:rPr>
          <w:rFonts w:ascii="宋体"/>
          <w:color w:val="000000"/>
          <w:sz w:val="24"/>
          <w:highlight w:val="none"/>
        </w:rPr>
      </w:pPr>
      <w:r>
        <w:rPr>
          <w:rFonts w:ascii="宋体" w:hAnsi="宋体"/>
          <w:color w:val="000000"/>
          <w:sz w:val="24"/>
          <w:highlight w:val="none"/>
        </w:rPr>
        <w:t xml:space="preserve">日  期：      年     月     日</w:t>
      </w:r>
      <w:r>
        <w:rPr>
          <w:rFonts w:ascii="宋体"/>
          <w:color w:val="000000"/>
          <w:sz w:val="24"/>
          <w:highlight w:val="none"/>
        </w:rPr>
      </w:r>
      <w:r/>
    </w:p>
    <w:p>
      <w:pPr>
        <w:pStyle w:val="885"/>
        <w:contextualSpacing/>
        <w:ind w:firstLine="723"/>
        <w:jc w:val="center"/>
        <w:keepLines/>
        <w:keepNext/>
        <w:rPr>
          <w:rFonts w:ascii="宋体" w:hAnsi="宋体"/>
          <w:b/>
          <w:bCs/>
          <w:color w:val="000000"/>
          <w:sz w:val="36"/>
          <w:szCs w:val="36"/>
        </w:rPr>
        <w:outlineLvl w:val="2"/>
      </w:pPr>
      <w:r/>
      <w:bookmarkStart w:id="8" w:name="_Toc42355144"/>
      <w:r/>
      <w:bookmarkStart w:id="9" w:name="_Toc88721319"/>
      <w:r>
        <w:rPr>
          <w:rFonts w:hint="eastAsia" w:ascii="宋体" w:hAnsi="宋体"/>
          <w:b/>
          <w:bCs/>
          <w:color w:val="000000"/>
          <w:sz w:val="36"/>
          <w:szCs w:val="36"/>
        </w:rPr>
        <w:br w:type="page" w:clear="all"/>
      </w:r>
      <w:r>
        <w:rPr>
          <w:rFonts w:hint="eastAsia" w:ascii="宋体" w:hAnsi="宋体"/>
          <w:b/>
          <w:bCs/>
          <w:color w:val="000000"/>
          <w:sz w:val="36"/>
          <w:szCs w:val="36"/>
        </w:rPr>
        <w:t xml:space="preserve">（十</w:t>
      </w:r>
      <w:r>
        <w:rPr>
          <w:rFonts w:hint="eastAsia" w:ascii="宋体" w:hAnsi="宋体"/>
          <w:b/>
          <w:bCs/>
          <w:color w:val="000000"/>
          <w:sz w:val="36"/>
          <w:szCs w:val="36"/>
          <w:lang w:val="en-US" w:eastAsia="zh-CN"/>
        </w:rPr>
        <w:t xml:space="preserve">八</w:t>
      </w:r>
      <w:r>
        <w:rPr>
          <w:rFonts w:hint="eastAsia" w:ascii="宋体" w:hAnsi="宋体"/>
          <w:b/>
          <w:bCs/>
          <w:color w:val="000000"/>
          <w:sz w:val="36"/>
          <w:szCs w:val="36"/>
        </w:rPr>
        <w:t xml:space="preserve">）实施方案</w:t>
      </w:r>
      <w:bookmarkEnd w:id="8"/>
      <w:r/>
      <w:bookmarkEnd w:id="9"/>
      <w:r>
        <w:rPr>
          <w:rFonts w:ascii="宋体" w:hAnsi="宋体"/>
          <w:b/>
          <w:bCs/>
          <w:color w:val="000000"/>
          <w:sz w:val="36"/>
          <w:szCs w:val="36"/>
        </w:rPr>
      </w:r>
      <w:r/>
    </w:p>
    <w:p>
      <w:pPr>
        <w:pStyle w:val="1090"/>
        <w:ind w:left="0" w:firstLine="480"/>
        <w:tabs>
          <w:tab w:val="left" w:pos="180" w:leader="none"/>
        </w:tabs>
        <w:rPr>
          <w:rFonts w:hint="eastAsia" w:ascii="宋体" w:hAnsi="宋体"/>
          <w:color w:val="000000"/>
        </w:rPr>
      </w:pPr>
      <w:r>
        <w:rPr>
          <w:rFonts w:hint="eastAsia" w:ascii="宋体" w:hAnsi="宋体"/>
          <w:color w:val="000000"/>
        </w:rPr>
        <w:t xml:space="preserve">（投标人根据评标细则中的相关要求自行编制，格式自制）</w:t>
      </w:r>
      <w:r/>
    </w:p>
    <w:sectPr>
      <w:headerReference w:type="default" r:id="rId13"/>
      <w:footerReference w:type="default" r:id="rId19"/>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新宋体">
    <w:panose1 w:val="02010609030101010101"/>
  </w:font>
  <w:font w:name="Wingdings">
    <w:panose1 w:val="05000000000000000000"/>
  </w:font>
  <w:font w:name="楷体_GB2312">
    <w:panose1 w:val="02010609060101010101"/>
  </w:font>
  <w:font w:name="方正仿宋_GBK">
    <w:panose1 w:val="020B0503020202020204"/>
  </w:font>
  <w:font w:name="仿宋">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093"/>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885"/>
                          </w:pPr>
                          <w:r/>
                          <w:r/>
                        </w:p>
                        <w:p>
                          <w:pPr>
                            <w:pStyle w:val="885"/>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885"/>
                    </w:pPr>
                    <w:r/>
                    <w:r/>
                  </w:p>
                  <w:p>
                    <w:pPr>
                      <w:pStyle w:val="885"/>
                    </w:pPr>
                    <w:r/>
                    <w:r/>
                  </w:p>
                </w:txbxContent>
              </v:textbox>
            </v:shape>
          </w:pict>
        </mc:Fallback>
      </mc:AlternateContent>
    </w:r>
    <w:r>
      <w:rPr>
        <w:rStyle w:val="1093"/>
        <w:rFonts w:hint="eastAsia"/>
      </w:rPr>
    </w:r>
    <w:r/>
  </w:p>
  <w:p>
    <w:pPr>
      <w:pStyle w:val="1080"/>
      <w:ind w:right="360"/>
      <w:tabs>
        <w:tab w:val="center" w:pos="4153" w:leader="none"/>
        <w:tab w:val="right" w:pos="8306" w:leader="none"/>
      </w:tabs>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82550"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82550" cy="131445"/>
                      </a:xfrm>
                      <a:prstGeom prst="rect">
                        <a:avLst/>
                      </a:prstGeom>
                      <a:noFill/>
                      <a:ln>
                        <a:noFill/>
                      </a:ln>
                    </wps:spPr>
                    <wps:txbx>
                      <w:txbxContent>
                        <w:p>
                          <w:pPr>
                            <w:pStyle w:val="1080"/>
                            <w:tabs>
                              <w:tab w:val="clear" w:pos="4153" w:leader="none"/>
                              <w:tab w:val="clear" w:pos="8306" w:leader="none"/>
                            </w:tabs>
                          </w:pPr>
                          <w:r>
                            <w:fldChar w:fldCharType="begin"/>
                          </w:r>
                          <w:r>
                            <w:rPr>
                              <w:rStyle w:val="1093"/>
                            </w:rPr>
                            <w:instrText xml:space="preserve">Page</w:instrText>
                          </w:r>
                          <w:r>
                            <w:fldChar w:fldCharType="separate"/>
                          </w:r>
                          <w:r>
                            <w:rPr>
                              <w:rStyle w:val="1093"/>
                            </w:rPr>
                            <w:t xml:space="preserve">26</w:t>
                          </w:r>
                          <w:r>
                            <w:fldChar w:fldCharType="end"/>
                          </w:r>
                          <w:r/>
                        </w:p>
                        <w:p>
                          <w:pPr>
                            <w:pStyle w:val="885"/>
                          </w:pPr>
                          <w:r/>
                          <w:r/>
                        </w:p>
                        <w:p>
                          <w:pPr>
                            <w:pStyle w:val="8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rPr>
                        <w:rStyle w:val="1093"/>
                      </w:rPr>
                      <w:instrText xml:space="preserve">Page</w:instrText>
                    </w:r>
                    <w:r>
                      <w:fldChar w:fldCharType="separate"/>
                    </w:r>
                    <w:r>
                      <w:rPr>
                        <w:rStyle w:val="1093"/>
                      </w:rPr>
                      <w:t xml:space="preserve">26</w:t>
                    </w:r>
                    <w:r>
                      <w:fldChar w:fldCharType="end"/>
                    </w:r>
                    <w:r/>
                  </w:p>
                  <w:p>
                    <w:pPr>
                      <w:pStyle w:val="885"/>
                    </w:pPr>
                    <w:r/>
                    <w:r/>
                  </w:p>
                  <w:p>
                    <w:pPr>
                      <w:pStyle w:val="88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82550"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82550" cy="131445"/>
                      </a:xfrm>
                      <a:prstGeom prst="rect">
                        <a:avLst/>
                      </a:prstGeom>
                      <a:noFill/>
                      <a:ln>
                        <a:noFill/>
                      </a:ln>
                    </wps:spPr>
                    <wps:txbx>
                      <w:txbxContent>
                        <w:p>
                          <w:pPr>
                            <w:pStyle w:val="1080"/>
                            <w:tabs>
                              <w:tab w:val="clear" w:pos="4153" w:leader="none"/>
                              <w:tab w:val="clear" w:pos="8306" w:leader="none"/>
                            </w:tabs>
                          </w:pPr>
                          <w:r>
                            <w:fldChar w:fldCharType="begin"/>
                          </w:r>
                          <w:r>
                            <w:rPr>
                              <w:rStyle w:val="1093"/>
                            </w:rPr>
                            <w:instrText xml:space="preserve">Page</w:instrText>
                          </w:r>
                          <w:r>
                            <w:fldChar w:fldCharType="separate"/>
                          </w:r>
                          <w:r>
                            <w:rPr>
                              <w:rStyle w:val="1093"/>
                            </w:rPr>
                            <w:t xml:space="preserve">26</w:t>
                          </w:r>
                          <w:r>
                            <w:fldChar w:fldCharType="end"/>
                          </w:r>
                          <w:r/>
                        </w:p>
                        <w:p>
                          <w:pPr>
                            <w:pStyle w:val="885"/>
                          </w:pPr>
                          <w:r/>
                          <w:r/>
                        </w:p>
                        <w:p>
                          <w:pPr>
                            <w:pStyle w:val="88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rPr>
                        <w:rStyle w:val="1093"/>
                      </w:rPr>
                      <w:instrText xml:space="preserve">Page</w:instrText>
                    </w:r>
                    <w:r>
                      <w:fldChar w:fldCharType="separate"/>
                    </w:r>
                    <w:r>
                      <w:rPr>
                        <w:rStyle w:val="1093"/>
                      </w:rPr>
                      <w:t xml:space="preserve">26</w:t>
                    </w:r>
                    <w:r>
                      <w:fldChar w:fldCharType="end"/>
                    </w:r>
                    <w:r/>
                  </w:p>
                  <w:p>
                    <w:pPr>
                      <w:pStyle w:val="885"/>
                    </w:pPr>
                    <w:r/>
                    <w:r/>
                  </w:p>
                  <w:p>
                    <w:pPr>
                      <w:pStyle w:val="88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82550"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82550" cy="131445"/>
                      </a:xfrm>
                      <a:prstGeom prst="rect">
                        <a:avLst/>
                      </a:prstGeom>
                      <a:noFill/>
                      <a:ln>
                        <a:noFill/>
                      </a:ln>
                    </wps:spPr>
                    <wps:txbx>
                      <w:txbxContent>
                        <w:p>
                          <w:pPr>
                            <w:pStyle w:val="1080"/>
                            <w:tabs>
                              <w:tab w:val="clear" w:pos="4153" w:leader="none"/>
                              <w:tab w:val="clear" w:pos="8306" w:leader="none"/>
                            </w:tabs>
                          </w:pPr>
                          <w:r>
                            <w:fldChar w:fldCharType="begin"/>
                          </w:r>
                          <w:r>
                            <w:rPr>
                              <w:rStyle w:val="1093"/>
                            </w:rPr>
                            <w:instrText xml:space="preserve">Page</w:instrText>
                          </w:r>
                          <w:r>
                            <w:fldChar w:fldCharType="separate"/>
                          </w:r>
                          <w:r>
                            <w:rPr>
                              <w:rStyle w:val="1093"/>
                            </w:rPr>
                            <w:t xml:space="preserve">26</w:t>
                          </w:r>
                          <w:r>
                            <w:fldChar w:fldCharType="end"/>
                          </w:r>
                          <w:r/>
                        </w:p>
                        <w:p>
                          <w:pPr>
                            <w:pStyle w:val="885"/>
                          </w:pPr>
                          <w:r/>
                          <w:r/>
                        </w:p>
                        <w:p>
                          <w:pPr>
                            <w:pStyle w:val="88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rPr>
                        <w:rStyle w:val="1093"/>
                      </w:rPr>
                      <w:instrText xml:space="preserve">Page</w:instrText>
                    </w:r>
                    <w:r>
                      <w:fldChar w:fldCharType="separate"/>
                    </w:r>
                    <w:r>
                      <w:rPr>
                        <w:rStyle w:val="1093"/>
                      </w:rPr>
                      <w:t xml:space="preserve">26</w:t>
                    </w:r>
                    <w:r>
                      <w:fldChar w:fldCharType="end"/>
                    </w:r>
                    <w:r/>
                  </w:p>
                  <w:p>
                    <w:pPr>
                      <w:pStyle w:val="885"/>
                    </w:pPr>
                    <w:r/>
                    <w:r/>
                  </w:p>
                  <w:p>
                    <w:pPr>
                      <w:pStyle w:val="88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ind w:firstLine="420"/>
                            <w:tabs>
                              <w:tab w:val="clear" w:pos="180" w:leader="none"/>
                            </w:tabs>
                            <w:rPr>
                              <w:sz w:val="21"/>
                              <w:szCs w:val="21"/>
                            </w:rPr>
                          </w:pPr>
                          <w:r>
                            <w:rPr>
                              <w:sz w:val="21"/>
                              <w:szCs w:val="21"/>
                            </w:rPr>
                            <w:fldChar w:fldCharType="begin"/>
                          </w:r>
                          <w:r>
                            <w:rPr>
                              <w:rStyle w:val="1093"/>
                              <w:sz w:val="21"/>
                              <w:szCs w:val="21"/>
                            </w:rPr>
                            <w:instrText xml:space="preserve"> PAGE  </w:instrText>
                          </w:r>
                          <w:r>
                            <w:rPr>
                              <w:sz w:val="21"/>
                              <w:szCs w:val="21"/>
                            </w:rPr>
                            <w:fldChar w:fldCharType="separate"/>
                          </w:r>
                          <w:r>
                            <w:rPr>
                              <w:rStyle w:val="1093"/>
                              <w:sz w:val="21"/>
                              <w:szCs w:val="21"/>
                            </w:rPr>
                            <w:t xml:space="preserve">21</w:t>
                          </w:r>
                          <w:r>
                            <w:rPr>
                              <w:sz w:val="21"/>
                              <w:szCs w:val="21"/>
                            </w:rPr>
                            <w:fldChar w:fldCharType="end"/>
                          </w:r>
                          <w:r>
                            <w:rPr>
                              <w:sz w:val="21"/>
                              <w:szCs w:val="21"/>
                            </w:rPr>
                          </w:r>
                          <w:r/>
                        </w:p>
                        <w:p>
                          <w:pPr>
                            <w:pStyle w:val="885"/>
                          </w:pPr>
                          <w:r/>
                          <w:r/>
                        </w:p>
                        <w:p>
                          <w:pPr>
                            <w:pStyle w:val="885"/>
                          </w:pPr>
                          <w:r/>
                          <w:r/>
                        </w:p>
                        <w:p>
                          <w:pPr>
                            <w:pStyle w:val="885"/>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ind w:firstLine="420"/>
                      <w:tabs>
                        <w:tab w:val="clear" w:pos="180" w:leader="none"/>
                      </w:tabs>
                      <w:rPr>
                        <w:sz w:val="21"/>
                        <w:szCs w:val="21"/>
                      </w:rPr>
                    </w:pPr>
                    <w:r>
                      <w:rPr>
                        <w:sz w:val="21"/>
                        <w:szCs w:val="21"/>
                      </w:rPr>
                      <w:fldChar w:fldCharType="begin"/>
                    </w:r>
                    <w:r>
                      <w:rPr>
                        <w:rStyle w:val="1093"/>
                        <w:sz w:val="21"/>
                        <w:szCs w:val="21"/>
                      </w:rPr>
                      <w:instrText xml:space="preserve"> PAGE  </w:instrText>
                    </w:r>
                    <w:r>
                      <w:rPr>
                        <w:sz w:val="21"/>
                        <w:szCs w:val="21"/>
                      </w:rPr>
                      <w:fldChar w:fldCharType="separate"/>
                    </w:r>
                    <w:r>
                      <w:rPr>
                        <w:rStyle w:val="1093"/>
                        <w:sz w:val="21"/>
                        <w:szCs w:val="21"/>
                      </w:rPr>
                      <w:t xml:space="preserve">21</w:t>
                    </w:r>
                    <w:r>
                      <w:rPr>
                        <w:sz w:val="21"/>
                        <w:szCs w:val="21"/>
                      </w:rPr>
                      <w:fldChar w:fldCharType="end"/>
                    </w:r>
                    <w:r>
                      <w:rPr>
                        <w:sz w:val="21"/>
                        <w:szCs w:val="21"/>
                      </w:rPr>
                    </w:r>
                    <w:r/>
                  </w:p>
                  <w:p>
                    <w:pPr>
                      <w:pStyle w:val="885"/>
                    </w:pPr>
                    <w:r/>
                    <w:r/>
                  </w:p>
                  <w:p>
                    <w:pPr>
                      <w:pStyle w:val="885"/>
                    </w:pPr>
                    <w:r/>
                    <w:r/>
                  </w:p>
                  <w:p>
                    <w:pPr>
                      <w:pStyle w:val="8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right="987" w:firstLine="320"/>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right="987"/>
      <w:spacing w:line="300" w:lineRule="exact"/>
      <w:rPr>
        <w:sz w:val="18"/>
        <w:szCs w:val="18"/>
        <w:u w:val="single"/>
      </w:rPr>
    </w:pPr>
    <w:r>
      <w:rPr>
        <w:sz w:val="18"/>
        <w:szCs w:val="18"/>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7"/>
      <w:numFmt w:val="decimal"/>
      <w:isLgl w:val="false"/>
      <w:suff w:val="tab"/>
      <w:lvlText w:val="%1."/>
      <w:lvlJc w:val="left"/>
      <w:pPr>
        <w:pStyle w:val="885"/>
        <w:tabs>
          <w:tab w:val="num" w:pos="312" w:leader="none"/>
        </w:tabs>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8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1"/>
      <w:numFmt w:val="decimal"/>
      <w:isLgl w:val="false"/>
      <w:suff w:val="space"/>
      <w:lvlText w:val="%1."/>
      <w:lvlJc w:val="left"/>
      <w:pPr>
        <w:pStyle w:val="885"/>
      </w:p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885"/>
      </w:pPr>
      <w:rPr>
        <w:rFonts w:hint="eastAsia"/>
      </w:rPr>
    </w:lvl>
    <w:lvl w:ilvl="1">
      <w:start w:val="1"/>
      <w:numFmt w:val="bullet"/>
      <w:isLgl w:val="false"/>
      <w:suff w:val="tab"/>
      <w:lvlText w:val="o"/>
      <w:lvlJc w:val="left"/>
      <w:pPr>
        <w:pStyle w:val="885"/>
        <w:ind w:left="1440" w:hanging="360"/>
      </w:pPr>
      <w:rPr>
        <w:rFonts w:ascii="Courier New" w:hAnsi="Courier New" w:eastAsia="Courier New" w:cs="Courier New"/>
      </w:rPr>
    </w:lvl>
    <w:lvl w:ilvl="2">
      <w:start w:val="1"/>
      <w:numFmt w:val="bullet"/>
      <w:isLgl w:val="false"/>
      <w:suff w:val="tab"/>
      <w:lvlText w:val="§"/>
      <w:lvlJc w:val="left"/>
      <w:pPr>
        <w:pStyle w:val="885"/>
        <w:ind w:left="2160" w:hanging="360"/>
      </w:pPr>
      <w:rPr>
        <w:rFonts w:ascii="Wingdings" w:hAnsi="Wingdings" w:eastAsia="Wingdings" w:cs="Wingdings"/>
      </w:rPr>
    </w:lvl>
    <w:lvl w:ilvl="3">
      <w:start w:val="1"/>
      <w:numFmt w:val="bullet"/>
      <w:isLgl w:val="false"/>
      <w:suff w:val="tab"/>
      <w:lvlText w:val="·"/>
      <w:lvlJc w:val="left"/>
      <w:pPr>
        <w:pStyle w:val="885"/>
        <w:ind w:left="2880" w:hanging="360"/>
      </w:pPr>
      <w:rPr>
        <w:rFonts w:ascii="Symbol" w:hAnsi="Symbol" w:eastAsia="Symbol" w:cs="Symbol"/>
      </w:rPr>
    </w:lvl>
    <w:lvl w:ilvl="4">
      <w:start w:val="1"/>
      <w:numFmt w:val="bullet"/>
      <w:isLgl w:val="false"/>
      <w:suff w:val="tab"/>
      <w:lvlText w:val="o"/>
      <w:lvlJc w:val="left"/>
      <w:pPr>
        <w:pStyle w:val="885"/>
        <w:ind w:left="3600" w:hanging="360"/>
      </w:pPr>
      <w:rPr>
        <w:rFonts w:ascii="Courier New" w:hAnsi="Courier New" w:eastAsia="Courier New" w:cs="Courier New"/>
      </w:rPr>
    </w:lvl>
    <w:lvl w:ilvl="5">
      <w:start w:val="1"/>
      <w:numFmt w:val="bullet"/>
      <w:isLgl w:val="false"/>
      <w:suff w:val="tab"/>
      <w:lvlText w:val="§"/>
      <w:lvlJc w:val="left"/>
      <w:pPr>
        <w:pStyle w:val="885"/>
        <w:ind w:left="4320" w:hanging="360"/>
      </w:pPr>
      <w:rPr>
        <w:rFonts w:ascii="Wingdings" w:hAnsi="Wingdings" w:eastAsia="Wingdings" w:cs="Wingdings"/>
      </w:rPr>
    </w:lvl>
    <w:lvl w:ilvl="6">
      <w:start w:val="1"/>
      <w:numFmt w:val="bullet"/>
      <w:isLgl w:val="false"/>
      <w:suff w:val="tab"/>
      <w:lvlText w:val="·"/>
      <w:lvlJc w:val="left"/>
      <w:pPr>
        <w:pStyle w:val="885"/>
        <w:ind w:left="5040" w:hanging="360"/>
      </w:pPr>
      <w:rPr>
        <w:rFonts w:ascii="Symbol" w:hAnsi="Symbol" w:eastAsia="Symbol" w:cs="Symbol"/>
      </w:rPr>
    </w:lvl>
    <w:lvl w:ilvl="7">
      <w:start w:val="1"/>
      <w:numFmt w:val="bullet"/>
      <w:isLgl w:val="false"/>
      <w:suff w:val="tab"/>
      <w:lvlText w:val="o"/>
      <w:lvlJc w:val="left"/>
      <w:pPr>
        <w:pStyle w:val="885"/>
        <w:ind w:left="5760" w:hanging="360"/>
      </w:pPr>
      <w:rPr>
        <w:rFonts w:ascii="Courier New" w:hAnsi="Courier New" w:eastAsia="Courier New" w:cs="Courier New"/>
      </w:rPr>
    </w:lvl>
    <w:lvl w:ilvl="8">
      <w:start w:val="1"/>
      <w:numFmt w:val="bullet"/>
      <w:isLgl w:val="false"/>
      <w:suff w:val="tab"/>
      <w:lvlText w:val="§"/>
      <w:lvlJc w:val="left"/>
      <w:pPr>
        <w:pStyle w:val="885"/>
        <w:ind w:left="6480" w:hanging="360"/>
      </w:pPr>
      <w:rPr>
        <w:rFonts w:ascii="Wingdings" w:hAnsi="Wingdings" w:eastAsia="Wingdings" w:cs="Wingding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885"/>
    <w:next w:val="885"/>
    <w:link w:val="906"/>
    <w:uiPriority w:val="10"/>
    <w:qFormat/>
    <w:pPr>
      <w:contextualSpacing/>
      <w:spacing w:before="300" w:after="200"/>
    </w:pPr>
    <w:rPr>
      <w:sz w:val="48"/>
      <w:szCs w:val="48"/>
    </w:rPr>
  </w:style>
  <w:style w:type="paragraph" w:styleId="35">
    <w:name w:val="Subtitle"/>
    <w:basedOn w:val="885"/>
    <w:next w:val="885"/>
    <w:link w:val="898"/>
    <w:uiPriority w:val="11"/>
    <w:qFormat/>
    <w:pPr>
      <w:spacing w:before="200" w:after="200"/>
    </w:pPr>
    <w:rPr>
      <w:sz w:val="24"/>
      <w:szCs w:val="24"/>
    </w:rPr>
  </w:style>
  <w:style w:type="paragraph" w:styleId="41">
    <w:name w:val="Header"/>
    <w:basedOn w:val="885"/>
    <w:link w:val="935"/>
    <w:uiPriority w:val="99"/>
    <w:unhideWhenUsed/>
    <w:pPr>
      <w:spacing w:after="0" w:line="240" w:lineRule="auto"/>
      <w:tabs>
        <w:tab w:val="center" w:pos="7143" w:leader="none"/>
        <w:tab w:val="right" w:pos="14287" w:leader="none"/>
      </w:tabs>
    </w:pPr>
  </w:style>
  <w:style w:type="paragraph" w:styleId="43">
    <w:name w:val="Footer"/>
    <w:basedOn w:val="885"/>
    <w:link w:val="937"/>
    <w:uiPriority w:val="99"/>
    <w:unhideWhenUsed/>
    <w:pPr>
      <w:spacing w:after="0" w:line="240" w:lineRule="auto"/>
      <w:tabs>
        <w:tab w:val="center" w:pos="7143" w:leader="none"/>
        <w:tab w:val="right" w:pos="14287" w:leader="none"/>
      </w:tabs>
    </w:pPr>
  </w:style>
  <w:style w:type="paragraph" w:styleId="45">
    <w:name w:val="Caption"/>
    <w:basedOn w:val="885"/>
    <w:next w:val="88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85"/>
    <w:link w:val="90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85"/>
    <w:link w:val="894"/>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85"/>
    <w:next w:val="885"/>
    <w:uiPriority w:val="39"/>
    <w:unhideWhenUsed/>
    <w:pPr>
      <w:ind w:left="0" w:right="0" w:firstLine="0"/>
      <w:spacing w:after="57"/>
    </w:pPr>
  </w:style>
  <w:style w:type="paragraph" w:styleId="181">
    <w:name w:val="toc 2"/>
    <w:basedOn w:val="885"/>
    <w:next w:val="885"/>
    <w:uiPriority w:val="39"/>
    <w:unhideWhenUsed/>
    <w:pPr>
      <w:ind w:left="283" w:right="0" w:firstLine="0"/>
      <w:spacing w:after="57"/>
    </w:pPr>
  </w:style>
  <w:style w:type="paragraph" w:styleId="182">
    <w:name w:val="toc 3"/>
    <w:basedOn w:val="885"/>
    <w:next w:val="885"/>
    <w:uiPriority w:val="39"/>
    <w:unhideWhenUsed/>
    <w:pPr>
      <w:ind w:left="567" w:right="0" w:firstLine="0"/>
      <w:spacing w:after="57"/>
    </w:pPr>
  </w:style>
  <w:style w:type="paragraph" w:styleId="183">
    <w:name w:val="toc 4"/>
    <w:basedOn w:val="885"/>
    <w:next w:val="885"/>
    <w:uiPriority w:val="39"/>
    <w:unhideWhenUsed/>
    <w:pPr>
      <w:ind w:left="850" w:right="0" w:firstLine="0"/>
      <w:spacing w:after="57"/>
    </w:pPr>
  </w:style>
  <w:style w:type="paragraph" w:styleId="184">
    <w:name w:val="toc 5"/>
    <w:basedOn w:val="885"/>
    <w:next w:val="885"/>
    <w:uiPriority w:val="39"/>
    <w:unhideWhenUsed/>
    <w:pPr>
      <w:ind w:left="1134" w:right="0" w:firstLine="0"/>
      <w:spacing w:after="57"/>
    </w:pPr>
  </w:style>
  <w:style w:type="paragraph" w:styleId="185">
    <w:name w:val="toc 6"/>
    <w:basedOn w:val="885"/>
    <w:next w:val="885"/>
    <w:uiPriority w:val="39"/>
    <w:unhideWhenUsed/>
    <w:pPr>
      <w:ind w:left="1417" w:right="0" w:firstLine="0"/>
      <w:spacing w:after="57"/>
    </w:pPr>
  </w:style>
  <w:style w:type="paragraph" w:styleId="186">
    <w:name w:val="toc 7"/>
    <w:basedOn w:val="885"/>
    <w:next w:val="885"/>
    <w:uiPriority w:val="39"/>
    <w:unhideWhenUsed/>
    <w:pPr>
      <w:ind w:left="1701" w:right="0" w:firstLine="0"/>
      <w:spacing w:after="57"/>
    </w:pPr>
  </w:style>
  <w:style w:type="paragraph" w:styleId="187">
    <w:name w:val="toc 8"/>
    <w:basedOn w:val="885"/>
    <w:next w:val="885"/>
    <w:uiPriority w:val="39"/>
    <w:unhideWhenUsed/>
    <w:pPr>
      <w:ind w:left="1984" w:right="0" w:firstLine="0"/>
      <w:spacing w:after="57"/>
    </w:pPr>
  </w:style>
  <w:style w:type="paragraph" w:styleId="188">
    <w:name w:val="toc 9"/>
    <w:basedOn w:val="885"/>
    <w:next w:val="885"/>
    <w:uiPriority w:val="39"/>
    <w:unhideWhenUsed/>
    <w:pPr>
      <w:ind w:left="2268" w:right="0" w:firstLine="0"/>
      <w:spacing w:after="57"/>
    </w:pPr>
  </w:style>
  <w:style w:type="paragraph" w:styleId="190">
    <w:name w:val="table of figures"/>
    <w:basedOn w:val="885"/>
    <w:next w:val="885"/>
    <w:uiPriority w:val="99"/>
    <w:unhideWhenUsed/>
    <w:pPr>
      <w:spacing w:after="0" w:afterAutospacing="0"/>
    </w:pPr>
  </w:style>
  <w:style w:type="paragraph" w:styleId="885" w:default="1">
    <w:name w:val="Normal"/>
    <w:next w:val="888"/>
    <w:link w:val="885"/>
    <w:qFormat/>
    <w:pPr>
      <w:jc w:val="both"/>
      <w:widowControl w:val="off"/>
    </w:pPr>
    <w:rPr>
      <w:sz w:val="21"/>
      <w:lang w:eastAsia="zh-CN"/>
    </w:rPr>
  </w:style>
  <w:style w:type="character" w:styleId="886">
    <w:name w:val="默认段落字体"/>
    <w:next w:val="886"/>
    <w:link w:val="885"/>
    <w:uiPriority w:val="1"/>
    <w:unhideWhenUsed/>
  </w:style>
  <w:style w:type="table" w:styleId="887">
    <w:name w:val="普通表格"/>
    <w:next w:val="887"/>
    <w:link w:val="885"/>
    <w:uiPriority w:val="99"/>
    <w:unhideWhenUsed/>
    <w:tblPr/>
  </w:style>
  <w:style w:type="paragraph" w:styleId="888">
    <w:name w:val="普通正文"/>
    <w:next w:val="888"/>
    <w:link w:val="885"/>
    <w:qFormat/>
    <w:pPr>
      <w:ind w:firstLine="480"/>
      <w:spacing w:before="120" w:after="120" w:line="360" w:lineRule="auto"/>
      <w:widowControl w:val="off"/>
    </w:pPr>
    <w:rPr>
      <w:rFonts w:ascii="Arial" w:hAnsi="Arial"/>
      <w:sz w:val="24"/>
      <w:szCs w:val="24"/>
      <w:lang w:eastAsia="zh-CN"/>
    </w:rPr>
  </w:style>
  <w:style w:type="paragraph" w:styleId="889">
    <w:name w:val="目录 7"/>
    <w:basedOn w:val="885"/>
    <w:next w:val="885"/>
    <w:link w:val="885"/>
    <w:uiPriority w:val="39"/>
    <w:unhideWhenUsed/>
    <w:pPr>
      <w:ind w:left="1701" w:right="0" w:firstLine="0"/>
      <w:spacing w:after="57"/>
    </w:pPr>
  </w:style>
  <w:style w:type="paragraph" w:styleId="890">
    <w:name w:val="目录 5"/>
    <w:basedOn w:val="885"/>
    <w:next w:val="885"/>
    <w:link w:val="885"/>
    <w:uiPriority w:val="39"/>
    <w:unhideWhenUsed/>
    <w:pPr>
      <w:ind w:left="1134" w:right="0" w:firstLine="0"/>
      <w:spacing w:after="57"/>
    </w:pPr>
  </w:style>
  <w:style w:type="paragraph" w:styleId="891">
    <w:name w:val="目录 3"/>
    <w:basedOn w:val="885"/>
    <w:next w:val="885"/>
    <w:link w:val="885"/>
    <w:uiPriority w:val="39"/>
    <w:unhideWhenUsed/>
    <w:pPr>
      <w:ind w:left="567" w:right="0" w:firstLine="0"/>
      <w:spacing w:after="57"/>
    </w:pPr>
  </w:style>
  <w:style w:type="paragraph" w:styleId="892">
    <w:name w:val="目录 8"/>
    <w:basedOn w:val="885"/>
    <w:next w:val="885"/>
    <w:link w:val="885"/>
    <w:uiPriority w:val="39"/>
    <w:unhideWhenUsed/>
    <w:pPr>
      <w:ind w:left="1984" w:right="0" w:firstLine="0"/>
      <w:spacing w:after="57"/>
    </w:pPr>
  </w:style>
  <w:style w:type="paragraph" w:styleId="893">
    <w:name w:val="尾注文本"/>
    <w:basedOn w:val="885"/>
    <w:next w:val="893"/>
    <w:link w:val="894"/>
    <w:uiPriority w:val="99"/>
    <w:unhideWhenUsed/>
    <w:pPr>
      <w:spacing w:after="0" w:line="240" w:lineRule="auto"/>
    </w:pPr>
    <w:rPr>
      <w:sz w:val="20"/>
    </w:rPr>
  </w:style>
  <w:style w:type="character" w:styleId="894">
    <w:name w:val="Endnote Text Char"/>
    <w:next w:val="894"/>
    <w:link w:val="893"/>
    <w:uiPriority w:val="99"/>
    <w:rPr>
      <w:sz w:val="20"/>
    </w:rPr>
  </w:style>
  <w:style w:type="paragraph" w:styleId="895">
    <w:name w:val="目录 1"/>
    <w:basedOn w:val="885"/>
    <w:next w:val="885"/>
    <w:link w:val="885"/>
    <w:uiPriority w:val="39"/>
    <w:unhideWhenUsed/>
    <w:pPr>
      <w:ind w:left="0" w:right="0" w:firstLine="0"/>
      <w:spacing w:after="57"/>
    </w:pPr>
  </w:style>
  <w:style w:type="paragraph" w:styleId="896">
    <w:name w:val="目录 4"/>
    <w:basedOn w:val="885"/>
    <w:next w:val="885"/>
    <w:link w:val="885"/>
    <w:uiPriority w:val="39"/>
    <w:unhideWhenUsed/>
    <w:pPr>
      <w:ind w:left="850" w:right="0" w:firstLine="0"/>
      <w:spacing w:after="57"/>
    </w:pPr>
  </w:style>
  <w:style w:type="paragraph" w:styleId="897">
    <w:name w:val="副标题"/>
    <w:basedOn w:val="885"/>
    <w:next w:val="885"/>
    <w:link w:val="898"/>
    <w:uiPriority w:val="11"/>
    <w:qFormat/>
    <w:pPr>
      <w:spacing w:before="200" w:after="200"/>
    </w:pPr>
    <w:rPr>
      <w:sz w:val="24"/>
      <w:szCs w:val="24"/>
    </w:rPr>
  </w:style>
  <w:style w:type="character" w:styleId="898">
    <w:name w:val="Subtitle Char"/>
    <w:next w:val="898"/>
    <w:link w:val="897"/>
    <w:uiPriority w:val="11"/>
    <w:rPr>
      <w:sz w:val="24"/>
      <w:szCs w:val="24"/>
    </w:rPr>
  </w:style>
  <w:style w:type="paragraph" w:styleId="899">
    <w:name w:val="脚注文本"/>
    <w:basedOn w:val="885"/>
    <w:next w:val="899"/>
    <w:link w:val="900"/>
    <w:uiPriority w:val="99"/>
    <w:unhideWhenUsed/>
    <w:pPr>
      <w:spacing w:after="40" w:line="240" w:lineRule="auto"/>
    </w:pPr>
    <w:rPr>
      <w:sz w:val="18"/>
    </w:rPr>
  </w:style>
  <w:style w:type="character" w:styleId="900">
    <w:name w:val="Footnote Text Char"/>
    <w:next w:val="900"/>
    <w:link w:val="899"/>
    <w:uiPriority w:val="99"/>
    <w:rPr>
      <w:sz w:val="18"/>
    </w:rPr>
  </w:style>
  <w:style w:type="paragraph" w:styleId="901">
    <w:name w:val="目录 6"/>
    <w:basedOn w:val="885"/>
    <w:next w:val="885"/>
    <w:link w:val="885"/>
    <w:uiPriority w:val="39"/>
    <w:unhideWhenUsed/>
    <w:pPr>
      <w:ind w:left="1417" w:right="0" w:firstLine="0"/>
      <w:spacing w:after="57"/>
    </w:pPr>
  </w:style>
  <w:style w:type="paragraph" w:styleId="902">
    <w:name w:val="图表目录"/>
    <w:basedOn w:val="885"/>
    <w:next w:val="885"/>
    <w:link w:val="885"/>
    <w:uiPriority w:val="99"/>
    <w:unhideWhenUsed/>
    <w:pPr>
      <w:spacing w:after="0" w:afterAutospacing="0"/>
    </w:pPr>
  </w:style>
  <w:style w:type="paragraph" w:styleId="903">
    <w:name w:val="目录 2"/>
    <w:basedOn w:val="885"/>
    <w:next w:val="885"/>
    <w:link w:val="885"/>
    <w:uiPriority w:val="39"/>
    <w:unhideWhenUsed/>
    <w:pPr>
      <w:ind w:left="283" w:right="0" w:firstLine="0"/>
      <w:spacing w:after="57"/>
    </w:pPr>
  </w:style>
  <w:style w:type="paragraph" w:styleId="904">
    <w:name w:val="目录 9"/>
    <w:basedOn w:val="885"/>
    <w:next w:val="885"/>
    <w:link w:val="885"/>
    <w:uiPriority w:val="39"/>
    <w:unhideWhenUsed/>
    <w:pPr>
      <w:ind w:left="2268" w:right="0" w:firstLine="0"/>
      <w:spacing w:after="57"/>
    </w:pPr>
  </w:style>
  <w:style w:type="paragraph" w:styleId="905">
    <w:name w:val="标题"/>
    <w:basedOn w:val="885"/>
    <w:next w:val="885"/>
    <w:link w:val="906"/>
    <w:uiPriority w:val="10"/>
    <w:qFormat/>
    <w:pPr>
      <w:contextualSpacing/>
      <w:spacing w:before="300" w:after="200"/>
    </w:pPr>
    <w:rPr>
      <w:sz w:val="48"/>
      <w:szCs w:val="48"/>
    </w:rPr>
  </w:style>
  <w:style w:type="character" w:styleId="906">
    <w:name w:val="Title Char"/>
    <w:next w:val="906"/>
    <w:link w:val="905"/>
    <w:uiPriority w:val="10"/>
    <w:rPr>
      <w:sz w:val="48"/>
      <w:szCs w:val="48"/>
    </w:rPr>
  </w:style>
  <w:style w:type="table" w:styleId="907">
    <w:name w:val="网格型"/>
    <w:next w:val="907"/>
    <w:link w:val="885"/>
    <w:uiPriority w:val="59"/>
    <w:pPr>
      <w:spacing w:after="0" w:line="240" w:lineRule="auto"/>
    </w:pPr>
    <w:tblPr/>
  </w:style>
  <w:style w:type="character" w:styleId="908">
    <w:name w:val="尾注引用"/>
    <w:next w:val="908"/>
    <w:link w:val="885"/>
    <w:uiPriority w:val="99"/>
    <w:unhideWhenUsed/>
    <w:rPr>
      <w:vertAlign w:val="superscript"/>
    </w:rPr>
  </w:style>
  <w:style w:type="character" w:styleId="909">
    <w:name w:val="超链接"/>
    <w:next w:val="909"/>
    <w:link w:val="885"/>
    <w:uiPriority w:val="99"/>
    <w:unhideWhenUsed/>
    <w:rPr>
      <w:color w:val="0000ff"/>
      <w:u w:val="single"/>
    </w:rPr>
  </w:style>
  <w:style w:type="character" w:styleId="910">
    <w:name w:val="脚注引用"/>
    <w:next w:val="910"/>
    <w:link w:val="885"/>
    <w:uiPriority w:val="99"/>
    <w:unhideWhenUsed/>
    <w:rPr>
      <w:vertAlign w:val="superscript"/>
    </w:rPr>
  </w:style>
  <w:style w:type="paragraph" w:styleId="911">
    <w:name w:val="Heading 1"/>
    <w:basedOn w:val="885"/>
    <w:next w:val="885"/>
    <w:link w:val="912"/>
    <w:uiPriority w:val="9"/>
    <w:qFormat/>
    <w:pPr>
      <w:keepLines/>
      <w:keepNext/>
      <w:spacing w:before="480" w:after="200"/>
      <w:outlineLvl w:val="0"/>
    </w:pPr>
    <w:rPr>
      <w:rFonts w:ascii="Arial" w:hAnsi="Arial" w:eastAsia="Arial" w:cs="Arial"/>
      <w:sz w:val="40"/>
      <w:szCs w:val="40"/>
    </w:rPr>
  </w:style>
  <w:style w:type="character" w:styleId="912">
    <w:name w:val="Heading 1 Char"/>
    <w:next w:val="912"/>
    <w:link w:val="911"/>
    <w:uiPriority w:val="9"/>
    <w:rPr>
      <w:rFonts w:ascii="Arial" w:hAnsi="Arial" w:eastAsia="Arial" w:cs="Arial"/>
      <w:sz w:val="40"/>
      <w:szCs w:val="40"/>
    </w:rPr>
  </w:style>
  <w:style w:type="paragraph" w:styleId="913">
    <w:name w:val="Heading 2"/>
    <w:basedOn w:val="885"/>
    <w:next w:val="885"/>
    <w:link w:val="914"/>
    <w:uiPriority w:val="9"/>
    <w:unhideWhenUsed/>
    <w:qFormat/>
    <w:pPr>
      <w:keepLines/>
      <w:keepNext/>
      <w:spacing w:before="360" w:after="200"/>
      <w:outlineLvl w:val="1"/>
    </w:pPr>
    <w:rPr>
      <w:rFonts w:ascii="Arial" w:hAnsi="Arial" w:eastAsia="Arial" w:cs="Arial"/>
      <w:sz w:val="34"/>
    </w:rPr>
  </w:style>
  <w:style w:type="character" w:styleId="914">
    <w:name w:val="Heading 2 Char"/>
    <w:next w:val="914"/>
    <w:link w:val="913"/>
    <w:uiPriority w:val="9"/>
    <w:rPr>
      <w:rFonts w:ascii="Arial" w:hAnsi="Arial" w:eastAsia="Arial" w:cs="Arial"/>
      <w:sz w:val="34"/>
    </w:rPr>
  </w:style>
  <w:style w:type="paragraph" w:styleId="915">
    <w:name w:val="Heading 3"/>
    <w:basedOn w:val="885"/>
    <w:next w:val="885"/>
    <w:link w:val="916"/>
    <w:uiPriority w:val="9"/>
    <w:unhideWhenUsed/>
    <w:qFormat/>
    <w:pPr>
      <w:keepLines/>
      <w:keepNext/>
      <w:spacing w:before="320" w:after="200"/>
      <w:outlineLvl w:val="2"/>
    </w:pPr>
    <w:rPr>
      <w:rFonts w:ascii="Arial" w:hAnsi="Arial" w:eastAsia="Arial" w:cs="Arial"/>
      <w:sz w:val="30"/>
      <w:szCs w:val="30"/>
    </w:rPr>
  </w:style>
  <w:style w:type="character" w:styleId="916">
    <w:name w:val="Heading 3 Char"/>
    <w:next w:val="916"/>
    <w:link w:val="915"/>
    <w:uiPriority w:val="9"/>
    <w:rPr>
      <w:rFonts w:ascii="Arial" w:hAnsi="Arial" w:eastAsia="Arial" w:cs="Arial"/>
      <w:sz w:val="30"/>
      <w:szCs w:val="30"/>
    </w:rPr>
  </w:style>
  <w:style w:type="paragraph" w:styleId="917">
    <w:name w:val="Heading 4"/>
    <w:basedOn w:val="885"/>
    <w:next w:val="885"/>
    <w:link w:val="918"/>
    <w:uiPriority w:val="9"/>
    <w:unhideWhenUsed/>
    <w:qFormat/>
    <w:pPr>
      <w:keepLines/>
      <w:keepNext/>
      <w:spacing w:before="320" w:after="200"/>
      <w:outlineLvl w:val="3"/>
    </w:pPr>
    <w:rPr>
      <w:rFonts w:ascii="Arial" w:hAnsi="Arial" w:eastAsia="Arial" w:cs="Arial"/>
      <w:b/>
      <w:bCs/>
      <w:sz w:val="26"/>
      <w:szCs w:val="26"/>
    </w:rPr>
  </w:style>
  <w:style w:type="character" w:styleId="918">
    <w:name w:val="Heading 4 Char"/>
    <w:next w:val="918"/>
    <w:link w:val="917"/>
    <w:uiPriority w:val="9"/>
    <w:rPr>
      <w:rFonts w:ascii="Arial" w:hAnsi="Arial" w:eastAsia="Arial" w:cs="Arial"/>
      <w:b/>
      <w:bCs/>
      <w:sz w:val="26"/>
      <w:szCs w:val="26"/>
    </w:rPr>
  </w:style>
  <w:style w:type="paragraph" w:styleId="919">
    <w:name w:val="Heading 5"/>
    <w:basedOn w:val="885"/>
    <w:next w:val="885"/>
    <w:link w:val="920"/>
    <w:uiPriority w:val="9"/>
    <w:unhideWhenUsed/>
    <w:qFormat/>
    <w:pPr>
      <w:keepLines/>
      <w:keepNext/>
      <w:spacing w:before="320" w:after="200"/>
      <w:outlineLvl w:val="4"/>
    </w:pPr>
    <w:rPr>
      <w:rFonts w:ascii="Arial" w:hAnsi="Arial" w:eastAsia="Arial" w:cs="Arial"/>
      <w:b/>
      <w:bCs/>
      <w:sz w:val="24"/>
      <w:szCs w:val="24"/>
    </w:rPr>
  </w:style>
  <w:style w:type="character" w:styleId="920">
    <w:name w:val="Heading 5 Char"/>
    <w:next w:val="920"/>
    <w:link w:val="919"/>
    <w:uiPriority w:val="9"/>
    <w:rPr>
      <w:rFonts w:ascii="Arial" w:hAnsi="Arial" w:eastAsia="Arial" w:cs="Arial"/>
      <w:b/>
      <w:bCs/>
      <w:sz w:val="24"/>
      <w:szCs w:val="24"/>
    </w:rPr>
  </w:style>
  <w:style w:type="paragraph" w:styleId="921">
    <w:name w:val="Heading 6"/>
    <w:basedOn w:val="885"/>
    <w:next w:val="885"/>
    <w:link w:val="922"/>
    <w:uiPriority w:val="9"/>
    <w:unhideWhenUsed/>
    <w:qFormat/>
    <w:pPr>
      <w:keepLines/>
      <w:keepNext/>
      <w:spacing w:before="320" w:after="200"/>
      <w:outlineLvl w:val="5"/>
    </w:pPr>
    <w:rPr>
      <w:rFonts w:ascii="Arial" w:hAnsi="Arial" w:eastAsia="Arial" w:cs="Arial"/>
      <w:b/>
      <w:bCs/>
      <w:sz w:val="22"/>
      <w:szCs w:val="22"/>
    </w:rPr>
  </w:style>
  <w:style w:type="character" w:styleId="922">
    <w:name w:val="Heading 6 Char"/>
    <w:next w:val="922"/>
    <w:link w:val="921"/>
    <w:uiPriority w:val="9"/>
    <w:rPr>
      <w:rFonts w:ascii="Arial" w:hAnsi="Arial" w:eastAsia="Arial" w:cs="Arial"/>
      <w:b/>
      <w:bCs/>
      <w:sz w:val="22"/>
      <w:szCs w:val="22"/>
    </w:rPr>
  </w:style>
  <w:style w:type="paragraph" w:styleId="923">
    <w:name w:val="Heading 7"/>
    <w:basedOn w:val="885"/>
    <w:next w:val="885"/>
    <w:link w:val="924"/>
    <w:uiPriority w:val="9"/>
    <w:unhideWhenUsed/>
    <w:qFormat/>
    <w:pPr>
      <w:keepLines/>
      <w:keepNext/>
      <w:spacing w:before="320" w:after="200"/>
      <w:outlineLvl w:val="6"/>
    </w:pPr>
    <w:rPr>
      <w:rFonts w:ascii="Arial" w:hAnsi="Arial" w:eastAsia="Arial" w:cs="Arial"/>
      <w:b/>
      <w:bCs/>
      <w:i/>
      <w:iCs/>
      <w:sz w:val="22"/>
      <w:szCs w:val="22"/>
    </w:rPr>
  </w:style>
  <w:style w:type="character" w:styleId="924">
    <w:name w:val="Heading 7 Char"/>
    <w:next w:val="924"/>
    <w:link w:val="923"/>
    <w:uiPriority w:val="9"/>
    <w:rPr>
      <w:rFonts w:ascii="Arial" w:hAnsi="Arial" w:eastAsia="Arial" w:cs="Arial"/>
      <w:b/>
      <w:bCs/>
      <w:i/>
      <w:iCs/>
      <w:sz w:val="22"/>
      <w:szCs w:val="22"/>
    </w:rPr>
  </w:style>
  <w:style w:type="paragraph" w:styleId="925">
    <w:name w:val="Heading 8"/>
    <w:basedOn w:val="885"/>
    <w:next w:val="885"/>
    <w:link w:val="926"/>
    <w:uiPriority w:val="9"/>
    <w:unhideWhenUsed/>
    <w:qFormat/>
    <w:pPr>
      <w:keepLines/>
      <w:keepNext/>
      <w:spacing w:before="320" w:after="200"/>
      <w:outlineLvl w:val="7"/>
    </w:pPr>
    <w:rPr>
      <w:rFonts w:ascii="Arial" w:hAnsi="Arial" w:eastAsia="Arial" w:cs="Arial"/>
      <w:i/>
      <w:iCs/>
      <w:sz w:val="22"/>
      <w:szCs w:val="22"/>
    </w:rPr>
  </w:style>
  <w:style w:type="character" w:styleId="926">
    <w:name w:val="Heading 8 Char"/>
    <w:next w:val="926"/>
    <w:link w:val="925"/>
    <w:uiPriority w:val="9"/>
    <w:rPr>
      <w:rFonts w:ascii="Arial" w:hAnsi="Arial" w:eastAsia="Arial" w:cs="Arial"/>
      <w:i/>
      <w:iCs/>
      <w:sz w:val="22"/>
      <w:szCs w:val="22"/>
    </w:rPr>
  </w:style>
  <w:style w:type="paragraph" w:styleId="927">
    <w:name w:val="Heading 9"/>
    <w:basedOn w:val="885"/>
    <w:next w:val="885"/>
    <w:link w:val="928"/>
    <w:uiPriority w:val="9"/>
    <w:unhideWhenUsed/>
    <w:qFormat/>
    <w:pPr>
      <w:keepLines/>
      <w:keepNext/>
      <w:spacing w:before="320" w:after="200"/>
      <w:outlineLvl w:val="8"/>
    </w:pPr>
    <w:rPr>
      <w:rFonts w:ascii="Arial" w:hAnsi="Arial" w:eastAsia="Arial" w:cs="Arial"/>
      <w:i/>
      <w:iCs/>
      <w:sz w:val="21"/>
      <w:szCs w:val="21"/>
    </w:rPr>
  </w:style>
  <w:style w:type="character" w:styleId="928">
    <w:name w:val="Heading 9 Char"/>
    <w:next w:val="928"/>
    <w:link w:val="927"/>
    <w:uiPriority w:val="9"/>
    <w:rPr>
      <w:rFonts w:ascii="Arial" w:hAnsi="Arial" w:eastAsia="Arial" w:cs="Arial"/>
      <w:i/>
      <w:iCs/>
      <w:sz w:val="21"/>
      <w:szCs w:val="21"/>
    </w:rPr>
  </w:style>
  <w:style w:type="paragraph" w:styleId="929">
    <w:name w:val="List Paragraph"/>
    <w:basedOn w:val="885"/>
    <w:next w:val="929"/>
    <w:link w:val="885"/>
    <w:uiPriority w:val="34"/>
    <w:qFormat/>
    <w:pPr>
      <w:contextualSpacing/>
      <w:ind w:left="720"/>
    </w:pPr>
  </w:style>
  <w:style w:type="paragraph" w:styleId="930">
    <w:name w:val="Quote"/>
    <w:basedOn w:val="885"/>
    <w:next w:val="885"/>
    <w:link w:val="931"/>
    <w:uiPriority w:val="29"/>
    <w:qFormat/>
    <w:pPr>
      <w:ind w:left="720" w:right="720"/>
    </w:pPr>
    <w:rPr>
      <w:i/>
    </w:rPr>
  </w:style>
  <w:style w:type="character" w:styleId="931">
    <w:name w:val="Quote Char"/>
    <w:next w:val="931"/>
    <w:link w:val="930"/>
    <w:uiPriority w:val="29"/>
    <w:rPr>
      <w:i/>
    </w:rPr>
  </w:style>
  <w:style w:type="paragraph" w:styleId="932">
    <w:name w:val="Intense Quote"/>
    <w:basedOn w:val="885"/>
    <w:next w:val="885"/>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name w:val="Intense Quote Char"/>
    <w:next w:val="933"/>
    <w:link w:val="932"/>
    <w:uiPriority w:val="30"/>
    <w:rPr>
      <w:i/>
    </w:rPr>
  </w:style>
  <w:style w:type="paragraph" w:styleId="934">
    <w:name w:val="Header1"/>
    <w:basedOn w:val="885"/>
    <w:next w:val="934"/>
    <w:link w:val="935"/>
    <w:uiPriority w:val="99"/>
    <w:unhideWhenUsed/>
    <w:pPr>
      <w:spacing w:after="0" w:line="240" w:lineRule="auto"/>
      <w:tabs>
        <w:tab w:val="center" w:pos="7143" w:leader="none"/>
        <w:tab w:val="right" w:pos="14287" w:leader="none"/>
      </w:tabs>
    </w:pPr>
  </w:style>
  <w:style w:type="character" w:styleId="935">
    <w:name w:val="Header Char"/>
    <w:next w:val="935"/>
    <w:link w:val="934"/>
    <w:uiPriority w:val="99"/>
  </w:style>
  <w:style w:type="paragraph" w:styleId="936">
    <w:name w:val="Footer1"/>
    <w:basedOn w:val="885"/>
    <w:next w:val="936"/>
    <w:link w:val="937"/>
    <w:uiPriority w:val="99"/>
    <w:unhideWhenUsed/>
    <w:pPr>
      <w:spacing w:after="0" w:line="240" w:lineRule="auto"/>
      <w:tabs>
        <w:tab w:val="center" w:pos="7143" w:leader="none"/>
        <w:tab w:val="right" w:pos="14287" w:leader="none"/>
      </w:tabs>
    </w:pPr>
  </w:style>
  <w:style w:type="character" w:styleId="937">
    <w:name w:val="Caption Char"/>
    <w:next w:val="937"/>
    <w:link w:val="936"/>
    <w:uiPriority w:val="99"/>
  </w:style>
  <w:style w:type="character" w:styleId="938">
    <w:name w:val="Footer Char"/>
    <w:next w:val="938"/>
    <w:link w:val="936"/>
    <w:uiPriority w:val="99"/>
  </w:style>
  <w:style w:type="paragraph" w:styleId="939">
    <w:name w:val="Caption1"/>
    <w:basedOn w:val="885"/>
    <w:next w:val="885"/>
    <w:link w:val="885"/>
    <w:uiPriority w:val="35"/>
    <w:unhideWhenUsed/>
    <w:qFormat/>
    <w:pPr>
      <w:spacing w:line="276" w:lineRule="auto"/>
    </w:pPr>
    <w:rPr>
      <w:b/>
      <w:bCs/>
      <w:color w:val="4f81bd"/>
      <w:sz w:val="18"/>
      <w:szCs w:val="18"/>
    </w:rPr>
  </w:style>
  <w:style w:type="table" w:styleId="940">
    <w:name w:val="Table Grid Light"/>
    <w:next w:val="940"/>
    <w:link w:val="885"/>
    <w:uiPriority w:val="59"/>
    <w:pPr>
      <w:spacing w:after="0" w:line="240" w:lineRule="auto"/>
    </w:pPr>
    <w:tblPr/>
  </w:style>
  <w:style w:type="table" w:styleId="941">
    <w:name w:val="Plain Table 2"/>
    <w:next w:val="941"/>
    <w:link w:val="885"/>
    <w:uiPriority w:val="59"/>
    <w:pPr>
      <w:spacing w:after="0" w:line="240" w:lineRule="auto"/>
    </w:pPr>
    <w:tblPr/>
  </w:style>
  <w:style w:type="table" w:styleId="942">
    <w:name w:val="Plain Table 3"/>
    <w:next w:val="942"/>
    <w:link w:val="885"/>
    <w:uiPriority w:val="99"/>
    <w:pPr>
      <w:spacing w:after="0" w:line="240" w:lineRule="auto"/>
    </w:pPr>
    <w:tblPr/>
  </w:style>
  <w:style w:type="table" w:styleId="943">
    <w:name w:val="Plain Table 4"/>
    <w:next w:val="943"/>
    <w:link w:val="885"/>
    <w:uiPriority w:val="99"/>
    <w:pPr>
      <w:spacing w:after="0" w:line="240" w:lineRule="auto"/>
    </w:pPr>
    <w:tblPr/>
  </w:style>
  <w:style w:type="table" w:styleId="944">
    <w:name w:val="Plain Table 5"/>
    <w:next w:val="944"/>
    <w:link w:val="885"/>
    <w:uiPriority w:val="99"/>
    <w:pPr>
      <w:spacing w:after="0" w:line="240" w:lineRule="auto"/>
    </w:pPr>
    <w:tblPr/>
  </w:style>
  <w:style w:type="table" w:styleId="945">
    <w:name w:val="Grid Table 1 Light"/>
    <w:next w:val="945"/>
    <w:link w:val="885"/>
    <w:uiPriority w:val="99"/>
    <w:pPr>
      <w:spacing w:after="0" w:line="240" w:lineRule="auto"/>
    </w:pPr>
    <w:tblPr/>
  </w:style>
  <w:style w:type="table" w:styleId="946">
    <w:name w:val="Grid Table 1 Light - Accent 1"/>
    <w:next w:val="946"/>
    <w:link w:val="885"/>
    <w:uiPriority w:val="99"/>
    <w:pPr>
      <w:spacing w:after="0" w:line="240" w:lineRule="auto"/>
    </w:pPr>
    <w:tblPr/>
  </w:style>
  <w:style w:type="table" w:styleId="947">
    <w:name w:val="Grid Table 1 Light - Accent 2"/>
    <w:next w:val="947"/>
    <w:link w:val="885"/>
    <w:uiPriority w:val="99"/>
    <w:pPr>
      <w:spacing w:after="0" w:line="240" w:lineRule="auto"/>
    </w:pPr>
    <w:tblPr/>
  </w:style>
  <w:style w:type="table" w:styleId="948">
    <w:name w:val="Grid Table 1 Light - Accent 3"/>
    <w:next w:val="948"/>
    <w:link w:val="885"/>
    <w:uiPriority w:val="99"/>
    <w:pPr>
      <w:spacing w:after="0" w:line="240" w:lineRule="auto"/>
    </w:pPr>
    <w:tblPr/>
  </w:style>
  <w:style w:type="table" w:styleId="949">
    <w:name w:val="Grid Table 1 Light - Accent 4"/>
    <w:next w:val="949"/>
    <w:link w:val="885"/>
    <w:uiPriority w:val="99"/>
    <w:pPr>
      <w:spacing w:after="0" w:line="240" w:lineRule="auto"/>
    </w:pPr>
    <w:tblPr/>
  </w:style>
  <w:style w:type="table" w:styleId="950">
    <w:name w:val="Grid Table 1 Light - Accent 5"/>
    <w:next w:val="950"/>
    <w:link w:val="885"/>
    <w:uiPriority w:val="99"/>
    <w:pPr>
      <w:spacing w:after="0" w:line="240" w:lineRule="auto"/>
    </w:pPr>
    <w:tblPr/>
  </w:style>
  <w:style w:type="table" w:styleId="951">
    <w:name w:val="Grid Table 1 Light - Accent 6"/>
    <w:next w:val="951"/>
    <w:link w:val="885"/>
    <w:uiPriority w:val="99"/>
    <w:pPr>
      <w:spacing w:after="0" w:line="240" w:lineRule="auto"/>
    </w:pPr>
    <w:tblPr/>
  </w:style>
  <w:style w:type="table" w:styleId="952">
    <w:name w:val="Grid Table 2"/>
    <w:next w:val="952"/>
    <w:link w:val="885"/>
    <w:uiPriority w:val="99"/>
    <w:pPr>
      <w:spacing w:after="0" w:line="240" w:lineRule="auto"/>
    </w:pPr>
    <w:tblPr/>
  </w:style>
  <w:style w:type="table" w:styleId="953">
    <w:name w:val="Grid Table 2 - Accent 1"/>
    <w:next w:val="953"/>
    <w:link w:val="885"/>
    <w:uiPriority w:val="99"/>
    <w:pPr>
      <w:spacing w:after="0" w:line="240" w:lineRule="auto"/>
    </w:pPr>
    <w:tblPr/>
  </w:style>
  <w:style w:type="table" w:styleId="954">
    <w:name w:val="Grid Table 2 - Accent 2"/>
    <w:next w:val="954"/>
    <w:link w:val="885"/>
    <w:uiPriority w:val="99"/>
    <w:pPr>
      <w:spacing w:after="0" w:line="240" w:lineRule="auto"/>
    </w:pPr>
    <w:tblPr/>
  </w:style>
  <w:style w:type="table" w:styleId="955">
    <w:name w:val="Grid Table 2 - Accent 3"/>
    <w:next w:val="955"/>
    <w:link w:val="885"/>
    <w:uiPriority w:val="99"/>
    <w:pPr>
      <w:spacing w:after="0" w:line="240" w:lineRule="auto"/>
    </w:pPr>
    <w:tblPr/>
  </w:style>
  <w:style w:type="table" w:styleId="956">
    <w:name w:val="Grid Table 2 - Accent 4"/>
    <w:next w:val="956"/>
    <w:link w:val="885"/>
    <w:uiPriority w:val="99"/>
    <w:pPr>
      <w:spacing w:after="0" w:line="240" w:lineRule="auto"/>
    </w:pPr>
    <w:tblPr/>
  </w:style>
  <w:style w:type="table" w:styleId="957">
    <w:name w:val="Grid Table 2 - Accent 5"/>
    <w:next w:val="957"/>
    <w:link w:val="885"/>
    <w:uiPriority w:val="99"/>
    <w:pPr>
      <w:spacing w:after="0" w:line="240" w:lineRule="auto"/>
    </w:pPr>
    <w:tblPr/>
  </w:style>
  <w:style w:type="table" w:styleId="958">
    <w:name w:val="Grid Table 2 - Accent 6"/>
    <w:next w:val="958"/>
    <w:link w:val="885"/>
    <w:uiPriority w:val="99"/>
    <w:pPr>
      <w:spacing w:after="0" w:line="240" w:lineRule="auto"/>
    </w:pPr>
    <w:tblPr/>
  </w:style>
  <w:style w:type="table" w:styleId="959">
    <w:name w:val="Grid Table 3"/>
    <w:next w:val="959"/>
    <w:link w:val="885"/>
    <w:uiPriority w:val="99"/>
    <w:pPr>
      <w:spacing w:after="0" w:line="240" w:lineRule="auto"/>
    </w:pPr>
    <w:tblPr/>
  </w:style>
  <w:style w:type="table" w:styleId="960">
    <w:name w:val="Grid Table 3 - Accent 1"/>
    <w:next w:val="960"/>
    <w:link w:val="885"/>
    <w:uiPriority w:val="99"/>
    <w:pPr>
      <w:spacing w:after="0" w:line="240" w:lineRule="auto"/>
    </w:pPr>
    <w:tblPr/>
  </w:style>
  <w:style w:type="table" w:styleId="961">
    <w:name w:val="Grid Table 3 - Accent 2"/>
    <w:next w:val="961"/>
    <w:link w:val="885"/>
    <w:uiPriority w:val="99"/>
    <w:pPr>
      <w:spacing w:after="0" w:line="240" w:lineRule="auto"/>
    </w:pPr>
    <w:tblPr/>
  </w:style>
  <w:style w:type="table" w:styleId="962">
    <w:name w:val="Grid Table 3 - Accent 3"/>
    <w:next w:val="962"/>
    <w:link w:val="885"/>
    <w:uiPriority w:val="99"/>
    <w:pPr>
      <w:spacing w:after="0" w:line="240" w:lineRule="auto"/>
    </w:pPr>
    <w:tblPr/>
  </w:style>
  <w:style w:type="table" w:styleId="963">
    <w:name w:val="Grid Table 3 - Accent 4"/>
    <w:next w:val="963"/>
    <w:link w:val="885"/>
    <w:uiPriority w:val="99"/>
    <w:pPr>
      <w:spacing w:after="0" w:line="240" w:lineRule="auto"/>
    </w:pPr>
    <w:tblPr/>
  </w:style>
  <w:style w:type="table" w:styleId="964">
    <w:name w:val="Grid Table 3 - Accent 5"/>
    <w:next w:val="964"/>
    <w:link w:val="885"/>
    <w:uiPriority w:val="99"/>
    <w:pPr>
      <w:spacing w:after="0" w:line="240" w:lineRule="auto"/>
    </w:pPr>
    <w:tblPr/>
  </w:style>
  <w:style w:type="table" w:styleId="965">
    <w:name w:val="Grid Table 3 - Accent 6"/>
    <w:next w:val="965"/>
    <w:link w:val="885"/>
    <w:uiPriority w:val="99"/>
    <w:pPr>
      <w:spacing w:after="0" w:line="240" w:lineRule="auto"/>
    </w:pPr>
    <w:tblPr/>
  </w:style>
  <w:style w:type="table" w:styleId="966">
    <w:name w:val="Grid Table 4"/>
    <w:next w:val="966"/>
    <w:link w:val="885"/>
    <w:uiPriority w:val="59"/>
    <w:pPr>
      <w:spacing w:after="0" w:line="240" w:lineRule="auto"/>
    </w:pPr>
    <w:tblPr/>
  </w:style>
  <w:style w:type="table" w:styleId="967">
    <w:name w:val="Grid Table 4 - Accent 1"/>
    <w:next w:val="967"/>
    <w:link w:val="885"/>
    <w:uiPriority w:val="59"/>
    <w:pPr>
      <w:spacing w:after="0" w:line="240" w:lineRule="auto"/>
    </w:pPr>
    <w:tblPr/>
  </w:style>
  <w:style w:type="table" w:styleId="968">
    <w:name w:val="Grid Table 4 - Accent 2"/>
    <w:next w:val="968"/>
    <w:link w:val="885"/>
    <w:uiPriority w:val="59"/>
    <w:pPr>
      <w:spacing w:after="0" w:line="240" w:lineRule="auto"/>
    </w:pPr>
    <w:tblPr/>
  </w:style>
  <w:style w:type="table" w:styleId="969">
    <w:name w:val="Grid Table 4 - Accent 3"/>
    <w:next w:val="969"/>
    <w:link w:val="885"/>
    <w:uiPriority w:val="59"/>
    <w:pPr>
      <w:spacing w:after="0" w:line="240" w:lineRule="auto"/>
    </w:pPr>
    <w:tblPr/>
  </w:style>
  <w:style w:type="table" w:styleId="970">
    <w:name w:val="Grid Table 4 - Accent 4"/>
    <w:next w:val="970"/>
    <w:link w:val="885"/>
    <w:uiPriority w:val="59"/>
    <w:pPr>
      <w:spacing w:after="0" w:line="240" w:lineRule="auto"/>
    </w:pPr>
    <w:tblPr/>
  </w:style>
  <w:style w:type="table" w:styleId="971">
    <w:name w:val="Grid Table 4 - Accent 5"/>
    <w:next w:val="971"/>
    <w:link w:val="885"/>
    <w:uiPriority w:val="59"/>
    <w:pPr>
      <w:spacing w:after="0" w:line="240" w:lineRule="auto"/>
    </w:pPr>
    <w:tblPr/>
  </w:style>
  <w:style w:type="table" w:styleId="972">
    <w:name w:val="Grid Table 4 - Accent 6"/>
    <w:next w:val="972"/>
    <w:link w:val="885"/>
    <w:uiPriority w:val="59"/>
    <w:pPr>
      <w:spacing w:after="0" w:line="240" w:lineRule="auto"/>
    </w:pPr>
    <w:tblPr/>
  </w:style>
  <w:style w:type="table" w:styleId="973">
    <w:name w:val="Grid Table 5 Dark"/>
    <w:next w:val="973"/>
    <w:link w:val="885"/>
    <w:uiPriority w:val="99"/>
    <w:pPr>
      <w:spacing w:after="0" w:line="240" w:lineRule="auto"/>
    </w:pPr>
    <w:tblPr/>
  </w:style>
  <w:style w:type="table" w:styleId="974">
    <w:name w:val="Grid Table 5 Dark- Accent 1"/>
    <w:next w:val="974"/>
    <w:link w:val="885"/>
    <w:uiPriority w:val="99"/>
    <w:pPr>
      <w:spacing w:after="0" w:line="240" w:lineRule="auto"/>
    </w:pPr>
    <w:tblPr/>
  </w:style>
  <w:style w:type="table" w:styleId="975">
    <w:name w:val="Grid Table 5 Dark - Accent 2"/>
    <w:next w:val="975"/>
    <w:link w:val="885"/>
    <w:uiPriority w:val="99"/>
    <w:pPr>
      <w:spacing w:after="0" w:line="240" w:lineRule="auto"/>
    </w:pPr>
    <w:tblPr/>
  </w:style>
  <w:style w:type="table" w:styleId="976">
    <w:name w:val="Grid Table 5 Dark - Accent 3"/>
    <w:next w:val="976"/>
    <w:link w:val="885"/>
    <w:uiPriority w:val="99"/>
    <w:pPr>
      <w:spacing w:after="0" w:line="240" w:lineRule="auto"/>
    </w:pPr>
    <w:tblPr/>
  </w:style>
  <w:style w:type="table" w:styleId="977">
    <w:name w:val="Grid Table 5 Dark- Accent 4"/>
    <w:next w:val="977"/>
    <w:link w:val="885"/>
    <w:uiPriority w:val="99"/>
    <w:pPr>
      <w:spacing w:after="0" w:line="240" w:lineRule="auto"/>
    </w:pPr>
    <w:tblPr/>
  </w:style>
  <w:style w:type="table" w:styleId="978">
    <w:name w:val="Grid Table 5 Dark - Accent 5"/>
    <w:next w:val="978"/>
    <w:link w:val="885"/>
    <w:uiPriority w:val="99"/>
    <w:pPr>
      <w:spacing w:after="0" w:line="240" w:lineRule="auto"/>
    </w:pPr>
    <w:tblPr/>
  </w:style>
  <w:style w:type="table" w:styleId="979">
    <w:name w:val="Grid Table 5 Dark - Accent 6"/>
    <w:next w:val="979"/>
    <w:link w:val="885"/>
    <w:uiPriority w:val="99"/>
    <w:pPr>
      <w:spacing w:after="0" w:line="240" w:lineRule="auto"/>
    </w:pPr>
    <w:tblPr/>
  </w:style>
  <w:style w:type="table" w:styleId="980">
    <w:name w:val="Grid Table 6 Colorful"/>
    <w:next w:val="980"/>
    <w:link w:val="885"/>
    <w:uiPriority w:val="99"/>
    <w:pPr>
      <w:spacing w:after="0" w:line="240" w:lineRule="auto"/>
    </w:pPr>
    <w:tblPr/>
  </w:style>
  <w:style w:type="table" w:styleId="981">
    <w:name w:val="Grid Table 6 Colorful - Accent 1"/>
    <w:next w:val="981"/>
    <w:link w:val="885"/>
    <w:uiPriority w:val="99"/>
    <w:pPr>
      <w:spacing w:after="0" w:line="240" w:lineRule="auto"/>
    </w:pPr>
    <w:tblPr/>
  </w:style>
  <w:style w:type="table" w:styleId="982">
    <w:name w:val="Grid Table 6 Colorful - Accent 2"/>
    <w:next w:val="982"/>
    <w:link w:val="885"/>
    <w:uiPriority w:val="99"/>
    <w:pPr>
      <w:spacing w:after="0" w:line="240" w:lineRule="auto"/>
    </w:pPr>
    <w:tblPr/>
  </w:style>
  <w:style w:type="table" w:styleId="983">
    <w:name w:val="Grid Table 6 Colorful - Accent 3"/>
    <w:next w:val="983"/>
    <w:link w:val="885"/>
    <w:uiPriority w:val="99"/>
    <w:pPr>
      <w:spacing w:after="0" w:line="240" w:lineRule="auto"/>
    </w:pPr>
    <w:tblPr/>
  </w:style>
  <w:style w:type="table" w:styleId="984">
    <w:name w:val="Grid Table 6 Colorful - Accent 4"/>
    <w:next w:val="984"/>
    <w:link w:val="885"/>
    <w:uiPriority w:val="99"/>
    <w:pPr>
      <w:spacing w:after="0" w:line="240" w:lineRule="auto"/>
    </w:pPr>
    <w:tblPr/>
  </w:style>
  <w:style w:type="table" w:styleId="985">
    <w:name w:val="Grid Table 6 Colorful - Accent 5"/>
    <w:next w:val="985"/>
    <w:link w:val="885"/>
    <w:uiPriority w:val="99"/>
    <w:pPr>
      <w:spacing w:after="0" w:line="240" w:lineRule="auto"/>
    </w:pPr>
    <w:tblPr/>
  </w:style>
  <w:style w:type="table" w:styleId="986">
    <w:name w:val="Grid Table 6 Colorful - Accent 6"/>
    <w:next w:val="986"/>
    <w:link w:val="885"/>
    <w:uiPriority w:val="99"/>
    <w:pPr>
      <w:spacing w:after="0" w:line="240" w:lineRule="auto"/>
    </w:pPr>
    <w:tblPr/>
  </w:style>
  <w:style w:type="table" w:styleId="987">
    <w:name w:val="Grid Table 7 Colorful"/>
    <w:next w:val="987"/>
    <w:link w:val="885"/>
    <w:uiPriority w:val="99"/>
    <w:pPr>
      <w:spacing w:after="0" w:line="240" w:lineRule="auto"/>
    </w:pPr>
    <w:tblPr/>
  </w:style>
  <w:style w:type="table" w:styleId="988">
    <w:name w:val="Grid Table 7 Colorful - Accent 1"/>
    <w:next w:val="988"/>
    <w:link w:val="885"/>
    <w:uiPriority w:val="99"/>
    <w:pPr>
      <w:spacing w:after="0" w:line="240" w:lineRule="auto"/>
    </w:pPr>
    <w:tblPr/>
  </w:style>
  <w:style w:type="table" w:styleId="989">
    <w:name w:val="Grid Table 7 Colorful - Accent 2"/>
    <w:next w:val="989"/>
    <w:link w:val="885"/>
    <w:uiPriority w:val="99"/>
    <w:pPr>
      <w:spacing w:after="0" w:line="240" w:lineRule="auto"/>
    </w:pPr>
    <w:tblPr/>
  </w:style>
  <w:style w:type="table" w:styleId="990">
    <w:name w:val="Grid Table 7 Colorful - Accent 3"/>
    <w:next w:val="990"/>
    <w:link w:val="885"/>
    <w:uiPriority w:val="99"/>
    <w:pPr>
      <w:spacing w:after="0" w:line="240" w:lineRule="auto"/>
    </w:pPr>
    <w:tblPr/>
  </w:style>
  <w:style w:type="table" w:styleId="991">
    <w:name w:val="Grid Table 7 Colorful - Accent 4"/>
    <w:next w:val="991"/>
    <w:link w:val="885"/>
    <w:uiPriority w:val="99"/>
    <w:pPr>
      <w:spacing w:after="0" w:line="240" w:lineRule="auto"/>
    </w:pPr>
    <w:tblPr/>
  </w:style>
  <w:style w:type="table" w:styleId="992">
    <w:name w:val="Grid Table 7 Colorful - Accent 5"/>
    <w:next w:val="992"/>
    <w:link w:val="885"/>
    <w:uiPriority w:val="99"/>
    <w:pPr>
      <w:spacing w:after="0" w:line="240" w:lineRule="auto"/>
    </w:pPr>
    <w:tblPr/>
  </w:style>
  <w:style w:type="table" w:styleId="993">
    <w:name w:val="Grid Table 7 Colorful - Accent 6"/>
    <w:next w:val="993"/>
    <w:link w:val="885"/>
    <w:uiPriority w:val="99"/>
    <w:pPr>
      <w:spacing w:after="0" w:line="240" w:lineRule="auto"/>
    </w:pPr>
    <w:tblPr/>
  </w:style>
  <w:style w:type="table" w:styleId="994">
    <w:name w:val="List Table 1 Light"/>
    <w:next w:val="994"/>
    <w:link w:val="885"/>
    <w:uiPriority w:val="99"/>
    <w:pPr>
      <w:spacing w:after="0" w:line="240" w:lineRule="auto"/>
    </w:pPr>
    <w:tblPr/>
  </w:style>
  <w:style w:type="table" w:styleId="995">
    <w:name w:val="List Table 1 Light - Accent 1"/>
    <w:next w:val="995"/>
    <w:link w:val="885"/>
    <w:uiPriority w:val="99"/>
    <w:pPr>
      <w:spacing w:after="0" w:line="240" w:lineRule="auto"/>
    </w:pPr>
    <w:tblPr/>
  </w:style>
  <w:style w:type="table" w:styleId="996">
    <w:name w:val="List Table 1 Light - Accent 2"/>
    <w:next w:val="996"/>
    <w:link w:val="885"/>
    <w:uiPriority w:val="99"/>
    <w:pPr>
      <w:spacing w:after="0" w:line="240" w:lineRule="auto"/>
    </w:pPr>
    <w:tblPr/>
  </w:style>
  <w:style w:type="table" w:styleId="997">
    <w:name w:val="List Table 1 Light - Accent 3"/>
    <w:next w:val="997"/>
    <w:link w:val="885"/>
    <w:uiPriority w:val="99"/>
    <w:pPr>
      <w:spacing w:after="0" w:line="240" w:lineRule="auto"/>
    </w:pPr>
    <w:tblPr/>
  </w:style>
  <w:style w:type="table" w:styleId="998">
    <w:name w:val="List Table 1 Light - Accent 4"/>
    <w:next w:val="998"/>
    <w:link w:val="885"/>
    <w:uiPriority w:val="99"/>
    <w:pPr>
      <w:spacing w:after="0" w:line="240" w:lineRule="auto"/>
    </w:pPr>
    <w:tblPr/>
  </w:style>
  <w:style w:type="table" w:styleId="999">
    <w:name w:val="List Table 1 Light - Accent 5"/>
    <w:next w:val="999"/>
    <w:link w:val="885"/>
    <w:uiPriority w:val="99"/>
    <w:pPr>
      <w:spacing w:after="0" w:line="240" w:lineRule="auto"/>
    </w:pPr>
    <w:tblPr/>
  </w:style>
  <w:style w:type="table" w:styleId="1000">
    <w:name w:val="List Table 1 Light - Accent 6"/>
    <w:next w:val="1000"/>
    <w:link w:val="885"/>
    <w:uiPriority w:val="99"/>
    <w:pPr>
      <w:spacing w:after="0" w:line="240" w:lineRule="auto"/>
    </w:pPr>
    <w:tblPr/>
  </w:style>
  <w:style w:type="table" w:styleId="1001">
    <w:name w:val="List Table 2"/>
    <w:next w:val="1001"/>
    <w:link w:val="885"/>
    <w:uiPriority w:val="99"/>
    <w:pPr>
      <w:spacing w:after="0" w:line="240" w:lineRule="auto"/>
    </w:pPr>
    <w:tblPr/>
  </w:style>
  <w:style w:type="table" w:styleId="1002">
    <w:name w:val="List Table 2 - Accent 1"/>
    <w:next w:val="1002"/>
    <w:link w:val="885"/>
    <w:uiPriority w:val="99"/>
    <w:pPr>
      <w:spacing w:after="0" w:line="240" w:lineRule="auto"/>
    </w:pPr>
    <w:tblPr/>
  </w:style>
  <w:style w:type="table" w:styleId="1003">
    <w:name w:val="List Table 2 - Accent 2"/>
    <w:next w:val="1003"/>
    <w:link w:val="885"/>
    <w:uiPriority w:val="99"/>
    <w:pPr>
      <w:spacing w:after="0" w:line="240" w:lineRule="auto"/>
    </w:pPr>
    <w:tblPr/>
  </w:style>
  <w:style w:type="table" w:styleId="1004">
    <w:name w:val="List Table 2 - Accent 3"/>
    <w:next w:val="1004"/>
    <w:link w:val="885"/>
    <w:uiPriority w:val="99"/>
    <w:pPr>
      <w:spacing w:after="0" w:line="240" w:lineRule="auto"/>
    </w:pPr>
    <w:tblPr/>
  </w:style>
  <w:style w:type="table" w:styleId="1005">
    <w:name w:val="List Table 2 - Accent 4"/>
    <w:next w:val="1005"/>
    <w:link w:val="885"/>
    <w:uiPriority w:val="99"/>
    <w:pPr>
      <w:spacing w:after="0" w:line="240" w:lineRule="auto"/>
    </w:pPr>
    <w:tblPr/>
  </w:style>
  <w:style w:type="table" w:styleId="1006">
    <w:name w:val="List Table 2 - Accent 5"/>
    <w:next w:val="1006"/>
    <w:link w:val="885"/>
    <w:uiPriority w:val="99"/>
    <w:pPr>
      <w:spacing w:after="0" w:line="240" w:lineRule="auto"/>
    </w:pPr>
    <w:tblPr/>
  </w:style>
  <w:style w:type="table" w:styleId="1007">
    <w:name w:val="List Table 2 - Accent 6"/>
    <w:next w:val="1007"/>
    <w:link w:val="885"/>
    <w:uiPriority w:val="99"/>
    <w:pPr>
      <w:spacing w:after="0" w:line="240" w:lineRule="auto"/>
    </w:pPr>
    <w:tblPr/>
  </w:style>
  <w:style w:type="table" w:styleId="1008">
    <w:name w:val="List Table 3"/>
    <w:next w:val="1008"/>
    <w:link w:val="885"/>
    <w:uiPriority w:val="99"/>
    <w:pPr>
      <w:spacing w:after="0" w:line="240" w:lineRule="auto"/>
    </w:pPr>
    <w:tblPr/>
  </w:style>
  <w:style w:type="table" w:styleId="1009">
    <w:name w:val="List Table 3 - Accent 1"/>
    <w:next w:val="1009"/>
    <w:link w:val="885"/>
    <w:uiPriority w:val="99"/>
    <w:pPr>
      <w:spacing w:after="0" w:line="240" w:lineRule="auto"/>
    </w:pPr>
    <w:tblPr/>
  </w:style>
  <w:style w:type="table" w:styleId="1010">
    <w:name w:val="List Table 3 - Accent 2"/>
    <w:next w:val="1010"/>
    <w:link w:val="885"/>
    <w:uiPriority w:val="99"/>
    <w:pPr>
      <w:spacing w:after="0" w:line="240" w:lineRule="auto"/>
    </w:pPr>
    <w:tblPr/>
  </w:style>
  <w:style w:type="table" w:styleId="1011">
    <w:name w:val="List Table 3 - Accent 3"/>
    <w:next w:val="1011"/>
    <w:link w:val="885"/>
    <w:uiPriority w:val="99"/>
    <w:pPr>
      <w:spacing w:after="0" w:line="240" w:lineRule="auto"/>
    </w:pPr>
    <w:tblPr/>
  </w:style>
  <w:style w:type="table" w:styleId="1012">
    <w:name w:val="List Table 3 - Accent 4"/>
    <w:next w:val="1012"/>
    <w:link w:val="885"/>
    <w:uiPriority w:val="99"/>
    <w:pPr>
      <w:spacing w:after="0" w:line="240" w:lineRule="auto"/>
    </w:pPr>
    <w:tblPr/>
  </w:style>
  <w:style w:type="table" w:styleId="1013">
    <w:name w:val="List Table 3 - Accent 5"/>
    <w:next w:val="1013"/>
    <w:link w:val="885"/>
    <w:uiPriority w:val="99"/>
    <w:pPr>
      <w:spacing w:after="0" w:line="240" w:lineRule="auto"/>
    </w:pPr>
    <w:tblPr/>
  </w:style>
  <w:style w:type="table" w:styleId="1014">
    <w:name w:val="List Table 3 - Accent 6"/>
    <w:next w:val="1014"/>
    <w:link w:val="885"/>
    <w:uiPriority w:val="99"/>
    <w:pPr>
      <w:spacing w:after="0" w:line="240" w:lineRule="auto"/>
    </w:pPr>
    <w:tblPr/>
  </w:style>
  <w:style w:type="table" w:styleId="1015">
    <w:name w:val="List Table 4"/>
    <w:next w:val="1015"/>
    <w:link w:val="885"/>
    <w:uiPriority w:val="99"/>
    <w:pPr>
      <w:spacing w:after="0" w:line="240" w:lineRule="auto"/>
    </w:pPr>
    <w:tblPr/>
  </w:style>
  <w:style w:type="table" w:styleId="1016">
    <w:name w:val="List Table 4 - Accent 1"/>
    <w:next w:val="1016"/>
    <w:link w:val="885"/>
    <w:uiPriority w:val="99"/>
    <w:pPr>
      <w:spacing w:after="0" w:line="240" w:lineRule="auto"/>
    </w:pPr>
    <w:tblPr/>
  </w:style>
  <w:style w:type="table" w:styleId="1017">
    <w:name w:val="List Table 4 - Accent 2"/>
    <w:next w:val="1017"/>
    <w:link w:val="885"/>
    <w:uiPriority w:val="99"/>
    <w:pPr>
      <w:spacing w:after="0" w:line="240" w:lineRule="auto"/>
    </w:pPr>
    <w:tblPr/>
  </w:style>
  <w:style w:type="table" w:styleId="1018">
    <w:name w:val="List Table 4 - Accent 3"/>
    <w:next w:val="1018"/>
    <w:link w:val="885"/>
    <w:uiPriority w:val="99"/>
    <w:pPr>
      <w:spacing w:after="0" w:line="240" w:lineRule="auto"/>
    </w:pPr>
    <w:tblPr/>
  </w:style>
  <w:style w:type="table" w:styleId="1019">
    <w:name w:val="List Table 4 - Accent 4"/>
    <w:next w:val="1019"/>
    <w:link w:val="885"/>
    <w:uiPriority w:val="99"/>
    <w:pPr>
      <w:spacing w:after="0" w:line="240" w:lineRule="auto"/>
    </w:pPr>
    <w:tblPr/>
  </w:style>
  <w:style w:type="table" w:styleId="1020">
    <w:name w:val="List Table 4 - Accent 5"/>
    <w:next w:val="1020"/>
    <w:link w:val="885"/>
    <w:uiPriority w:val="99"/>
    <w:pPr>
      <w:spacing w:after="0" w:line="240" w:lineRule="auto"/>
    </w:pPr>
    <w:tblPr/>
  </w:style>
  <w:style w:type="table" w:styleId="1021">
    <w:name w:val="List Table 4 - Accent 6"/>
    <w:next w:val="1021"/>
    <w:link w:val="885"/>
    <w:uiPriority w:val="99"/>
    <w:pPr>
      <w:spacing w:after="0" w:line="240" w:lineRule="auto"/>
    </w:pPr>
    <w:tblPr/>
  </w:style>
  <w:style w:type="table" w:styleId="1022">
    <w:name w:val="List Table 5 Dark"/>
    <w:next w:val="1022"/>
    <w:link w:val="885"/>
    <w:uiPriority w:val="99"/>
    <w:pPr>
      <w:spacing w:after="0" w:line="240" w:lineRule="auto"/>
    </w:pPr>
    <w:tblPr/>
  </w:style>
  <w:style w:type="table" w:styleId="1023">
    <w:name w:val="List Table 5 Dark - Accent 1"/>
    <w:next w:val="1023"/>
    <w:link w:val="885"/>
    <w:uiPriority w:val="99"/>
    <w:pPr>
      <w:spacing w:after="0" w:line="240" w:lineRule="auto"/>
    </w:pPr>
    <w:tblPr/>
  </w:style>
  <w:style w:type="table" w:styleId="1024">
    <w:name w:val="List Table 5 Dark - Accent 2"/>
    <w:next w:val="1024"/>
    <w:link w:val="885"/>
    <w:uiPriority w:val="99"/>
    <w:pPr>
      <w:spacing w:after="0" w:line="240" w:lineRule="auto"/>
    </w:pPr>
    <w:tblPr/>
  </w:style>
  <w:style w:type="table" w:styleId="1025">
    <w:name w:val="List Table 5 Dark - Accent 3"/>
    <w:next w:val="1025"/>
    <w:link w:val="885"/>
    <w:uiPriority w:val="99"/>
    <w:pPr>
      <w:spacing w:after="0" w:line="240" w:lineRule="auto"/>
    </w:pPr>
    <w:tblPr/>
  </w:style>
  <w:style w:type="table" w:styleId="1026">
    <w:name w:val="List Table 5 Dark - Accent 4"/>
    <w:next w:val="1026"/>
    <w:link w:val="885"/>
    <w:uiPriority w:val="99"/>
    <w:pPr>
      <w:spacing w:after="0" w:line="240" w:lineRule="auto"/>
    </w:pPr>
    <w:tblPr/>
  </w:style>
  <w:style w:type="table" w:styleId="1027">
    <w:name w:val="List Table 5 Dark - Accent 5"/>
    <w:next w:val="1027"/>
    <w:link w:val="885"/>
    <w:uiPriority w:val="99"/>
    <w:pPr>
      <w:spacing w:after="0" w:line="240" w:lineRule="auto"/>
    </w:pPr>
    <w:tblPr/>
  </w:style>
  <w:style w:type="table" w:styleId="1028">
    <w:name w:val="List Table 5 Dark - Accent 6"/>
    <w:next w:val="1028"/>
    <w:link w:val="885"/>
    <w:uiPriority w:val="99"/>
    <w:pPr>
      <w:spacing w:after="0" w:line="240" w:lineRule="auto"/>
    </w:pPr>
    <w:tblPr/>
  </w:style>
  <w:style w:type="table" w:styleId="1029">
    <w:name w:val="List Table 6 Colorful"/>
    <w:next w:val="1029"/>
    <w:link w:val="885"/>
    <w:uiPriority w:val="99"/>
    <w:pPr>
      <w:spacing w:after="0" w:line="240" w:lineRule="auto"/>
    </w:pPr>
    <w:tblPr/>
  </w:style>
  <w:style w:type="table" w:styleId="1030">
    <w:name w:val="List Table 6 Colorful - Accent 1"/>
    <w:next w:val="1030"/>
    <w:link w:val="885"/>
    <w:uiPriority w:val="99"/>
    <w:pPr>
      <w:spacing w:after="0" w:line="240" w:lineRule="auto"/>
    </w:pPr>
    <w:tblPr/>
  </w:style>
  <w:style w:type="table" w:styleId="1031">
    <w:name w:val="List Table 6 Colorful - Accent 2"/>
    <w:next w:val="1031"/>
    <w:link w:val="885"/>
    <w:uiPriority w:val="99"/>
    <w:pPr>
      <w:spacing w:after="0" w:line="240" w:lineRule="auto"/>
    </w:pPr>
    <w:tblPr/>
  </w:style>
  <w:style w:type="table" w:styleId="1032">
    <w:name w:val="List Table 6 Colorful - Accent 3"/>
    <w:next w:val="1032"/>
    <w:link w:val="885"/>
    <w:uiPriority w:val="99"/>
    <w:pPr>
      <w:spacing w:after="0" w:line="240" w:lineRule="auto"/>
    </w:pPr>
    <w:tblPr/>
  </w:style>
  <w:style w:type="table" w:styleId="1033">
    <w:name w:val="List Table 6 Colorful - Accent 4"/>
    <w:next w:val="1033"/>
    <w:link w:val="885"/>
    <w:uiPriority w:val="99"/>
    <w:pPr>
      <w:spacing w:after="0" w:line="240" w:lineRule="auto"/>
    </w:pPr>
    <w:tblPr/>
  </w:style>
  <w:style w:type="table" w:styleId="1034">
    <w:name w:val="List Table 6 Colorful - Accent 5"/>
    <w:next w:val="1034"/>
    <w:link w:val="885"/>
    <w:uiPriority w:val="99"/>
    <w:pPr>
      <w:spacing w:after="0" w:line="240" w:lineRule="auto"/>
    </w:pPr>
    <w:tblPr/>
  </w:style>
  <w:style w:type="table" w:styleId="1035">
    <w:name w:val="List Table 6 Colorful - Accent 6"/>
    <w:next w:val="1035"/>
    <w:link w:val="885"/>
    <w:uiPriority w:val="99"/>
    <w:pPr>
      <w:spacing w:after="0" w:line="240" w:lineRule="auto"/>
    </w:pPr>
    <w:tblPr/>
  </w:style>
  <w:style w:type="table" w:styleId="1036">
    <w:name w:val="List Table 7 Colorful"/>
    <w:next w:val="1036"/>
    <w:link w:val="885"/>
    <w:uiPriority w:val="99"/>
    <w:pPr>
      <w:spacing w:after="0" w:line="240" w:lineRule="auto"/>
    </w:pPr>
    <w:tblPr/>
  </w:style>
  <w:style w:type="table" w:styleId="1037">
    <w:name w:val="List Table 7 Colorful - Accent 1"/>
    <w:next w:val="1037"/>
    <w:link w:val="885"/>
    <w:uiPriority w:val="99"/>
    <w:pPr>
      <w:spacing w:after="0" w:line="240" w:lineRule="auto"/>
    </w:pPr>
    <w:tblPr/>
  </w:style>
  <w:style w:type="table" w:styleId="1038">
    <w:name w:val="List Table 7 Colorful - Accent 2"/>
    <w:next w:val="1038"/>
    <w:link w:val="885"/>
    <w:uiPriority w:val="99"/>
    <w:pPr>
      <w:spacing w:after="0" w:line="240" w:lineRule="auto"/>
    </w:pPr>
    <w:tblPr/>
  </w:style>
  <w:style w:type="table" w:styleId="1039">
    <w:name w:val="List Table 7 Colorful - Accent 3"/>
    <w:next w:val="1039"/>
    <w:link w:val="885"/>
    <w:uiPriority w:val="99"/>
    <w:pPr>
      <w:spacing w:after="0" w:line="240" w:lineRule="auto"/>
    </w:pPr>
    <w:tblPr/>
  </w:style>
  <w:style w:type="table" w:styleId="1040">
    <w:name w:val="List Table 7 Colorful - Accent 4"/>
    <w:next w:val="1040"/>
    <w:link w:val="885"/>
    <w:uiPriority w:val="99"/>
    <w:pPr>
      <w:spacing w:after="0" w:line="240" w:lineRule="auto"/>
    </w:pPr>
    <w:tblPr/>
  </w:style>
  <w:style w:type="table" w:styleId="1041">
    <w:name w:val="List Table 7 Colorful - Accent 5"/>
    <w:next w:val="1041"/>
    <w:link w:val="885"/>
    <w:uiPriority w:val="99"/>
    <w:pPr>
      <w:spacing w:after="0" w:line="240" w:lineRule="auto"/>
    </w:pPr>
    <w:tblPr/>
  </w:style>
  <w:style w:type="table" w:styleId="1042">
    <w:name w:val="List Table 7 Colorful - Accent 6"/>
    <w:next w:val="1042"/>
    <w:link w:val="885"/>
    <w:uiPriority w:val="99"/>
    <w:pPr>
      <w:spacing w:after="0" w:line="240" w:lineRule="auto"/>
    </w:pPr>
    <w:tblPr/>
  </w:style>
  <w:style w:type="table" w:styleId="1043">
    <w:name w:val="Lined - Accent"/>
    <w:next w:val="1043"/>
    <w:link w:val="885"/>
    <w:uiPriority w:val="99"/>
    <w:pPr>
      <w:spacing w:after="0" w:line="240" w:lineRule="auto"/>
    </w:pPr>
    <w:rPr>
      <w:color w:val="404040"/>
    </w:rPr>
    <w:tblPr/>
  </w:style>
  <w:style w:type="table" w:styleId="1044">
    <w:name w:val="Lined - Accent 1"/>
    <w:next w:val="1044"/>
    <w:link w:val="885"/>
    <w:uiPriority w:val="99"/>
    <w:pPr>
      <w:spacing w:after="0" w:line="240" w:lineRule="auto"/>
    </w:pPr>
    <w:rPr>
      <w:color w:val="404040"/>
    </w:rPr>
    <w:tblPr/>
  </w:style>
  <w:style w:type="table" w:styleId="1045">
    <w:name w:val="Lined - Accent 2"/>
    <w:next w:val="1045"/>
    <w:link w:val="885"/>
    <w:uiPriority w:val="99"/>
    <w:pPr>
      <w:spacing w:after="0" w:line="240" w:lineRule="auto"/>
    </w:pPr>
    <w:rPr>
      <w:color w:val="404040"/>
    </w:rPr>
    <w:tblPr/>
  </w:style>
  <w:style w:type="table" w:styleId="1046">
    <w:name w:val="Lined - Accent 3"/>
    <w:next w:val="1046"/>
    <w:link w:val="885"/>
    <w:uiPriority w:val="99"/>
    <w:pPr>
      <w:spacing w:after="0" w:line="240" w:lineRule="auto"/>
    </w:pPr>
    <w:rPr>
      <w:color w:val="404040"/>
    </w:rPr>
    <w:tblPr/>
  </w:style>
  <w:style w:type="table" w:styleId="1047">
    <w:name w:val="Lined - Accent 4"/>
    <w:next w:val="1047"/>
    <w:link w:val="885"/>
    <w:uiPriority w:val="99"/>
    <w:pPr>
      <w:spacing w:after="0" w:line="240" w:lineRule="auto"/>
    </w:pPr>
    <w:rPr>
      <w:color w:val="404040"/>
    </w:rPr>
    <w:tblPr/>
  </w:style>
  <w:style w:type="table" w:styleId="1048">
    <w:name w:val="Lined - Accent 5"/>
    <w:next w:val="1048"/>
    <w:link w:val="885"/>
    <w:uiPriority w:val="99"/>
    <w:pPr>
      <w:spacing w:after="0" w:line="240" w:lineRule="auto"/>
    </w:pPr>
    <w:rPr>
      <w:color w:val="404040"/>
    </w:rPr>
    <w:tblPr/>
  </w:style>
  <w:style w:type="table" w:styleId="1049">
    <w:name w:val="Lined - Accent 6"/>
    <w:next w:val="1049"/>
    <w:link w:val="885"/>
    <w:uiPriority w:val="99"/>
    <w:pPr>
      <w:spacing w:after="0" w:line="240" w:lineRule="auto"/>
    </w:pPr>
    <w:rPr>
      <w:color w:val="404040"/>
    </w:rPr>
    <w:tblPr/>
  </w:style>
  <w:style w:type="table" w:styleId="1050">
    <w:name w:val="Bordered &amp; Lined - Accent"/>
    <w:next w:val="1050"/>
    <w:link w:val="885"/>
    <w:uiPriority w:val="99"/>
    <w:pPr>
      <w:spacing w:after="0" w:line="240" w:lineRule="auto"/>
    </w:pPr>
    <w:rPr>
      <w:color w:val="404040"/>
    </w:rPr>
    <w:tblPr/>
  </w:style>
  <w:style w:type="table" w:styleId="1051">
    <w:name w:val="Bordered &amp; Lined - Accent 1"/>
    <w:next w:val="1051"/>
    <w:link w:val="885"/>
    <w:uiPriority w:val="99"/>
    <w:pPr>
      <w:spacing w:after="0" w:line="240" w:lineRule="auto"/>
    </w:pPr>
    <w:rPr>
      <w:color w:val="404040"/>
    </w:rPr>
    <w:tblPr/>
  </w:style>
  <w:style w:type="table" w:styleId="1052">
    <w:name w:val="Bordered &amp; Lined - Accent 2"/>
    <w:next w:val="1052"/>
    <w:link w:val="885"/>
    <w:uiPriority w:val="99"/>
    <w:pPr>
      <w:spacing w:after="0" w:line="240" w:lineRule="auto"/>
    </w:pPr>
    <w:rPr>
      <w:color w:val="404040"/>
    </w:rPr>
    <w:tblPr/>
  </w:style>
  <w:style w:type="table" w:styleId="1053">
    <w:name w:val="Bordered &amp; Lined - Accent 3"/>
    <w:next w:val="1053"/>
    <w:link w:val="885"/>
    <w:uiPriority w:val="99"/>
    <w:pPr>
      <w:spacing w:after="0" w:line="240" w:lineRule="auto"/>
    </w:pPr>
    <w:rPr>
      <w:color w:val="404040"/>
    </w:rPr>
    <w:tblPr/>
  </w:style>
  <w:style w:type="table" w:styleId="1054">
    <w:name w:val="Bordered &amp; Lined - Accent 4"/>
    <w:next w:val="1054"/>
    <w:link w:val="885"/>
    <w:uiPriority w:val="99"/>
    <w:pPr>
      <w:spacing w:after="0" w:line="240" w:lineRule="auto"/>
    </w:pPr>
    <w:rPr>
      <w:color w:val="404040"/>
    </w:rPr>
    <w:tblPr/>
  </w:style>
  <w:style w:type="table" w:styleId="1055">
    <w:name w:val="Bordered &amp; Lined - Accent 5"/>
    <w:next w:val="1055"/>
    <w:link w:val="885"/>
    <w:uiPriority w:val="99"/>
    <w:pPr>
      <w:spacing w:after="0" w:line="240" w:lineRule="auto"/>
    </w:pPr>
    <w:rPr>
      <w:color w:val="404040"/>
    </w:rPr>
    <w:tblPr/>
  </w:style>
  <w:style w:type="table" w:styleId="1056">
    <w:name w:val="Bordered &amp; Lined - Accent 6"/>
    <w:next w:val="1056"/>
    <w:link w:val="885"/>
    <w:uiPriority w:val="99"/>
    <w:pPr>
      <w:spacing w:after="0" w:line="240" w:lineRule="auto"/>
    </w:pPr>
    <w:rPr>
      <w:color w:val="404040"/>
    </w:rPr>
    <w:tblPr/>
  </w:style>
  <w:style w:type="table" w:styleId="1057">
    <w:name w:val="Bordered"/>
    <w:next w:val="1057"/>
    <w:link w:val="885"/>
    <w:uiPriority w:val="99"/>
    <w:pPr>
      <w:spacing w:after="0" w:line="240" w:lineRule="auto"/>
    </w:pPr>
    <w:tblPr/>
  </w:style>
  <w:style w:type="table" w:styleId="1058">
    <w:name w:val="Bordered - Accent 1"/>
    <w:next w:val="1058"/>
    <w:link w:val="885"/>
    <w:uiPriority w:val="99"/>
    <w:pPr>
      <w:spacing w:after="0" w:line="240" w:lineRule="auto"/>
    </w:pPr>
    <w:tblPr/>
  </w:style>
  <w:style w:type="table" w:styleId="1059">
    <w:name w:val="Bordered - Accent 2"/>
    <w:next w:val="1059"/>
    <w:link w:val="885"/>
    <w:uiPriority w:val="99"/>
    <w:pPr>
      <w:spacing w:after="0" w:line="240" w:lineRule="auto"/>
    </w:pPr>
    <w:tblPr/>
  </w:style>
  <w:style w:type="table" w:styleId="1060">
    <w:name w:val="Bordered - Accent 3"/>
    <w:next w:val="1060"/>
    <w:link w:val="885"/>
    <w:uiPriority w:val="99"/>
    <w:pPr>
      <w:spacing w:after="0" w:line="240" w:lineRule="auto"/>
    </w:pPr>
    <w:tblPr/>
  </w:style>
  <w:style w:type="table" w:styleId="1061">
    <w:name w:val="Bordered - Accent 4"/>
    <w:next w:val="1061"/>
    <w:link w:val="885"/>
    <w:uiPriority w:val="99"/>
    <w:pPr>
      <w:spacing w:after="0" w:line="240" w:lineRule="auto"/>
    </w:pPr>
    <w:tblPr/>
  </w:style>
  <w:style w:type="table" w:styleId="1062">
    <w:name w:val="Bordered - Accent 5"/>
    <w:next w:val="1062"/>
    <w:link w:val="885"/>
    <w:uiPriority w:val="99"/>
    <w:pPr>
      <w:spacing w:after="0" w:line="240" w:lineRule="auto"/>
    </w:pPr>
    <w:tblPr/>
  </w:style>
  <w:style w:type="table" w:styleId="1063">
    <w:name w:val="Bordered - Accent 6"/>
    <w:next w:val="1063"/>
    <w:link w:val="885"/>
    <w:uiPriority w:val="99"/>
    <w:pPr>
      <w:spacing w:after="0" w:line="240" w:lineRule="auto"/>
    </w:pPr>
    <w:tblPr/>
  </w:style>
  <w:style w:type="paragraph" w:styleId="1064">
    <w:name w:val="TOC Heading"/>
    <w:next w:val="1064"/>
    <w:link w:val="885"/>
    <w:uiPriority w:val="39"/>
    <w:unhideWhenUsed/>
  </w:style>
  <w:style w:type="paragraph" w:styleId="1065">
    <w:name w:val="标题 11"/>
    <w:basedOn w:val="885"/>
    <w:next w:val="885"/>
    <w:link w:val="885"/>
    <w:uiPriority w:val="9"/>
    <w:qFormat/>
    <w:pPr>
      <w:keepLines/>
      <w:keepNext/>
      <w:spacing w:before="340" w:after="330" w:line="578" w:lineRule="auto"/>
      <w:outlineLvl w:val="0"/>
    </w:pPr>
    <w:rPr>
      <w:b/>
      <w:bCs/>
      <w:sz w:val="44"/>
      <w:szCs w:val="44"/>
    </w:rPr>
  </w:style>
  <w:style w:type="paragraph" w:styleId="1066">
    <w:name w:val="标题 21"/>
    <w:basedOn w:val="885"/>
    <w:next w:val="885"/>
    <w:link w:val="885"/>
    <w:qFormat/>
    <w:pPr>
      <w:jc w:val="left"/>
      <w:spacing w:beforeAutospacing="1" w:afterAutospacing="1"/>
      <w:widowControl/>
      <w:outlineLvl w:val="1"/>
    </w:pPr>
    <w:rPr>
      <w:rFonts w:hint="eastAsia" w:ascii="宋体" w:hAnsi="宋体" w:eastAsia="宋体" w:cs="Times New Roman"/>
      <w:b/>
      <w:bCs/>
      <w:sz w:val="36"/>
      <w:szCs w:val="36"/>
    </w:rPr>
  </w:style>
  <w:style w:type="paragraph" w:styleId="1067">
    <w:name w:val="标题 311"/>
    <w:basedOn w:val="885"/>
    <w:next w:val="885"/>
    <w:link w:val="885"/>
    <w:uiPriority w:val="9"/>
    <w:qFormat/>
    <w:pPr>
      <w:keepLines/>
      <w:keepNext/>
      <w:spacing w:before="260" w:after="260" w:line="416" w:lineRule="auto"/>
      <w:outlineLvl w:val="2"/>
    </w:pPr>
    <w:rPr>
      <w:b/>
      <w:bCs/>
      <w:sz w:val="32"/>
      <w:szCs w:val="32"/>
    </w:rPr>
  </w:style>
  <w:style w:type="paragraph" w:styleId="1068">
    <w:name w:val="标题 41"/>
    <w:basedOn w:val="885"/>
    <w:next w:val="885"/>
    <w:link w:val="885"/>
    <w:uiPriority w:val="9"/>
    <w:qFormat/>
    <w:pPr>
      <w:keepLines/>
      <w:keepNext/>
      <w:spacing w:before="120" w:after="120"/>
      <w:outlineLvl w:val="3"/>
    </w:pPr>
    <w:rPr>
      <w:rFonts w:ascii="Arial" w:hAnsi="Arial" w:eastAsia="黑体"/>
      <w:b/>
      <w:sz w:val="20"/>
      <w:szCs w:val="20"/>
    </w:rPr>
  </w:style>
  <w:style w:type="character" w:styleId="1069">
    <w:name w:val="默认段落字体1"/>
    <w:next w:val="1069"/>
    <w:link w:val="885"/>
    <w:uiPriority w:val="1"/>
    <w:unhideWhenUsed/>
  </w:style>
  <w:style w:type="table" w:styleId="1070">
    <w:name w:val="普通表格1"/>
    <w:next w:val="1070"/>
    <w:link w:val="885"/>
    <w:uiPriority w:val="99"/>
    <w:unhideWhenUsed/>
    <w:qFormat/>
    <w:tblPr/>
  </w:style>
  <w:style w:type="paragraph" w:styleId="1071">
    <w:name w:val="正文缩进11"/>
    <w:basedOn w:val="885"/>
    <w:next w:val="1071"/>
    <w:link w:val="885"/>
    <w:qFormat/>
    <w:pPr>
      <w:ind w:firstLine="420"/>
    </w:pPr>
    <w:rPr>
      <w:szCs w:val="24"/>
    </w:rPr>
  </w:style>
  <w:style w:type="paragraph" w:styleId="1072">
    <w:name w:val="批注文字11"/>
    <w:basedOn w:val="885"/>
    <w:next w:val="1072"/>
    <w:link w:val="885"/>
    <w:qFormat/>
    <w:pPr>
      <w:jc w:val="left"/>
    </w:pPr>
    <w:rPr>
      <w:sz w:val="21"/>
    </w:rPr>
  </w:style>
  <w:style w:type="paragraph" w:styleId="1073">
    <w:name w:val="正文文本11"/>
    <w:basedOn w:val="885"/>
    <w:next w:val="1073"/>
    <w:link w:val="885"/>
    <w:qFormat/>
    <w:rPr>
      <w:rFonts w:ascii="Tahoma" w:hAnsi="Tahoma"/>
      <w:szCs w:val="24"/>
    </w:rPr>
  </w:style>
  <w:style w:type="paragraph" w:styleId="1074">
    <w:name w:val="正文文本缩进1"/>
    <w:basedOn w:val="885"/>
    <w:next w:val="1075"/>
    <w:link w:val="885"/>
    <w:qFormat/>
    <w:pPr>
      <w:ind w:firstLine="480"/>
      <w:tabs>
        <w:tab w:val="left" w:pos="180" w:leader="none"/>
      </w:tabs>
    </w:pPr>
    <w:rPr>
      <w:rFonts w:ascii="Tahoma" w:hAnsi="Tahoma"/>
      <w:sz w:val="24"/>
    </w:rPr>
  </w:style>
  <w:style w:type="paragraph" w:styleId="1075">
    <w:name w:val="寄信人地址1"/>
    <w:basedOn w:val="885"/>
    <w:next w:val="1075"/>
    <w:link w:val="885"/>
    <w:qFormat/>
    <w:rPr>
      <w:rFonts w:ascii="Arial" w:hAnsi="Arial"/>
    </w:rPr>
  </w:style>
  <w:style w:type="paragraph" w:styleId="1076">
    <w:name w:val="索引 41"/>
    <w:basedOn w:val="885"/>
    <w:next w:val="885"/>
    <w:link w:val="885"/>
    <w:qFormat/>
    <w:pPr>
      <w:ind w:left="600"/>
      <w:spacing w:line="440" w:lineRule="exact"/>
    </w:pPr>
  </w:style>
  <w:style w:type="paragraph" w:styleId="1077">
    <w:name w:val="纯文本1"/>
    <w:basedOn w:val="885"/>
    <w:next w:val="885"/>
    <w:link w:val="885"/>
    <w:qFormat/>
    <w:rPr>
      <w:rFonts w:ascii="宋体" w:hAnsi="Courier New"/>
    </w:rPr>
  </w:style>
  <w:style w:type="paragraph" w:styleId="1078">
    <w:name w:val="批注框文本1"/>
    <w:basedOn w:val="885"/>
    <w:next w:val="1078"/>
    <w:link w:val="1079"/>
    <w:rPr>
      <w:sz w:val="18"/>
      <w:szCs w:val="18"/>
    </w:rPr>
  </w:style>
  <w:style w:type="character" w:styleId="1079">
    <w:name w:val="批注框文本 Char"/>
    <w:next w:val="1079"/>
    <w:link w:val="1078"/>
    <w:rPr>
      <w:sz w:val="18"/>
      <w:szCs w:val="18"/>
    </w:rPr>
  </w:style>
  <w:style w:type="paragraph" w:styleId="1080">
    <w:name w:val="页脚1"/>
    <w:basedOn w:val="885"/>
    <w:next w:val="1080"/>
    <w:link w:val="885"/>
    <w:uiPriority w:val="99"/>
    <w:unhideWhenUsed/>
    <w:qFormat/>
    <w:pPr>
      <w:jc w:val="left"/>
      <w:tabs>
        <w:tab w:val="center" w:pos="4153" w:leader="none"/>
        <w:tab w:val="right" w:pos="8306" w:leader="none"/>
      </w:tabs>
    </w:pPr>
    <w:rPr>
      <w:sz w:val="18"/>
      <w:szCs w:val="18"/>
    </w:rPr>
  </w:style>
  <w:style w:type="paragraph" w:styleId="1081">
    <w:name w:val="页眉1"/>
    <w:basedOn w:val="885"/>
    <w:next w:val="1081"/>
    <w:link w:val="1082"/>
    <w:pPr>
      <w:jc w:val="center"/>
      <w:tabs>
        <w:tab w:val="center" w:pos="4153" w:leader="none"/>
        <w:tab w:val="right" w:pos="8306" w:leader="none"/>
      </w:tabs>
      <w:pBdr>
        <w:bottom w:val="single" w:color="000000" w:sz="6" w:space="1"/>
      </w:pBdr>
    </w:pPr>
    <w:rPr>
      <w:sz w:val="18"/>
      <w:szCs w:val="18"/>
    </w:rPr>
  </w:style>
  <w:style w:type="character" w:styleId="1082">
    <w:name w:val="页眉 Char"/>
    <w:next w:val="1082"/>
    <w:link w:val="1081"/>
    <w:rPr>
      <w:rFonts w:ascii="Times New Roman" w:hAnsi="Times New Roman" w:eastAsia="宋体" w:cs="Times New Roman"/>
      <w:sz w:val="18"/>
      <w:szCs w:val="18"/>
    </w:rPr>
  </w:style>
  <w:style w:type="paragraph" w:styleId="1083">
    <w:name w:val="索引标题1"/>
    <w:basedOn w:val="885"/>
    <w:next w:val="1084"/>
    <w:link w:val="885"/>
    <w:uiPriority w:val="99"/>
    <w:unhideWhenUsed/>
    <w:qFormat/>
    <w:pPr>
      <w:spacing w:line="500" w:lineRule="exact"/>
    </w:pPr>
    <w:rPr>
      <w:rFonts w:ascii="仿宋_GB2312" w:hAnsi="Calibri"/>
      <w:sz w:val="28"/>
    </w:rPr>
  </w:style>
  <w:style w:type="paragraph" w:styleId="1084">
    <w:name w:val="索引 11"/>
    <w:basedOn w:val="885"/>
    <w:next w:val="885"/>
    <w:link w:val="885"/>
    <w:uiPriority w:val="99"/>
    <w:unhideWhenUsed/>
    <w:qFormat/>
  </w:style>
  <w:style w:type="paragraph" w:styleId="1085">
    <w:name w:val="列表1"/>
    <w:basedOn w:val="885"/>
    <w:next w:val="1085"/>
    <w:link w:val="885"/>
    <w:qFormat/>
    <w:pPr>
      <w:ind w:left="420" w:hanging="420"/>
    </w:pPr>
  </w:style>
  <w:style w:type="paragraph" w:styleId="1086">
    <w:name w:val="正文文本缩进 31"/>
    <w:basedOn w:val="885"/>
    <w:next w:val="1086"/>
    <w:link w:val="885"/>
    <w:qFormat/>
    <w:pPr>
      <w:ind w:firstLine="480"/>
      <w:spacing w:line="400" w:lineRule="exact"/>
    </w:pPr>
    <w:rPr>
      <w:sz w:val="24"/>
    </w:rPr>
  </w:style>
  <w:style w:type="paragraph" w:styleId="1087">
    <w:name w:val="目录 21"/>
    <w:basedOn w:val="885"/>
    <w:next w:val="885"/>
    <w:link w:val="885"/>
    <w:uiPriority w:val="39"/>
    <w:unhideWhenUsed/>
    <w:qFormat/>
    <w:pPr>
      <w:ind w:left="283" w:right="0" w:firstLine="0"/>
      <w:spacing w:after="57"/>
    </w:pPr>
  </w:style>
  <w:style w:type="paragraph" w:styleId="1088">
    <w:name w:val="普通(网站)11"/>
    <w:basedOn w:val="885"/>
    <w:next w:val="1088"/>
    <w:link w:val="885"/>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89">
    <w:name w:val="正文首行缩进11"/>
    <w:basedOn w:val="885"/>
    <w:next w:val="885"/>
    <w:link w:val="885"/>
    <w:qFormat/>
    <w:pPr>
      <w:ind w:firstLine="420"/>
    </w:pPr>
  </w:style>
  <w:style w:type="paragraph" w:styleId="1090">
    <w:name w:val="正文首行缩进 21"/>
    <w:basedOn w:val="1074"/>
    <w:next w:val="1090"/>
    <w:link w:val="885"/>
    <w:qFormat/>
    <w:pPr>
      <w:ind w:left="420" w:firstLine="420"/>
      <w:tabs>
        <w:tab w:val="left" w:pos="180" w:leader="none"/>
      </w:tabs>
    </w:pPr>
    <w:rPr>
      <w:rFonts w:ascii="Times New Roman" w:hAnsi="Times New Roman"/>
      <w:szCs w:val="24"/>
    </w:rPr>
  </w:style>
  <w:style w:type="table" w:styleId="1091">
    <w:name w:val="网格型1"/>
    <w:basedOn w:val="1070"/>
    <w:next w:val="1091"/>
    <w:link w:val="885"/>
    <w:uiPriority w:val="99"/>
    <w:qFormat/>
    <w:rPr>
      <w:rFonts w:ascii="Calibri" w:hAnsi="Calibri" w:eastAsia="宋体" w:cs="Times New Roman"/>
      <w:sz w:val="20"/>
      <w:szCs w:val="20"/>
    </w:rPr>
    <w:tblPr/>
  </w:style>
  <w:style w:type="character" w:styleId="1092">
    <w:name w:val="要点1"/>
    <w:next w:val="1092"/>
    <w:link w:val="885"/>
    <w:qFormat/>
    <w:rPr>
      <w:b/>
      <w:bCs/>
    </w:rPr>
  </w:style>
  <w:style w:type="character" w:styleId="1093">
    <w:name w:val="页码1"/>
    <w:basedOn w:val="1069"/>
    <w:next w:val="1093"/>
    <w:link w:val="885"/>
    <w:qFormat/>
    <w:rPr>
      <w:rFonts w:ascii="Times New Roman" w:hAnsi="Times New Roman" w:eastAsia="宋体" w:cs="Times New Roman"/>
    </w:rPr>
  </w:style>
  <w:style w:type="character" w:styleId="1094">
    <w:name w:val="超链接1"/>
    <w:next w:val="1094"/>
    <w:link w:val="885"/>
    <w:rPr>
      <w:color w:val="0000ff"/>
      <w:u w:val="single"/>
    </w:rPr>
  </w:style>
  <w:style w:type="paragraph" w:styleId="1095">
    <w:name w:val="列出段落"/>
    <w:basedOn w:val="885"/>
    <w:next w:val="1095"/>
    <w:link w:val="885"/>
    <w:uiPriority w:val="34"/>
    <w:qFormat/>
    <w:pPr>
      <w:ind w:firstLine="420"/>
    </w:pPr>
  </w:style>
  <w:style w:type="paragraph" w:styleId="1096">
    <w:name w:val="正文文本113"/>
    <w:basedOn w:val="885"/>
    <w:next w:val="1097"/>
    <w:link w:val="885"/>
    <w:qFormat/>
    <w:pPr>
      <w:spacing w:after="120"/>
    </w:pPr>
    <w:rPr>
      <w:sz w:val="28"/>
    </w:rPr>
  </w:style>
  <w:style w:type="paragraph" w:styleId="1097">
    <w:name w:val="一级条标题"/>
    <w:basedOn w:val="1098"/>
    <w:next w:val="1099"/>
    <w:link w:val="88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8">
    <w:name w:val="章标题"/>
    <w:next w:val="885"/>
    <w:link w:val="885"/>
    <w:qFormat/>
    <w:pPr>
      <w:ind w:left="810" w:hanging="810"/>
      <w:jc w:val="both"/>
      <w:spacing w:before="50" w:after="50"/>
      <w:tabs>
        <w:tab w:val="left" w:pos="810" w:leader="none"/>
        <w:tab w:val="left" w:pos="1265" w:leader="none"/>
      </w:tabs>
      <w:outlineLvl w:val="1"/>
    </w:pPr>
    <w:rPr>
      <w:rFonts w:ascii="黑体" w:hAnsi="Calibri" w:eastAsia="黑体"/>
      <w:sz w:val="21"/>
      <w:szCs w:val="22"/>
      <w:lang w:eastAsia="zh-CN"/>
    </w:rPr>
  </w:style>
  <w:style w:type="paragraph" w:styleId="1099">
    <w:name w:val="段"/>
    <w:next w:val="1100"/>
    <w:link w:val="885"/>
    <w:qFormat/>
    <w:pPr>
      <w:ind w:firstLine="200"/>
      <w:jc w:val="both"/>
      <w:widowControl w:val="off"/>
    </w:pPr>
    <w:rPr>
      <w:rFonts w:ascii="宋体" w:hAnsi="宋体" w:cs="宋体"/>
      <w:color w:val="000000"/>
      <w:sz w:val="21"/>
      <w:szCs w:val="21"/>
      <w:lang w:eastAsia="zh-CN"/>
    </w:rPr>
  </w:style>
  <w:style w:type="paragraph" w:styleId="1100">
    <w:name w:val="正文 A"/>
    <w:next w:val="1099"/>
    <w:link w:val="885"/>
    <w:qFormat/>
    <w:pPr>
      <w:jc w:val="both"/>
      <w:widowControl w:val="off"/>
    </w:pPr>
    <w:rPr>
      <w:rFonts w:ascii="Calibri" w:hAnsi="Calibri" w:eastAsia="Calibri" w:cs="Calibri"/>
      <w:color w:val="000000"/>
      <w:sz w:val="21"/>
      <w:szCs w:val="21"/>
      <w:lang w:eastAsia="zh-CN"/>
    </w:rPr>
  </w:style>
  <w:style w:type="paragraph" w:styleId="1101">
    <w:name w:val="标题 3111"/>
    <w:basedOn w:val="885"/>
    <w:next w:val="885"/>
    <w:link w:val="885"/>
    <w:uiPriority w:val="9"/>
    <w:qFormat/>
    <w:pPr>
      <w:keepLines/>
      <w:keepNext/>
      <w:spacing w:before="320" w:after="200"/>
      <w:outlineLvl w:val="2"/>
    </w:pPr>
    <w:rPr>
      <w:rFonts w:ascii="Arial" w:hAnsi="Arial" w:eastAsia="Arial"/>
      <w:sz w:val="30"/>
      <w:szCs w:val="30"/>
    </w:rPr>
  </w:style>
  <w:style w:type="paragraph" w:styleId="1102">
    <w:name w:val="TOC 标题1"/>
    <w:basedOn w:val="1065"/>
    <w:next w:val="885"/>
    <w:link w:val="885"/>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1103">
    <w:name w:val="正文首行缩进1"/>
    <w:basedOn w:val="1104"/>
    <w:next w:val="885"/>
    <w:link w:val="885"/>
    <w:qFormat/>
    <w:pPr>
      <w:ind w:firstLine="420"/>
    </w:pPr>
  </w:style>
  <w:style w:type="paragraph" w:styleId="1104">
    <w:name w:val="正文文本1"/>
    <w:basedOn w:val="885"/>
    <w:next w:val="885"/>
    <w:link w:val="885"/>
    <w:qFormat/>
    <w:rPr>
      <w:rFonts w:ascii="Tahoma" w:hAnsi="Tahoma"/>
      <w:szCs w:val="24"/>
    </w:rPr>
  </w:style>
  <w:style w:type="paragraph" w:styleId="1105">
    <w:name w:val="Default"/>
    <w:next w:val="1105"/>
    <w:link w:val="885"/>
    <w:qFormat/>
    <w:pPr>
      <w:widowControl w:val="off"/>
    </w:pPr>
    <w:rPr>
      <w:rFonts w:ascii="宋体"/>
      <w:color w:val="000000"/>
      <w:sz w:val="24"/>
      <w:szCs w:val="24"/>
      <w:lang w:eastAsia="zh-CN"/>
    </w:rPr>
  </w:style>
  <w:style w:type="paragraph" w:styleId="1106">
    <w:name w:val="标题 31"/>
    <w:basedOn w:val="885"/>
    <w:next w:val="885"/>
    <w:link w:val="885"/>
    <w:uiPriority w:val="9"/>
    <w:qFormat/>
    <w:pPr>
      <w:keepLines/>
      <w:keepNext/>
      <w:spacing w:before="260" w:after="260" w:line="416" w:lineRule="auto"/>
      <w:outlineLvl w:val="2"/>
    </w:pPr>
    <w:rPr>
      <w:rFonts w:ascii="Calibri" w:hAnsi="Calibri"/>
      <w:b/>
      <w:bCs/>
      <w:sz w:val="32"/>
      <w:szCs w:val="32"/>
    </w:rPr>
  </w:style>
  <w:style w:type="paragraph" w:styleId="1107">
    <w:name w:val="正文1"/>
    <w:basedOn w:val="885"/>
    <w:next w:val="1107"/>
    <w:link w:val="885"/>
    <w:qFormat/>
    <w:pPr>
      <w:ind w:right="-167"/>
      <w:spacing w:line="440" w:lineRule="exact"/>
      <w:widowControl/>
    </w:pPr>
    <w:rPr>
      <w:b/>
    </w:rPr>
  </w:style>
  <w:style w:type="paragraph" w:styleId="1108">
    <w:name w:val="msolistparagraph"/>
    <w:basedOn w:val="885"/>
    <w:next w:val="1108"/>
    <w:link w:val="885"/>
    <w:qFormat/>
    <w:pPr>
      <w:ind w:firstLine="420"/>
    </w:pPr>
    <w:rPr>
      <w:rFonts w:ascii="Calibri" w:hAnsi="Calibri" w:eastAsia="宋体" w:cs="Times New Roman"/>
    </w:rPr>
  </w:style>
  <w:style w:type="paragraph" w:styleId="1109">
    <w:name w:val="179"/>
    <w:basedOn w:val="885"/>
    <w:next w:val="1109"/>
    <w:link w:val="885"/>
    <w:qFormat/>
    <w:pPr>
      <w:ind w:firstLine="420"/>
      <w:widowControl/>
    </w:pPr>
    <w:rPr>
      <w:rFonts w:ascii="Calibri" w:hAnsi="Calibri"/>
    </w:rPr>
  </w:style>
  <w:style w:type="character" w:styleId="1110">
    <w:name w:val="NormalCharacter1"/>
    <w:next w:val="1110"/>
    <w:link w:val="885"/>
    <w:semiHidden/>
    <w:qFormat/>
  </w:style>
  <w:style w:type="paragraph" w:styleId="1111">
    <w:name w:val="Heading21"/>
    <w:basedOn w:val="885"/>
    <w:next w:val="885"/>
    <w:link w:val="885"/>
    <w:qFormat/>
    <w:pPr>
      <w:keepLines/>
      <w:keepNext/>
      <w:spacing w:before="260" w:after="260" w:line="412" w:lineRule="auto"/>
      <w:widowControl/>
    </w:pPr>
    <w:rPr>
      <w:rFonts w:ascii="Arial" w:hAnsi="Arial" w:eastAsia="黑体"/>
      <w:sz w:val="32"/>
      <w:szCs w:val="32"/>
    </w:rPr>
  </w:style>
  <w:style w:type="table" w:styleId="1112">
    <w:name w:val="Plain Table 1"/>
    <w:next w:val="1112"/>
    <w:link w:val="885"/>
    <w:uiPriority w:val="41"/>
    <w:qFormat/>
    <w:rPr>
      <w:lang w:val="en-US" w:eastAsia="zh-CN" w:bidi="ar-SA"/>
    </w:rPr>
    <w:tblPr/>
  </w:style>
  <w:style w:type="paragraph" w:styleId="1113">
    <w:name w:val="列表段落1"/>
    <w:basedOn w:val="885"/>
    <w:next w:val="1113"/>
    <w:link w:val="885"/>
    <w:uiPriority w:val="34"/>
    <w:qFormat/>
    <w:pPr>
      <w:ind w:firstLine="420"/>
    </w:pPr>
    <w:rPr>
      <w:rFonts w:ascii="Times New Roman" w:hAnsi="Times New Roman" w:eastAsia="宋体" w:cs="Times New Roman"/>
      <w:szCs w:val="21"/>
    </w:rPr>
  </w:style>
  <w:style w:type="paragraph" w:styleId="1114">
    <w:name w:val="表格文字"/>
    <w:basedOn w:val="885"/>
    <w:next w:val="1073"/>
    <w:link w:val="885"/>
    <w:qFormat/>
    <w:pPr>
      <w:jc w:val="left"/>
      <w:spacing w:before="25" w:after="25"/>
    </w:pPr>
    <w:rPr>
      <w:bCs/>
      <w:spacing w:val="10"/>
      <w:sz w:val="24"/>
      <w:szCs w:val="20"/>
    </w:rPr>
  </w:style>
  <w:style w:type="paragraph" w:styleId="1115">
    <w:name w:val="列出段落1"/>
    <w:basedOn w:val="885"/>
    <w:next w:val="1115"/>
    <w:link w:val="885"/>
    <w:qFormat/>
    <w:pPr>
      <w:ind w:firstLine="420"/>
    </w:pPr>
  </w:style>
  <w:style w:type="character" w:styleId="1116">
    <w:name w:val="font21"/>
    <w:basedOn w:val="1069"/>
    <w:next w:val="1116"/>
    <w:link w:val="885"/>
    <w:qFormat/>
    <w:rPr>
      <w:rFonts w:ascii="方正仿宋_GBK" w:hAnsi="方正仿宋_GBK" w:eastAsia="方正仿宋_GBK" w:cs="方正仿宋_GBK"/>
      <w:color w:val="000000"/>
      <w:sz w:val="22"/>
      <w:szCs w:val="22"/>
      <w:u w:val="none"/>
    </w:rPr>
  </w:style>
  <w:style w:type="character" w:styleId="1117">
    <w:name w:val="font51"/>
    <w:basedOn w:val="1069"/>
    <w:next w:val="1117"/>
    <w:link w:val="885"/>
    <w:qFormat/>
    <w:rPr>
      <w:rFonts w:ascii="Times New Roman" w:hAnsi="Times New Roman" w:cs="Times New Roman"/>
      <w:color w:val="000000"/>
      <w:sz w:val="20"/>
      <w:szCs w:val="20"/>
      <w:u w:val="none"/>
    </w:rPr>
  </w:style>
  <w:style w:type="character" w:styleId="1118">
    <w:name w:val="font101"/>
    <w:basedOn w:val="1069"/>
    <w:next w:val="1118"/>
    <w:link w:val="885"/>
    <w:qFormat/>
    <w:rPr>
      <w:rFonts w:ascii="方正仿宋_GBK" w:hAnsi="方正仿宋_GBK" w:eastAsia="方正仿宋_GBK" w:cs="方正仿宋_GBK"/>
      <w:color w:val="000000"/>
      <w:sz w:val="20"/>
      <w:szCs w:val="20"/>
      <w:u w:val="none"/>
    </w:rPr>
  </w:style>
  <w:style w:type="character" w:styleId="1119">
    <w:name w:val="font131"/>
    <w:basedOn w:val="1069"/>
    <w:next w:val="1119"/>
    <w:link w:val="885"/>
    <w:qFormat/>
    <w:rPr>
      <w:rFonts w:ascii="方正仿宋_GBK" w:hAnsi="方正仿宋_GBK" w:eastAsia="方正仿宋_GBK" w:cs="方正仿宋_GBK"/>
      <w:color w:val="000000"/>
      <w:sz w:val="20"/>
      <w:szCs w:val="20"/>
      <w:u w:val="none"/>
    </w:rPr>
  </w:style>
  <w:style w:type="character" w:styleId="1120">
    <w:name w:val="font111"/>
    <w:basedOn w:val="1069"/>
    <w:next w:val="1120"/>
    <w:link w:val="885"/>
    <w:qFormat/>
    <w:rPr>
      <w:rFonts w:ascii="仿宋" w:hAnsi="仿宋" w:eastAsia="仿宋" w:cs="仿宋"/>
      <w:color w:val="000000"/>
      <w:sz w:val="24"/>
      <w:szCs w:val="24"/>
      <w:u w:val="none"/>
    </w:rPr>
  </w:style>
  <w:style w:type="character" w:styleId="1121">
    <w:name w:val="font151"/>
    <w:basedOn w:val="1069"/>
    <w:next w:val="1121"/>
    <w:link w:val="885"/>
    <w:qFormat/>
    <w:rPr>
      <w:rFonts w:ascii="仿宋" w:hAnsi="仿宋" w:eastAsia="仿宋" w:cs="仿宋"/>
      <w:color w:val="000000"/>
      <w:sz w:val="24"/>
      <w:szCs w:val="24"/>
      <w:u w:val="none"/>
    </w:rPr>
  </w:style>
  <w:style w:type="paragraph" w:styleId="1122">
    <w:name w:val="No Spacing"/>
    <w:next w:val="1122"/>
    <w:link w:val="885"/>
    <w:uiPriority w:val="1"/>
    <w:qFormat/>
    <w:pPr>
      <w:spacing w:before="0" w:after="0" w:line="240" w:lineRule="auto"/>
    </w:pPr>
  </w:style>
  <w:style w:type="paragraph" w:styleId="1123">
    <w:name w:val="_正文段落"/>
    <w:basedOn w:val="885"/>
    <w:next w:val="1123"/>
    <w:link w:val="885"/>
    <w:qFormat/>
    <w:pPr>
      <w:ind w:firstLine="200"/>
      <w:spacing w:line="560" w:lineRule="exact"/>
    </w:pPr>
    <w:rPr>
      <w:rFonts w:ascii="Calibri" w:hAnsi="Calibri" w:eastAsia="仿宋_GB2312"/>
      <w:color w:val="000000"/>
      <w:sz w:val="32"/>
      <w:szCs w:val="24"/>
    </w:rPr>
  </w:style>
  <w:style w:type="table" w:styleId="1124">
    <w:name w:val="Table Normal"/>
    <w:next w:val="1124"/>
    <w:link w:val="885"/>
    <w:unhideWhenUsed/>
    <w:qFormat/>
    <w:tblPr/>
  </w:style>
  <w:style w:type="paragraph" w:styleId="1125">
    <w:name w:val="Table Text"/>
    <w:basedOn w:val="885"/>
    <w:next w:val="1125"/>
    <w:link w:val="885"/>
    <w:semiHidden/>
    <w:qFormat/>
    <w:rPr>
      <w:rFonts w:ascii="微软雅黑" w:hAnsi="微软雅黑" w:eastAsia="微软雅黑" w:cs="微软雅黑"/>
      <w:sz w:val="31"/>
      <w:szCs w:val="31"/>
      <w:lang w:val="en-US" w:eastAsia="en-US" w:bidi="ar-SA"/>
    </w:rPr>
  </w:style>
  <w:style w:type="paragraph" w:styleId="1126">
    <w:name w:val="正文缩进1"/>
    <w:basedOn w:val="885"/>
    <w:next w:val="1104"/>
    <w:link w:val="885"/>
    <w:qFormat/>
    <w:pPr>
      <w:ind w:firstLine="420"/>
    </w:pPr>
    <w:rPr>
      <w:rFonts w:ascii="Times New Roman" w:hAnsi="Times New Roman"/>
      <w:sz w:val="20"/>
      <w:szCs w:val="21"/>
    </w:rPr>
  </w:style>
  <w:style w:type="paragraph" w:styleId="1127">
    <w:name w:val="Plain Text1"/>
    <w:basedOn w:val="885"/>
    <w:next w:val="1127"/>
    <w:link w:val="885"/>
    <w:qFormat/>
    <w:rPr>
      <w:rFonts w:ascii="宋体" w:hAnsi="Courier New" w:eastAsia="楷体_GB2312"/>
      <w:sz w:val="28"/>
      <w:szCs w:val="20"/>
    </w:rPr>
  </w:style>
  <w:style w:type="paragraph" w:styleId="1128">
    <w:name w:val="普通(网站)111"/>
    <w:basedOn w:val="885"/>
    <w:next w:val="1128"/>
    <w:link w:val="885"/>
    <w:uiPriority w:val="99"/>
    <w:unhideWhenUsed/>
    <w:qFormat/>
    <w:pPr>
      <w:jc w:val="left"/>
      <w:spacing w:before="100" w:beforeAutospacing="1" w:after="100" w:afterAutospacing="1"/>
    </w:pPr>
    <w:rPr>
      <w:sz w:val="24"/>
    </w:rPr>
  </w:style>
  <w:style w:type="paragraph" w:styleId="1129">
    <w:name w:val="cas_content"/>
    <w:basedOn w:val="885"/>
    <w:next w:val="1129"/>
    <w:link w:val="885"/>
    <w:qFormat/>
    <w:pPr>
      <w:jc w:val="left"/>
      <w:spacing w:before="100" w:beforeAutospacing="1" w:after="100" w:afterAutospacing="1"/>
      <w:widowControl/>
    </w:pPr>
    <w:rPr>
      <w:rFonts w:ascii="宋体" w:hAnsi="宋体" w:cs="宋体"/>
      <w:sz w:val="24"/>
    </w:rPr>
  </w:style>
  <w:style w:type="paragraph" w:styleId="1130">
    <w:name w:val="正文首行缩进 2121"/>
    <w:basedOn w:val="1131"/>
    <w:next w:val="1130"/>
    <w:link w:val="885"/>
    <w:qFormat/>
    <w:pPr>
      <w:ind w:left="420" w:firstLine="420"/>
      <w:tabs>
        <w:tab w:val="left" w:pos="180" w:leader="none"/>
      </w:tabs>
    </w:pPr>
    <w:rPr>
      <w:rFonts w:ascii="Times New Roman" w:hAnsi="Times New Roman"/>
    </w:rPr>
  </w:style>
  <w:style w:type="paragraph" w:styleId="1131">
    <w:name w:val="正文文本缩进111"/>
    <w:basedOn w:val="885"/>
    <w:next w:val="1132"/>
    <w:link w:val="885"/>
    <w:uiPriority w:val="99"/>
    <w:qFormat/>
    <w:pPr>
      <w:ind w:firstLine="480"/>
      <w:tabs>
        <w:tab w:val="left" w:pos="180" w:leader="none"/>
      </w:tabs>
    </w:pPr>
    <w:rPr>
      <w:rFonts w:ascii="Tahoma" w:hAnsi="Tahoma"/>
      <w:sz w:val="24"/>
    </w:rPr>
  </w:style>
  <w:style w:type="paragraph" w:styleId="1132">
    <w:name w:val="寄信人地址111"/>
    <w:basedOn w:val="885"/>
    <w:next w:val="1132"/>
    <w:link w:val="885"/>
    <w:qFormat/>
    <w:rPr>
      <w:rFonts w:ascii="Arial" w:hAnsi="Arial"/>
    </w:rPr>
  </w:style>
  <w:style w:type="paragraph" w:styleId="1133">
    <w:name w:val="彩色列表1"/>
    <w:basedOn w:val="885"/>
    <w:next w:val="1133"/>
    <w:link w:val="885"/>
    <w:qFormat/>
    <w:pPr>
      <w:ind w:firstLine="420"/>
    </w:pPr>
    <w:rPr>
      <w:rFonts w:ascii="Times New Roman" w:hAnsi="Times New Roman" w:eastAsia="宋体" w:cs="Times New Roman"/>
    </w:rPr>
  </w:style>
  <w:style w:type="paragraph" w:styleId="1134">
    <w:name w:val="003标题三"/>
    <w:basedOn w:val="885"/>
    <w:next w:val="1134"/>
    <w:link w:val="885"/>
    <w:pPr>
      <w:jc w:val="center"/>
      <w:spacing w:before="120" w:after="120" w:line="300" w:lineRule="auto"/>
      <w:outlineLvl w:val="2"/>
    </w:pPr>
    <w:rPr>
      <w:rFonts w:hint="eastAsia" w:ascii="仿宋" w:hAnsi="仿宋" w:eastAsia="仿宋" w:cs="仿宋"/>
      <w:b/>
      <w:color w:val="000000"/>
      <w:sz w:val="30"/>
      <w:szCs w:val="30"/>
    </w:rPr>
  </w:style>
  <w:style w:type="paragraph" w:styleId="1135">
    <w:name w:val="普通(网站)1"/>
    <w:basedOn w:val="885"/>
    <w:next w:val="1135"/>
    <w:link w:val="885"/>
    <w:uiPriority w:val="99"/>
    <w:qFormat/>
    <w:pPr>
      <w:jc w:val="left"/>
      <w:spacing w:beforeAutospacing="1" w:afterAutospacing="1"/>
    </w:pPr>
    <w:rPr>
      <w:rFonts w:cs="Times New Roman"/>
      <w:sz w:val="24"/>
    </w:rPr>
  </w:style>
  <w:style w:type="character" w:styleId="1136">
    <w:name w:val="强调1"/>
    <w:next w:val="1136"/>
    <w:link w:val="885"/>
    <w:qFormat/>
    <w:rPr>
      <w:i/>
    </w:rPr>
  </w:style>
  <w:style w:type="paragraph" w:styleId="1137">
    <w:name w:val="列出段落2"/>
    <w:basedOn w:val="885"/>
    <w:next w:val="1137"/>
    <w:link w:val="885"/>
    <w:qFormat/>
    <w:pPr>
      <w:ind w:firstLine="420"/>
    </w:pPr>
    <w:rPr>
      <w:rFonts w:ascii="Calibri" w:hAnsi="Calibri"/>
      <w:szCs w:val="22"/>
    </w:rPr>
  </w:style>
  <w:style w:type="paragraph" w:styleId="1138">
    <w:name w:val="纯文本11"/>
    <w:basedOn w:val="885"/>
    <w:next w:val="1138"/>
    <w:link w:val="885"/>
    <w:qFormat/>
    <w:pPr>
      <w:spacing w:before="156" w:after="156" w:line="400" w:lineRule="exact"/>
    </w:pPr>
    <w:rPr>
      <w:rFonts w:ascii="宋体" w:hAnsi="Courier New"/>
      <w:sz w:val="24"/>
    </w:rPr>
  </w:style>
  <w:style w:type="character" w:styleId="1139">
    <w:name w:val="font41"/>
    <w:basedOn w:val="1069"/>
    <w:next w:val="1139"/>
    <w:link w:val="885"/>
    <w:rPr>
      <w:rFonts w:hint="eastAsia" w:ascii="宋体" w:hAnsi="宋体" w:eastAsia="宋体" w:cs="宋体"/>
      <w:b/>
      <w:bCs/>
      <w:i w:val="0"/>
      <w:iCs w:val="0"/>
      <w:color w:val="000000"/>
      <w:sz w:val="18"/>
      <w:szCs w:val="18"/>
      <w:u w:val="none"/>
    </w:rPr>
  </w:style>
  <w:style w:type="character" w:styleId="1140">
    <w:name w:val="font121"/>
    <w:basedOn w:val="1069"/>
    <w:next w:val="1140"/>
    <w:link w:val="885"/>
    <w:rPr>
      <w:rFonts w:hint="eastAsia" w:ascii="宋体" w:hAnsi="宋体" w:eastAsia="宋体" w:cs="宋体"/>
      <w:b/>
      <w:bCs/>
      <w:i w:val="0"/>
      <w:iCs w:val="0"/>
      <w:color w:val="000000"/>
      <w:sz w:val="18"/>
      <w:szCs w:val="18"/>
      <w:u w:val="none"/>
    </w:rPr>
  </w:style>
  <w:style w:type="character" w:styleId="1141">
    <w:name w:val="font61"/>
    <w:basedOn w:val="1069"/>
    <w:next w:val="1141"/>
    <w:link w:val="885"/>
    <w:rPr>
      <w:rFonts w:hint="eastAsia" w:ascii="宋体" w:hAnsi="宋体" w:eastAsia="宋体" w:cs="宋体"/>
      <w:i w:val="0"/>
      <w:iCs w:val="0"/>
      <w:color w:val="000000"/>
      <w:sz w:val="20"/>
      <w:szCs w:val="20"/>
      <w:u w:val="none"/>
    </w:rPr>
  </w:style>
  <w:style w:type="character" w:styleId="1142">
    <w:name w:val="font71"/>
    <w:basedOn w:val="1069"/>
    <w:next w:val="1142"/>
    <w:link w:val="885"/>
    <w:rPr>
      <w:rFonts w:hint="eastAsia" w:ascii="宋体" w:hAnsi="宋体" w:eastAsia="宋体" w:cs="宋体"/>
      <w:b/>
      <w:bCs/>
      <w:i w:val="0"/>
      <w:iCs w:val="0"/>
      <w:color w:val="000000"/>
      <w:sz w:val="20"/>
      <w:szCs w:val="20"/>
      <w:u w:val="none"/>
    </w:rPr>
  </w:style>
  <w:style w:type="paragraph" w:styleId="1143">
    <w:name w:val="标题 31111"/>
    <w:basedOn w:val="885"/>
    <w:next w:val="885"/>
    <w:link w:val="885"/>
    <w:uiPriority w:val="9"/>
    <w:qFormat/>
    <w:pPr>
      <w:keepLines/>
      <w:keepNext/>
      <w:spacing w:before="320" w:after="200"/>
      <w:outlineLvl w:val="2"/>
    </w:pPr>
    <w:rPr>
      <w:rFonts w:ascii="Arial" w:hAnsi="Arial" w:eastAsia="Arial"/>
      <w:sz w:val="30"/>
      <w:szCs w:val="30"/>
    </w:rPr>
  </w:style>
  <w:style w:type="character" w:styleId="1144">
    <w:name w:val="font112"/>
    <w:basedOn w:val="1069"/>
    <w:next w:val="1144"/>
    <w:link w:val="885"/>
    <w:rPr>
      <w:rFonts w:hint="eastAsia" w:ascii="宋体" w:hAnsi="宋体" w:eastAsia="宋体" w:cs="宋体"/>
      <w:i w:val="0"/>
      <w:iCs w:val="0"/>
      <w:color w:val="000000"/>
      <w:sz w:val="20"/>
      <w:szCs w:val="20"/>
      <w:u w:val="single"/>
    </w:rPr>
  </w:style>
  <w:style w:type="character" w:styleId="1145">
    <w:name w:val="font11"/>
    <w:basedOn w:val="1069"/>
    <w:next w:val="1145"/>
    <w:link w:val="885"/>
    <w:rPr>
      <w:rFonts w:hint="eastAsia" w:ascii="宋体" w:hAnsi="宋体" w:eastAsia="宋体" w:cs="宋体"/>
      <w:i w:val="0"/>
      <w:iCs w:val="0"/>
      <w:color w:val="000000"/>
      <w:sz w:val="20"/>
      <w:szCs w:val="20"/>
      <w:u w:val="none"/>
    </w:rPr>
  </w:style>
  <w:style w:type="paragraph" w:styleId="1146">
    <w:name w:val="批注文字1"/>
    <w:basedOn w:val="885"/>
    <w:next w:val="1146"/>
    <w:link w:val="885"/>
    <w:qFormat/>
    <w:pPr>
      <w:jc w:val="left"/>
    </w:pPr>
  </w:style>
  <w:style w:type="character" w:styleId="48891" w:default="1">
    <w:name w:val="Default Paragraph Font"/>
    <w:uiPriority w:val="1"/>
    <w:semiHidden/>
    <w:unhideWhenUsed/>
  </w:style>
  <w:style w:type="numbering" w:styleId="48892" w:default="1">
    <w:name w:val="No List"/>
    <w:uiPriority w:val="99"/>
    <w:semiHidden/>
    <w:unhideWhenUsed/>
  </w:style>
  <w:style w:type="table" w:styleId="488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1.jp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刘巍 </cp:lastModifiedBy>
  <cp:revision>4</cp:revision>
  <dcterms:created xsi:type="dcterms:W3CDTF">2024-03-08T16:57:00Z</dcterms:created>
  <dcterms:modified xsi:type="dcterms:W3CDTF">2026-07-15T03:44:02Z</dcterms:modified>
</cp:coreProperties>
</file>