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color w:val="auto"/>
          <w:sz w:val="21"/>
          <w:szCs w:val="21"/>
          <w:highlight w:val="none"/>
        </w:rPr>
      </w:pPr>
      <w:r>
        <w:rPr>
          <w:rFonts w:hint="eastAsia" w:ascii="宋体" w:hAnsi="宋体" w:eastAsia="宋体" w:cs="宋体"/>
          <w:b/>
          <w:color w:val="auto"/>
          <w:sz w:val="72"/>
          <w:highlight w:val="none"/>
        </w:rPr>
        <w:t xml:space="preserve">                              </w:t>
      </w:r>
      <w:r>
        <w:rPr>
          <w:rFonts w:hint="eastAsia" w:ascii="宋体" w:hAnsi="宋体" w:eastAsia="宋体" w:cs="宋体"/>
          <w:b/>
          <w:color w:val="auto"/>
          <w:sz w:val="72"/>
          <w:highlight w:val="none"/>
        </w:rPr>
        <w:tab/>
      </w:r>
      <w:r>
        <w:rPr>
          <w:rFonts w:hint="eastAsia" w:ascii="宋体" w:hAnsi="宋体" w:eastAsia="宋体" w:cs="宋体"/>
          <w:b/>
          <w:i/>
          <w:color w:val="auto"/>
          <w:sz w:val="21"/>
          <w:szCs w:val="21"/>
          <w:highlight w:val="none"/>
        </w:rPr>
        <w:t xml:space="preserve"> </w:t>
      </w:r>
      <w:r>
        <w:rPr>
          <w:color w:val="auto"/>
          <w:highlight w:val="none"/>
        </w:rPr>
      </w:r>
      <w:r/>
    </w:p>
    <w:p>
      <w:pPr>
        <w:rPr>
          <w:rFonts w:ascii="宋体" w:hAnsi="宋体" w:eastAsia="宋体" w:cs="宋体"/>
          <w:b/>
          <w:color w:val="auto"/>
          <w:sz w:val="72"/>
          <w:highlight w:val="none"/>
        </w:rPr>
      </w:pPr>
      <w:r>
        <w:rPr>
          <w:rFonts w:ascii="宋体" w:hAnsi="宋体" w:eastAsia="宋体" w:cs="宋体"/>
          <w:b/>
          <w:color w:val="auto"/>
          <w:sz w:val="72"/>
          <w:highlight w:val="none"/>
        </w:rPr>
      </w:r>
      <w:r>
        <w:rPr>
          <w:color w:val="auto"/>
          <w:highlight w:val="none"/>
        </w:rPr>
      </w:r>
      <w:r/>
    </w:p>
    <w:p>
      <w:pP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  州  市  政  府  采 购</w:t>
      </w:r>
      <w:r>
        <w:rPr>
          <w:color w:val="auto"/>
          <w:highlight w:val="none"/>
        </w:rPr>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rPr>
          <w:color w:val="auto"/>
          <w:highlight w:val="none"/>
        </w:rPr>
      </w:r>
      <w:r/>
    </w:p>
    <w:p>
      <w:pPr>
        <w:ind w:left="-424"/>
        <w:rPr>
          <w:rFonts w:ascii="宋体" w:hAnsi="宋体" w:eastAsia="宋体" w:cs="宋体"/>
          <w:b/>
          <w:color w:val="auto"/>
          <w:sz w:val="72"/>
          <w:highlight w:val="none"/>
        </w:rPr>
      </w:pPr>
      <w:r>
        <w:rPr>
          <w:rFonts w:ascii="宋体" w:hAnsi="宋体" w:eastAsia="宋体" w:cs="宋体"/>
          <w:b/>
          <w:color w:val="auto"/>
          <w:sz w:val="72"/>
          <w:highlight w:val="none"/>
        </w:rPr>
      </w:r>
      <w:r>
        <w:rPr>
          <w:color w:val="auto"/>
          <w:highlight w:val="none"/>
        </w:rPr>
      </w:r>
      <w:r/>
    </w:p>
    <w:p>
      <w:pPr>
        <w:ind w:left="-140" w:firstLine="137"/>
        <w:tabs>
          <w:tab w:val="left" w:pos="6760" w:leader="none"/>
        </w:tabs>
        <w:rPr>
          <w:rFonts w:ascii="宋体" w:hAnsi="宋体" w:eastAsia="宋体" w:cs="宋体"/>
          <w:b/>
          <w:color w:val="auto"/>
          <w:sz w:val="72"/>
          <w:highlight w:val="none"/>
        </w:rPr>
      </w:pPr>
      <w:r>
        <w:rPr>
          <w:rFonts w:ascii="宋体" w:hAnsi="宋体" w:eastAsia="宋体" w:cs="宋体"/>
          <w:b/>
          <w:color w:val="auto"/>
          <w:sz w:val="72"/>
          <w:highlight w:val="none"/>
        </w:rPr>
      </w:r>
      <w:r>
        <w:rPr>
          <w:color w:val="auto"/>
          <w:highlight w:val="none"/>
        </w:rPr>
      </w:r>
      <w:r/>
    </w:p>
    <w:p>
      <w:pPr>
        <w:ind w:firstLine="140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招标编号：</w:t>
      </w:r>
      <w:r>
        <w:rPr>
          <w:rFonts w:hint="eastAsia" w:ascii="宋体" w:hAnsi="宋体" w:eastAsia="宋体" w:cs="宋体"/>
          <w:b/>
          <w:bCs/>
          <w:color w:val="auto"/>
          <w:sz w:val="28"/>
          <w:szCs w:val="28"/>
          <w:highlight w:val="none"/>
          <w:lang w:eastAsia="zh-CN"/>
        </w:rPr>
        <w:t xml:space="preserve">JSZC-320500-SZHQ-G2026-0013</w:t>
      </w:r>
      <w:r>
        <w:rPr>
          <w:color w:val="auto"/>
          <w:highlight w:val="none"/>
        </w:rPr>
      </w:r>
      <w:r/>
    </w:p>
    <w:p>
      <w:pPr>
        <w:ind w:firstLine="1405"/>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采购人：</w:t>
      </w:r>
      <w:bookmarkStart w:id="0" w:name="OLE_LINK4"/>
      <w:r>
        <w:rPr>
          <w:color w:val="auto"/>
          <w:highlight w:val="none"/>
        </w:rPr>
      </w:r>
      <w:bookmarkStart w:id="1" w:name="OLE_LINK2"/>
      <w:r>
        <w:rPr>
          <w:rFonts w:hint="eastAsia" w:ascii="宋体" w:hAnsi="宋体" w:eastAsia="宋体" w:cs="宋体"/>
          <w:b/>
          <w:bCs/>
          <w:color w:val="auto"/>
          <w:sz w:val="28"/>
          <w:szCs w:val="28"/>
          <w:highlight w:val="none"/>
        </w:rPr>
        <w:t xml:space="preserve">苏州市公安</w:t>
      </w:r>
      <w:bookmarkEnd w:id="0"/>
      <w:r>
        <w:rPr>
          <w:rFonts w:hint="eastAsia" w:ascii="宋体" w:hAnsi="宋体" w:eastAsia="宋体" w:cs="宋体"/>
          <w:b/>
          <w:bCs/>
          <w:color w:val="auto"/>
          <w:sz w:val="28"/>
          <w:szCs w:val="28"/>
          <w:highlight w:val="none"/>
        </w:rPr>
        <w:t xml:space="preserve">局</w:t>
      </w:r>
      <w:bookmarkEnd w:id="1"/>
      <w:r>
        <w:rPr>
          <w:color w:val="auto"/>
          <w:highlight w:val="none"/>
        </w:rPr>
      </w:r>
      <w:r/>
    </w:p>
    <w:p>
      <w:pPr>
        <w:ind w:firstLine="1405"/>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采购代理机构：</w:t>
      </w:r>
      <w:bookmarkStart w:id="2" w:name="OLE_LINK1"/>
      <w:r>
        <w:rPr>
          <w:rFonts w:hint="eastAsia" w:ascii="宋体" w:hAnsi="宋体" w:eastAsia="宋体" w:cs="宋体"/>
          <w:b/>
          <w:bCs/>
          <w:color w:val="auto"/>
          <w:sz w:val="28"/>
          <w:szCs w:val="28"/>
          <w:highlight w:val="none"/>
        </w:rPr>
        <w:t xml:space="preserve">苏州海企国际工程咨询有限公司</w:t>
      </w:r>
      <w:bookmarkEnd w:id="2"/>
      <w:r>
        <w:rPr>
          <w:color w:val="auto"/>
          <w:highlight w:val="none"/>
        </w:rPr>
      </w:r>
      <w:r/>
    </w:p>
    <w:p>
      <w:pPr>
        <w:ind w:left="2796" w:hanging="140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苏州市公安局居住证九期制证</w:t>
      </w:r>
      <w:r>
        <w:rPr>
          <w:color w:val="auto"/>
          <w:highlight w:val="none"/>
        </w:rPr>
      </w:r>
      <w:r/>
    </w:p>
    <w:p>
      <w:pPr>
        <w:ind w:firstLine="1405"/>
        <w:spacing w:line="360" w:lineRule="auto"/>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采购类别：</w:t>
      </w:r>
      <w:r>
        <w:rPr>
          <w:rFonts w:hint="eastAsia" w:ascii="宋体" w:hAnsi="宋体" w:eastAsia="宋体" w:cs="宋体"/>
          <w:b/>
          <w:bCs/>
          <w:color w:val="auto"/>
          <w:sz w:val="28"/>
          <w:szCs w:val="28"/>
          <w:highlight w:val="none"/>
          <w:lang w:val="en-US" w:eastAsia="zh-CN"/>
        </w:rPr>
        <w:t xml:space="preserve">服务</w:t>
      </w:r>
      <w:r>
        <w:rPr>
          <w:rFonts w:hint="eastAsia" w:ascii="宋体" w:hAnsi="宋体" w:eastAsia="宋体" w:cs="宋体"/>
          <w:b/>
          <w:bCs/>
          <w:color w:val="auto"/>
          <w:sz w:val="28"/>
          <w:szCs w:val="28"/>
          <w:highlight w:val="none"/>
        </w:rPr>
        <w:t xml:space="preserve">类</w:t>
      </w:r>
      <w:r>
        <w:rPr>
          <w:color w:val="auto"/>
          <w:highlight w:val="none"/>
        </w:rPr>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rPr>
          <w:color w:val="auto"/>
          <w:highlight w:val="none"/>
        </w:rPr>
      </w:r>
      <w:r/>
    </w:p>
    <w:p>
      <w:pPr>
        <w:pStyle w:val="987"/>
        <w:rPr>
          <w:rFonts w:hAnsi="宋体" w:cs="宋体"/>
          <w:color w:val="auto"/>
          <w:highlight w:val="none"/>
        </w:rPr>
      </w:pPr>
      <w:r>
        <w:rPr>
          <w:rFonts w:hAnsi="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87"/>
        <w:rPr>
          <w:rFonts w:hAnsi="宋体" w:cs="宋体"/>
          <w:color w:val="auto"/>
          <w:highlight w:val="none"/>
        </w:rPr>
      </w:pPr>
      <w:r>
        <w:rPr>
          <w:rFonts w:hAnsi="宋体" w:cs="宋体"/>
          <w:color w:val="auto"/>
          <w:highlight w:val="none"/>
        </w:rPr>
      </w:r>
      <w:r>
        <w:rPr>
          <w:color w:val="auto"/>
          <w:highlight w:val="none"/>
        </w:rPr>
      </w:r>
      <w:r/>
    </w:p>
    <w:p>
      <w:pPr>
        <w:jc w:val="center"/>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二〇二</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月</w:t>
      </w:r>
      <w:r>
        <w:rPr>
          <w:color w:val="auto"/>
          <w:highlight w:val="none"/>
        </w:rPr>
      </w:r>
      <w:r/>
    </w:p>
    <w:p>
      <w:pPr>
        <w:tabs>
          <w:tab w:val="left" w:pos="7730" w:leader="none"/>
        </w:tabs>
        <w:rPr>
          <w:rFonts w:ascii="宋体" w:hAnsi="宋体" w:eastAsia="宋体" w:cs="宋体"/>
          <w:color w:val="auto"/>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color w:val="auto"/>
          <w:sz w:val="36"/>
          <w:szCs w:val="36"/>
          <w:highlight w:val="none"/>
        </w:rPr>
      </w:r>
      <w:r>
        <w:rPr>
          <w:color w:val="auto"/>
          <w:highlight w:val="none"/>
        </w:rPr>
      </w:r>
      <w:r/>
    </w:p>
    <w:p>
      <w:pPr>
        <w:ind w:firstLine="3960"/>
        <w:tabs>
          <w:tab w:val="left" w:pos="7730" w:leader="none"/>
        </w:tabs>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前附表</w:t>
      </w:r>
      <w:r>
        <w:rPr>
          <w:color w:val="auto"/>
          <w:highlight w:val="none"/>
        </w:rPr>
      </w:r>
      <w:r/>
    </w:p>
    <w:tbl>
      <w:tblPr>
        <w:tblStyle w:val="9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168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color w:val="auto"/>
                <w:highlight w:val="none"/>
              </w:rPr>
            </w:r>
            <w:r/>
          </w:p>
        </w:tc>
        <w:tc>
          <w:tcPr>
            <w:tcW w:w="730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rPr>
                <w:color w:val="auto"/>
                <w:highlight w:val="none"/>
              </w:rPr>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项目名称</w:t>
            </w:r>
            <w:r>
              <w:rPr>
                <w:color w:val="auto"/>
                <w:highlight w:val="none"/>
              </w:rPr>
            </w:r>
            <w:r/>
          </w:p>
        </w:tc>
        <w:tc>
          <w:tcPr>
            <w:tcW w:w="7308"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苏州市公安局居住证九期制证</w:t>
            </w:r>
            <w:r>
              <w:rPr>
                <w:color w:val="auto"/>
                <w:highlight w:val="none"/>
              </w:rPr>
            </w:r>
            <w:r/>
          </w:p>
        </w:tc>
      </w:tr>
      <w:tr>
        <w:trPr>
          <w:jc w:val="center"/>
          <w:trHeight w:val="108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服务期限</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12个月</w:t>
            </w:r>
            <w:r>
              <w:rPr>
                <w:rFonts w:hint="eastAsia" w:ascii="宋体" w:hAnsi="宋体" w:eastAsia="宋体" w:cs="宋体"/>
                <w:bCs/>
                <w:color w:val="auto"/>
                <w:sz w:val="24"/>
                <w:szCs w:val="24"/>
                <w:highlight w:val="none"/>
              </w:rPr>
              <w:t xml:space="preserve">，自202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年9月1日至202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年8月31日。若在本项目服务期内，累计完成服务金额达到合同金额或本项目服务期满，项目自动终止。</w:t>
            </w:r>
            <w:r>
              <w:rPr>
                <w:color w:val="auto"/>
                <w:highlight w:val="none"/>
              </w:rPr>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采购预算</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肆佰壹拾肆万贰仟零</w:t>
            </w:r>
            <w:r>
              <w:rPr>
                <w:rFonts w:hint="eastAsia" w:ascii="宋体" w:hAnsi="宋体" w:eastAsia="宋体" w:cs="宋体"/>
                <w:b w:val="0"/>
                <w:bCs/>
                <w:color w:val="auto"/>
                <w:sz w:val="24"/>
                <w:szCs w:val="24"/>
                <w:highlight w:val="none"/>
                <w:lang w:val="en-US" w:eastAsia="zh-CN"/>
              </w:rPr>
              <w:t xml:space="preserve">叁拾捌圆整</w:t>
            </w:r>
            <w:r>
              <w:rPr>
                <w:rFonts w:hint="eastAsia" w:ascii="宋体" w:hAnsi="宋体" w:eastAsia="宋体" w:cs="宋体"/>
                <w:b w:val="0"/>
                <w:bCs/>
                <w:color w:val="auto"/>
                <w:sz w:val="24"/>
                <w:szCs w:val="24"/>
                <w:highlight w:val="none"/>
              </w:rPr>
              <w:t xml:space="preserve">（</w:t>
            </w:r>
            <w:r>
              <w:rPr>
                <w:rFonts w:hint="eastAsia" w:ascii="宋体" w:hAnsi="宋体" w:eastAsia="宋体" w:cs="宋体"/>
                <w:b/>
                <w:bCs w:val="0"/>
                <w:color w:val="auto"/>
                <w:sz w:val="24"/>
                <w:szCs w:val="24"/>
                <w:highlight w:val="none"/>
                <w:cs/>
              </w:rPr>
              <w:t xml:space="preserve">¥</w:t>
            </w:r>
            <w:r>
              <w:rPr>
                <w:rFonts w:hint="eastAsia" w:ascii="宋体" w:hAnsi="宋体" w:eastAsia="宋体" w:cs="宋体"/>
                <w:b w:val="0"/>
                <w:bCs/>
                <w:color w:val="auto"/>
                <w:sz w:val="24"/>
                <w:szCs w:val="24"/>
                <w:highlight w:val="none"/>
              </w:rPr>
              <w:t xml:space="preserve">：4142038</w:t>
            </w:r>
            <w:r>
              <w:rPr>
                <w:rFonts w:hint="eastAsia" w:ascii="宋体" w:hAnsi="宋体" w:eastAsia="宋体" w:cs="宋体"/>
                <w:b w:val="0"/>
                <w:bCs/>
                <w:color w:val="auto"/>
                <w:sz w:val="24"/>
                <w:szCs w:val="24"/>
                <w:highlight w:val="none"/>
                <w:lang w:val="en-US" w:eastAsia="zh-CN"/>
              </w:rPr>
              <w:t xml:space="preserve">.00</w:t>
            </w:r>
            <w:r>
              <w:rPr>
                <w:rFonts w:hint="eastAsia" w:ascii="宋体" w:hAnsi="宋体" w:eastAsia="宋体" w:cs="宋体"/>
                <w:b w:val="0"/>
                <w:bCs/>
                <w:color w:val="auto"/>
                <w:sz w:val="24"/>
                <w:szCs w:val="24"/>
                <w:highlight w:val="none"/>
              </w:rPr>
              <w:t xml:space="preserve">元）</w:t>
            </w:r>
            <w:r>
              <w:rPr>
                <w:color w:val="auto"/>
                <w:highlight w:val="none"/>
              </w:rPr>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rPr>
              <w:t xml:space="preserve">（单价）</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9.2</w:t>
            </w:r>
            <w:r>
              <w:rPr>
                <w:rFonts w:hint="eastAsia" w:ascii="宋体" w:hAnsi="宋体" w:eastAsia="宋体" w:cs="宋体"/>
                <w:bCs/>
                <w:color w:val="auto"/>
                <w:sz w:val="24"/>
                <w:szCs w:val="24"/>
                <w:highlight w:val="none"/>
              </w:rPr>
              <w:t xml:space="preserve">元/张。最高限价(总价)</w:t>
            </w:r>
            <w:r>
              <w:rPr>
                <w:rFonts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414</w:t>
            </w:r>
            <w:r>
              <w:rPr>
                <w:rFonts w:hint="eastAsia" w:ascii="宋体" w:hAnsi="宋体" w:eastAsia="宋体" w:cs="宋体"/>
                <w:bCs/>
                <w:color w:val="auto"/>
                <w:sz w:val="24"/>
                <w:szCs w:val="24"/>
                <w:highlight w:val="none"/>
                <w:lang w:val="en-US" w:eastAsia="zh-CN"/>
              </w:rPr>
              <w:t xml:space="preserve">0000</w:t>
            </w:r>
            <w:r>
              <w:rPr>
                <w:rFonts w:hint="eastAsia" w:ascii="宋体" w:hAnsi="宋体" w:eastAsia="宋体" w:cs="宋体"/>
                <w:bCs/>
                <w:color w:val="auto"/>
                <w:sz w:val="24"/>
                <w:szCs w:val="24"/>
                <w:highlight w:val="none"/>
                <w:lang w:eastAsia="zh-CN"/>
              </w:rPr>
              <w:t xml:space="preserve">.00</w:t>
            </w:r>
            <w:r>
              <w:rPr>
                <w:rFonts w:hint="eastAsia" w:ascii="宋体" w:hAnsi="宋体" w:eastAsia="宋体" w:cs="宋体"/>
                <w:bCs/>
                <w:color w:val="auto"/>
                <w:sz w:val="24"/>
                <w:szCs w:val="24"/>
                <w:highlight w:val="none"/>
              </w:rPr>
              <w:t xml:space="preserve">元（以实际发生数量结算；</w:t>
            </w:r>
            <w:bookmarkStart w:id="67" w:name="_GoBack"/>
            <w:r>
              <w:rPr>
                <w:color w:val="auto"/>
                <w:highlight w:val="none"/>
              </w:rPr>
            </w:r>
            <w:bookmarkEnd w:id="67"/>
            <w:r>
              <w:rPr>
                <w:rFonts w:hint="eastAsia" w:ascii="宋体" w:hAnsi="宋体" w:eastAsia="宋体" w:cs="宋体"/>
                <w:bCs/>
                <w:color w:val="auto"/>
                <w:sz w:val="24"/>
                <w:szCs w:val="24"/>
                <w:highlight w:val="none"/>
              </w:rPr>
              <w:t xml:space="preserve">最终结算金额不超过合同金额）</w:t>
            </w:r>
            <w:r>
              <w:rPr>
                <w:color w:val="auto"/>
                <w:highlight w:val="none"/>
              </w:rPr>
            </w:r>
            <w:r/>
          </w:p>
        </w:tc>
      </w:tr>
      <w:tr>
        <w:trPr>
          <w:jc w:val="center"/>
          <w:trHeight w:val="8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168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特定资格条件、落实政府采购政策需满足的资格要</w:t>
            </w:r>
            <w:r>
              <w:rPr>
                <w:rFonts w:hint="eastAsia" w:ascii="宋体" w:hAnsi="宋体" w:eastAsia="宋体" w:cs="宋体"/>
                <w:color w:val="auto"/>
                <w:sz w:val="24"/>
                <w:szCs w:val="24"/>
                <w:highlight w:val="none"/>
                <w:lang w:val="en-US" w:eastAsia="zh-CN"/>
              </w:rPr>
              <w:t xml:space="preserve">求</w:t>
            </w:r>
            <w:r>
              <w:rPr>
                <w:color w:val="auto"/>
                <w:highlight w:val="none"/>
              </w:rPr>
            </w:r>
            <w:r/>
          </w:p>
        </w:tc>
        <w:tc>
          <w:tcPr>
            <w:tcW w:w="7308" w:type="dxa"/>
            <w:vAlign w:val="center"/>
            <w:textDirection w:val="lrTb"/>
            <w:noWrap w:val="false"/>
          </w:tcPr>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特定资格条件：</w:t>
            </w:r>
            <w:r>
              <w:rPr>
                <w:rFonts w:hint="eastAsia" w:ascii="宋体" w:hAnsi="宋体" w:eastAsia="宋体" w:cs="宋体"/>
                <w:color w:val="auto"/>
                <w:sz w:val="24"/>
                <w:szCs w:val="24"/>
                <w:highlight w:val="none"/>
                <w:shd w:val="clear" w:color="auto" w:fill="ffffff"/>
              </w:rPr>
              <w:t xml:space="preserve">投标人具有国家集成电路卡注册中心颁发的《集成电路卡注册证书》。</w:t>
            </w:r>
            <w:r>
              <w:rPr>
                <w:color w:val="auto"/>
                <w:highlight w:val="none"/>
              </w:rPr>
            </w:r>
            <w:r/>
          </w:p>
          <w:p>
            <w:pPr>
              <w:jc w:val="left"/>
              <w:spacing w:line="360" w:lineRule="auto"/>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落实政府采购政策需满足的资格要</w:t>
            </w:r>
            <w:r>
              <w:rPr>
                <w:rFonts w:hint="eastAsia" w:ascii="宋体" w:hAnsi="宋体" w:eastAsia="宋体" w:cs="宋体"/>
                <w:color w:val="auto"/>
                <w:sz w:val="24"/>
                <w:szCs w:val="24"/>
                <w:highlight w:val="none"/>
                <w:lang w:val="en-US" w:eastAsia="zh-CN"/>
              </w:rPr>
              <w:t xml:space="preserve">求：无</w:t>
            </w:r>
            <w:r>
              <w:rPr>
                <w:color w:val="auto"/>
                <w:highlight w:val="none"/>
              </w:rPr>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rPr>
                <w:color w:val="auto"/>
                <w:highlight w:val="none"/>
              </w:rPr>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不集中组织现场考察</w:t>
            </w:r>
            <w:r>
              <w:rPr>
                <w:color w:val="auto"/>
                <w:highlight w:val="none"/>
              </w:rPr>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 </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rPr>
                <w:color w:val="auto"/>
                <w:highlight w:val="none"/>
              </w:rPr>
            </w:r>
            <w:r/>
          </w:p>
        </w:tc>
      </w:tr>
      <w:tr>
        <w:trPr>
          <w:jc w:val="center"/>
          <w:trHeight w:val="529"/>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投标人提出疑问截止时间</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投标人如有疑问需要澄清，可通过公告中的联系方式及时提出，采购人或采购代理机构将予以解答，但答复内容不得涉及商业秘密。</w:t>
            </w:r>
            <w:r>
              <w:rPr>
                <w:color w:val="auto"/>
                <w:highlight w:val="none"/>
              </w:rPr>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中标后，提供2份纸质投标文件，送至招标代理机构。</w:t>
            </w:r>
            <w:r>
              <w:rPr>
                <w:color w:val="auto"/>
                <w:highlight w:val="none"/>
              </w:rPr>
            </w:r>
            <w:r/>
          </w:p>
        </w:tc>
      </w:tr>
      <w:tr>
        <w:trPr>
          <w:jc w:val="center"/>
          <w:trHeight w:val="42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color w:val="auto"/>
                <w:highlight w:val="none"/>
              </w:rPr>
            </w:r>
            <w:r/>
          </w:p>
        </w:tc>
      </w:tr>
      <w:tr>
        <w:trPr>
          <w:jc w:val="center"/>
          <w:trHeight w:val="956"/>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不提交，招标文件内关于投标保证金的相关规定均不适用</w:t>
            </w:r>
            <w:r>
              <w:rPr>
                <w:rFonts w:hint="eastAsia" w:ascii="宋体" w:hAnsi="宋体" w:eastAsia="宋体" w:cs="宋体"/>
                <w:b/>
                <w:bCs/>
                <w:color w:val="auto"/>
                <w:sz w:val="24"/>
                <w:szCs w:val="24"/>
                <w:highlight w:val="none"/>
              </w:rPr>
              <w:t xml:space="preserve">。</w:t>
            </w:r>
            <w:r>
              <w:rPr>
                <w:color w:val="auto"/>
                <w:highlight w:val="none"/>
              </w:rPr>
            </w:r>
            <w:r/>
          </w:p>
        </w:tc>
      </w:tr>
      <w:tr>
        <w:trPr>
          <w:jc w:val="center"/>
          <w:trHeight w:val="429"/>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日历天（从投标截止之日算起）</w:t>
            </w:r>
            <w:r>
              <w:rPr>
                <w:color w:val="auto"/>
                <w:highlight w:val="none"/>
              </w:rPr>
            </w:r>
            <w:r/>
          </w:p>
        </w:tc>
      </w:tr>
      <w:tr>
        <w:trPr>
          <w:jc w:val="center"/>
          <w:trHeight w:val="742"/>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16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时30分</w:t>
            </w:r>
            <w:r>
              <w:rPr>
                <w:color w:val="auto"/>
                <w:highlight w:val="none"/>
              </w:rPr>
            </w:r>
            <w:r/>
          </w:p>
        </w:tc>
      </w:tr>
      <w:tr>
        <w:trPr>
          <w:jc w:val="center"/>
          <w:trHeight w:val="315"/>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rPr>
                <w:color w:val="auto"/>
                <w:highlight w:val="none"/>
              </w:rPr>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16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时30分</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rPr>
                <w:color w:val="auto"/>
                <w:highlight w:val="none"/>
              </w:rPr>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rPr>
                <w:color w:val="auto"/>
                <w:highlight w:val="none"/>
              </w:rPr>
            </w:r>
            <w:r/>
          </w:p>
        </w:tc>
      </w:tr>
      <w:tr>
        <w:trPr>
          <w:jc w:val="center"/>
          <w:trHeight w:val="844"/>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rPr>
                <w:color w:val="auto"/>
                <w:highlight w:val="none"/>
              </w:rPr>
            </w:r>
            <w:r/>
          </w:p>
        </w:tc>
      </w:tr>
      <w:tr>
        <w:trPr>
          <w:jc w:val="center"/>
          <w:trHeight w:val="6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合同价款的5% </w:t>
            </w:r>
            <w:r>
              <w:rPr>
                <w:color w:val="auto"/>
                <w:highlight w:val="none"/>
              </w:rPr>
            </w:r>
            <w:r/>
          </w:p>
        </w:tc>
      </w:tr>
      <w:tr>
        <w:trPr>
          <w:jc w:val="center"/>
          <w:trHeight w:val="6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中标通知书发出之日起15日内</w:t>
            </w:r>
            <w:r>
              <w:rPr>
                <w:color w:val="auto"/>
                <w:highlight w:val="none"/>
              </w:rPr>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rPr>
                <w:color w:val="auto"/>
                <w:highlight w:val="none"/>
              </w:rPr>
            </w:r>
            <w:r/>
          </w:p>
        </w:tc>
        <w:tc>
          <w:tcPr>
            <w:tcW w:w="7308" w:type="dxa"/>
            <w:vAlign w:val="center"/>
            <w:textDirection w:val="lrTb"/>
            <w:noWrap w:val="false"/>
          </w:tcPr>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依据《关于进一步规范政府采购活动相关费用管理的通知》（苏财规〔2026〕1号）相关规定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本项目收取招标代理服务费的要求如下：</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支付主体：本项目招标代理服务费由中标（成交）供应商支付。</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支付原因：结合本项目实际情况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采购预算中已包含该项代理服务费，供应商</w:t>
            </w:r>
            <w:r>
              <w:rPr>
                <w:rFonts w:hint="eastAsia" w:ascii="宋体" w:hAnsi="宋体" w:eastAsia="宋体" w:cs="宋体"/>
                <w:color w:val="auto"/>
                <w:sz w:val="24"/>
                <w:szCs w:val="24"/>
                <w:highlight w:val="none"/>
                <w:lang w:val="en-US" w:eastAsia="zh-CN"/>
              </w:rPr>
              <w:t xml:space="preserve">报价应当包含代理服务费</w:t>
            </w:r>
            <w:r>
              <w:rPr>
                <w:rFonts w:hint="eastAsia" w:ascii="宋体" w:hAnsi="宋体" w:eastAsia="宋体" w:cs="宋体"/>
                <w:color w:val="auto"/>
                <w:sz w:val="24"/>
                <w:szCs w:val="24"/>
                <w:highlight w:val="none"/>
              </w:rPr>
              <w:t xml:space="preserve">，但无需单独列明。</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收取方式：中标（成交）供应商在领取中标（成交）通知书前，须向采购代理机构一次性付清招标代理服务费。</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收费标准：本项目招标代理服务费参照</w:t>
            </w:r>
            <w:r>
              <w:rPr>
                <w:rFonts w:hint="eastAsia" w:ascii="宋体" w:hAnsi="宋体" w:eastAsia="宋体" w:cs="宋体"/>
                <w:color w:val="auto"/>
                <w:sz w:val="24"/>
                <w:szCs w:val="24"/>
                <w:highlight w:val="none"/>
                <w:lang w:eastAsia="zh-CN"/>
              </w:rPr>
              <w:t xml:space="preserve">“苏州市级政府采购代理服务收费公告信息表第一批（苏财购告【2016】31号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，以项目预算为基数，采用</w:t>
            </w:r>
            <w:r>
              <w:rPr>
                <w:rFonts w:hint="eastAsia" w:ascii="宋体" w:hAnsi="宋体" w:eastAsia="宋体" w:cs="宋体"/>
                <w:color w:val="auto"/>
                <w:sz w:val="24"/>
                <w:szCs w:val="24"/>
                <w:highlight w:val="none"/>
              </w:rPr>
              <w:t xml:space="preserve">“比例差额定率累进法计算”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具体如下：</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预算金额100万元以下部分，费率为该部分预算金额的1.5%；</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预算金额100万元（含）－500万元部分，费率为该部分预算金额的1.1%；</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预算金额500万元（含）－1000万元部分，费率为该部分预算金额的0.8%；</w:t>
            </w:r>
            <w:r>
              <w:rPr>
                <w:color w:val="auto"/>
                <w:highlight w:val="none"/>
              </w:rPr>
            </w:r>
            <w:r/>
          </w:p>
          <w:p>
            <w:pPr>
              <w:ind w:firstLine="0"/>
              <w:keepLines w:val="0"/>
              <w:keepNext w:val="0"/>
              <w:pageBreakBefore w:val="0"/>
              <w:spacing w:line="48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预算金额1000万元（含）－5000万元部分，费率为该部分预算金额的0.5%；</w:t>
            </w:r>
            <w:r>
              <w:rPr>
                <w:color w:val="auto"/>
                <w:highlight w:val="none"/>
              </w:rPr>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预算金额5000万元（含）以上部分，费率为该部分预算金额的0.25%。</w:t>
            </w:r>
            <w:r>
              <w:rPr>
                <w:color w:val="auto"/>
                <w:highlight w:val="none"/>
              </w:rPr>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color w:val="auto"/>
                <w:highlight w:val="none"/>
              </w:rPr>
            </w:r>
            <w:r/>
          </w:p>
        </w:tc>
        <w:tc>
          <w:tcPr>
            <w:tcW w:w="1687"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监督电话</w:t>
            </w:r>
            <w:r>
              <w:rPr>
                <w:color w:val="auto"/>
                <w:highlight w:val="none"/>
              </w:rPr>
            </w:r>
            <w:r/>
          </w:p>
        </w:tc>
        <w:tc>
          <w:tcPr>
            <w:tcW w:w="7308"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苏州市政府采购监督电话：</w:t>
            </w:r>
            <w:r>
              <w:rPr>
                <w:rFonts w:hint="eastAsia" w:ascii="宋体" w:hAnsi="宋体" w:eastAsia="宋体" w:cs="宋体"/>
                <w:color w:val="auto"/>
                <w:sz w:val="24"/>
                <w:highlight w:val="none"/>
              </w:rPr>
              <w:t xml:space="preserve">0512-68616651</w:t>
            </w:r>
            <w:r>
              <w:rPr>
                <w:color w:val="auto"/>
                <w:highlight w:val="none"/>
              </w:rPr>
            </w:r>
            <w:r/>
          </w:p>
        </w:tc>
      </w:tr>
    </w:tbl>
    <w:p>
      <w:pP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rPr>
          <w:color w:val="auto"/>
          <w:highlight w:val="none"/>
        </w:rPr>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color w:val="auto"/>
          <w:highlight w:val="none"/>
        </w:rPr>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 MERGEFORMAT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招标公告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_Toc160701720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w:t>
      </w:r>
      <w:r>
        <w:rPr>
          <w:rFonts w:hint="eastAsia" w:ascii="宋体" w:hAnsi="宋体" w:eastAsia="宋体" w:cs="宋体"/>
          <w:b/>
          <w:color w:val="auto"/>
          <w:sz w:val="28"/>
          <w:szCs w:val="28"/>
          <w:highlight w:val="none"/>
        </w:rPr>
        <w:fldChar w:fldCharType="end"/>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投标人须知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_Toc160701721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10</w:t>
      </w:r>
      <w:r>
        <w:rPr>
          <w:rFonts w:hint="eastAsia" w:ascii="宋体" w:hAnsi="宋体" w:eastAsia="宋体" w:cs="宋体"/>
          <w:b/>
          <w:color w:val="auto"/>
          <w:sz w:val="28"/>
          <w:szCs w:val="28"/>
          <w:highlight w:val="none"/>
        </w:rPr>
        <w:fldChar w:fldCharType="end"/>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投标文件格式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_Toc160701722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30</w:t>
      </w:r>
      <w:r>
        <w:rPr>
          <w:rFonts w:hint="eastAsia" w:ascii="宋体" w:hAnsi="宋体" w:eastAsia="宋体" w:cs="宋体"/>
          <w:b/>
          <w:color w:val="auto"/>
          <w:sz w:val="28"/>
          <w:szCs w:val="28"/>
          <w:highlight w:val="none"/>
        </w:rPr>
        <w:fldChar w:fldCharType="end"/>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采购内容</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_Toc160701726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49</w:t>
      </w:r>
      <w:r>
        <w:rPr>
          <w:rFonts w:hint="eastAsia" w:ascii="宋体" w:hAnsi="宋体" w:eastAsia="宋体" w:cs="宋体"/>
          <w:b/>
          <w:color w:val="auto"/>
          <w:sz w:val="28"/>
          <w:szCs w:val="28"/>
          <w:highlight w:val="none"/>
        </w:rPr>
        <w:fldChar w:fldCharType="end"/>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合同主要条款</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_Toc160701727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63</w:t>
      </w:r>
      <w:r>
        <w:rPr>
          <w:rFonts w:hint="eastAsia" w:ascii="宋体" w:hAnsi="宋体" w:eastAsia="宋体" w:cs="宋体"/>
          <w:b/>
          <w:color w:val="auto"/>
          <w:sz w:val="28"/>
          <w:szCs w:val="28"/>
          <w:highlight w:val="none"/>
        </w:rPr>
        <w:fldChar w:fldCharType="end"/>
      </w:r>
      <w:r>
        <w:rPr>
          <w:color w:val="auto"/>
          <w:highlight w:val="none"/>
        </w:rPr>
      </w:r>
      <w:r/>
    </w:p>
    <w:p>
      <w:pPr>
        <w:pStyle w:val="1000"/>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 评标办法及标准</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_Toc160701728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72</w:t>
      </w:r>
      <w:r>
        <w:rPr>
          <w:rFonts w:hint="eastAsia" w:ascii="宋体" w:hAnsi="宋体" w:eastAsia="宋体" w:cs="宋体"/>
          <w:b/>
          <w:color w:val="auto"/>
          <w:sz w:val="28"/>
          <w:szCs w:val="28"/>
          <w:highlight w:val="none"/>
        </w:rPr>
        <w:fldChar w:fldCharType="end"/>
      </w:r>
      <w:r>
        <w:rPr>
          <w:color w:val="auto"/>
          <w:highlight w:val="none"/>
        </w:rPr>
      </w:r>
      <w:r/>
    </w:p>
    <w:p>
      <w:pPr>
        <w:jc w:val="center"/>
        <w:spacing w:line="480" w:lineRule="auto"/>
        <w:rPr>
          <w:rFonts w:ascii="宋体" w:hAnsi="宋体" w:eastAsia="宋体" w:cs="宋体"/>
          <w:b/>
          <w:color w:val="auto"/>
          <w:sz w:val="24"/>
          <w:szCs w:val="24"/>
          <w:highlight w:val="none"/>
        </w:rPr>
      </w:pPr>
      <w:r>
        <w:rPr>
          <w:rFonts w:hint="eastAsia" w:ascii="宋体" w:hAnsi="宋体" w:eastAsia="宋体" w:cs="宋体"/>
          <w:b/>
          <w:color w:val="auto"/>
          <w:sz w:val="28"/>
          <w:szCs w:val="28"/>
          <w:highlight w:val="none"/>
        </w:rPr>
        <w:fldChar w:fldCharType="end"/>
      </w: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rPr>
          <w:color w:val="auto"/>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rPr>
          <w:color w:val="auto"/>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rPr>
          <w:color w:val="auto"/>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3" w:name="_Toc388026583"/>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center"/>
        <w:rPr>
          <w:rFonts w:ascii="宋体" w:hAnsi="宋体" w:eastAsia="宋体" w:cs="宋体"/>
          <w:color w:val="auto"/>
          <w:highlight w:val="none"/>
        </w:rPr>
      </w:pPr>
      <w:r>
        <w:rPr>
          <w:color w:val="auto"/>
          <w:highlight w:val="none"/>
        </w:rPr>
      </w:r>
      <w:bookmarkStart w:id="4" w:name="_Toc494471870"/>
      <w:r>
        <w:rPr>
          <w:color w:val="auto"/>
          <w:highlight w:val="none"/>
        </w:rPr>
      </w:r>
      <w:bookmarkStart w:id="5" w:name="_Toc160701720"/>
      <w:r>
        <w:rPr>
          <w:rFonts w:hint="eastAsia" w:ascii="宋体" w:hAnsi="宋体" w:eastAsia="宋体" w:cs="宋体"/>
          <w:color w:val="auto"/>
          <w:highlight w:val="none"/>
        </w:rPr>
        <w:t xml:space="preserve">第一章 </w:t>
      </w:r>
      <w:bookmarkEnd w:id="3"/>
      <w:r>
        <w:rPr>
          <w:color w:val="auto"/>
          <w:highlight w:val="none"/>
        </w:rPr>
      </w:r>
      <w:bookmarkEnd w:id="4"/>
      <w:r>
        <w:rPr>
          <w:rFonts w:hint="eastAsia" w:ascii="宋体" w:hAnsi="宋体" w:eastAsia="宋体" w:cs="宋体"/>
          <w:color w:val="auto"/>
          <w:highlight w:val="none"/>
        </w:rPr>
        <w:t xml:space="preserve">招标公告</w:t>
      </w:r>
      <w:bookmarkEnd w:id="5"/>
      <w:r>
        <w:rPr>
          <w:color w:val="auto"/>
          <w:highlight w:val="none"/>
        </w:rPr>
      </w:r>
      <w:r/>
    </w:p>
    <w:p>
      <w:pPr>
        <w:jc w:val="center"/>
        <w:spacing w:line="360" w:lineRule="auto"/>
        <w:rPr>
          <w:rFonts w:ascii="宋体" w:hAnsi="宋体" w:eastAsia="宋体" w:cs="宋体"/>
          <w:color w:val="auto"/>
          <w:szCs w:val="24"/>
          <w:highlight w:val="none"/>
          <w:u w:val="single"/>
        </w:rPr>
      </w:pPr>
      <w:r>
        <w:rPr>
          <w:rFonts w:hint="eastAsia" w:ascii="宋体" w:hAnsi="宋体" w:eastAsia="宋体" w:cs="宋体"/>
          <w:color w:val="auto"/>
          <w:highlight w:val="none"/>
        </w:rPr>
        <w:br w:type="page" w:clear="all"/>
      </w:r>
      <w:r>
        <w:rPr>
          <w:rFonts w:hint="eastAsia" w:ascii="宋体" w:hAnsi="宋体" w:eastAsia="宋体" w:cs="宋体"/>
          <w:b/>
          <w:color w:val="auto"/>
          <w:sz w:val="30"/>
          <w:szCs w:val="30"/>
          <w:highlight w:val="none"/>
        </w:rPr>
        <w:t xml:space="preserve">招标公告</w:t>
      </w:r>
      <w:r>
        <w:rPr>
          <w:color w:val="auto"/>
          <w:highlight w:val="none"/>
        </w:rPr>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color w:val="auto"/>
          <w:highlight w:val="none"/>
        </w:rPr>
      </w:r>
      <w:bookmarkStart w:id="6" w:name="OLE_LINK16"/>
      <w:r>
        <w:rPr>
          <w:color w:val="auto"/>
          <w:highlight w:val="none"/>
        </w:rPr>
      </w:r>
      <w:bookmarkStart w:id="7" w:name="OLE_LINK37"/>
      <w:r>
        <w:rPr>
          <w:rFonts w:hint="eastAsia" w:ascii="宋体" w:hAnsi="宋体" w:eastAsia="宋体" w:cs="宋体"/>
          <w:color w:val="auto"/>
          <w:sz w:val="24"/>
          <w:szCs w:val="24"/>
          <w:highlight w:val="none"/>
        </w:rPr>
        <w:t xml:space="preserve">项目概况</w:t>
      </w:r>
      <w:r>
        <w:rPr>
          <w:color w:val="auto"/>
          <w:highlight w:val="none"/>
        </w:rPr>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苏州市公安局居住证九期制证</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07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16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（北京时间）前递交投标文件。</w:t>
      </w:r>
      <w:r>
        <w:rPr>
          <w:color w:val="auto"/>
          <w:highlight w:val="none"/>
        </w:rPr>
      </w:r>
      <w:r/>
    </w:p>
    <w:p>
      <w:pPr>
        <w:pStyle w:val="1083"/>
        <w:ind w:firstLine="482"/>
        <w:spacing w:line="360" w:lineRule="auto"/>
        <w:tabs>
          <w:tab w:val="left" w:pos="808"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JSZC-320500-SZHQ-G2026-0013</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苏州市公安局居住证九期制证</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肆佰壹拾肆万贰仟零</w:t>
      </w:r>
      <w:r>
        <w:rPr>
          <w:rFonts w:hint="eastAsia" w:ascii="宋体" w:hAnsi="宋体" w:eastAsia="宋体" w:cs="宋体"/>
          <w:b w:val="0"/>
          <w:bCs/>
          <w:color w:val="auto"/>
          <w:sz w:val="24"/>
          <w:szCs w:val="24"/>
          <w:highlight w:val="none"/>
          <w:lang w:val="en-US" w:eastAsia="zh-CN"/>
        </w:rPr>
        <w:t xml:space="preserve">叁拾捌圆整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cs/>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4142038.00</w:t>
      </w:r>
      <w:r>
        <w:rPr>
          <w:rFonts w:hint="eastAsia" w:ascii="宋体" w:hAnsi="宋体" w:eastAsia="宋体" w:cs="宋体"/>
          <w:bCs/>
          <w:color w:val="auto"/>
          <w:sz w:val="24"/>
          <w:szCs w:val="24"/>
          <w:highlight w:val="none"/>
        </w:rPr>
        <w:t xml:space="preserve">元）</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肆佰壹拾肆万</w:t>
      </w:r>
      <w:r>
        <w:rPr>
          <w:rFonts w:hint="eastAsia" w:ascii="宋体" w:hAnsi="宋体" w:eastAsia="宋体" w:cs="宋体"/>
          <w:b w:val="0"/>
          <w:bCs/>
          <w:color w:val="auto"/>
          <w:sz w:val="24"/>
          <w:szCs w:val="24"/>
          <w:highlight w:val="none"/>
          <w:lang w:val="en-US" w:eastAsia="zh-CN"/>
        </w:rPr>
        <w:t xml:space="preserve">圆整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cs/>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414</w:t>
      </w:r>
      <w:r>
        <w:rPr>
          <w:rFonts w:hint="eastAsia" w:ascii="宋体" w:hAnsi="宋体" w:eastAsia="宋体" w:cs="宋体"/>
          <w:bCs/>
          <w:color w:val="auto"/>
          <w:sz w:val="24"/>
          <w:szCs w:val="24"/>
          <w:highlight w:val="none"/>
          <w:lang w:val="en-US" w:eastAsia="zh-CN"/>
        </w:rPr>
        <w:t xml:space="preserve">0000</w:t>
      </w:r>
      <w:r>
        <w:rPr>
          <w:rFonts w:hint="eastAsia" w:ascii="宋体" w:hAnsi="宋体" w:eastAsia="宋体" w:cs="宋体"/>
          <w:bCs/>
          <w:color w:val="auto"/>
          <w:sz w:val="24"/>
          <w:szCs w:val="24"/>
          <w:highlight w:val="none"/>
          <w:lang w:eastAsia="zh-CN"/>
        </w:rPr>
        <w:t xml:space="preserve">.00</w:t>
      </w:r>
      <w:r>
        <w:rPr>
          <w:rFonts w:hint="eastAsia" w:ascii="宋体" w:hAnsi="宋体" w:eastAsia="宋体" w:cs="宋体"/>
          <w:bCs/>
          <w:color w:val="auto"/>
          <w:sz w:val="24"/>
          <w:szCs w:val="24"/>
          <w:highlight w:val="none"/>
        </w:rPr>
        <w:t xml:space="preserve">元）</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采购需求：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1、项目概况：</w:t>
      </w:r>
      <w:r>
        <w:rPr>
          <w:rFonts w:hint="eastAsia" w:ascii="宋体" w:hAnsi="宋体" w:eastAsia="宋体" w:cs="宋体"/>
          <w:color w:val="auto"/>
          <w:sz w:val="24"/>
          <w:szCs w:val="24"/>
          <w:highlight w:val="none"/>
        </w:rPr>
        <w:t xml:space="preserve">为保证全市居住证的正常制作发放和居住证制度正常实施，现开展苏州市公安局居住证九期制证采购，证件制作需符合江苏省公安厅规定的江苏省居住证证件制作管理工作规范。</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本项目主要采购居住证制作的服务，服务任务主要包括制证中心运营维护与人员管理、证件制作与物流发放、制证中心设备维护、售后服务，在指定地点和时间内完成居住证制作及发放。作为一个整体项目，根据一年的制证预估量以及包括全部设备、材料、人工、房租、水电物业、包装、仓储、保险、运费、各种税费、劳保、专利技术、质保等一切费用折算到居住证单张价格中，采购12个月的全市居住证成品卡制作服务项目，预计制作约450,000张。</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此项目以实际发生数量结算，最终结算金额不超过合同金额。</w:t>
      </w:r>
      <w:r>
        <w:rPr>
          <w:rFonts w:hint="eastAsia" w:ascii="宋体" w:hAnsi="宋体" w:eastAsia="宋体" w:cs="宋体"/>
          <w:color w:val="auto"/>
          <w:sz w:val="24"/>
          <w:szCs w:val="24"/>
          <w:highlight w:val="none"/>
        </w:rPr>
        <w:t xml:space="preserve">单价</w:t>
      </w:r>
      <w:r>
        <w:rPr>
          <w:rFonts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lang w:eastAsia="zh-CN"/>
        </w:rPr>
        <w:t xml:space="preserve">9.2</w:t>
      </w:r>
      <w:r>
        <w:rPr>
          <w:rFonts w:hint="eastAsia" w:ascii="宋体" w:hAnsi="宋体" w:eastAsia="宋体" w:cs="宋体"/>
          <w:bCs/>
          <w:color w:val="auto"/>
          <w:sz w:val="24"/>
          <w:szCs w:val="24"/>
          <w:highlight w:val="none"/>
        </w:rPr>
        <w:t xml:space="preserve">元/张。</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bCs/>
          <w:color w:val="auto"/>
          <w:sz w:val="24"/>
          <w:szCs w:val="24"/>
          <w:highlight w:val="none"/>
          <w:lang w:eastAsia="zh-CN"/>
        </w:rPr>
        <w:t xml:space="preserve">12个月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自2026年9月1日至2027年8月31日</w:t>
      </w:r>
      <w:r>
        <w:rPr>
          <w:rFonts w:hint="eastAsia" w:ascii="宋体" w:hAnsi="宋体" w:eastAsia="宋体" w:cs="宋体"/>
          <w:bCs/>
          <w:color w:val="auto"/>
          <w:sz w:val="24"/>
          <w:szCs w:val="24"/>
          <w:highlight w:val="none"/>
        </w:rPr>
        <w:t xml:space="preserve">，若在本项目服务期内，累计完成服务金额达到合同金额或本项目服务期满，项目自动终止。</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1.4具有依法缴纳税收和社会保障资金的良好记录；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color w:val="auto"/>
          <w:highlight w:val="none"/>
        </w:rPr>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无。 </w:t>
      </w:r>
      <w:r>
        <w:rPr>
          <w:color w:val="auto"/>
          <w:highlight w:val="none"/>
        </w:rPr>
      </w:r>
      <w:r/>
    </w:p>
    <w:p>
      <w:pPr>
        <w:ind w:firstLine="480"/>
        <w:spacing w:line="360" w:lineRule="auto"/>
        <w:tabs>
          <w:tab w:val="left" w:pos="0" w:leader="none"/>
        </w:tabs>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b/>
          <w:bCs/>
          <w:color w:val="auto"/>
          <w:sz w:val="24"/>
          <w:szCs w:val="24"/>
          <w:highlight w:val="none"/>
        </w:rPr>
        <w:t xml:space="preserve">投标人具有国家集成电路卡注册中心颁发的《集成电路卡注册证书》。</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方式：线上获取，详见公告</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07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16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18"/>
          <w:rFonts w:hint="eastAsia" w:ascii="宋体" w:hAnsi="宋体" w:eastAsia="宋体" w:cs="宋体"/>
          <w:color w:val="auto"/>
          <w:sz w:val="24"/>
          <w:szCs w:val="24"/>
          <w:highlight w:val="none"/>
        </w:rPr>
        <w:t xml:space="preserve">http://jszfcg.jsczt.cn/）</w:t>
      </w:r>
      <w:r>
        <w:rPr>
          <w:rStyle w:val="1018"/>
          <w:rFonts w:hint="eastAsia" w:ascii="宋体" w:hAnsi="宋体" w:eastAsia="宋体" w:cs="宋体"/>
          <w:color w:val="auto"/>
          <w:sz w:val="24"/>
          <w:szCs w:val="24"/>
          <w:highlight w:val="none"/>
        </w:rPr>
        <w:fldChar w:fldCharType="end"/>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6"/>
      <w:r>
        <w:rPr>
          <w:color w:val="auto"/>
        </w:rPr>
      </w:r>
      <w:bookmarkEnd w:id="7"/>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六、其他补充事项：</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苏州现场办理地址：苏州高新区邓尉路105号狮山科技馆1楼服务大厅，咨询电话：0512-69820834。</w:t>
      </w:r>
      <w:r>
        <w:rPr>
          <w:color w:val="auto"/>
          <w:highlight w:val="none"/>
        </w:rPr>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6、本项目获取招标文件截止日期之后仍可以下载招标文件，但截止日期之后下载的招标文件,视为非有效方式且不作为供应商权益受到损害的证明材料和依据。</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8、苏州市政府采购监督电话：</w:t>
      </w:r>
      <w:r>
        <w:rPr>
          <w:rFonts w:hint="eastAsia" w:ascii="宋体" w:hAnsi="宋体" w:eastAsia="宋体" w:cs="宋体"/>
          <w:color w:val="auto"/>
          <w:sz w:val="24"/>
          <w:highlight w:val="none"/>
        </w:rPr>
        <w:t xml:space="preserve">0512-68616651</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9、本次采购的有关信息将在苏州市政府采购网、江苏政府采购网上发布、中国政府采购网，敬请留意！</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七、对本次招标提出的询问，请按以下方式联系。</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称：苏州市公安局</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址：苏州市相城区人民路3998号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0512-65110277</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称：苏州海企国际工程咨询有限公司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苏州市高新区灵岩街6号9楼</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highlight w:val="none"/>
        </w:rPr>
        <w:t xml:space="preserve">0512-68087208</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项目联系人：钟雅婷、张茂松、赵猛</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话：0512-68087208</w:t>
      </w:r>
      <w:r>
        <w:rPr>
          <w:color w:val="auto"/>
          <w:highlight w:val="none"/>
        </w:rPr>
      </w:r>
      <w:r/>
    </w:p>
    <w:p>
      <w:pPr>
        <w:rPr>
          <w:rFonts w:ascii="宋体" w:hAnsi="宋体" w:eastAsia="宋体" w:cs="宋体"/>
          <w:color w:val="auto"/>
          <w:highlight w:val="none"/>
        </w:rPr>
      </w:pPr>
      <w:r>
        <w:rPr>
          <w:color w:val="auto"/>
          <w:highlight w:val="none"/>
        </w:rPr>
      </w:r>
      <w:bookmarkStart w:id="8" w:name="_Toc388026584"/>
      <w:r>
        <w:rPr>
          <w:color w:val="auto"/>
          <w:highlight w:val="none"/>
        </w:rPr>
      </w:r>
      <w:bookmarkStart w:id="9" w:name="_Toc494471871"/>
      <w:r>
        <w:rPr>
          <w:color w:val="auto"/>
          <w:highlight w:val="none"/>
        </w:rPr>
      </w:r>
      <w:r/>
    </w:p>
    <w:p>
      <w:pPr>
        <w:pStyle w:val="975"/>
        <w:jc w:val="center"/>
        <w:spacing w:line="560" w:lineRule="exact"/>
        <w:rPr>
          <w:rFonts w:ascii="宋体" w:hAnsi="宋体" w:eastAsia="宋体" w:cs="宋体"/>
          <w:color w:val="auto"/>
          <w:highlight w:val="none"/>
        </w:rPr>
      </w:pPr>
      <w:r>
        <w:rPr>
          <w:color w:val="auto"/>
          <w:highlight w:val="none"/>
        </w:rPr>
      </w:r>
      <w:bookmarkStart w:id="10" w:name="_Toc160701721"/>
      <w:r>
        <w:rPr>
          <w:rFonts w:hint="eastAsia" w:ascii="宋体" w:hAnsi="宋体" w:eastAsia="宋体" w:cs="宋体"/>
          <w:color w:val="auto"/>
          <w:highlight w:val="none"/>
        </w:rPr>
        <w:br w:type="page" w:clear="all"/>
      </w:r>
      <w:r>
        <w:rPr>
          <w:color w:val="auto"/>
          <w:highlight w:val="none"/>
        </w:rPr>
      </w:r>
      <w:r/>
    </w:p>
    <w:p>
      <w:pPr>
        <w:pStyle w:val="975"/>
        <w:jc w:val="center"/>
        <w:spacing w:line="560" w:lineRule="exact"/>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center"/>
        <w:spacing w:line="560" w:lineRule="exact"/>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center"/>
        <w:spacing w:line="560" w:lineRule="exact"/>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center"/>
        <w:spacing w:line="560" w:lineRule="exact"/>
        <w:rPr>
          <w:rFonts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8"/>
      <w:r>
        <w:rPr>
          <w:color w:val="auto"/>
          <w:highlight w:val="none"/>
        </w:rPr>
      </w:r>
      <w:bookmarkEnd w:id="9"/>
      <w:r>
        <w:rPr>
          <w:color w:val="auto"/>
          <w:highlight w:val="none"/>
        </w:rPr>
      </w:r>
      <w:bookmarkEnd w:id="10"/>
      <w:r>
        <w:rPr>
          <w:color w:val="auto"/>
          <w:highlight w:val="none"/>
        </w:rPr>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一、说明和释义</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说明</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bCs/>
          <w:color w:val="auto"/>
          <w:szCs w:val="24"/>
          <w:highlight w:val="none"/>
        </w:rPr>
        <w:t xml:space="preserve">苏州海企国际工程咨询有限公司</w:t>
      </w:r>
      <w:r>
        <w:rPr>
          <w:rFonts w:hint="eastAsia" w:ascii="宋体" w:hAnsi="宋体" w:eastAsia="宋体" w:cs="宋体"/>
          <w:color w:val="auto"/>
          <w:szCs w:val="24"/>
          <w:highlight w:val="none"/>
        </w:rPr>
        <w:t xml:space="preserve">组织的招标活动。</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w:t>
      </w:r>
      <w:r>
        <w:rPr>
          <w:rFonts w:hint="eastAsia" w:ascii="宋体" w:hAnsi="宋体" w:eastAsia="宋体" w:cs="宋体"/>
          <w:bCs/>
          <w:color w:val="auto"/>
          <w:szCs w:val="24"/>
          <w:highlight w:val="none"/>
        </w:rPr>
        <w:t xml:space="preserve">苏州海企国际工程咨询有限公司</w:t>
      </w:r>
      <w:r>
        <w:rPr>
          <w:rFonts w:hint="eastAsia" w:ascii="宋体" w:hAnsi="宋体" w:eastAsia="宋体" w:cs="宋体"/>
          <w:color w:val="auto"/>
          <w:szCs w:val="24"/>
          <w:highlight w:val="none"/>
        </w:rPr>
        <w:t xml:space="preserve">。</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2.1采购人：指依法进行政府采购的国家机关、事业单位、团体组织。</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2.2 供应商：指向采购人提供货物、工程或服务的法人、其他组织或者自然人。</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2.3投标人：指参加政府采购货物服务投标活动的供应商。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2.4采购代理机构：指依法接受采购人委托，从事货物、工程和服务等政府采购招标代理业务的社会中介机构。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：采购人及采购代理机构的统称。</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2.7响应：投标人根据采购人或采购代理机构发布的招标文件，编制投标文件并按规定投标的行为。</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2.8知识产权：指专利权、商标权、著作权等无形财产专有权的统称。</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2.9天：日历日。</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2.10服务地点：合同中明确约定的乙方履行服务的最终地点。</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2.11不可抗力：不能预见、不能避免并且不能克服的客观情况。</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2.12实质性响应：满足有关本次采购标的、数量、质量、价款或者报酬、履行期限、履行地点和方式、违约责任和解决争议方法等要求。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2.13书面形式：指书面文字、合同书、信件和传真等可以有形地表现所载内容的形式。</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3.1符合《中华人民共和国政府采购法》第二十二条第一款之规定；</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4．合格投标人的特定条件、落实政府采购政策需满足的资格要求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rPr>
          <w:color w:val="auto"/>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投标人必须进入苏采云系统进行网上报名，否则不能参加本次招标活动。</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投标人代表</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6.1指全权代表投标人参加投标活动并签署投标文件的人，如果投标人代表不是法人代表，须持有《法人代表授权委托书》（详见统一格式）。</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联合投标（本项目不接受联合体投标）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7.1联合体各方中至少应当有一方符合本招标文件规定的投标人资格条件的特定条件。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7.3联合体各成员之间签订的联合体协议书应与投标文件一起递交。</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7.4参加联合体的各成员不得再以自己名义单独投标，也不得同时参加两个或两个以上的联合体投标。如有违反将取消该联合体各成员的投标资格。</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7.5联合体各方应当共同与采购人签订合同，就采购合同约定的事项对采购人承担连带责任。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除非另有规定或说明，本文中“投标人”一词亦指联合体各成员。</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投标费用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8.1投标人应自行承担所有准备及参加投标的相关费用。不论投标结果如何，采购人和采购代理机构在任何情况下均无义务也无责任承担这些费用。</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 招标文件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9.1招标文件由招标文件目录所列内容组成，投标人报名确认后下载获取招标文件后，应仔细检查招标文件的所有内容，如有残缺等问题应在获取招标文件2日内向招标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10.现场考察（如涉及）</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10.2招标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向投标人提供的有关现场的资料和数据，是招标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现有的并认为能使投标人可利用的资料。招标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对投标人由此而做出的推论、理解和结论概不负责。</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允许，投标人可为考察目的进入招标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的项目现场，但投标人不得因此使招标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承担有关的责任和蒙受损失。投标人应承担考察现场的责任和风险。</w:t>
      </w:r>
      <w:r>
        <w:rPr>
          <w:color w:val="auto"/>
          <w:highlight w:val="none"/>
        </w:rPr>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10.4投标人应在现场考察时，熟悉现场及周围交通道路等情况，以获得一切可能影响其投标的直接资料。投标人中标后，不得以不完全了解现场情况为理由而向招标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提出任何索赔的要求，对此招标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不承担任何责任并将不作任何答复与考虑。</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11.招标文件的澄清和修改</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w:t>
      </w:r>
      <w:r>
        <w:rPr>
          <w:rFonts w:hint="eastAsia" w:ascii="宋体" w:hAnsi="宋体" w:eastAsia="宋体" w:cs="宋体"/>
          <w:color w:val="auto"/>
          <w:sz w:val="24"/>
          <w:szCs w:val="24"/>
          <w:highlight w:val="none"/>
        </w:rPr>
        <w:t xml:space="preserve">投标人如有疑问需要澄清，可通过公告中的联系方式及时提出，采购人或采购代理机构将予以解答，但答复内容不得涉及商业秘密。</w:t>
      </w:r>
      <w:r>
        <w:rPr>
          <w:color w:val="auto"/>
          <w:highlight w:val="none"/>
        </w:rPr>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11.2迟于前附表规定时间的询问或提交的疑问</w:t>
      </w:r>
      <w:r>
        <w:rPr>
          <w:rFonts w:hint="eastAsia" w:ascii="宋体" w:hAnsi="宋体" w:eastAsia="宋体" w:cs="宋体"/>
          <w:color w:val="auto"/>
          <w:sz w:val="24"/>
          <w:szCs w:val="24"/>
          <w:highlight w:val="none"/>
        </w:rPr>
        <w:t xml:space="preserve">提出的</w:t>
      </w:r>
      <w:r>
        <w:rPr>
          <w:rFonts w:hint="eastAsia" w:ascii="宋体" w:hAnsi="宋体" w:eastAsia="宋体" w:cs="宋体"/>
          <w:bCs/>
          <w:color w:val="auto"/>
          <w:sz w:val="24"/>
          <w:szCs w:val="24"/>
          <w:highlight w:val="none"/>
        </w:rPr>
        <w:t xml:space="preserve">，采购人和采购代理机构有权拒绝回答，也不承担由此带来的对投标人投标结果的影响。</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11.3在投标截止时间15日前，招标</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无论出于自己的考虑，还是出于对投标人提问的澄清，均可对已发出的招标文件进行必要澄清或者修改。</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11.4为使投标人有足够的时间按招标文件的修改要求考虑修正投标文件，或出于其他原因，招标</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有权推迟投标截止日期和开标日期，将此变更通知所有招标文件的收受人。</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11.5招标文件的更正（含澄清、修改等）内容与原招标文件在同一内容上表述不一致时，以发出日期最接近开标时间的公告为准。</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11.6招标文件的更正（含澄清、修改等）内容将在财政部门指定的政府采购信息发布媒体上发布，作为招标文件的组成部分，对投标人起约束作用。</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概不负责。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1" w:name="_Toc217446047"/>
      <w:r>
        <w:rPr>
          <w:rFonts w:hint="eastAsia" w:ascii="宋体" w:hAnsi="宋体" w:eastAsia="宋体" w:cs="宋体"/>
          <w:color w:val="auto"/>
          <w:sz w:val="24"/>
          <w:szCs w:val="24"/>
          <w:highlight w:val="none"/>
        </w:rPr>
        <w:t xml:space="preserve">3. 知识产权</w:t>
      </w:r>
      <w:bookmarkEnd w:id="11"/>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rPr>
          <w:color w:val="auto"/>
          <w:highlight w:val="none"/>
        </w:rPr>
      </w:r>
      <w:r/>
    </w:p>
    <w:p>
      <w:pPr>
        <w:pStyle w:val="1081"/>
        <w:ind w:firstLine="470"/>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基本目录：</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14.1封面</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14.2</w:t>
      </w:r>
      <w:r>
        <w:rPr>
          <w:rFonts w:hint="eastAsia" w:ascii="宋体" w:hAnsi="宋体" w:eastAsia="宋体" w:cs="宋体"/>
          <w:color w:val="auto"/>
          <w:highlight w:val="none"/>
          <w:lang w:eastAsia="zh-CN"/>
        </w:rPr>
        <w:t xml:space="preserve">《开标一览表》(统一格式，用于唱标)；</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 法定代表人授权委托书（如有授权，详见投标文件格式）；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投标人法定代表人身份证扫描件、授权委托人身份证扫描件；</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投标人基本情况表（详见投标文件格式）；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项目服务方案；</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《项目负责人情况一览表》、《项目组人员配备一览表》（详见投标文件格式）；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14.8售后服务承诺书</w:t>
      </w:r>
      <w:r>
        <w:rPr>
          <w:rFonts w:hint="eastAsia" w:ascii="宋体" w:hAnsi="宋体" w:eastAsia="宋体" w:cs="宋体"/>
          <w:color w:val="auto"/>
          <w:highlight w:val="none"/>
          <w:lang w:eastAsia="zh-CN"/>
        </w:rPr>
        <w:t xml:space="preserve">（详见投标文件格式）；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招标文件技术部分规定提交的其他相关材料；</w:t>
      </w:r>
      <w:r>
        <w:rPr>
          <w:color w:val="auto"/>
          <w:highlight w:val="none"/>
        </w:rPr>
      </w:r>
      <w:r/>
    </w:p>
    <w:p>
      <w:pPr>
        <w:pStyle w:val="1081"/>
        <w:ind w:firstLine="470"/>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资格条件：</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关于资格文件的声明函及</w:t>
      </w:r>
      <w:r>
        <w:rPr>
          <w:rFonts w:hint="eastAsia" w:ascii="宋体" w:hAnsi="宋体" w:eastAsia="宋体" w:cs="宋体"/>
          <w:bCs/>
          <w:color w:val="auto"/>
          <w:highlight w:val="none"/>
          <w:lang w:eastAsia="zh-CN"/>
        </w:rPr>
        <w:t xml:space="preserve">投标人与其他单位存在控股、管理关系情况表</w:t>
      </w:r>
      <w:r>
        <w:rPr>
          <w:rFonts w:hint="eastAsia" w:ascii="宋体" w:hAnsi="宋体" w:eastAsia="宋体" w:cs="宋体"/>
          <w:color w:val="auto"/>
          <w:highlight w:val="none"/>
          <w:lang w:eastAsia="zh-CN"/>
        </w:rPr>
        <w:t xml:space="preserve">（详见投标文件格式）；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投标人《营业执照》副本扫描件；</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投标人具有良好的商业信誉和健全的财务会计制度证明。包括但不限于最近一期经审计的财务报告，其他组织、自然人及成立未满一年的法人应提供银行出具的资信证明。</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投标人具备履行合同所必需的设备和专业技术能力，</w:t>
      </w:r>
      <w:r>
        <w:rPr>
          <w:rFonts w:hint="eastAsia" w:ascii="宋体" w:hAnsi="宋体" w:eastAsia="宋体" w:cs="宋体"/>
          <w:color w:val="auto"/>
          <w:highlight w:val="none"/>
          <w:lang w:val="en-US" w:eastAsia="zh-CN"/>
        </w:rPr>
        <w:t xml:space="preserve">提供</w:t>
      </w:r>
      <w:r>
        <w:rPr>
          <w:rFonts w:hint="eastAsia" w:ascii="宋体" w:hAnsi="宋体" w:eastAsia="宋体" w:cs="宋体"/>
          <w:color w:val="auto"/>
          <w:highlight w:val="none"/>
          <w:lang w:eastAsia="zh-CN"/>
        </w:rPr>
        <w:t xml:space="preserve">证明材料</w:t>
      </w:r>
      <w:r>
        <w:rPr>
          <w:rFonts w:hint="eastAsia" w:ascii="宋体" w:hAnsi="宋体" w:eastAsia="宋体" w:cs="宋体"/>
          <w:color w:val="auto"/>
          <w:highlight w:val="none"/>
          <w:lang w:val="en-US" w:eastAsia="zh-CN"/>
        </w:rPr>
        <w:t xml:space="preserve">或承诺函</w:t>
      </w:r>
      <w:r>
        <w:rPr>
          <w:rFonts w:hint="eastAsia" w:ascii="宋体" w:hAnsi="宋体" w:eastAsia="宋体" w:cs="宋体"/>
          <w:color w:val="auto"/>
          <w:highlight w:val="none"/>
          <w:lang w:eastAsia="zh-CN"/>
        </w:rPr>
        <w:t xml:space="preserve">；</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lang w:eastAsia="zh-CN"/>
        </w:rPr>
        <w:t xml:space="preserve">投标人参加政府采购活动前3年内在经营活动中没有重大违法记录的书面声明函；</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14.16投标</w:t>
      </w:r>
      <w:r>
        <w:rPr>
          <w:rFonts w:hint="eastAsia" w:ascii="宋体" w:hAnsi="宋体" w:eastAsia="宋体" w:cs="宋体"/>
          <w:color w:val="auto"/>
          <w:highlight w:val="none"/>
          <w:lang w:eastAsia="zh-CN"/>
        </w:rPr>
        <w:t xml:space="preserve">人</w:t>
      </w:r>
      <w:r>
        <w:rPr>
          <w:rFonts w:hint="eastAsia" w:ascii="宋体" w:hAnsi="宋体" w:eastAsia="宋体" w:cs="宋体"/>
          <w:color w:val="auto"/>
          <w:highlight w:val="none"/>
          <w:lang w:val="en-US" w:eastAsia="zh-CN"/>
        </w:rPr>
        <w:t xml:space="preserve">具有国家集成电路卡注册中心颁发的《集成电路卡注册证书》。</w:t>
      </w:r>
      <w:r>
        <w:rPr>
          <w:color w:val="auto"/>
          <w:highlight w:val="none"/>
        </w:rPr>
      </w:r>
      <w:r/>
    </w:p>
    <w:p>
      <w:pPr>
        <w:pStyle w:val="1081"/>
        <w:ind w:firstLine="470"/>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符合条件：</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lang w:eastAsia="zh-CN"/>
        </w:rPr>
        <w:t xml:space="preserve">投标函（详见投标文件格式）；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投标报价表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分项报价明细表</w:t>
      </w:r>
      <w:r>
        <w:rPr>
          <w:rFonts w:hint="eastAsia" w:ascii="宋体" w:hAnsi="宋体" w:eastAsia="宋体" w:cs="宋体"/>
          <w:color w:val="auto"/>
          <w:highlight w:val="none"/>
          <w:lang w:eastAsia="zh-CN"/>
        </w:rPr>
        <w:t xml:space="preserve">》(详见投标文件格式)；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19</w:t>
      </w:r>
      <w:r>
        <w:rPr>
          <w:rFonts w:hint="eastAsia" w:ascii="宋体" w:hAnsi="宋体" w:eastAsia="宋体" w:cs="宋体"/>
          <w:color w:val="auto"/>
          <w:highlight w:val="none"/>
          <w:lang w:eastAsia="zh-CN"/>
        </w:rPr>
        <w:t xml:space="preserve">《服务要求偏离表》、《商务条款偏离表》（详见投标文件格式）；</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lang w:val="en-US" w:eastAsia="zh-CN"/>
        </w:rPr>
        <w:t xml:space="preserve">对招标文件其他</w:t>
      </w:r>
      <w:r>
        <w:rPr>
          <w:rFonts w:hint="eastAsia" w:ascii="宋体" w:hAnsi="宋体" w:eastAsia="宋体" w:cs="宋体"/>
          <w:color w:val="auto"/>
          <w:highlight w:val="none"/>
          <w:lang w:eastAsia="zh-CN"/>
        </w:rPr>
        <w:t xml:space="preserve">符合</w:t>
      </w:r>
      <w:r>
        <w:rPr>
          <w:rFonts w:hint="eastAsia" w:ascii="宋体" w:hAnsi="宋体" w:eastAsia="宋体" w:cs="宋体"/>
          <w:color w:val="auto"/>
          <w:highlight w:val="none"/>
          <w:lang w:val="en-US" w:eastAsia="zh-CN"/>
        </w:rPr>
        <w:t xml:space="preserve">性条款的响应情况</w:t>
      </w:r>
      <w:r>
        <w:rPr>
          <w:rFonts w:hint="eastAsia" w:ascii="宋体" w:hAnsi="宋体" w:eastAsia="宋体" w:cs="宋体"/>
          <w:color w:val="auto"/>
          <w:highlight w:val="none"/>
          <w:lang w:eastAsia="zh-CN"/>
        </w:rPr>
        <w:t xml:space="preserve">；</w:t>
      </w:r>
      <w:r>
        <w:rPr>
          <w:color w:val="auto"/>
          <w:highlight w:val="none"/>
        </w:rPr>
      </w:r>
      <w:r/>
    </w:p>
    <w:p>
      <w:pPr>
        <w:pStyle w:val="1081"/>
        <w:ind w:firstLine="470"/>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综合评审评分项：</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lang w:eastAsia="zh-CN"/>
        </w:rPr>
        <w:t xml:space="preserve">招标文件评分标准中规定提交的其他相关材料；</w:t>
      </w:r>
      <w:r>
        <w:rPr>
          <w:color w:val="auto"/>
          <w:highlight w:val="none"/>
        </w:rPr>
      </w:r>
      <w:r/>
    </w:p>
    <w:p>
      <w:pPr>
        <w:pStyle w:val="1081"/>
        <w:ind w:firstLine="470"/>
        <w:spacing w:line="360" w:lineRule="auto"/>
        <w:rPr>
          <w:rFonts w:ascii="宋体" w:hAnsi="宋体" w:eastAsia="宋体" w:cs="宋体"/>
          <w:b/>
          <w:bCs/>
          <w:color w:val="auto"/>
          <w:highlight w:val="none"/>
        </w:rPr>
      </w:pPr>
      <w:r>
        <w:rPr>
          <w:rFonts w:hint="eastAsia" w:ascii="宋体" w:hAnsi="宋体" w:eastAsia="宋体" w:cs="宋体"/>
          <w:b/>
          <w:bCs/>
          <w:color w:val="auto"/>
          <w:highlight w:val="none"/>
          <w:lang w:eastAsia="zh-CN"/>
        </w:rPr>
        <w:t xml:space="preserve">价格折扣文件：</w:t>
      </w:r>
      <w:r>
        <w:rPr>
          <w:color w:val="auto"/>
          <w:highlight w:val="none"/>
        </w:rPr>
      </w:r>
      <w:r/>
    </w:p>
    <w:p>
      <w:pPr>
        <w:pStyle w:val="1081"/>
        <w:ind w:firstLine="468"/>
        <w:spacing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22</w:t>
      </w:r>
      <w:r>
        <w:rPr>
          <w:rFonts w:hint="eastAsia" w:ascii="宋体" w:hAnsi="宋体" w:eastAsia="宋体" w:cs="宋体"/>
          <w:color w:val="auto"/>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rPr>
          <w:color w:val="auto"/>
          <w:highlight w:val="none"/>
        </w:rPr>
      </w:r>
      <w:r/>
    </w:p>
    <w:p>
      <w:pPr>
        <w:pStyle w:val="981"/>
        <w:jc w:val="both"/>
        <w:spacing w:line="360" w:lineRule="auto"/>
        <w:tabs>
          <w:tab w:val="left" w:pos="0" w:leader="none"/>
        </w:tabs>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w:t>
      </w:r>
      <w:r>
        <w:rPr>
          <w:rFonts w:hint="eastAsia" w:ascii="宋体" w:hAnsi="宋体" w:eastAsia="宋体" w:cs="宋体"/>
          <w:b/>
          <w:color w:val="auto"/>
          <w:szCs w:val="24"/>
          <w:highlight w:val="none"/>
        </w:rPr>
        <w:t xml:space="preserve">（1）投标人应完整提交上述资料，</w:t>
      </w:r>
      <w:r>
        <w:rPr>
          <w:rFonts w:hint="eastAsia" w:ascii="宋体" w:hAnsi="宋体" w:eastAsia="宋体"/>
          <w:b/>
          <w:color w:val="auto"/>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color w:val="auto"/>
          <w:szCs w:val="24"/>
          <w:highlight w:val="none"/>
        </w:rPr>
        <w:t xml:space="preserve">否则，投标文件将可能因资格性条件不符或符合性审查不符而判定为无效标；</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投标文件编制要求</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15.1</w:t>
      </w:r>
      <w:bookmarkStart w:id="12" w:name="_Hlk140247794"/>
      <w:r>
        <w:rPr>
          <w:rFonts w:hint="eastAsia" w:ascii="宋体" w:hAnsi="宋体" w:eastAsia="宋体" w:cs="宋体"/>
          <w:color w:val="auto"/>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投标文件未按照招标文件要求加盖CA电子公章的，投标无效。</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color w:val="auto"/>
          <w:highlight w:val="none"/>
        </w:rPr>
      </w:r>
      <w:bookmarkStart w:id="13" w:name="_Hlk158134955"/>
      <w:r>
        <w:rPr>
          <w:rFonts w:hint="eastAsia" w:ascii="宋体" w:hAnsi="宋体" w:eastAsia="宋体" w:cs="宋体"/>
          <w:color w:val="auto"/>
          <w:szCs w:val="24"/>
          <w:highlight w:val="none"/>
        </w:rPr>
        <w:t xml:space="preserve">联合体投标：如招标（采购）公告中允许联合体投标，联合体投标的投标（响应）文件制作上传操作如下：</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第一步：在投标（响应）文件中上传联合体投标协议书。</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第二步；在投标（响应）文件中，由联合体中的牵头人制作投标（响应）文件。</w:t>
      </w:r>
      <w:bookmarkEnd w:id="13"/>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如投标（响应）文件制作机器码信息一致，视为不同投标供应商使用同一台电脑编制投标（响应）文件，投标（响应）无效。</w:t>
      </w:r>
      <w:bookmarkEnd w:id="12"/>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15.3《开标一览表》为在开标仪式上唱标的内容，要求按格式填写，统一规范，不得自行增减内容。</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投标报价（编制）要求的说明</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16.1除非合同中另有规定，投标人对《开标一览表》的报价应</w:t>
      </w:r>
      <w:r>
        <w:rPr>
          <w:rFonts w:hint="eastAsia" w:ascii="宋体" w:hAnsi="宋体" w:eastAsia="宋体" w:cs="宋体"/>
          <w:color w:val="auto"/>
          <w:szCs w:val="24"/>
          <w:highlight w:val="none"/>
        </w:rPr>
        <w:t xml:space="preserve">包括居住证制作、居住证制证中心厂房租赁、制证中心现有制证设备维护、物流发放、居住证制证中心运营及员工管理、人工、保险、加班费、质保及其它辅助费用、利润、税金、代理服务费、政策性文件规定及合同包含的所有风险、责任等各项应有费用。</w:t>
      </w:r>
      <w:r>
        <w:rPr>
          <w:rFonts w:hint="eastAsia" w:ascii="宋体" w:hAnsi="宋体" w:eastAsia="宋体" w:cs="宋体"/>
          <w:color w:val="auto"/>
          <w:szCs w:val="24"/>
          <w:highlight w:val="none"/>
        </w:rPr>
        <w:t xml:space="preserve">同时，除非合同条款中另有规定，否则，</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所报价格在合同实施期间不因市场因素变化而变动。</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16.2投标人应对招标文件内所要采购的全部内容进行报价，只投其中部分内容者，其标书将被拒绝。</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16.3一项投标内容只允许一个报价，招标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不接受任何有选择性的投标报价。</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16.4投标文件报价中的单价和总价全部采用人民币表示，除非合同的特殊条款另有规定。</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16.5</w:t>
      </w:r>
      <w:r>
        <w:rPr>
          <w:rFonts w:hint="eastAsia" w:ascii="宋体" w:hAnsi="宋体" w:eastAsia="宋体" w:cs="宋体"/>
          <w:bCs/>
          <w:color w:val="auto"/>
          <w:szCs w:val="24"/>
          <w:highlight w:val="none"/>
        </w:rPr>
        <w:t xml:space="preserve">最低报价不能作为中标的保证</w:t>
      </w:r>
      <w:r>
        <w:rPr>
          <w:rFonts w:hint="eastAsia" w:ascii="宋体" w:hAnsi="宋体" w:eastAsia="宋体" w:cs="宋体"/>
          <w:color w:val="auto"/>
          <w:szCs w:val="24"/>
          <w:highlight w:val="none"/>
        </w:rPr>
        <w:t xml:space="preserve">。</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投标保证金</w:t>
      </w:r>
      <w:r>
        <w:rPr>
          <w:color w:val="auto"/>
          <w:highlight w:val="none"/>
        </w:rPr>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本项目不提交，文件内关于投标保证金的相关规定均不适用。</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投标文件的有效期</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18.2在特殊情况下，招标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投标文件的递交</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 投标截止时间</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19.1电子投标文件上传截止时间之前对投标文件进行加密并上传，否则视为放弃参加该采购项目。</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推迟投标截止时间时，应以书面形式通知所有投标人。在这种情况下，招标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和投标人的权利和义务将受到新的截止期的约束。</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19.3在投标截止时间以后送达的投标文件，招标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19.4在投标截止时间止招标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收到该项目的投标文件少于三份，招标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有权宣布该项目本次招标失败。</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 投标文件的修改和撤回</w:t>
      </w:r>
      <w:r>
        <w:rPr>
          <w:color w:val="auto"/>
          <w:highlight w:val="none"/>
        </w:rPr>
      </w:r>
      <w:r/>
    </w:p>
    <w:p>
      <w:pPr>
        <w:ind w:firstLine="50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投标人在提交投标文件后可对其投标文件进行修改或撤回，但须在投标截止时间之前。</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开标</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21.1开标由采购人或者采购代理机构主持，投标人参加。评标委员会成员不得参加开标活动。</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color w:val="auto"/>
          <w:highlight w:val="none"/>
        </w:rPr>
      </w:r>
      <w:bookmarkStart w:id="14" w:name="_Hlk90652960"/>
      <w:r>
        <w:rPr>
          <w:rFonts w:hint="eastAsia" w:ascii="宋体" w:hAnsi="宋体" w:eastAsia="宋体" w:cs="宋体"/>
          <w:color w:val="auto"/>
          <w:sz w:val="24"/>
          <w:szCs w:val="24"/>
          <w:highlight w:val="none"/>
        </w:rPr>
        <w:t xml:space="preserve">21.3线上参加（观看）开标（开启）会方式：登录“苏采云”系统，点击“开标大厅”，选择对应项目，点击进入不见面开标系统。</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4"/>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color w:val="auto"/>
          <w:highlight w:val="none"/>
        </w:rPr>
      </w:r>
      <w:bookmarkStart w:id="15" w:name="_Hlk158135485"/>
      <w:r>
        <w:rPr>
          <w:rFonts w:hint="eastAsia" w:ascii="宋体" w:hAnsi="宋体" w:eastAsia="宋体" w:cs="宋体"/>
          <w:color w:val="auto"/>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5"/>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21.6投标人在“苏采云”系统规定的时间内未成功解密电子投标文件的，投标无效。</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21.8至投标文件提交截止时间，递交投标文件的投标人不足三家的，不得开标。</w:t>
      </w:r>
      <w:r>
        <w:rPr>
          <w:color w:val="auto"/>
          <w:highlight w:val="none"/>
        </w:rPr>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21.9投标人未参加开标的，视同认可开标结果。</w:t>
      </w:r>
      <w:r>
        <w:rPr>
          <w:color w:val="auto"/>
          <w:highlight w:val="none"/>
        </w:rPr>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22.资格审查</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22.1采购人或采购代理机构在开标后，评标前按照招标文件投标人须知第3款、第4款和第14款资格审查证明文件的规定对投标人的资格进行资格审查。</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22.3采购人或采购代理机构现场告知未通过资格审查的投标人未通过的原因。</w:t>
      </w:r>
      <w:r>
        <w:rPr>
          <w:color w:val="auto"/>
          <w:highlight w:val="none"/>
        </w:rPr>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23.评标工作的组织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采购人或者采购代理机构负责组织评标工作，并履行下列职责：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23.1核对评审专家身份和采购人代表授权函，对评审专家在政府采购活动中的职责履行情况予以记录，并及时将有关违法违规行为向财政部门报告；</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23.2宣布评标纪律；</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23.3公布投标人名单，告知评审专家应当回避的情形；</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23.4组织评标委员会推选评标组长，采购人代表不得担任组长；</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23.5在评标期间采取必要的通讯管理措施，保证评标活动不受外界干扰；</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23.6根据评标委员会的要求介绍政府采购相关政策法规、招标文件；</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23.9评审工作完成后，按照规定向评审专家支付劳务报酬和异地评审差旅费，不得向评审专家以外的其他人员支付评审劳务报酬；</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23.10处理与评标有关的其他事项。</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rPr>
          <w:color w:val="auto"/>
          <w:highlight w:val="none"/>
        </w:rPr>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评标委员会</w:t>
      </w:r>
      <w:r>
        <w:rPr>
          <w:rFonts w:hint="eastAsia" w:ascii="宋体" w:hAnsi="宋体" w:eastAsia="宋体" w:cs="宋体"/>
          <w:b/>
          <w:color w:val="auto"/>
          <w:sz w:val="24"/>
          <w:szCs w:val="24"/>
          <w:highlight w:val="none"/>
        </w:rPr>
        <w:tab/>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24.1评标委员会由招标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依法组建，负责本项目的评标事务。</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24.2评标委员会独立履行下列职责：</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24.2.1审查、评价投标文件是否符合招标文件的商务、技术等实质性要求；</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24.2.2要求投标人对投标文件有关事项作出澄清或者说明；</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24.2.3对投标文件进行比较和评价；</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24.2.4确定中标候选人名单，以及根据采购人委托直接确定中标人；</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24.2.5向采购人、采购代理机构或者有关部门报告评标中发现的违法行为。</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24.3评标委员会成员应当履行下列义务：</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24.3.1遵纪守法，客观、公正、廉洁地履行职责；</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24.3.2按照招标文件规定的评标办法和评标标准进行评标，对评审意见承担个人责任；</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24.3.3对评标过程和结果，以及投标人的商业秘密保密；</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24.3.4参与评标报告的起草；</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24.3.5配合相关部门的投诉处理工作；</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24.3.6配合招标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答复投标供应商提出的质疑。</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 评标内容的保密</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25.1公开开标后，直到宣布授予中标供应商合同为止，凡属于审查、澄清、评价和比较投标的所有资料，有关授予合同的信息都不应向投标人或与评标无关的其他人泄露。</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25.2 在投标文件的审查、澄清、评价和比较以及授予合同的过程中，投标人对招标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和评标委员会成员施加影响的任何行为，都将取消其投标资格。</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25.3在评标期间，招标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将通过指定联络人与投标人进行联系。</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26.符合性审查</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26.1评标委员会依据招标文件的规定对投标文件进行符合性审查。存在以下情形，符合性审查不合格：</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1）投标文件存在招标文件投标人须知第29款“无效投标”规定情形的；</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2）投标文件载明的有效期短于招标文件规定；</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3）投标文件载明的招标项目完成期限不满足招标文件规定；</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4）投标文件载明的履约保证、付款方式不满足招标文件规定；</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5）投标文件未按招标文件规定的格式填写或递交，内容不全或关键字迹模糊、无法辨认的，从而影响投标文件有效性；</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6）不同投标人的投标文件以及投标文件制作过程出现了评标委员会认为不应当雷同的情况的；</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7）不同投标人的投标文件存在“视为串通投标”的情形；</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8）投标人的报价存在选择性的；</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9）投标人的报价或响应只响应了项目中部分招标内容；</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10）投标人拒绝修正错误影响评标的；</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11）投标文件不符合招标文件规定的其他实质性条款；</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12）不同投标文件存在“机器码”一致情形；</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13）投标文件存在招标文件规定的其他无效投标情形的。</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26.2对于不允许偏离的实质性要求和条件，采购人或者采购代理机构应当在招标文件中规定，并以醒目的方式标明。</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26.3投标人不能通过修正或撤销不符之处而使其投标成为实质性响应的投标。</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27.投标澄清</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color w:val="auto"/>
          <w:highlight w:val="none"/>
        </w:rPr>
      </w:r>
      <w:r/>
    </w:p>
    <w:p>
      <w:pPr>
        <w:ind w:firstLine="480"/>
        <w:spacing w:line="360" w:lineRule="auto"/>
        <w:rPr>
          <w:rFonts w:ascii="宋体" w:hAnsi="宋体" w:eastAsia="宋体" w:cs="宋体"/>
          <w:color w:val="auto"/>
          <w:sz w:val="24"/>
          <w:szCs w:val="24"/>
          <w:highlight w:val="none"/>
        </w:rPr>
      </w:pPr>
      <w:r>
        <w:rPr>
          <w:color w:val="auto"/>
          <w:highlight w:val="none"/>
        </w:rPr>
      </w:r>
      <w:bookmarkStart w:id="16" w:name="_Hlk158140503"/>
      <w:r>
        <w:rPr>
          <w:color w:val="auto"/>
          <w:highlight w:val="none"/>
        </w:rPr>
      </w:r>
      <w:bookmarkStart w:id="17" w:name="_Hlk158140452"/>
      <w:r>
        <w:rPr>
          <w:color w:val="auto"/>
          <w:highlight w:val="none"/>
        </w:rPr>
      </w:r>
      <w:bookmarkStart w:id="18" w:name="_Hlk90656398"/>
      <w:r>
        <w:rPr>
          <w:rFonts w:hint="eastAsia" w:ascii="宋体" w:hAnsi="宋体" w:eastAsia="宋体" w:cs="宋体"/>
          <w:color w:val="auto"/>
          <w:sz w:val="24"/>
          <w:szCs w:val="24"/>
          <w:highlight w:val="none"/>
        </w:rPr>
        <w:t xml:space="preserve">本项目采用线上澄清</w:t>
      </w:r>
      <w:bookmarkEnd w:id="16"/>
      <w:r>
        <w:rPr>
          <w:rFonts w:hint="eastAsia" w:ascii="宋体" w:hAnsi="宋体" w:eastAsia="宋体" w:cs="宋体"/>
          <w:color w:val="auto"/>
          <w:sz w:val="24"/>
          <w:szCs w:val="24"/>
          <w:highlight w:val="none"/>
        </w:rPr>
        <w:t xml:space="preserve">。</w:t>
      </w:r>
      <w:bookmarkEnd w:id="17"/>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接到评标委员会澄清、说明和更正要求的投标人如未按规定做出澄清、说明和更正，其风险由投标人自行承担。</w:t>
      </w:r>
      <w:bookmarkEnd w:id="18"/>
      <w:r>
        <w:rPr>
          <w:color w:val="auto"/>
          <w:highlight w:val="none"/>
        </w:rPr>
      </w:r>
      <w:r/>
    </w:p>
    <w:p>
      <w:pPr>
        <w:pStyle w:val="981"/>
        <w:ind w:firstLine="482"/>
        <w:jc w:val="both"/>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28.投标报价评审</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28.1投标文件报价出现前后不一致的，除招标文件另有规定外，按照下列规定修正：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28.1.1投标文件中开标一览表（报价表）内容与投标文件中相应内容不一致的，以开标一览表（报价表）为准；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28.1.2大写金额和小写金额不一致的，以大写金额为准；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28.1.3单价金额小数点或者百分比有明显错位的，以开标一览表的总价为准，并修改单价；</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28.1.4总价金额与按单价汇总金额不一致的，以单价金额计算结果为准。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28.2采购评审中出现下列情形之一的，评审委员会应当启动异常低价投标（响应）审查程序：</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28.2.1.投标（响应）报价低于全部通过符合性审查供应商投标（响应）报价平均值50%的，即投标（响应）报价&lt;全部通过符合性审查供应商投标（响应）报价平均值×50%；</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28.2.2.投标（响应）报价低于通过符合性审查的次低报价供应商投标（响应）报价50%的，即投标（响应）报价&lt;通过符合性审查的次低报价供应商投标（响应）报价×50%；</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28.2.3.投标（响应）报价低于采购项目最高限价45%的，即投标（响应）报价&lt;采购项目最高限价×45%；</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28.2.4评审委员会基于专业判断，认为供应商报价过低，有可能影响产品质量或者不能诚信履约的其他情形。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28.2.3项情形，供应商已随投标（响应）文件一并提交相关书面说明及必要的证明材料的，在评审现场可不再重复提交。</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28.4评标过程中，不得去掉报价中的最高报价和最低报价。因落实政府采购政策进行价格调整的，以调整后的价格计算评标基准价和投标报价。</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29.无效投标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投标人存在下列情况之一的，投标无效:</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29.1投标文件未按招标文件要求签署、签章的；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29.2不具备招标文件中规定的资格要求的；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29.3报价超过招标文件中规定的最高限价的；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29.4投标文件含有采购人不能接受的附加条件的；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29.5法律、法规和招标文件规定的其他无效情形。</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val="zh-CN"/>
        </w:rPr>
        <w:t xml:space="preserve">投标人未对电子投标文件进行解密或解密失败的。</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30.废标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在招标采购中，出现下列情形之一的，该项目应予废标：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30.1.1该项目符合专业条件的供应商或者对招标文件作实质响应的供应商不足三家的；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30.1.2出现影响采购公正的违法、违规行为的；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30.1.3投标人的报价均超过了最高限价，采购人不能支付的；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30.1.4因重大变故，采购任务取消的。</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废标后，采购人应当将废标理由通知所有投标人。</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 投标文件的评价和比较</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31.1评标委员会按招标文件规定的评标方法和标准，仅对资格性检查和符合性检查合格的投标文件进行商务和技术评估，综合比较与评价。</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31.2评价和比较采用的办法：综合评分法，具体内容详见招标文件第六章。</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最低的投标报价或最高的折扣比例是中标的重要条件，但不是唯一条件。</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中标供应商的确认</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32.1评标委员会按招标文件规定的评标方法和标准进行详细评审后，按招标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的委托向招标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推荐中标候选单位。</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32.3本项目中标供应商数量：1个。</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32.4采购人或者采购代理机构自中标人确定之日起2个工作日内在省级以上财政部门指定的媒体上公告中标结果。中标公告期限为1个工作日。</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 合同授予标准</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33.1招标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将把合同授予其投标文件在实质上响应招标文件要求和按本须知规定评选出的投标人。确定为中标的投标人必须具有实施本合同的能力和资源。</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 中标通知书</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34.2中标通知书将成为合同的组成部分。</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35.告知招标结果</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35</w:t>
      </w:r>
      <w:r>
        <w:rPr>
          <w:rFonts w:hint="eastAsia" w:ascii="宋体" w:hAnsi="宋体" w:eastAsia="宋体" w:cs="宋体"/>
          <w:color w:val="auto"/>
          <w:szCs w:val="24"/>
          <w:highlight w:val="none"/>
          <w:lang w:val="zh-CN"/>
        </w:rPr>
        <w:t xml:space="preserve">.1 对未通过资格审查的投标人，告知其未通过的原因。</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35.2 采购人或其委托的代理机构根据相关规定发布</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公告发出的同时应当向</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供应商发出《</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通知书》，请</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结果公告届满之日起30日内,使用CA数字证书登录“苏采云”系统及时下载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通知书。因系统存储空间有限，自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结果公告届满之日起30日后，“苏采云”系统不再保证提供下载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通知书服务,因未及时下载而造成的不利后果由</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供应商自行承担）；对未通过资格审查的供应商，应当告知其未通过的原因；未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供应商须在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公告发出之日起2个工作日内向采购代理机构另行提供用以接收《未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通知书》的电子邮件地址，未按时提供电子邮件地址或提供信息有误的，视为自动放弃并自行承担相应后果。</w:t>
      </w:r>
      <w:r>
        <w:rPr>
          <w:color w:val="auto"/>
          <w:highlight w:val="none"/>
        </w:rPr>
      </w:r>
      <w:r/>
    </w:p>
    <w:p>
      <w:pPr>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36.履约保证金</w:t>
      </w:r>
      <w:r>
        <w:rPr>
          <w:color w:val="auto"/>
          <w:highlight w:val="none"/>
        </w:rPr>
      </w:r>
      <w:r/>
    </w:p>
    <w:p>
      <w:pPr>
        <w:pStyle w:val="981"/>
        <w:ind w:firstLine="480"/>
        <w:jc w:val="both"/>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36.1中标供应商需按前附表规定提交履约保证金。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宋体" w:hAnsi="宋体" w:eastAsia="宋体"/>
          <w:color w:val="auto"/>
          <w:sz w:val="24"/>
          <w:szCs w:val="24"/>
          <w:highlight w:val="none"/>
        </w:rPr>
        <w:t xml:space="preserve">36.</w:t>
      </w:r>
      <w:r>
        <w:rPr>
          <w:rFonts w:hint="eastAsia" w:asciiTheme="minorEastAsia" w:hAnsiTheme="minorEastAsia" w:eastAsiaTheme="minorEastAsia" w:cstheme="minorEastAsia"/>
          <w:color w:val="auto"/>
          <w:sz w:val="24"/>
          <w:szCs w:val="24"/>
          <w:highlight w:val="none"/>
        </w:rPr>
        <w:t xml:space="preserve">2本合同签订之日起【三十】日内，按照合同约定，</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可以转账方式或者支票、汇票、本票、保函等非现金形式向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缴纳或提交履约保证金。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宋体" w:hAnsi="宋体" w:eastAsia="宋体"/>
          <w:color w:val="auto"/>
          <w:sz w:val="24"/>
          <w:szCs w:val="24"/>
          <w:highlight w:val="none"/>
        </w:rPr>
        <w:t xml:space="preserve">36.</w:t>
      </w:r>
      <w:r>
        <w:rPr>
          <w:rFonts w:hint="eastAsia" w:asciiTheme="minorEastAsia" w:hAnsiTheme="minorEastAsia" w:eastAsiaTheme="minorEastAsia" w:cstheme="minorEastAsia"/>
          <w:color w:val="auto"/>
          <w:sz w:val="24"/>
          <w:szCs w:val="24"/>
          <w:highlight w:val="none"/>
        </w:rPr>
        <w:t xml:space="preserve">3</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未按照约定的期限和方式提交履约保证金的，</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有权解除本合同，</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应向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支付本合同总金额5%的违约金，给</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造成损失的，</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应赔偿</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一切直接、间接损失；</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书面同意</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延期提交履约保证金的除外。</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宋体" w:hAnsi="宋体" w:eastAsia="宋体"/>
          <w:color w:val="auto"/>
          <w:sz w:val="24"/>
          <w:szCs w:val="24"/>
          <w:highlight w:val="none"/>
        </w:rPr>
        <w:t xml:space="preserve">36.</w:t>
      </w:r>
      <w:r>
        <w:rPr>
          <w:rFonts w:hint="eastAsia" w:asciiTheme="minorEastAsia" w:hAnsiTheme="minorEastAsia" w:eastAsiaTheme="minorEastAsia" w:cstheme="minorEastAsia"/>
          <w:color w:val="auto"/>
          <w:sz w:val="24"/>
          <w:szCs w:val="24"/>
          <w:highlight w:val="none"/>
        </w:rPr>
        <w:t xml:space="preserve">4在服务期满、服务缺陷全部更正完毕，且</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收到</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提供的经双方签章的《政府采购合同履行验收报告》后，</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凭</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的收款收据在【三十】日内将履约保证金无息退还</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。如</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在服务过程中有缺陷不予更正，或更正后不符合本采购合同要求，</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有权另请其他单位更正，所发生的费用以及给</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造成的一切直接或间接损失，</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有权直接在履约保证金中扣除。若</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违约，则</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有权不予退还履约保证金。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在</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以转账、现金（包括数字人民币账户支付）的方式支付履约保证金的情况下，若</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超期未退还，每逾期一日，则应以逾期退还的履约保证金金额为基数，按照全国银行间同业拆借中心公布的一年期贷款市场报价利率÷360，向</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支付违约金。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w:t>
      </w:r>
      <w:r>
        <w:rPr>
          <w:rFonts w:hint="eastAsia" w:ascii="宋体" w:hAnsi="宋体" w:eastAsia="宋体"/>
          <w:color w:val="auto"/>
          <w:sz w:val="24"/>
          <w:szCs w:val="24"/>
          <w:highlight w:val="none"/>
        </w:rPr>
        <w:t xml:space="preserve">中标供应商</w:t>
      </w:r>
      <w:r>
        <w:rPr>
          <w:rFonts w:hint="eastAsia" w:asciiTheme="minorEastAsia" w:hAnsiTheme="minorEastAsia" w:eastAsiaTheme="minorEastAsia" w:cstheme="minorEastAsia"/>
          <w:color w:val="auto"/>
          <w:sz w:val="24"/>
          <w:szCs w:val="24"/>
          <w:highlight w:val="none"/>
        </w:rPr>
        <w:t xml:space="preserve">以第三方担保的方式提供履约担保的情况下，如第三方担保期限已经届满或担保义务免除，则视为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返还履约保证金的义务消灭，</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无需实际返还行为。</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 合同的签订</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37.1采购人应当自中标通知书发出之日起15日内，按照招标文件和中标人投标文件的规定，与中标</w:t>
      </w:r>
      <w:r>
        <w:rPr>
          <w:rFonts w:hint="eastAsia" w:ascii="宋体" w:hAnsi="宋体" w:eastAsia="宋体" w:cs="宋体"/>
          <w:color w:val="auto"/>
          <w:szCs w:val="24"/>
          <w:highlight w:val="none"/>
          <w:lang w:val="en-US" w:eastAsia="zh-CN"/>
        </w:rPr>
        <w:t xml:space="preserve">供应商</w:t>
      </w:r>
      <w:r>
        <w:rPr>
          <w:rFonts w:hint="eastAsia" w:ascii="宋体" w:hAnsi="宋体" w:eastAsia="宋体" w:cs="宋体"/>
          <w:color w:val="auto"/>
          <w:szCs w:val="24"/>
          <w:highlight w:val="none"/>
        </w:rPr>
        <w:t xml:space="preserve">签订书面合同。所签订的合同不得对招标文件确定的事项和中标</w:t>
      </w:r>
      <w:r>
        <w:rPr>
          <w:rFonts w:hint="eastAsia" w:ascii="宋体" w:hAnsi="宋体" w:eastAsia="宋体" w:cs="宋体"/>
          <w:color w:val="auto"/>
          <w:szCs w:val="24"/>
          <w:highlight w:val="none"/>
          <w:lang w:val="en-US" w:eastAsia="zh-CN"/>
        </w:rPr>
        <w:t xml:space="preserve">供应商</w:t>
      </w:r>
      <w:r>
        <w:rPr>
          <w:rFonts w:hint="eastAsia" w:ascii="宋体" w:hAnsi="宋体" w:eastAsia="宋体" w:cs="宋体"/>
          <w:color w:val="auto"/>
          <w:szCs w:val="24"/>
          <w:highlight w:val="none"/>
        </w:rPr>
        <w:t xml:space="preserve">投标文件作实质性修改。</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37.2签订合同及合同条款应以招标文件和中标供应商的投标文件及其澄清文件为依据。</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八、其他事项</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 招标代理服务费</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38.1中标供应商须按前附表的规定，按其预算总金额计算并支付招标代理服务费，该费用应在领取中标通知书时付清。</w:t>
      </w:r>
      <w:r>
        <w:rPr>
          <w:color w:val="auto"/>
          <w:highlight w:val="none"/>
        </w:rPr>
      </w:r>
      <w:r/>
    </w:p>
    <w:p>
      <w:pPr>
        <w:pStyle w:val="981"/>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38.2中标供应商如果未按规定支付招标代理服务费，招标</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将不予退还其投标保证金，并保留诉讼的权利。</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39. 监督和公证</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39.1政府有关监督部门将对招投标全过程进行监督。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39.2招标人的开标、评标过程将通过公证机关进行公证。</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 未尽事宜</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40.1按《中华人民共和国政府采购法》</w:t>
      </w:r>
      <w:r>
        <w:rPr>
          <w:rStyle w:val="1020"/>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rPr>
        <w:t xml:space="preserve">《中华人民共和国政府采购法实施条例》及《政府采购货物和服务招标投标管理办法》执行。</w:t>
      </w:r>
      <w:r>
        <w:rPr>
          <w:color w:val="auto"/>
          <w:highlight w:val="none"/>
        </w:rPr>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41、政府采购政策</w:t>
      </w:r>
      <w:r>
        <w:rPr>
          <w:color w:val="auto"/>
          <w:highlight w:val="none"/>
        </w:rPr>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41.1促进中小企业发展</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1、中小微型企业的认定：</w:t>
      </w:r>
      <w:r>
        <w:rPr>
          <w:color w:val="auto"/>
          <w:highlight w:val="none"/>
        </w:rPr>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rPr>
          <w:color w:val="auto"/>
          <w:highlight w:val="none"/>
        </w:rPr>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rPr>
        <w:t xml:space="preserve">服务类项目中供应商若使用退休人员，将不享受相关扶持政策。</w:t>
      </w:r>
      <w:r>
        <w:rPr>
          <w:color w:val="auto"/>
          <w:highlight w:val="none"/>
        </w:rPr>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u w:val="single"/>
        </w:rPr>
        <w:t xml:space="preserve">其他未列明行业。</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2、价格的折扣：</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如供应商属于小型或微型企业，对小型和微型企业产品或服务的价格给予</w:t>
      </w:r>
      <w:r>
        <w:rPr>
          <w:rFonts w:hint="eastAsia" w:ascii="宋体" w:hAnsi="宋体" w:eastAsia="宋体"/>
          <w:b/>
          <w:bCs/>
          <w:color w:val="auto"/>
          <w:sz w:val="24"/>
          <w:szCs w:val="24"/>
          <w:highlight w:val="none"/>
        </w:rPr>
        <w:t xml:space="preserve">20%</w:t>
      </w:r>
      <w:r>
        <w:rPr>
          <w:rFonts w:hint="eastAsia" w:ascii="宋体" w:hAnsi="宋体" w:eastAsia="宋体"/>
          <w:color w:val="auto"/>
          <w:sz w:val="24"/>
          <w:szCs w:val="24"/>
          <w:highlight w:val="none"/>
        </w:rPr>
        <w:t xml:space="preserve">的扣除，用扣除后的价格参与评审；</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（1）不同行业的中小微企业划分标准以工信部、国家统计局、国家发改委、财政部《关于印发中小企业划型标准规定的通知》（工信部联企业〔2011〕300号）为准。</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（2）在货物采购项目中，货物由中小企业制造，即货物由中小企业生产且使用该中小企业商号或者注册商标； </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中小微企业在投标文件中，可以提供企业注册地经信部门出具的中小微企业认定书，或签署《中小企业声明函》，《中小企业声明函》中所填的行业应与本采购标的对应的中小企业划分标准所属行业一致，未提交声明函或所提交的声明函中行业与本采购标的对应的中小企业划分标准所属行业不一致不享受促进中小微企业发展的相关政策。</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（4）一个项目中包含多项货物采购的，供应商提供的货物既有中小企业制造货物，也有大型企业制造货物的，不享受中小企业扶持政策。</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（5）以联合体形式参加政府采购活动，联合体各方均为中小企业的，联合体视同中小企业。其中，联合体各方均为小微企业的，联合体视同小微企业。</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（6）若中小微企业提供的 “中小企业声明函” 或认定证明为虚假声明则视同提供虚假材料，按政府采购相关规定处理并报请政府监管部门给予行政处罚。</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以上规定未尽事项，按《政府采购促进中小企业发展管理办法》等有关制度规定执行。</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w:t>
      </w:r>
      <w:r>
        <w:rPr>
          <w:color w:val="auto"/>
          <w:highlight w:val="none"/>
        </w:rPr>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①填报“中小企业声明函”需严格按“工信部联企业〔2011〕300号通知”中的《中小企业划型标准规定》进行。</w:t>
      </w:r>
      <w:r>
        <w:rPr>
          <w:color w:val="auto"/>
          <w:highlight w:val="none"/>
        </w:rPr>
      </w:r>
      <w:r/>
    </w:p>
    <w:p>
      <w:pPr>
        <w:ind w:firstLine="480"/>
        <w:jc w:val="left"/>
        <w:spacing w:line="360" w:lineRule="auto"/>
        <w:rPr>
          <w:color w:val="auto"/>
          <w:highlight w:val="none"/>
        </w:rPr>
      </w:pPr>
      <w:r>
        <w:rPr>
          <w:rFonts w:hint="eastAsia" w:ascii="宋体" w:hAnsi="宋体" w:eastAsia="宋体"/>
          <w:color w:val="auto"/>
          <w:sz w:val="24"/>
          <w:szCs w:val="24"/>
          <w:highlight w:val="none"/>
        </w:rPr>
        <w:t xml:space="preserve">②若响应供应商提供的 “中小企业声明函”（见附件） 或认定证明为虚假声明则视同提供虚假材料，按“政府采购法”相关规定处理并报请政府监管部门给予行政处罚。</w:t>
      </w:r>
      <w:r>
        <w:rPr>
          <w:color w:val="auto"/>
          <w:highlight w:val="none"/>
        </w:rPr>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41.2 促进残疾人就业和支持监狱企业发展有关政策：</w:t>
      </w:r>
      <w:r>
        <w:rPr>
          <w:color w:val="auto"/>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color w:val="auto"/>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1、如供应商属于残疾人福利性单位视同小型或微型企业，享受评审中价格扣除等促进中小企业发展的政府采购政策。残疾人福利性单位属于小型、微型企业的，不重复享受政策。</w:t>
      </w:r>
      <w:r>
        <w:rPr>
          <w:color w:val="auto"/>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color w:val="auto"/>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2、如供应商属于监狱企业视同小型或微型企业，享受评审中价格扣除等政府采购促进中小企业发展的政府采购政策。</w:t>
      </w:r>
      <w:r>
        <w:rPr>
          <w:color w:val="auto"/>
          <w:highlight w:val="none"/>
        </w:rPr>
      </w:r>
      <w:r/>
    </w:p>
    <w:p>
      <w:pPr>
        <w:pStyle w:val="1055"/>
        <w:jc w:val="left"/>
        <w:spacing w:after="46"/>
        <w:rPr>
          <w:rFonts w:cs="宋体"/>
          <w:color w:val="auto"/>
          <w:highlight w:val="none"/>
        </w:rPr>
      </w:pPr>
      <w:r>
        <w:rPr>
          <w:rFonts w:hint="eastAsia" w:cs="宋体"/>
          <w:color w:val="auto"/>
          <w:highlight w:val="non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pStyle w:val="1055"/>
        <w:ind w:firstLine="482"/>
        <w:jc w:val="left"/>
        <w:spacing w:after="53"/>
        <w:rPr>
          <w:rFonts w:cs="宋体"/>
          <w:b/>
          <w:bCs/>
          <w:color w:val="auto"/>
          <w:highlight w:val="none"/>
        </w:rPr>
      </w:pPr>
      <w:r>
        <w:rPr>
          <w:rFonts w:hint="eastAsia" w:cs="宋体"/>
          <w:b/>
          <w:bCs/>
          <w:color w:val="auto"/>
          <w:highlight w:val="none"/>
        </w:rPr>
        <w:t xml:space="preserve">41.3 信用记录</w:t>
      </w:r>
      <w:r>
        <w:rPr>
          <w:color w:val="auto"/>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w:t>
      </w:r>
      <w:r>
        <w:rPr>
          <w:color w:val="auto"/>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查询时间：投标文件递交截止时间。</w:t>
      </w:r>
      <w:r>
        <w:rPr>
          <w:color w:val="auto"/>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查询渠道：采购代理机构会在接收投标文件截止时间后，登录信用中国网站（www.creditchina.gov.cn）和中国政府采购网（www.ccgp.gov.cn/）查询供应商的信用记录，并将查询结果递交评标委员会。</w:t>
      </w:r>
      <w:r>
        <w:rPr>
          <w:color w:val="auto"/>
          <w:highlight w:val="none"/>
        </w:rPr>
      </w:r>
      <w:r/>
    </w:p>
    <w:p>
      <w:pPr>
        <w:ind w:firstLine="480"/>
        <w:jc w:val="left"/>
        <w:spacing w:line="360" w:lineRule="auto"/>
        <w:tabs>
          <w:tab w:val="left" w:pos="4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pStyle w:val="1082"/>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41.4、招标文件的质疑、澄清</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41.4.2本次招标文件要求供应商在法定质疑期内一次性提出针对同一采购程序环节的质疑。</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41.4.3采购人、采购代理机构收到质疑供应商在法定质疑期内发出的质疑函，应当在收到质疑函后7个工作日内作出答复，并以书面形式通知质疑供应商和其他有关供应商。</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41.4.4供应商提出质疑应当提交质疑函、报名确认单和必要的证明材料。质疑函应当包括下列内容：</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41.4.5供应商的姓名或者名称、地址、邮编、联系人及联系电话；</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41.4.6质疑项目的名称、编号；</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41.4.7具体、明确的质疑事项和与质疑事项相关的请求；</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41.4.8事实依据；</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41.4.9必要的法律依据；</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41.4.10提出质疑的日期。</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41.4.11质疑联系方式详见采购公告。</w:t>
      </w:r>
      <w:r>
        <w:rPr>
          <w:color w:val="auto"/>
          <w:highlight w:val="none"/>
        </w:rPr>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42.未尽事宜</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42.1按《中华人民共和国政府采购法》及其他有关法律法规的规定执行。</w:t>
      </w:r>
      <w:r>
        <w:rPr>
          <w:color w:val="auto"/>
          <w:highlight w:val="none"/>
        </w:rPr>
      </w:r>
      <w:r/>
    </w:p>
    <w:p>
      <w:pPr>
        <w:pStyle w:val="1000"/>
        <w:ind w:firstLine="482"/>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43、</w:t>
      </w:r>
      <w:r>
        <w:rPr>
          <w:rFonts w:hint="eastAsia" w:ascii="宋体" w:hAnsi="宋体" w:eastAsia="宋体" w:cs="宋体"/>
          <w:color w:val="auto"/>
          <w:szCs w:val="24"/>
          <w:highlight w:val="none"/>
        </w:rPr>
        <w:t xml:space="preserve">凡涉及招标文件的补充说明和修改，均以苏州市政府采购网发布内容为准。</w:t>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5"/>
        <w:jc w:val="center"/>
        <w:rPr>
          <w:rFonts w:ascii="宋体" w:hAnsi="宋体" w:eastAsia="宋体" w:cs="宋体"/>
          <w:color w:val="auto"/>
          <w:highlight w:val="none"/>
        </w:rPr>
      </w:pPr>
      <w:r>
        <w:rPr>
          <w:color w:val="auto"/>
          <w:highlight w:val="none"/>
        </w:rPr>
      </w:r>
      <w:bookmarkStart w:id="19" w:name="_Toc160701722"/>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投标文件格式</w:t>
      </w:r>
      <w:bookmarkEnd w:id="19"/>
      <w:r>
        <w:rPr>
          <w:color w:val="auto"/>
          <w:highlight w:val="none"/>
        </w:rPr>
      </w:r>
      <w:r/>
    </w:p>
    <w:p>
      <w:pPr>
        <w:pStyle w:val="981"/>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说明：</w:t>
      </w:r>
      <w:r>
        <w:rPr>
          <w:color w:val="auto"/>
          <w:highlight w:val="none"/>
        </w:rPr>
      </w:r>
      <w:r/>
    </w:p>
    <w:p>
      <w:pPr>
        <w:pStyle w:val="981"/>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，投标方可根据自身情况进行补充和修改，但补充和修改不得造成与本格式内容有实质性的违背。</w:t>
      </w:r>
      <w:r>
        <w:rPr>
          <w:color w:val="auto"/>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color w:val="auto"/>
          <w:highlight w:val="none"/>
        </w:rPr>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color w:val="auto"/>
          <w:sz w:val="32"/>
          <w:szCs w:val="32"/>
          <w:highlight w:val="none"/>
        </w:rPr>
        <w:br w:type="page" w:clear="all"/>
      </w:r>
      <w:bookmarkStart w:id="20" w:name="_Toc142194266"/>
      <w:r>
        <w:rPr>
          <w:color w:val="auto"/>
          <w:highlight w:val="none"/>
        </w:rPr>
      </w:r>
      <w:bookmarkStart w:id="21" w:name="_Toc388026586"/>
      <w:r>
        <w:rPr>
          <w:rFonts w:hint="eastAsia" w:ascii="宋体" w:hAnsi="宋体" w:eastAsia="宋体" w:cs="宋体"/>
          <w:b/>
          <w:color w:val="auto"/>
          <w:highlight w:val="none"/>
        </w:rPr>
        <w:t xml:space="preserve">一、</w:t>
      </w:r>
      <w:bookmarkEnd w:id="20"/>
      <w:r>
        <w:rPr>
          <w:rFonts w:hint="eastAsia" w:ascii="宋体" w:hAnsi="宋体" w:eastAsia="宋体" w:cs="宋体"/>
          <w:b/>
          <w:color w:val="auto"/>
          <w:sz w:val="30"/>
          <w:szCs w:val="30"/>
          <w:highlight w:val="none"/>
        </w:rPr>
        <w:t xml:space="preserve">投标函</w:t>
      </w:r>
      <w:r>
        <w:rPr>
          <w:color w:val="auto"/>
          <w:highlight w:val="none"/>
        </w:rPr>
      </w:r>
      <w:r/>
    </w:p>
    <w:p>
      <w:pPr>
        <w:pStyle w:val="1060"/>
        <w:jc w:val="left"/>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u w:val="single"/>
        </w:rPr>
        <w:t xml:space="preserve">苏州海企国际工程咨询有限公司 </w:t>
      </w:r>
      <w:r>
        <w:rPr>
          <w:rFonts w:hint="eastAsia" w:hAnsi="宋体" w:eastAsia="宋体" w:cs="宋体"/>
          <w:color w:val="auto"/>
          <w:sz w:val="24"/>
          <w:szCs w:val="24"/>
          <w:highlight w:val="none"/>
        </w:rPr>
        <w:t xml:space="preserve">：</w:t>
      </w:r>
      <w:r>
        <w:rPr>
          <w:color w:val="auto"/>
          <w:highlight w:val="none"/>
        </w:rPr>
      </w:r>
      <w:r/>
    </w:p>
    <w:p>
      <w:pPr>
        <w:pStyle w:val="1060"/>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（招标编号）    </w:t>
      </w:r>
      <w:r>
        <w:rPr>
          <w:rFonts w:hint="eastAsia" w:hAnsi="宋体" w:eastAsia="宋体" w:cs="宋体"/>
          <w:color w:val="auto"/>
          <w:sz w:val="24"/>
          <w:szCs w:val="24"/>
          <w:highlight w:val="none"/>
        </w:rPr>
        <w:t xml:space="preserve">号招标文件，经仔细阅读和研究，我们决定参加投标,并向贵公司承诺：</w:t>
      </w:r>
      <w:r>
        <w:rPr>
          <w:color w:val="auto"/>
          <w:highlight w:val="none"/>
        </w:rPr>
      </w:r>
      <w:r/>
    </w:p>
    <w:p>
      <w:pPr>
        <w:pStyle w:val="1060"/>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包括完成该项目所需的全部内容，我们的投标报价包括居住证制作、居住证制证中心厂房租赁、制证中心现有制证设备维护、物流发放、居住证制证中心运营及员工管理、人工、保险、加班费、质保及其它辅助费用、利润、税金、代理服务费、政策性文件规定及合同包含的所有风险、责任等各项应有费用。</w:t>
      </w:r>
      <w:r>
        <w:rPr>
          <w:color w:val="auto"/>
          <w:highlight w:val="none"/>
        </w:rPr>
      </w:r>
      <w:r/>
    </w:p>
    <w:p>
      <w:pPr>
        <w:pStyle w:val="1060"/>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2、如果我们的投标书被接受，我们将严格履行招标文件中规定的每一项要求，严格履行合同的责任和义务，保证按期、按质履行合同。</w:t>
      </w:r>
      <w:r>
        <w:rPr>
          <w:color w:val="auto"/>
          <w:highlight w:val="none"/>
        </w:rPr>
      </w:r>
      <w:r/>
    </w:p>
    <w:p>
      <w:pPr>
        <w:pStyle w:val="1060"/>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3、我们同意按招标文件中的规定，本投标书的有效期限为开标后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日历天，如果我们在开标后规定的投标有效期内撤回投标，我们的投标保证金可被贵方没收。</w:t>
      </w:r>
      <w:r>
        <w:rPr>
          <w:color w:val="auto"/>
          <w:highlight w:val="none"/>
        </w:rPr>
      </w:r>
      <w:r/>
    </w:p>
    <w:p>
      <w:pPr>
        <w:pStyle w:val="1091"/>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color w:val="auto"/>
          <w:highlight w:val="none"/>
        </w:rPr>
      </w:r>
      <w:r/>
    </w:p>
    <w:p>
      <w:pPr>
        <w:pStyle w:val="1091"/>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5、我们认为你们有权决定中标者，还认为你们有权接受或拒绝所有的投标者。</w:t>
      </w:r>
      <w:r>
        <w:rPr>
          <w:color w:val="auto"/>
          <w:highlight w:val="none"/>
        </w:rPr>
      </w:r>
      <w:r/>
    </w:p>
    <w:p>
      <w:pPr>
        <w:pStyle w:val="98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6、我们愿意遵守招标公告及招标文件中所列的收费标准。</w:t>
      </w:r>
      <w:r>
        <w:rPr>
          <w:color w:val="auto"/>
          <w:highlight w:val="none"/>
        </w:rPr>
      </w:r>
      <w:r/>
    </w:p>
    <w:p>
      <w:pPr>
        <w:pStyle w:val="1091"/>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color w:val="auto"/>
          <w:highlight w:val="none"/>
        </w:rPr>
      </w:r>
      <w:r/>
    </w:p>
    <w:p>
      <w:pPr>
        <w:pStyle w:val="1091"/>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8、如果我们中标，我们愿意按前附表的规定在领取中标通过书时向贵公司支付中标服务费，逾期按中国人民银行公布的同期人民币贷款最高利率计付利息；</w:t>
      </w:r>
      <w:r>
        <w:rPr>
          <w:color w:val="auto"/>
          <w:highlight w:val="none"/>
        </w:rPr>
      </w:r>
      <w:r/>
    </w:p>
    <w:p>
      <w:pPr>
        <w:pStyle w:val="1091"/>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9、与本投标有关的通讯地址：</w:t>
      </w:r>
      <w:r>
        <w:rPr>
          <w:color w:val="auto"/>
          <w:highlight w:val="none"/>
        </w:rPr>
      </w:r>
      <w:r/>
    </w:p>
    <w:p>
      <w:pPr>
        <w:pStyle w:val="1091"/>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单    位： </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联 系 人：</w:t>
      </w:r>
      <w:r>
        <w:rPr>
          <w:rFonts w:hAnsi="宋体" w:eastAsia="宋体" w:cs="宋体"/>
          <w:color w:val="auto"/>
          <w:sz w:val="24"/>
          <w:szCs w:val="24"/>
          <w:highlight w:val="none"/>
          <w:u w:val="single"/>
        </w:rPr>
        <w:t xml:space="preserve">                   </w:t>
      </w:r>
      <w:r>
        <w:rPr>
          <w:color w:val="auto"/>
          <w:highlight w:val="none"/>
        </w:rPr>
      </w:r>
      <w:r/>
    </w:p>
    <w:p>
      <w:pPr>
        <w:pStyle w:val="1091"/>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地    址：</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邮政编码：</w:t>
      </w:r>
      <w:r>
        <w:rPr>
          <w:rFonts w:hAnsi="宋体" w:eastAsia="宋体" w:cs="宋体"/>
          <w:color w:val="auto"/>
          <w:sz w:val="24"/>
          <w:szCs w:val="24"/>
          <w:highlight w:val="none"/>
          <w:u w:val="single"/>
        </w:rPr>
        <w:t xml:space="preserve">                </w:t>
      </w:r>
      <w:r>
        <w:rPr>
          <w:color w:val="auto"/>
          <w:highlight w:val="none"/>
        </w:rPr>
      </w:r>
      <w:r/>
    </w:p>
    <w:p>
      <w:pPr>
        <w:pStyle w:val="1091"/>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联系电话：</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传    真：</w:t>
      </w:r>
      <w:r>
        <w:rPr>
          <w:rFonts w:hAnsi="宋体" w:eastAsia="宋体" w:cs="宋体"/>
          <w:color w:val="auto"/>
          <w:sz w:val="24"/>
          <w:szCs w:val="24"/>
          <w:highlight w:val="none"/>
          <w:u w:val="single"/>
        </w:rPr>
        <w:t xml:space="preserve">                    </w:t>
      </w:r>
      <w:r>
        <w:rPr>
          <w:color w:val="auto"/>
          <w:highlight w:val="none"/>
        </w:rPr>
      </w:r>
      <w:r/>
    </w:p>
    <w:p>
      <w:pPr>
        <w:pStyle w:val="1091"/>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投标</w:t>
      </w:r>
      <w:r>
        <w:rPr>
          <w:rFonts w:hint="eastAsia" w:hAnsi="宋体" w:eastAsia="宋体" w:cs="宋体"/>
          <w:color w:val="auto"/>
          <w:sz w:val="24"/>
          <w:szCs w:val="24"/>
          <w:highlight w:val="none"/>
          <w:lang w:val="en-US" w:eastAsia="zh-CN"/>
        </w:rPr>
        <w:t xml:space="preserve">人</w:t>
      </w:r>
      <w:r>
        <w:rPr>
          <w:rFonts w:hAnsi="宋体" w:eastAsia="宋体" w:cs="宋体"/>
          <w:color w:val="auto"/>
          <w:sz w:val="24"/>
          <w:szCs w:val="24"/>
          <w:highlight w:val="none"/>
        </w:rPr>
        <w:t xml:space="preserve">：（单位盖章）</w:t>
      </w:r>
      <w:r>
        <w:rPr>
          <w:color w:val="auto"/>
          <w:highlight w:val="none"/>
        </w:rPr>
      </w:r>
      <w:r/>
    </w:p>
    <w:p>
      <w:pPr>
        <w:pStyle w:val="1091"/>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单位法定代表人或授权委托人：（签字或盖章）</w:t>
      </w:r>
      <w:r>
        <w:rPr>
          <w:color w:val="auto"/>
          <w:highlight w:val="none"/>
        </w:rPr>
      </w:r>
      <w:r/>
    </w:p>
    <w:p>
      <w:pPr>
        <w:pStyle w:val="981"/>
        <w:ind w:firstLine="0"/>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21"/>
          <w:szCs w:val="21"/>
          <w:highlight w:val="none"/>
        </w:rPr>
        <w:br w:type="page" w:clear="all"/>
      </w:r>
      <w:bookmarkStart w:id="22" w:name="_Toc142194267"/>
      <w:r>
        <w:rPr>
          <w:rFonts w:hint="eastAsia" w:ascii="宋体" w:hAnsi="宋体" w:eastAsia="宋体" w:cs="宋体"/>
          <w:b/>
          <w:bCs/>
          <w:color w:val="auto"/>
          <w:sz w:val="30"/>
          <w:szCs w:val="30"/>
          <w:highlight w:val="none"/>
        </w:rPr>
        <w:t xml:space="preserve">二、</w:t>
      </w:r>
      <w:bookmarkEnd w:id="22"/>
      <w:r>
        <w:rPr>
          <w:rFonts w:hint="eastAsia" w:ascii="宋体" w:hAnsi="宋体" w:eastAsia="宋体" w:cs="宋体"/>
          <w:b/>
          <w:color w:val="auto"/>
          <w:sz w:val="30"/>
          <w:szCs w:val="30"/>
          <w:highlight w:val="none"/>
        </w:rPr>
        <w:t xml:space="preserve">法人授权委托书</w:t>
      </w:r>
      <w:r>
        <w:rPr>
          <w:color w:val="auto"/>
          <w:highlight w:val="none"/>
        </w:rPr>
      </w:r>
      <w:r/>
    </w:p>
    <w:p>
      <w:pPr>
        <w:pStyle w:val="98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（姓名）为我公司授权委托人（即代理人），以本公司的名义参加苏州海企国际工程咨询有限公司组织实施的编号为</w:t>
      </w:r>
      <w:r>
        <w:rPr>
          <w:rFonts w:hint="eastAsia" w:ascii="宋体" w:hAnsi="宋体" w:eastAsia="宋体" w:cs="宋体"/>
          <w:color w:val="auto"/>
          <w:szCs w:val="24"/>
          <w:highlight w:val="none"/>
          <w:u w:val="single"/>
        </w:rPr>
        <w:t xml:space="preserve">  （项目编号）   </w:t>
      </w:r>
      <w:r>
        <w:rPr>
          <w:rFonts w:hint="eastAsia" w:ascii="宋体" w:hAnsi="宋体" w:eastAsia="宋体" w:cs="宋体"/>
          <w:color w:val="auto"/>
          <w:szCs w:val="24"/>
          <w:highlight w:val="none"/>
        </w:rPr>
        <w:t xml:space="preserve">号的 </w:t>
      </w:r>
      <w:r>
        <w:rPr>
          <w:rFonts w:hint="eastAsia" w:ascii="宋体" w:hAnsi="宋体" w:eastAsia="宋体" w:cs="宋体"/>
          <w:color w:val="auto"/>
          <w:szCs w:val="24"/>
          <w:highlight w:val="none"/>
          <w:u w:val="single"/>
        </w:rPr>
        <w:t xml:space="preserve">   （项目名称）  </w:t>
      </w:r>
      <w:r>
        <w:rPr>
          <w:rFonts w:hint="eastAsia" w:ascii="宋体" w:hAnsi="宋体" w:eastAsia="宋体" w:cs="宋体"/>
          <w:color w:val="auto"/>
          <w:szCs w:val="24"/>
          <w:highlight w:val="none"/>
        </w:rPr>
        <w:t xml:space="preserve">招标活动。代理人在开标、评标、合同谈判过程中所签署的一切文件和处理与这有关的一切事务，我均予以承认。</w:t>
      </w:r>
      <w:r>
        <w:rPr>
          <w:color w:val="auto"/>
          <w:highlight w:val="none"/>
        </w:rPr>
      </w:r>
      <w:r/>
    </w:p>
    <w:p>
      <w:pPr>
        <w:pStyle w:val="98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rPr>
          <w:color w:val="auto"/>
          <w:highlight w:val="none"/>
        </w:rPr>
      </w:r>
      <w:r/>
    </w:p>
    <w:p>
      <w:pPr>
        <w:pStyle w:val="98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rPr>
          <w:color w:val="auto"/>
          <w:highlight w:val="none"/>
        </w:rPr>
      </w:r>
      <w:r/>
    </w:p>
    <w:p>
      <w:pPr>
        <w:pStyle w:val="981"/>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color w:val="auto"/>
          <w:highlight w:val="none"/>
        </w:rPr>
      </w:r>
      <w:r/>
    </w:p>
    <w:p>
      <w:pPr>
        <w:pStyle w:val="981"/>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rPr>
          <w:color w:val="auto"/>
          <w:highlight w:val="none"/>
        </w:rPr>
      </w:r>
      <w:r/>
    </w:p>
    <w:p>
      <w:pPr>
        <w:pStyle w:val="981"/>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rPr>
          <w:color w:val="auto"/>
          <w:highlight w:val="none"/>
        </w:rPr>
      </w:r>
      <w:r/>
    </w:p>
    <w:p>
      <w:pPr>
        <w:pStyle w:val="981"/>
        <w:ind w:firstLine="0"/>
        <w:spacing w:line="360" w:lineRule="auto"/>
        <w:rPr>
          <w:rFonts w:ascii="宋体" w:hAnsi="宋体" w:eastAsia="宋体" w:cs="宋体"/>
          <w:color w:val="auto"/>
          <w:sz w:val="21"/>
          <w:highlight w:val="none"/>
        </w:rPr>
      </w:pPr>
      <w:r>
        <w:rPr>
          <w:rFonts w:hint="eastAsia" w:ascii="宋体" w:hAnsi="宋体" w:eastAsia="宋体" w:cs="宋体"/>
          <w:color w:val="auto"/>
          <w:szCs w:val="24"/>
          <w:highlight w:val="none"/>
        </w:rPr>
        <w:t xml:space="preserve">代理人：（签字）</w:t>
      </w:r>
      <w:r>
        <w:rPr>
          <w:rFonts w:hint="eastAsia" w:ascii="宋体" w:hAnsi="宋体" w:eastAsia="宋体" w:cs="宋体"/>
          <w:color w:val="auto"/>
          <w:sz w:val="21"/>
          <w:highlight w:val="none"/>
        </w:rPr>
        <w:t xml:space="preserve"> </w:t>
      </w:r>
      <w:r>
        <w:rPr>
          <w:color w:val="auto"/>
          <w:highlight w:val="none"/>
        </w:rPr>
      </w:r>
      <w:r/>
    </w:p>
    <w:p>
      <w:pPr>
        <w:pStyle w:val="981"/>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rPr>
          <w:color w:val="auto"/>
          <w:highlight w:val="none"/>
        </w:rPr>
      </w:r>
      <w:r/>
    </w:p>
    <w:p>
      <w:pPr>
        <w:pStyle w:val="98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r/>
    </w:p>
    <w:p>
      <w:pPr>
        <w:pStyle w:val="981"/>
        <w:ind w:firstLine="0"/>
        <w:jc w:val="center"/>
        <w:spacing w:line="360" w:lineRule="auto"/>
        <w:rPr>
          <w:rFonts w:ascii="宋体" w:hAnsi="宋体" w:eastAsia="宋体" w:cs="宋体"/>
          <w:color w:val="auto"/>
          <w:szCs w:val="24"/>
          <w:highlight w:val="none"/>
        </w:rPr>
      </w:pPr>
      <w:r>
        <w:rPr>
          <w:color w:val="auto"/>
          <w:highlight w:val="none"/>
        </w:rPr>
      </w:r>
      <w:bookmarkStart w:id="23" w:name="_Toc142194268"/>
      <w:r>
        <w:rPr>
          <w:rFonts w:hint="eastAsia" w:ascii="宋体" w:hAnsi="宋体" w:eastAsia="宋体" w:cs="宋体"/>
          <w:b/>
          <w:bCs/>
          <w:color w:val="auto"/>
          <w:sz w:val="30"/>
          <w:szCs w:val="30"/>
          <w:highlight w:val="none"/>
        </w:rPr>
        <w:br w:type="page" w:clear="all"/>
      </w:r>
      <w:r>
        <w:rPr>
          <w:rFonts w:hint="eastAsia" w:ascii="宋体" w:hAnsi="宋体" w:eastAsia="宋体" w:cs="宋体"/>
          <w:b/>
          <w:bCs/>
          <w:color w:val="auto"/>
          <w:sz w:val="30"/>
          <w:szCs w:val="30"/>
          <w:highlight w:val="none"/>
        </w:rPr>
        <w:t xml:space="preserve">三、</w:t>
      </w:r>
      <w:bookmarkEnd w:id="23"/>
      <w:r>
        <w:rPr>
          <w:rFonts w:hint="eastAsia" w:ascii="宋体" w:hAnsi="宋体" w:eastAsia="宋体" w:cs="宋体"/>
          <w:b/>
          <w:bCs/>
          <w:color w:val="auto"/>
          <w:sz w:val="30"/>
          <w:szCs w:val="30"/>
          <w:highlight w:val="none"/>
          <w:lang w:val="en-US" w:eastAsia="zh-CN"/>
        </w:rPr>
        <w:t xml:space="preserve">投标报价</w:t>
      </w:r>
      <w:r>
        <w:rPr>
          <w:rFonts w:hint="eastAsia" w:ascii="宋体" w:hAnsi="宋体" w:eastAsia="宋体" w:cs="宋体"/>
          <w:b/>
          <w:bCs/>
          <w:color w:val="auto"/>
          <w:sz w:val="30"/>
          <w:szCs w:val="30"/>
          <w:highlight w:val="none"/>
        </w:rPr>
        <w:t xml:space="preserve">表</w:t>
      </w:r>
      <w:r>
        <w:rPr>
          <w:rFonts w:hint="eastAsia" w:ascii="宋体" w:hAnsi="宋体" w:eastAsia="宋体" w:cs="宋体"/>
          <w:color w:val="auto"/>
          <w:szCs w:val="24"/>
          <w:highlight w:val="none"/>
        </w:rPr>
        <w:t xml:space="preserve">                                </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rPr>
          <w:color w:val="auto"/>
          <w:highlight w:val="none"/>
        </w:rPr>
      </w:r>
      <w:r/>
    </w:p>
    <w:tbl>
      <w:tblPr>
        <w:tblStyle w:val="979"/>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投标总报价（元）</w:t>
            </w:r>
            <w:r>
              <w:rPr>
                <w:color w:val="auto"/>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rPr>
                <w:color w:val="auto"/>
                <w:highlight w:val="none"/>
              </w:rPr>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企业规模</w:t>
            </w:r>
            <w:r>
              <w:rPr>
                <w:color w:val="auto"/>
                <w:highlight w:val="none"/>
              </w:rPr>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残疾人企业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监狱企业      </w:t>
            </w:r>
            <w:r>
              <w:rPr>
                <w:color w:val="auto"/>
                <w:highlight w:val="none"/>
              </w:rPr>
            </w:r>
            <w:r/>
          </w:p>
        </w:tc>
      </w:tr>
    </w:tbl>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（盖公章）：</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jc w:val="left"/>
        <w:spacing w:line="360" w:lineRule="auto"/>
        <w:rPr>
          <w:rFonts w:ascii="宋体" w:hAnsi="宋体" w:eastAsia="宋体" w:cs="宋体"/>
          <w:b/>
          <w:color w:val="auto"/>
          <w:sz w:val="24"/>
          <w:szCs w:val="24"/>
          <w:highlight w:val="none"/>
          <w:u w:val="single"/>
        </w:rPr>
      </w:pPr>
      <w:r>
        <w:rPr>
          <w:color w:val="auto"/>
          <w:highlight w:val="none"/>
        </w:rPr>
      </w:r>
      <w:bookmarkStart w:id="24" w:name="_Toc142194270"/>
      <w:r>
        <w:rPr>
          <w:rFonts w:hint="eastAsia" w:ascii="宋体" w:hAnsi="宋体" w:eastAsia="宋体" w:cs="宋体"/>
          <w:b/>
          <w:color w:val="auto"/>
          <w:sz w:val="24"/>
          <w:szCs w:val="24"/>
          <w:highlight w:val="none"/>
          <w:u w:val="single"/>
        </w:rPr>
        <w:t xml:space="preserve">注：1、本表中的报价应包括居住证制作、居住证制证中心厂房租赁、制证中心现有制证设备维护、物流发放、居住证制证中心运营及员工管理、人工、保险、加班费、质保及其它辅助费用、利润、税金、代理服务费、政策性文件规定及合同包含的所有风险、责任等各项应有费用。</w:t>
      </w:r>
      <w:r>
        <w:rPr>
          <w:color w:val="auto"/>
          <w:highlight w:val="none"/>
        </w:rPr>
      </w:r>
      <w:r/>
    </w:p>
    <w:p>
      <w:pPr>
        <w:spacing w:line="360" w:lineRule="auto"/>
        <w:rPr>
          <w:rFonts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2、报价金额全部采取人民币表示，投标报价精确到分。</w:t>
      </w:r>
      <w:r>
        <w:rPr>
          <w:color w:val="auto"/>
          <w:highlight w:val="none"/>
        </w:rPr>
      </w:r>
      <w:r/>
    </w:p>
    <w:p>
      <w:pPr>
        <w:pStyle w:val="981"/>
        <w:ind w:firstLine="0"/>
        <w:jc w:val="center"/>
        <w:spacing w:line="360" w:lineRule="auto"/>
        <w:rPr>
          <w:rFonts w:ascii="宋体" w:hAnsi="宋体" w:eastAsia="宋体" w:cs="宋体"/>
          <w:b/>
          <w:color w:val="auto"/>
          <w:szCs w:val="24"/>
          <w:highlight w:val="none"/>
        </w:rPr>
      </w:pPr>
      <w:r>
        <w:rPr>
          <w:rFonts w:hint="eastAsia" w:hAnsi="宋体" w:eastAsia="宋体" w:cs="宋体"/>
          <w:b/>
          <w:bCs/>
          <w:color w:val="auto"/>
          <w:szCs w:val="24"/>
          <w:highlight w:val="none"/>
        </w:rPr>
        <w:br w:type="page" w:clear="all"/>
      </w:r>
      <w:r>
        <w:rPr>
          <w:rFonts w:hint="eastAsia" w:ascii="宋体" w:hAnsi="宋体" w:eastAsia="宋体" w:cs="宋体"/>
          <w:b/>
          <w:bCs/>
          <w:color w:val="auto"/>
          <w:sz w:val="30"/>
          <w:szCs w:val="30"/>
          <w:highlight w:val="none"/>
        </w:rPr>
        <w:t xml:space="preserve">四、分项报价明细表</w:t>
      </w:r>
      <w:r>
        <w:rPr>
          <w:color w:val="auto"/>
          <w:highlight w:val="none"/>
        </w:rPr>
      </w:r>
      <w:r/>
    </w:p>
    <w:p>
      <w:pPr>
        <w:jc w:val="center"/>
        <w:rPr>
          <w:rFonts w:ascii="宋体" w:hAnsi="宋体" w:eastAsia="宋体" w:cs="宋体"/>
          <w:color w:val="auto"/>
          <w:sz w:val="24"/>
          <w:szCs w:val="24"/>
          <w:highlight w:val="none"/>
          <w:u w:val="single"/>
        </w:rPr>
      </w:pPr>
      <w:r>
        <w:rPr>
          <w:rFonts w:ascii="宋体" w:hAnsi="宋体" w:eastAsia="宋体" w:cs="宋体"/>
          <w:color w:val="auto"/>
          <w:sz w:val="24"/>
          <w:szCs w:val="24"/>
          <w:highlight w:val="none"/>
          <w:u w:val="single"/>
        </w:rPr>
      </w:r>
      <w:r>
        <w:rPr>
          <w:color w:val="auto"/>
          <w:highlight w:val="none"/>
        </w:rPr>
      </w:r>
      <w:r/>
    </w:p>
    <w:tbl>
      <w:tblPr>
        <w:tblStyle w:val="9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904"/>
        <w:gridCol w:w="2124"/>
        <w:gridCol w:w="2660"/>
      </w:tblGrid>
      <w:tr>
        <w:trPr/>
        <w:tc>
          <w:tcPr>
            <w:tcW w:w="580" w:type="pct"/>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rPr>
                <w:color w:val="auto"/>
                <w:highlight w:val="none"/>
              </w:rPr>
            </w:r>
            <w:r/>
          </w:p>
        </w:tc>
        <w:tc>
          <w:tcPr>
            <w:tcW w:w="2117" w:type="pct"/>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rPr>
                <w:color w:val="auto"/>
                <w:highlight w:val="none"/>
              </w:rPr>
            </w:r>
            <w:r/>
          </w:p>
        </w:tc>
        <w:tc>
          <w:tcPr>
            <w:tcW w:w="1126" w:type="pct"/>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最高单价限价</w:t>
            </w:r>
            <w:r>
              <w:rPr>
                <w:color w:val="auto"/>
                <w:highlight w:val="none"/>
              </w:rPr>
            </w:r>
            <w:r/>
          </w:p>
        </w:tc>
        <w:tc>
          <w:tcPr>
            <w:tcW w:w="1175" w:type="pct"/>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投标报价（四舍五入，保留小数点后两位）</w:t>
            </w:r>
            <w:r>
              <w:rPr>
                <w:color w:val="auto"/>
                <w:highlight w:val="none"/>
              </w:rPr>
            </w:r>
            <w:r/>
          </w:p>
        </w:tc>
      </w:tr>
      <w:tr>
        <w:trPr>
          <w:trHeight w:val="90"/>
        </w:trPr>
        <w:tc>
          <w:tcPr>
            <w:tcW w:w="580"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2117" w:type="pct"/>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苏州市公安局居住证九期制证</w:t>
            </w:r>
            <w:r>
              <w:rPr>
                <w:color w:val="auto"/>
                <w:highlight w:val="none"/>
              </w:rPr>
            </w:r>
            <w:r/>
          </w:p>
        </w:tc>
        <w:tc>
          <w:tcPr>
            <w:tcW w:w="1126" w:type="pct"/>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9.2</w:t>
            </w:r>
            <w:r>
              <w:rPr>
                <w:rFonts w:hint="eastAsia" w:ascii="宋体" w:hAnsi="宋体" w:eastAsia="宋体" w:cs="宋体"/>
                <w:bCs/>
                <w:color w:val="auto"/>
                <w:sz w:val="24"/>
                <w:szCs w:val="24"/>
                <w:highlight w:val="none"/>
              </w:rPr>
              <w:t xml:space="preserve">元/张</w:t>
            </w:r>
            <w:r>
              <w:rPr>
                <w:color w:val="auto"/>
                <w:highlight w:val="none"/>
              </w:rPr>
            </w:r>
            <w:r/>
          </w:p>
        </w:tc>
        <w:tc>
          <w:tcPr>
            <w:tcW w:w="1175" w:type="pct"/>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元/张</w:t>
            </w:r>
            <w:r>
              <w:rPr>
                <w:color w:val="auto"/>
                <w:highlight w:val="none"/>
              </w:rPr>
            </w:r>
            <w:r/>
          </w:p>
        </w:tc>
      </w:tr>
      <w:tr>
        <w:trPr/>
        <w:tc>
          <w:tcPr>
            <w:gridSpan w:val="4"/>
            <w:tcW w:w="5000" w:type="pct"/>
            <w:vAlign w:val="center"/>
            <w:textDirection w:val="lrTb"/>
            <w:noWrap/>
          </w:tcPr>
          <w:p>
            <w:pPr>
              <w:ind w:firstLine="712"/>
              <w:spacing w:line="360" w:lineRule="auto"/>
              <w:rPr>
                <w:rFonts w:ascii="宋体" w:hAnsi="宋体" w:cs="宋体"/>
                <w:color w:val="auto"/>
                <w:szCs w:val="21"/>
                <w:highlight w:val="none"/>
              </w:rPr>
            </w:pPr>
            <w:r>
              <w:rPr>
                <w:rFonts w:hint="eastAsia" w:ascii="宋体" w:hAnsi="宋体" w:eastAsia="宋体" w:cs="宋体"/>
                <w:color w:val="auto"/>
                <w:sz w:val="24"/>
                <w:szCs w:val="24"/>
                <w:highlight w:val="none"/>
              </w:rPr>
              <w:t xml:space="preserve">说明：分项报价根据投标总报价与采购预算同比例下浮 ，即分项报价计算方式为：</w:t>
            </w:r>
            <w:r>
              <w:rPr>
                <w:rFonts w:hint="eastAsia" w:ascii="宋体" w:hAnsi="宋体" w:eastAsia="宋体" w:cs="宋体"/>
                <w:color w:val="auto"/>
                <w:sz w:val="24"/>
                <w:szCs w:val="24"/>
                <w:highlight w:val="none"/>
                <w:lang w:eastAsia="zh-CN"/>
              </w:rPr>
              <w:t xml:space="preserve">9.2</w:t>
            </w:r>
            <w:r>
              <w:rPr>
                <w:rFonts w:hint="eastAsia" w:ascii="宋体" w:hAnsi="宋体" w:eastAsia="宋体" w:cs="宋体"/>
                <w:strike/>
                <w:color w:val="auto"/>
                <w:sz w:val="24"/>
                <w:szCs w:val="24"/>
                <w:highlight w:val="none"/>
              </w:rPr>
              <w:t xml:space="preserve">*</w:t>
            </w:r>
            <w:bookmarkStart w:id="25" w:name="OLE_LINK7"/>
            <w:r>
              <w:rPr>
                <w:rFonts w:hint="eastAsia" w:ascii="宋体" w:hAnsi="宋体" w:eastAsia="宋体" w:cs="宋体"/>
                <w:color w:val="auto"/>
                <w:sz w:val="24"/>
                <w:szCs w:val="24"/>
                <w:highlight w:val="none"/>
              </w:rPr>
              <w:t xml:space="preserve">×</w:t>
            </w:r>
            <w:bookmarkEnd w:id="25"/>
            <w:r>
              <w:rPr>
                <w:rFonts w:hint="eastAsia" w:ascii="宋体" w:hAnsi="宋体" w:eastAsia="宋体" w:cs="宋体"/>
                <w:color w:val="auto"/>
                <w:sz w:val="24"/>
                <w:szCs w:val="24"/>
                <w:highlight w:val="none"/>
              </w:rPr>
              <w:t xml:space="preserve">（投标总报价/采购预算）。四舍五入，保留小数点后两位。</w:t>
            </w:r>
            <w:r>
              <w:rPr>
                <w:color w:val="auto"/>
                <w:highlight w:val="none"/>
              </w:rPr>
            </w:r>
            <w:r/>
          </w:p>
        </w:tc>
      </w:tr>
    </w:tbl>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right="-20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right="-200" w:firstLine="360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zh-CN"/>
        </w:rPr>
        <w:t xml:space="preserve"> </w:t>
      </w:r>
      <w:r>
        <w:rPr>
          <w:color w:val="auto"/>
          <w:highlight w:val="none"/>
        </w:rPr>
      </w:r>
      <w:r/>
    </w:p>
    <w:p>
      <w:pPr>
        <w:ind w:firstLine="21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r/>
    </w:p>
    <w:p>
      <w:pPr>
        <w:ind w:right="615" w:firstLine="840"/>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    期：     年月   日</w:t>
      </w:r>
      <w:r>
        <w:rPr>
          <w:color w:val="auto"/>
          <w:highlight w:val="none"/>
        </w:rPr>
      </w:r>
      <w:r/>
    </w:p>
    <w:p>
      <w:pPr>
        <w:pStyle w:val="990"/>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rPr>
          <w:color w:val="auto"/>
          <w:highlight w:val="none"/>
        </w:rPr>
      </w:r>
      <w:r/>
    </w:p>
    <w:p>
      <w:pPr>
        <w:pStyle w:val="981"/>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注：1.投标人必须按“</w:t>
      </w:r>
      <w:r>
        <w:rPr>
          <w:rFonts w:hint="eastAsia" w:ascii="宋体" w:hAnsi="宋体" w:eastAsia="宋体" w:cs="宋体"/>
          <w:bCs/>
          <w:color w:val="auto"/>
          <w:szCs w:val="24"/>
          <w:highlight w:val="none"/>
        </w:rPr>
        <w:t xml:space="preserve">分项报价明细表”的格式</w:t>
      </w:r>
      <w:r>
        <w:rPr>
          <w:rFonts w:hint="eastAsia" w:ascii="宋体" w:hAnsi="宋体" w:eastAsia="宋体" w:cs="宋体"/>
          <w:color w:val="auto"/>
          <w:szCs w:val="24"/>
          <w:highlight w:val="none"/>
        </w:rPr>
        <w:t xml:space="preserve">详细报出投标单价，否则作无效投标处理。</w:t>
      </w:r>
      <w:r>
        <w:rPr>
          <w:color w:val="auto"/>
          <w:highlight w:val="none"/>
        </w:rPr>
      </w:r>
      <w:r/>
    </w:p>
    <w:p>
      <w:pPr>
        <w:pStyle w:val="990"/>
        <w:numPr>
          <w:ilvl w:val="0"/>
          <w:numId w:val="4"/>
        </w:numPr>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如果开标一览表（报价表）内容与本表内容计算比例不一致，以开标一览表（报价表）内容为准。</w:t>
      </w:r>
      <w:r>
        <w:rPr>
          <w:color w:val="auto"/>
          <w:highlight w:val="none"/>
        </w:rPr>
      </w:r>
      <w:r/>
    </w:p>
    <w:p>
      <w:pPr>
        <w:ind w:firstLine="48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须遵循政府采购公平竞争、诚实信用原则，遵守《中华人民共和国价格法》《中华人民共和国反不正当竞争法》《禁止价格欺诈行为的规定》等相关法律法规，不得恶意低价，扰乱市场秩序。采购人、评审专家有权核实相关价格，一旦发现存在采用不诚实报价等虚假方式谋职入围的，按“政府采购法”相关规定处理。  </w:t>
      </w:r>
      <w:r>
        <w:rPr>
          <w:color w:val="auto"/>
          <w:highlight w:val="none"/>
        </w:rPr>
      </w:r>
      <w:r/>
    </w:p>
    <w:p>
      <w:pPr>
        <w:rPr>
          <w:rFonts w:ascii="宋体" w:hAnsi="宋体" w:cs="宋体"/>
          <w:b/>
          <w:color w:val="auto"/>
          <w:szCs w:val="21"/>
          <w:highlight w:val="none"/>
        </w:rPr>
      </w:pPr>
      <w:r>
        <w:rPr>
          <w:rFonts w:ascii="宋体" w:hAnsi="宋体" w:cs="宋体"/>
          <w:b/>
          <w:color w:val="auto"/>
          <w:szCs w:val="21"/>
          <w:highlight w:val="none"/>
        </w:rPr>
        <w:br w:type="page" w:clear="all"/>
      </w:r>
      <w:r>
        <w:rPr>
          <w:color w:val="auto"/>
          <w:highlight w:val="none"/>
        </w:rPr>
      </w:r>
      <w:r/>
    </w:p>
    <w:p>
      <w:pPr>
        <w:pStyle w:val="1060"/>
        <w:ind w:firstLine="602"/>
        <w:jc w:val="center"/>
        <w:spacing w:line="360" w:lineRule="auto"/>
        <w:rPr>
          <w:rFonts w:hAnsi="宋体" w:eastAsia="宋体" w:cs="宋体"/>
          <w:b/>
          <w:color w:val="auto"/>
          <w:spacing w:val="20"/>
          <w:sz w:val="24"/>
          <w:szCs w:val="24"/>
          <w:highlight w:val="none"/>
        </w:rPr>
      </w:pPr>
      <w:r>
        <w:rPr>
          <w:rFonts w:hint="eastAsia" w:hAnsi="宋体" w:eastAsia="宋体" w:cs="宋体"/>
          <w:b/>
          <w:color w:val="auto"/>
          <w:sz w:val="30"/>
          <w:szCs w:val="30"/>
          <w:highlight w:val="none"/>
        </w:rPr>
        <w:t xml:space="preserve"> 五、服务要求及</w:t>
      </w:r>
      <w:r>
        <w:rPr>
          <w:rFonts w:hint="eastAsia" w:hAnsi="宋体" w:eastAsia="宋体" w:cs="宋体"/>
          <w:b/>
          <w:bCs/>
          <w:color w:val="auto"/>
          <w:sz w:val="30"/>
          <w:szCs w:val="30"/>
          <w:highlight w:val="none"/>
        </w:rPr>
        <w:t xml:space="preserve">商务条款偏离表</w:t>
      </w:r>
      <w:r>
        <w:rPr>
          <w:color w:val="auto"/>
          <w:highlight w:val="none"/>
        </w:rPr>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服务要求偏离表</w:t>
      </w:r>
      <w:r>
        <w:rPr>
          <w:color w:val="auto"/>
          <w:highlight w:val="none"/>
        </w:rPr>
      </w:r>
      <w:r/>
    </w:p>
    <w:p>
      <w:pPr>
        <w:pStyle w:val="981"/>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rPr>
          <w:color w:val="auto"/>
          <w:highlight w:val="none"/>
        </w:rPr>
      </w:r>
      <w:r/>
    </w:p>
    <w:tbl>
      <w:tblPr>
        <w:tblStyle w:val="9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209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rPr>
                <w:color w:val="auto"/>
                <w:highlight w:val="none"/>
              </w:rPr>
            </w:r>
            <w:r/>
          </w:p>
        </w:tc>
        <w:tc>
          <w:tcPr>
            <w:tcW w:w="254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rPr>
                <w:color w:val="auto"/>
                <w:highlight w:val="none"/>
              </w:rPr>
            </w:r>
            <w:r/>
          </w:p>
        </w:tc>
        <w:tc>
          <w:tcPr>
            <w:tcW w:w="2467"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rPr>
                <w:color w:val="auto"/>
                <w:highlight w:val="none"/>
              </w:rPr>
            </w:r>
            <w:r/>
          </w:p>
        </w:tc>
        <w:tc>
          <w:tcPr>
            <w:tcW w:w="1805"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rPr>
                <w:color w:val="auto"/>
                <w:highlight w:val="none"/>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209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54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467"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209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54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467"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209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54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467"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209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54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467"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916" w:type="dxa"/>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209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546"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467"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color w:val="auto"/>
          <w:highlight w:val="none"/>
        </w:rPr>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商务条款偏离表</w:t>
      </w:r>
      <w:r>
        <w:rPr>
          <w:color w:val="auto"/>
          <w:highlight w:val="none"/>
        </w:rPr>
      </w:r>
      <w:r/>
    </w:p>
    <w:p>
      <w:pPr>
        <w:pStyle w:val="981"/>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rPr>
          <w:color w:val="auto"/>
          <w:highlight w:val="none"/>
        </w:rPr>
      </w:r>
      <w:r/>
    </w:p>
    <w:tbl>
      <w:tblPr>
        <w:tblStyle w:val="979"/>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招标文件要求</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w:t>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rPr>
                <w:color w:val="auto"/>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服务期限</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服务地点</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付款方式</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制作时间</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color w:val="auto"/>
                <w:highlight w:val="none"/>
              </w:rPr>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rPr>
                <w:color w:val="auto"/>
                <w:highlight w:val="none"/>
              </w:rPr>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交的投标文件应在本表中将投标文件实际响应的商务部分与招标文件的商务部分进行逐项对应列出对比，并在“偏离说明”项下填写以下内容：优于的，填写“正偏离”；符合的，填写“无偏离”；低于的，填写“负偏离”。</w:t>
      </w:r>
      <w:r>
        <w:rPr>
          <w:color w:val="auto"/>
          <w:highlight w:val="none"/>
        </w:rPr>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highlight w:val="none"/>
        </w:rPr>
      </w:r>
      <w:r/>
    </w:p>
    <w:p>
      <w:pPr>
        <w:jc w:val="center"/>
        <w:widowControl/>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六、项目服务方案</w:t>
      </w:r>
      <w:r>
        <w:rPr>
          <w:color w:val="auto"/>
          <w:highlight w:val="none"/>
        </w:rPr>
      </w:r>
      <w:r/>
    </w:p>
    <w:tbl>
      <w:tblPr>
        <w:tblStyle w:val="9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textDirection w:val="lrTb"/>
            <w:noWrap w:val="false"/>
          </w:tcPr>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提示：1、投标人应针对本次招标项目特点制定详细的实施方案。</w:t>
            </w:r>
            <w:r>
              <w:rPr>
                <w:color w:val="auto"/>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2、可根据自身情况编写，本页不够可另加页附后。</w:t>
            </w:r>
            <w:r>
              <w:rPr>
                <w:color w:val="auto"/>
                <w:highlight w:val="none"/>
              </w:rPr>
            </w:r>
            <w:r/>
          </w:p>
        </w:tc>
      </w:tr>
      <w:tr>
        <w:trPr>
          <w:trHeight w:val="7745"/>
        </w:trPr>
        <w:tc>
          <w:tcPr>
            <w:tcW w:w="9830" w:type="dxa"/>
            <w:textDirection w:val="lrTb"/>
            <w:noWrap w:val="false"/>
          </w:tcPr>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77"/>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rPr>
                <w:color w:val="auto"/>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单位名称（盖章）： </w:t>
            </w:r>
            <w:r>
              <w:rPr>
                <w:color w:val="auto"/>
                <w:highlight w:val="none"/>
              </w:rPr>
            </w:r>
            <w:r/>
          </w:p>
          <w:p>
            <w:pPr>
              <w:pStyle w:val="977"/>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bl>
    <w:p>
      <w:pPr>
        <w:pStyle w:val="976"/>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26" w:name="_Toc160701723"/>
      <w:r>
        <w:rPr>
          <w:rFonts w:hint="eastAsia" w:ascii="宋体" w:hAnsi="宋体" w:cs="宋体"/>
          <w:color w:val="auto"/>
          <w:sz w:val="30"/>
          <w:szCs w:val="30"/>
          <w:highlight w:val="none"/>
        </w:rPr>
        <w:t xml:space="preserve">七、项目人员一览表</w:t>
      </w:r>
      <w:bookmarkEnd w:id="26"/>
      <w:r>
        <w:rPr>
          <w:color w:val="auto"/>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b/>
          <w:color w:val="auto"/>
          <w:sz w:val="24"/>
          <w:szCs w:val="24"/>
          <w:highlight w:val="none"/>
        </w:rPr>
        <w:t xml:space="preserve">7.1项目负责人情况一览表</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highlight w:val="none"/>
        </w:rPr>
        <w:t xml:space="preserve">  </w:t>
      </w:r>
      <w:r>
        <w:rPr>
          <w:color w:val="auto"/>
          <w:highlight w:val="none"/>
        </w:rPr>
      </w:r>
      <w:r/>
    </w:p>
    <w:tbl>
      <w:tblPr>
        <w:tblStyle w:val="97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rPr>
                <w:color w:val="auto"/>
                <w:highlight w:val="none"/>
              </w:rPr>
            </w:r>
            <w:r/>
          </w:p>
        </w:tc>
        <w:tc>
          <w:tcPr>
            <w:tcW w:w="1982"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姓      名</w:t>
            </w:r>
            <w:r>
              <w:rPr>
                <w:color w:val="auto"/>
                <w:highlight w:val="none"/>
              </w:rPr>
            </w:r>
            <w:r/>
          </w:p>
        </w:tc>
        <w:tc>
          <w:tcPr>
            <w:gridSpan w:val="2"/>
            <w:tcW w:w="2564" w:type="dxa"/>
            <w:vAlign w:val="center"/>
            <w:textDirection w:val="lrTb"/>
            <w:noWrap w:val="false"/>
          </w:tcPr>
          <w:p>
            <w:pPr>
              <w:pStyle w:val="981"/>
              <w:ind w:firstLine="0"/>
              <w:jc w:val="both"/>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60"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性   别</w:t>
            </w:r>
            <w:r>
              <w:rPr>
                <w:color w:val="auto"/>
                <w:highlight w:val="none"/>
              </w:rPr>
            </w:r>
            <w:r/>
          </w:p>
        </w:tc>
        <w:tc>
          <w:tcPr>
            <w:gridSpan w:val="2"/>
            <w:tcW w:w="3291" w:type="dxa"/>
            <w:vAlign w:val="center"/>
            <w:textDirection w:val="lrTb"/>
            <w:noWrap w:val="false"/>
          </w:tcPr>
          <w:p>
            <w:pPr>
              <w:pStyle w:val="981"/>
              <w:ind w:firstLine="0"/>
              <w:jc w:val="both"/>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45"/>
        </w:trPr>
        <w:tc>
          <w:tcPr>
            <w:tcW w:w="673"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rPr>
                <w:color w:val="auto"/>
                <w:highlight w:val="none"/>
              </w:rPr>
            </w:r>
            <w:r/>
          </w:p>
        </w:tc>
        <w:tc>
          <w:tcPr>
            <w:tcW w:w="1982"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身份证号码</w:t>
            </w:r>
            <w:r>
              <w:rPr>
                <w:color w:val="auto"/>
                <w:highlight w:val="none"/>
              </w:rPr>
            </w:r>
            <w:r/>
          </w:p>
        </w:tc>
        <w:tc>
          <w:tcPr>
            <w:gridSpan w:val="3"/>
            <w:tcW w:w="3724" w:type="dxa"/>
            <w:vAlign w:val="center"/>
            <w:textDirection w:val="lrTb"/>
            <w:noWrap w:val="false"/>
          </w:tcPr>
          <w:p>
            <w:pPr>
              <w:pStyle w:val="981"/>
              <w:ind w:firstLine="0"/>
              <w:jc w:val="both"/>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344"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出生年月</w:t>
            </w:r>
            <w:r>
              <w:rPr>
                <w:color w:val="auto"/>
                <w:highlight w:val="none"/>
              </w:rPr>
            </w:r>
            <w:r/>
          </w:p>
        </w:tc>
        <w:tc>
          <w:tcPr>
            <w:tcW w:w="1947"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年   月</w:t>
            </w:r>
            <w:r>
              <w:rPr>
                <w:color w:val="auto"/>
                <w:highlight w:val="none"/>
              </w:rPr>
            </w:r>
            <w:r/>
          </w:p>
        </w:tc>
      </w:tr>
      <w:tr>
        <w:trPr>
          <w:trHeight w:val="645"/>
        </w:trPr>
        <w:tc>
          <w:tcPr>
            <w:tcW w:w="673"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rPr>
                <w:color w:val="auto"/>
                <w:highlight w:val="none"/>
              </w:rPr>
            </w:r>
            <w:r/>
          </w:p>
        </w:tc>
        <w:tc>
          <w:tcPr>
            <w:gridSpan w:val="2"/>
            <w:tcW w:w="3405"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color w:val="auto"/>
                <w:highlight w:val="none"/>
              </w:rPr>
            </w:r>
            <w:r/>
          </w:p>
        </w:tc>
        <w:tc>
          <w:tcPr>
            <w:gridSpan w:val="2"/>
            <w:tcW w:w="2301"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传真：</w:t>
            </w:r>
            <w:r>
              <w:rPr>
                <w:color w:val="auto"/>
                <w:highlight w:val="none"/>
              </w:rPr>
            </w:r>
            <w:r/>
          </w:p>
        </w:tc>
        <w:tc>
          <w:tcPr>
            <w:gridSpan w:val="2"/>
            <w:tcW w:w="3291"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电子邮箱：</w:t>
            </w:r>
            <w:r>
              <w:rPr>
                <w:color w:val="auto"/>
                <w:highlight w:val="none"/>
              </w:rPr>
            </w:r>
            <w:r/>
          </w:p>
        </w:tc>
      </w:tr>
      <w:tr>
        <w:trPr>
          <w:cantSplit/>
          <w:trHeight w:val="645"/>
        </w:trPr>
        <w:tc>
          <w:tcPr>
            <w:tcW w:w="673"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rPr>
                <w:color w:val="auto"/>
                <w:highlight w:val="none"/>
              </w:rPr>
            </w:r>
            <w:r/>
          </w:p>
        </w:tc>
        <w:tc>
          <w:tcPr>
            <w:gridSpan w:val="6"/>
            <w:tcW w:w="8997"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从事类似项目工作时间：</w:t>
            </w:r>
            <w:r>
              <w:rPr>
                <w:color w:val="auto"/>
                <w:highlight w:val="none"/>
              </w:rPr>
            </w:r>
            <w:r/>
          </w:p>
        </w:tc>
      </w:tr>
      <w:tr>
        <w:trPr>
          <w:cantSplit/>
          <w:trHeight w:val="625"/>
        </w:trPr>
        <w:tc>
          <w:tcPr>
            <w:tcW w:w="673"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rPr>
                <w:color w:val="auto"/>
                <w:highlight w:val="none"/>
              </w:rPr>
            </w:r>
            <w:r/>
          </w:p>
        </w:tc>
        <w:tc>
          <w:tcPr>
            <w:gridSpan w:val="6"/>
            <w:tcW w:w="8997"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拥有的职称：</w:t>
            </w:r>
            <w:r>
              <w:rPr>
                <w:color w:val="auto"/>
                <w:highlight w:val="none"/>
              </w:rPr>
            </w:r>
            <w:r/>
          </w:p>
        </w:tc>
      </w:tr>
      <w:tr>
        <w:trPr>
          <w:trHeight w:val="2758"/>
        </w:trPr>
        <w:tc>
          <w:tcPr>
            <w:tcW w:w="673"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rPr>
                <w:color w:val="auto"/>
                <w:highlight w:val="none"/>
              </w:rPr>
            </w:r>
            <w:r/>
          </w:p>
        </w:tc>
        <w:tc>
          <w:tcPr>
            <w:gridSpan w:val="6"/>
            <w:tcW w:w="8997" w:type="dxa"/>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本公司承诺：</w:t>
            </w:r>
            <w:r>
              <w:rPr>
                <w:color w:val="auto"/>
                <w:highlight w:val="none"/>
              </w:rPr>
            </w:r>
            <w:r/>
          </w:p>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该项目负责人在我单位已任职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年以上且在从业经历中没有任何违法、违规而被查处的不良记录。</w:t>
            </w:r>
            <w:r>
              <w:rPr>
                <w:color w:val="auto"/>
                <w:highlight w:val="none"/>
              </w:rPr>
            </w:r>
            <w:r/>
          </w:p>
        </w:tc>
      </w:tr>
      <w:tr>
        <w:trPr>
          <w:trHeight w:val="2846"/>
        </w:trPr>
        <w:tc>
          <w:tcPr>
            <w:tcW w:w="673" w:type="dxa"/>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w:t>
            </w:r>
            <w:r>
              <w:rPr>
                <w:color w:val="auto"/>
                <w:highlight w:val="none"/>
              </w:rPr>
            </w:r>
            <w:r/>
          </w:p>
        </w:tc>
        <w:tc>
          <w:tcPr>
            <w:gridSpan w:val="6"/>
            <w:tcW w:w="8997" w:type="dxa"/>
            <w:textDirection w:val="lrTb"/>
            <w:noWrap w:val="false"/>
          </w:tcPr>
          <w:p>
            <w:pPr>
              <w:pStyle w:val="981"/>
              <w:ind w:firstLine="0"/>
              <w:jc w:val="both"/>
              <w:rPr>
                <w:rFonts w:ascii="宋体" w:hAnsi="宋体" w:eastAsia="宋体" w:cs="宋体"/>
                <w:color w:val="auto"/>
                <w:sz w:val="21"/>
                <w:highlight w:val="none"/>
              </w:rPr>
            </w:pPr>
            <w:r>
              <w:rPr>
                <w:rFonts w:hint="eastAsia" w:ascii="宋体" w:hAnsi="宋体" w:eastAsia="宋体" w:cs="宋体"/>
                <w:color w:val="auto"/>
                <w:highlight w:val="none"/>
              </w:rPr>
              <w:t xml:space="preserve">其他需要说明的情况</w:t>
            </w:r>
            <w:r>
              <w:rPr>
                <w:color w:val="auto"/>
                <w:highlight w:val="none"/>
              </w:rPr>
            </w:r>
            <w:r/>
          </w:p>
        </w:tc>
      </w:tr>
    </w:tbl>
    <w:p>
      <w:pPr>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highlight w:val="none"/>
        </w:rPr>
        <w:t xml:space="preserve">投标人应在投标文件中明确本项目负责人的姓名、附资格证书（如有）扫描件并提供最新一期社保缴纳证明。</w:t>
      </w:r>
      <w:r>
        <w:rPr>
          <w:color w:val="auto"/>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ascii="宋体" w:hAnsi="宋体" w:eastAsia="宋体" w:cs="宋体"/>
          <w:bCs/>
          <w:color w:val="auto"/>
          <w:highlight w:val="none"/>
        </w:rPr>
      </w:pPr>
      <w:r>
        <w:rPr>
          <w:rFonts w:hint="eastAsia" w:ascii="宋体" w:hAnsi="宋体" w:eastAsia="宋体" w:cs="宋体"/>
          <w:bCs/>
          <w:color w:val="auto"/>
          <w:highlight w:val="none"/>
          <w:lang w:val="zh-CN"/>
        </w:rPr>
        <w:br w:type="page" w:clear="all"/>
      </w:r>
      <w:r>
        <w:rPr>
          <w:color w:val="auto"/>
          <w:highlight w:val="none"/>
        </w:rPr>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w:t>
      </w:r>
      <w:r>
        <w:rPr>
          <w:rFonts w:hint="eastAsia" w:ascii="宋体" w:hAnsi="宋体" w:eastAsia="宋体" w:cs="宋体"/>
          <w:b/>
          <w:color w:val="auto"/>
          <w:sz w:val="24"/>
          <w:szCs w:val="24"/>
          <w:highlight w:val="none"/>
          <w:lang w:val="zh-CN"/>
        </w:rPr>
        <w:t xml:space="preserve">人员配备一览表</w:t>
      </w:r>
      <w:r>
        <w:rPr>
          <w:rFonts w:hint="eastAsia" w:ascii="宋体" w:hAnsi="宋体" w:eastAsia="宋体" w:cs="宋体"/>
          <w:b/>
          <w:color w:val="auto"/>
          <w:sz w:val="24"/>
          <w:szCs w:val="24"/>
          <w:highlight w:val="none"/>
        </w:rPr>
        <w:t xml:space="preserve"> </w:t>
      </w:r>
      <w:r>
        <w:rPr>
          <w:color w:val="auto"/>
          <w:highlight w:val="none"/>
        </w:rPr>
      </w:r>
      <w:r/>
    </w:p>
    <w:p>
      <w:pPr>
        <w:pStyle w:val="1068"/>
        <w:ind w:firstLine="0"/>
        <w:spacing w:line="360" w:lineRule="auto"/>
        <w:rPr>
          <w:rFonts w:ascii="宋体" w:hAnsi="宋体" w:cs="宋体"/>
          <w:b/>
          <w:color w:val="auto"/>
          <w:highlight w:val="none"/>
        </w:rPr>
      </w:pPr>
      <w:r>
        <w:rPr>
          <w:rFonts w:hint="eastAsia" w:ascii="宋体" w:hAnsi="宋体" w:cs="宋体"/>
          <w:color w:val="auto"/>
          <w:highlight w:val="none"/>
        </w:rPr>
        <w:t xml:space="preserve">招标编号：</w:t>
      </w:r>
      <w:r>
        <w:rPr>
          <w:rFonts w:hint="eastAsia" w:ascii="宋体" w:hAnsi="宋体" w:cs="宋体"/>
          <w:b/>
          <w:color w:val="auto"/>
          <w:highlight w:val="none"/>
        </w:rPr>
        <w:t xml:space="preserve">            </w:t>
      </w:r>
      <w:r>
        <w:rPr>
          <w:color w:val="auto"/>
          <w:highlight w:val="none"/>
        </w:rPr>
      </w:r>
      <w:r/>
    </w:p>
    <w:tbl>
      <w:tblPr>
        <w:tblStyle w:val="9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序号</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姓名</w:t>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岗位</w:t>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身份证号码</w:t>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年龄</w:t>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性别</w:t>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学历</w:t>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所学专业</w:t>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职称</w:t>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相关工作经验年限</w:t>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持证情况</w:t>
            </w:r>
            <w:r>
              <w:rPr>
                <w:color w:val="auto"/>
                <w:highlight w:val="none"/>
              </w:rPr>
            </w:r>
            <w:r/>
          </w:p>
        </w:tc>
      </w:tr>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trHeight w:val="627"/>
        </w:trPr>
        <w:tc>
          <w:tcPr>
            <w:tcW w:w="576"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w:t>
            </w:r>
            <w:r>
              <w:rPr>
                <w:color w:val="auto"/>
                <w:highlight w:val="none"/>
              </w:rPr>
            </w:r>
            <w:r/>
          </w:p>
        </w:tc>
        <w:tc>
          <w:tcPr>
            <w:tcW w:w="952"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666"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714" w:type="dxa"/>
            <w:vAlign w:val="center"/>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190" w:type="dxa"/>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rPr>
          <w:color w:val="auto"/>
          <w:highlight w:val="none"/>
        </w:rPr>
      </w:r>
      <w:r/>
    </w:p>
    <w:p>
      <w:pPr>
        <w:pStyle w:val="981"/>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bookmarkEnd w:id="24"/>
      <w:r>
        <w:rPr>
          <w:color w:val="auto"/>
          <w:highlight w:val="none"/>
        </w:rPr>
      </w:r>
      <w:r/>
    </w:p>
    <w:p>
      <w:pPr>
        <w:pStyle w:val="976"/>
        <w:jc w:val="center"/>
        <w:spacing w:line="480" w:lineRule="exact"/>
        <w:rPr>
          <w:rFonts w:ascii="宋体" w:hAnsi="宋体" w:cs="宋体"/>
          <w:color w:val="auto"/>
          <w:highlight w:val="none"/>
        </w:rPr>
      </w:pPr>
      <w:r>
        <w:rPr>
          <w:color w:val="auto"/>
          <w:highlight w:val="none"/>
        </w:rPr>
      </w:r>
      <w:bookmarkStart w:id="27" w:name="_Toc160701724"/>
      <w:r>
        <w:rPr>
          <w:rFonts w:hint="eastAsia" w:ascii="宋体" w:hAnsi="宋体" w:cs="宋体"/>
          <w:color w:val="auto"/>
          <w:sz w:val="30"/>
          <w:szCs w:val="30"/>
          <w:highlight w:val="none"/>
        </w:rPr>
        <w:t xml:space="preserve">八、资格证明文件</w:t>
      </w:r>
      <w:bookmarkEnd w:id="27"/>
      <w:r>
        <w:rPr>
          <w:color w:val="auto"/>
          <w:highlight w:val="none"/>
        </w:rPr>
      </w:r>
      <w:r/>
    </w:p>
    <w:p>
      <w:pPr>
        <w:pStyle w:val="977"/>
        <w:rPr>
          <w:rFonts w:ascii="宋体" w:hAnsi="宋体" w:eastAsia="宋体" w:cs="宋体"/>
          <w:color w:val="auto"/>
          <w:sz w:val="24"/>
          <w:szCs w:val="24"/>
          <w:highlight w:val="none"/>
        </w:rPr>
      </w:pPr>
      <w:r>
        <w:rPr>
          <w:color w:val="auto"/>
          <w:highlight w:val="none"/>
        </w:rPr>
      </w:r>
      <w:bookmarkStart w:id="28" w:name="_Toc160701725"/>
      <w:r>
        <w:rPr>
          <w:rFonts w:hint="eastAsia" w:ascii="宋体" w:hAnsi="宋体" w:eastAsia="宋体" w:cs="宋体"/>
          <w:color w:val="auto"/>
          <w:sz w:val="24"/>
          <w:szCs w:val="24"/>
          <w:highlight w:val="none"/>
        </w:rPr>
        <w:t xml:space="preserve">8.1、关于资格文件的声明函</w:t>
      </w:r>
      <w:bookmarkEnd w:id="28"/>
      <w:r>
        <w:rPr>
          <w:color w:val="auto"/>
          <w:highlight w:val="none"/>
        </w:rPr>
      </w:r>
      <w:r/>
    </w:p>
    <w:p>
      <w:pPr>
        <w:pStyle w:val="981"/>
        <w:ind w:firstLine="0"/>
        <w:rPr>
          <w:rFonts w:ascii="宋体" w:hAnsi="宋体" w:eastAsia="宋体" w:cs="宋体"/>
          <w:b/>
          <w:color w:val="auto"/>
          <w:highlight w:val="none"/>
        </w:rPr>
      </w:pPr>
      <w:r>
        <w:rPr>
          <w:rFonts w:ascii="宋体" w:hAnsi="宋体" w:eastAsia="宋体" w:cs="宋体"/>
          <w:b/>
          <w:color w:val="auto"/>
          <w:highlight w:val="none"/>
        </w:rPr>
      </w:r>
      <w:r>
        <w:rPr>
          <w:color w:val="auto"/>
          <w:highlight w:val="none"/>
        </w:rPr>
      </w:r>
      <w:r/>
    </w:p>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rPr>
          <w:color w:val="auto"/>
          <w:highlight w:val="none"/>
        </w:rPr>
      </w:r>
      <w:r/>
    </w:p>
    <w:p>
      <w:pPr>
        <w:pStyle w:val="981"/>
        <w:ind w:firstLine="0"/>
        <w:jc w:val="cente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81"/>
        <w:ind w:firstLine="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highlight w:val="none"/>
        </w:rPr>
      </w:r>
      <w:r/>
    </w:p>
    <w:p>
      <w:pPr>
        <w:pStyle w:val="98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auto"/>
          <w:highlight w:val="none"/>
        </w:rPr>
      </w:r>
      <w:r/>
    </w:p>
    <w:p>
      <w:pPr>
        <w:pStyle w:val="98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2、我方已知晓竞争性磋商文件要求并认真审核自身情况，在此郑重声明，我方遵守如下条款的规定：</w:t>
      </w:r>
      <w:r>
        <w:rPr>
          <w:color w:val="auto"/>
          <w:highlight w:val="none"/>
        </w:rPr>
      </w:r>
      <w:r/>
    </w:p>
    <w:p>
      <w:pPr>
        <w:pStyle w:val="98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（1）除单一来源采购项目外，为采购项目提供整体设计、规范编制或者项目管理、监理、检测等服务的供应商，不得再参加该采购项目的其他采购活动。</w:t>
      </w:r>
      <w:r>
        <w:rPr>
          <w:color w:val="auto"/>
          <w:highlight w:val="none"/>
        </w:rPr>
      </w:r>
      <w:r/>
    </w:p>
    <w:p>
      <w:pPr>
        <w:pStyle w:val="98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pStyle w:val="981"/>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本声明如有虚假或不实之处，我方将失去合格供应商资格。</w:t>
      </w:r>
      <w:r>
        <w:rPr>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pStyle w:val="981"/>
        <w:ind w:firstLine="0"/>
        <w:spacing w:line="400" w:lineRule="exact"/>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1038"/>
        <w:rPr>
          <w:rFonts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8.2</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highlight w:val="none"/>
          <w:lang w:val="zh-CN"/>
        </w:rPr>
        <w:t xml:space="preserve">与其他单位存在控股、管理关系情况表</w:t>
      </w:r>
      <w:r>
        <w:rPr>
          <w:color w:val="auto"/>
          <w:highlight w:val="none"/>
        </w:rPr>
      </w:r>
      <w:r/>
    </w:p>
    <w:p>
      <w:pPr>
        <w:ind w:firstLine="482"/>
        <w:jc w:val="center"/>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zh-CN"/>
        </w:rPr>
        <w:t xml:space="preserve">投标人与其他单位存在控股、管理关系情况表</w:t>
      </w:r>
      <w:r>
        <w:rPr>
          <w:color w:val="auto"/>
          <w:highlight w:val="none"/>
        </w:rPr>
      </w:r>
      <w:r/>
    </w:p>
    <w:p>
      <w:pPr>
        <w:pStyle w:val="1074"/>
        <w:ind w:firstLine="0"/>
        <w:rPr>
          <w:rFonts w:ascii="宋体" w:hAnsi="宋体" w:eastAsia="宋体" w:cs="宋体"/>
          <w:color w:val="auto"/>
          <w:highlight w:val="none"/>
        </w:rPr>
      </w:pPr>
      <w:r>
        <w:rPr>
          <w:rFonts w:hint="eastAsia" w:ascii="宋体" w:hAnsi="宋体" w:eastAsia="宋体" w:cs="宋体"/>
          <w:color w:val="auto"/>
          <w:highlight w:val="none"/>
        </w:rPr>
        <w:t xml:space="preserve">采购编号：</w:t>
      </w:r>
      <w:r>
        <w:rPr>
          <w:color w:val="auto"/>
          <w:highlight w:val="none"/>
        </w:rPr>
      </w:r>
      <w:r/>
    </w:p>
    <w:tbl>
      <w:tblPr>
        <w:tblStyle w:val="9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067"/>
              <w:ind w:firstLine="0"/>
              <w:jc w:val="center"/>
              <w:rPr>
                <w:rFonts w:hAnsi="宋体" w:cs="宋体"/>
                <w:color w:val="auto"/>
                <w:sz w:val="24"/>
                <w:highlight w:val="none"/>
              </w:rPr>
            </w:pPr>
            <w:r>
              <w:rPr>
                <w:rFonts w:hint="eastAsia" w:hAnsi="宋体" w:cs="宋体"/>
                <w:color w:val="auto"/>
                <w:sz w:val="24"/>
                <w:highlight w:val="none"/>
                <w:lang w:val="zh-CN"/>
              </w:rPr>
              <w:t xml:space="preserve">与</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hAnsi="宋体" w:cs="宋体"/>
                <w:color w:val="auto"/>
                <w:sz w:val="24"/>
                <w:highlight w:val="none"/>
                <w:lang w:val="zh-CN"/>
              </w:rPr>
              <w:t xml:space="preserve">存在控股、管理关系的单位名称</w:t>
            </w:r>
            <w:r>
              <w:rPr>
                <w:color w:val="auto"/>
                <w:highlight w:val="none"/>
              </w:rPr>
            </w:r>
            <w:r/>
          </w:p>
        </w:tc>
        <w:tc>
          <w:tcPr>
            <w:tcW w:w="4915" w:type="dxa"/>
            <w:textDirection w:val="lrTb"/>
            <w:noWrap w:val="false"/>
          </w:tcPr>
          <w:p>
            <w:pPr>
              <w:pStyle w:val="1067"/>
              <w:jc w:val="center"/>
              <w:rPr>
                <w:rFonts w:hAnsi="宋体" w:cs="宋体"/>
                <w:color w:val="auto"/>
                <w:sz w:val="24"/>
                <w:highlight w:val="none"/>
              </w:rPr>
            </w:pPr>
            <w:r>
              <w:rPr>
                <w:rFonts w:hint="eastAsia" w:hAnsi="宋体" w:cs="宋体"/>
                <w:color w:val="auto"/>
                <w:sz w:val="24"/>
                <w:highlight w:val="none"/>
                <w:lang w:val="zh-CN"/>
              </w:rPr>
              <w:t xml:space="preserve">控股、管理关系情况说明</w:t>
            </w:r>
            <w:r>
              <w:rPr>
                <w:color w:val="auto"/>
                <w:highlight w:val="none"/>
              </w:rPr>
            </w:r>
            <w:r/>
          </w:p>
        </w:tc>
      </w:tr>
      <w:tr>
        <w:trPr>
          <w:trHeight w:val="703"/>
        </w:trPr>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r>
      <w:tr>
        <w:trPr>
          <w:trHeight w:val="678"/>
        </w:trPr>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r>
      <w:tr>
        <w:trPr>
          <w:trHeight w:val="678"/>
        </w:trPr>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r>
      <w:tr>
        <w:trPr>
          <w:trHeight w:val="703"/>
        </w:trPr>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c>
          <w:tcPr>
            <w:tcW w:w="4915" w:type="dxa"/>
            <w:textDirection w:val="lrTb"/>
            <w:noWrap w:val="false"/>
          </w:tcPr>
          <w:p>
            <w:pPr>
              <w:pStyle w:val="1067"/>
              <w:rPr>
                <w:rFonts w:hAnsi="宋体" w:cs="宋体"/>
                <w:color w:val="auto"/>
                <w:highlight w:val="none"/>
              </w:rPr>
            </w:pPr>
            <w:r>
              <w:rPr>
                <w:rFonts w:hAnsi="宋体" w:cs="宋体"/>
                <w:color w:val="auto"/>
                <w:highlight w:val="none"/>
              </w:rPr>
            </w:r>
            <w:r>
              <w:rPr>
                <w:color w:val="auto"/>
                <w:highlight w:val="none"/>
              </w:rPr>
            </w:r>
            <w:r/>
          </w:p>
        </w:tc>
      </w:tr>
    </w:tbl>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highlight w:val="none"/>
          <w:lang w:val="zh-CN"/>
        </w:rPr>
        <w:t xml:space="preserve">须如实填写所有与之有控股管理关系的情况。</w:t>
      </w:r>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highlight w:val="none"/>
        </w:rPr>
        <w:t xml:space="preserve">：（单位盖章）</w:t>
      </w:r>
      <w:r>
        <w:rPr>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法定代表人或代理人：（签字或签章）</w:t>
      </w:r>
      <w:r>
        <w:rPr>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rPr>
          <w:color w:val="auto"/>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8.3、</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情况表</w:t>
      </w:r>
      <w:r>
        <w:rPr>
          <w:color w:val="auto"/>
          <w:highlight w:val="none"/>
        </w:rPr>
      </w:r>
      <w:r/>
    </w:p>
    <w:p>
      <w:pPr>
        <w:jc w:val="center"/>
        <w:rPr>
          <w:rFonts w:ascii="宋体" w:hAnsi="宋体" w:eastAsia="宋体" w:cs="宋体"/>
          <w:color w:val="auto"/>
          <w:highlight w:val="none"/>
        </w:rPr>
      </w:pP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情况表</w:t>
      </w:r>
      <w:r>
        <w:rPr>
          <w:color w:val="auto"/>
          <w:highlight w:val="none"/>
        </w:rPr>
      </w:r>
      <w:r/>
    </w:p>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单位名称（盖章）</w:t>
      </w:r>
      <w:r>
        <w:rPr>
          <w:color w:val="auto"/>
          <w:highlight w:val="none"/>
        </w:rPr>
      </w:r>
      <w:r/>
    </w:p>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rPr>
          <w:color w:val="auto"/>
          <w:highlight w:val="none"/>
        </w:rPr>
      </w:r>
      <w:r/>
    </w:p>
    <w:tbl>
      <w:tblPr>
        <w:tblStyle w:val="97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法定代表人</w:t>
            </w:r>
            <w:r>
              <w:rPr>
                <w:color w:val="auto"/>
                <w:highlight w:val="none"/>
              </w:rPr>
            </w:r>
            <w:r/>
          </w:p>
        </w:tc>
        <w:tc>
          <w:tcPr>
            <w:tcW w:w="2068"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559"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成立日期</w:t>
            </w:r>
            <w:r>
              <w:rPr>
                <w:color w:val="auto"/>
                <w:highlight w:val="none"/>
              </w:rPr>
            </w:r>
            <w:r/>
          </w:p>
        </w:tc>
        <w:tc>
          <w:tcPr>
            <w:gridSpan w:val="2"/>
            <w:tcW w:w="3368"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企业地址</w:t>
            </w:r>
            <w:r>
              <w:rPr>
                <w:color w:val="auto"/>
                <w:highlight w:val="none"/>
              </w:rPr>
            </w:r>
            <w:r/>
          </w:p>
        </w:tc>
        <w:tc>
          <w:tcPr>
            <w:tcW w:w="2068"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tcW w:w="1559"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注册资本</w:t>
            </w:r>
            <w:r>
              <w:rPr>
                <w:color w:val="auto"/>
                <w:highlight w:val="none"/>
              </w:rPr>
            </w:r>
            <w:r/>
          </w:p>
        </w:tc>
        <w:tc>
          <w:tcPr>
            <w:gridSpan w:val="2"/>
            <w:tcW w:w="3368"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万元</w:t>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经营范围</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职工人数</w:t>
            </w:r>
            <w:r>
              <w:rPr>
                <w:color w:val="auto"/>
                <w:highlight w:val="none"/>
              </w:rPr>
            </w:r>
            <w:r/>
          </w:p>
        </w:tc>
        <w:tc>
          <w:tcPr>
            <w:tcW w:w="2068"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gridSpan w:val="2"/>
            <w:tcW w:w="361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其中：有中高级以上职称的人数</w:t>
            </w:r>
            <w:r>
              <w:rPr>
                <w:color w:val="auto"/>
                <w:highlight w:val="none"/>
              </w:rPr>
            </w:r>
            <w:r/>
          </w:p>
        </w:tc>
        <w:tc>
          <w:tcPr>
            <w:tcW w:w="1312"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资产总计</w:t>
            </w:r>
            <w:r>
              <w:rPr>
                <w:color w:val="auto"/>
                <w:highlight w:val="none"/>
              </w:rPr>
            </w:r>
            <w:r/>
          </w:p>
        </w:tc>
        <w:tc>
          <w:tcPr>
            <w:tcW w:w="2068"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rPr>
                <w:color w:val="auto"/>
                <w:highlight w:val="none"/>
              </w:rPr>
            </w:r>
            <w:r/>
          </w:p>
        </w:tc>
        <w:tc>
          <w:tcPr>
            <w:tcW w:w="1559"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净资产</w:t>
            </w:r>
            <w:r>
              <w:rPr>
                <w:color w:val="auto"/>
                <w:highlight w:val="none"/>
              </w:rPr>
            </w:r>
            <w:r/>
          </w:p>
        </w:tc>
        <w:tc>
          <w:tcPr>
            <w:gridSpan w:val="2"/>
            <w:tcW w:w="3368"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rPr>
                <w:color w:val="auto"/>
                <w:highlight w:val="none"/>
              </w:rPr>
            </w:r>
            <w:r/>
          </w:p>
        </w:tc>
      </w:tr>
      <w:tr>
        <w:trPr>
          <w:cantSplit/>
        </w:trPr>
        <w:tc>
          <w:tcPr>
            <w:tcW w:w="2835"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股东权益</w:t>
            </w:r>
            <w:r>
              <w:rPr>
                <w:color w:val="auto"/>
                <w:highlight w:val="none"/>
              </w:rPr>
            </w:r>
            <w:r/>
          </w:p>
        </w:tc>
        <w:tc>
          <w:tcPr>
            <w:tcW w:w="2068"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rPr>
                <w:color w:val="auto"/>
                <w:highlight w:val="none"/>
              </w:rPr>
            </w:r>
            <w:r/>
          </w:p>
        </w:tc>
        <w:tc>
          <w:tcPr>
            <w:tcW w:w="1559"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销售收入</w:t>
            </w:r>
            <w:r>
              <w:rPr>
                <w:color w:val="auto"/>
                <w:highlight w:val="none"/>
              </w:rPr>
            </w:r>
            <w:r/>
          </w:p>
        </w:tc>
        <w:tc>
          <w:tcPr>
            <w:gridSpan w:val="2"/>
            <w:tcW w:w="3368" w:type="dxa"/>
            <w:vAlign w:val="center"/>
            <w:textDirection w:val="lrTb"/>
            <w:noWrap w:val="false"/>
          </w:tcPr>
          <w:p>
            <w:pPr>
              <w:pStyle w:val="981"/>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          万元</w:t>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实现利润</w:t>
            </w:r>
            <w:r>
              <w:rPr>
                <w:color w:val="auto"/>
                <w:highlight w:val="none"/>
              </w:rPr>
            </w:r>
            <w:r/>
          </w:p>
        </w:tc>
        <w:tc>
          <w:tcPr>
            <w:tcW w:w="2068"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年    万元</w:t>
            </w:r>
            <w:r>
              <w:rPr>
                <w:color w:val="auto"/>
                <w:highlight w:val="none"/>
              </w:rPr>
            </w:r>
            <w:r/>
          </w:p>
        </w:tc>
        <w:tc>
          <w:tcPr>
            <w:tcW w:w="1559"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c>
          <w:tcPr>
            <w:gridSpan w:val="2"/>
            <w:tcW w:w="3368"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营业面积（含厂房面积）</w:t>
            </w:r>
            <w:r>
              <w:rPr>
                <w:color w:val="auto"/>
                <w:highlight w:val="none"/>
              </w:rPr>
            </w:r>
            <w:r/>
          </w:p>
        </w:tc>
        <w:tc>
          <w:tcPr>
            <w:tcW w:w="2068" w:type="dxa"/>
            <w:vAlign w:val="center"/>
            <w:textDirection w:val="lrTb"/>
            <w:noWrap w:val="false"/>
          </w:tcPr>
          <w:p>
            <w:pPr>
              <w:pStyle w:val="981"/>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        平方米</w:t>
            </w:r>
            <w:r>
              <w:rPr>
                <w:color w:val="auto"/>
                <w:highlight w:val="none"/>
              </w:rPr>
            </w:r>
            <w:r/>
          </w:p>
        </w:tc>
        <w:tc>
          <w:tcPr>
            <w:tcW w:w="1559"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其中：</w:t>
            </w:r>
            <w:r>
              <w:rPr>
                <w:color w:val="auto"/>
                <w:highlight w:val="none"/>
              </w:rPr>
            </w:r>
            <w:r/>
          </w:p>
        </w:tc>
        <w:tc>
          <w:tcPr>
            <w:gridSpan w:val="2"/>
            <w:tcW w:w="3368"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自有面积         平方米</w:t>
            </w:r>
            <w:r>
              <w:rPr>
                <w:color w:val="auto"/>
                <w:highlight w:val="none"/>
              </w:rPr>
            </w:r>
            <w:r/>
          </w:p>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承租面积         平方米</w:t>
            </w:r>
            <w:r>
              <w:rPr>
                <w:color w:val="auto"/>
                <w:highlight w:val="none"/>
              </w:rPr>
            </w:r>
            <w:r/>
          </w:p>
        </w:tc>
      </w:tr>
      <w:tr>
        <w:trPr>
          <w:cantSplit/>
          <w:trHeight w:val="1106"/>
        </w:trPr>
        <w:tc>
          <w:tcPr>
            <w:tcW w:w="283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单位简历及内设机构情况</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单位优势及特长</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是否处于被行政或司法机关责令停业或停止承接工程任务或停止投标资格</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最近2年内在经营过程中受到何种奖励或处分（包括情况和结果）</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最近3年内有无因售假、售劣或是其他原因被消费者投诉或起诉的情况及说明（包括解决方式和结果）</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最近3年内主要负责人有无因经济犯罪被司法机关追究的情况及说明</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获得技术认证的工程师及简介</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r>
        <w:trPr>
          <w:cantSplit/>
          <w:trHeight w:val="560"/>
        </w:trPr>
        <w:tc>
          <w:tcPr>
            <w:tcW w:w="2835" w:type="dxa"/>
            <w:textDirection w:val="lrTb"/>
            <w:noWrap w:val="false"/>
          </w:tcPr>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其他需要说明的情况</w:t>
            </w:r>
            <w:r>
              <w:rPr>
                <w:color w:val="auto"/>
                <w:highlight w:val="none"/>
              </w:rPr>
            </w:r>
            <w:r/>
          </w:p>
        </w:tc>
        <w:tc>
          <w:tcPr>
            <w:gridSpan w:val="4"/>
            <w:tcW w:w="6995" w:type="dxa"/>
            <w:textDirection w:val="lrTb"/>
            <w:noWrap w:val="false"/>
          </w:tcPr>
          <w:p>
            <w:pPr>
              <w:pStyle w:val="981"/>
              <w:ind w:firstLine="0"/>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tc>
      </w:tr>
    </w:tbl>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九、</w:t>
      </w:r>
      <w:bookmarkStart w:id="29" w:name="_Toc405820406"/>
      <w:r>
        <w:rPr>
          <w:color w:val="auto"/>
          <w:highlight w:val="none"/>
        </w:rPr>
      </w:r>
      <w:bookmarkStart w:id="30" w:name="_Toc405820181"/>
      <w:r>
        <w:rPr>
          <w:color w:val="auto"/>
          <w:highlight w:val="none"/>
        </w:rPr>
      </w:r>
      <w:bookmarkStart w:id="31" w:name="_Toc348785015"/>
      <w:r>
        <w:rPr>
          <w:color w:val="auto"/>
          <w:highlight w:val="none"/>
        </w:rPr>
      </w:r>
      <w:bookmarkStart w:id="32" w:name="_Toc348785370"/>
      <w:r>
        <w:rPr>
          <w:color w:val="auto"/>
          <w:highlight w:val="none"/>
        </w:rPr>
      </w:r>
      <w:bookmarkStart w:id="33" w:name="_Toc348784829"/>
      <w:r>
        <w:rPr>
          <w:color w:val="auto"/>
          <w:highlight w:val="none"/>
        </w:rPr>
      </w:r>
      <w:bookmarkStart w:id="34" w:name="_Toc405820303"/>
      <w:r>
        <w:rPr>
          <w:color w:val="auto"/>
          <w:highlight w:val="none"/>
        </w:rPr>
      </w:r>
      <w:bookmarkStart w:id="35" w:name="_Toc382997005"/>
      <w:r>
        <w:rPr>
          <w:color w:val="auto"/>
          <w:highlight w:val="none"/>
        </w:rPr>
      </w:r>
      <w:bookmarkStart w:id="36" w:name="_Toc405820241"/>
      <w:r>
        <w:rPr>
          <w:rFonts w:hint="eastAsia" w:ascii="宋体" w:hAnsi="宋体" w:eastAsia="宋体" w:cs="宋体"/>
          <w:b/>
          <w:color w:val="auto"/>
          <w:sz w:val="30"/>
          <w:szCs w:val="30"/>
          <w:highlight w:val="none"/>
        </w:rPr>
        <w:t xml:space="preserve">企业类似业绩一览表</w:t>
      </w:r>
      <w:r>
        <w:rPr>
          <w:color w:val="auto"/>
          <w:highlight w:val="none"/>
        </w:rPr>
      </w:r>
      <w:r/>
    </w:p>
    <w:p>
      <w:pPr>
        <w:pStyle w:val="981"/>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rPr>
          <w:color w:val="auto"/>
          <w:highlight w:val="none"/>
        </w:rPr>
      </w:r>
      <w:r/>
    </w:p>
    <w:tbl>
      <w:tblPr>
        <w:tblStyle w:val="9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3383" w:type="dxa"/>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tc>
        <w:tc>
          <w:tcPr>
            <w:tcW w:w="1868" w:type="dxa"/>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w:t>
            </w:r>
            <w:r>
              <w:rPr>
                <w:color w:val="auto"/>
                <w:highlight w:val="none"/>
              </w:rPr>
            </w:r>
            <w:r/>
          </w:p>
        </w:tc>
        <w:tc>
          <w:tcPr>
            <w:tcW w:w="1805" w:type="dxa"/>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业主单位名称</w:t>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r>
        <w:trPr/>
        <w:tc>
          <w:tcPr>
            <w:tcW w:w="731"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338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180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c>
          <w:tcPr>
            <w:tcW w:w="204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tc>
      </w:tr>
    </w:tbl>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：（单位盖章）</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rPr>
          <w:color w:val="auto"/>
          <w:highlight w:val="none"/>
        </w:rPr>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spacing w:line="360" w:lineRule="auto"/>
        <w:tabs>
          <w:tab w:val="left" w:pos="67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bookmarkEnd w:id="29"/>
      <w:r>
        <w:rPr>
          <w:color w:val="auto"/>
        </w:rPr>
      </w:r>
      <w:bookmarkEnd w:id="30"/>
      <w:r>
        <w:rPr>
          <w:color w:val="auto"/>
        </w:rPr>
      </w:r>
      <w:bookmarkEnd w:id="31"/>
      <w:r>
        <w:rPr>
          <w:color w:val="auto"/>
        </w:rPr>
      </w:r>
      <w:bookmarkEnd w:id="32"/>
      <w:r>
        <w:rPr>
          <w:color w:val="auto"/>
        </w:rPr>
      </w:r>
      <w:bookmarkEnd w:id="33"/>
      <w:r>
        <w:rPr>
          <w:color w:val="auto"/>
        </w:rPr>
      </w:r>
      <w:bookmarkEnd w:id="34"/>
      <w:r>
        <w:rPr>
          <w:color w:val="auto"/>
        </w:rPr>
      </w:r>
      <w:bookmarkEnd w:id="35"/>
      <w:r>
        <w:rPr>
          <w:color w:val="auto"/>
        </w:rPr>
      </w:r>
      <w:bookmarkEnd w:id="36"/>
      <w:r>
        <w:rPr>
          <w:color w:val="auto"/>
          <w:highlight w:val="none"/>
        </w:rPr>
      </w:r>
      <w:r/>
    </w:p>
    <w:p>
      <w:pPr>
        <w:ind w:firstLine="643"/>
        <w:rPr>
          <w:rFonts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bCs/>
          <w:color w:val="auto"/>
          <w:sz w:val="32"/>
          <w:szCs w:val="28"/>
          <w:highlight w:val="none"/>
        </w:rPr>
        <w:t xml:space="preserve">十、售后服务承诺书</w:t>
      </w:r>
      <w:r>
        <w:rPr>
          <w:color w:val="auto"/>
          <w:highlight w:val="none"/>
        </w:rPr>
      </w:r>
      <w:r/>
    </w:p>
    <w:p>
      <w:pPr>
        <w:pStyle w:val="1097"/>
        <w:jc w:val="both"/>
        <w:spacing w:line="360" w:lineRule="auto"/>
        <w:rPr>
          <w:rFonts w:ascii="宋体" w:hAnsi="宋体" w:cs="宋体"/>
          <w:b/>
          <w:bCs/>
          <w:color w:val="auto"/>
          <w:highlight w:val="none"/>
        </w:rPr>
      </w:pPr>
      <w:r>
        <w:rPr>
          <w:rFonts w:hint="eastAsia" w:ascii="宋体" w:hAnsi="宋体" w:cs="宋体"/>
          <w:b/>
          <w:bCs/>
          <w:color w:val="auto"/>
          <w:highlight w:val="none"/>
        </w:rPr>
        <w:t xml:space="preserve">                                     售后服务承诺书</w:t>
      </w:r>
      <w:r>
        <w:rPr>
          <w:color w:val="auto"/>
          <w:highlight w:val="none"/>
        </w:rPr>
      </w:r>
      <w:r/>
    </w:p>
    <w:p>
      <w:pPr>
        <w:pStyle w:val="1068"/>
        <w:spacing w:line="360" w:lineRule="auto"/>
        <w:rPr>
          <w:rFonts w:ascii="宋体" w:hAnsi="宋体" w:cs="宋体"/>
          <w:color w:val="auto"/>
          <w:highlight w:val="none"/>
        </w:rPr>
      </w:pPr>
      <w:r>
        <w:rPr>
          <w:rFonts w:hint="eastAsia" w:ascii="宋体" w:hAnsi="宋体" w:cs="宋体"/>
          <w:color w:val="auto"/>
          <w:highlight w:val="none"/>
        </w:rPr>
        <w:t xml:space="preserve">招标编号：</w:t>
      </w:r>
      <w:r>
        <w:rPr>
          <w:color w:val="auto"/>
          <w:highlight w:val="none"/>
        </w:rPr>
      </w:r>
      <w:r/>
    </w:p>
    <w:tbl>
      <w:tblPr>
        <w:tblStyle w:val="97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02"/>
        <w:gridCol w:w="3713"/>
        <w:gridCol w:w="2488"/>
        <w:gridCol w:w="2621"/>
      </w:tblGrid>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97"/>
              <w:jc w:val="center"/>
              <w:rPr>
                <w:rFonts w:ascii="宋体" w:hAnsi="宋体" w:cs="宋体"/>
                <w:color w:val="auto"/>
                <w:highlight w:val="none"/>
              </w:rPr>
            </w:pPr>
            <w:r>
              <w:rPr>
                <w:rFonts w:hint="eastAsia" w:ascii="宋体" w:hAnsi="宋体" w:cs="宋体"/>
                <w:color w:val="auto"/>
                <w:highlight w:val="none"/>
              </w:rPr>
              <w:t xml:space="preserve">序号</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097"/>
              <w:jc w:val="center"/>
              <w:rPr>
                <w:rFonts w:ascii="宋体" w:hAnsi="宋体" w:cs="宋体"/>
                <w:color w:val="auto"/>
                <w:highlight w:val="none"/>
              </w:rPr>
            </w:pPr>
            <w:r>
              <w:rPr>
                <w:rFonts w:hint="eastAsia" w:ascii="宋体" w:hAnsi="宋体" w:cs="宋体"/>
                <w:color w:val="auto"/>
                <w:highlight w:val="none"/>
              </w:rPr>
              <w:t xml:space="preserve">售后服务内容</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097"/>
              <w:jc w:val="center"/>
              <w:rPr>
                <w:rFonts w:ascii="宋体" w:hAnsi="宋体" w:cs="宋体"/>
                <w:color w:val="auto"/>
                <w:highlight w:val="none"/>
              </w:rPr>
            </w:pPr>
            <w:r>
              <w:rPr>
                <w:rFonts w:hint="eastAsia" w:ascii="宋体" w:hAnsi="宋体" w:cs="宋体"/>
                <w:color w:val="auto"/>
                <w:highlight w:val="none"/>
              </w:rPr>
              <w:t xml:space="preserve">期限（时间）</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097"/>
              <w:jc w:val="center"/>
              <w:rPr>
                <w:rFonts w:ascii="宋体" w:hAnsi="宋体" w:cs="宋体"/>
                <w:color w:val="auto"/>
                <w:highlight w:val="none"/>
              </w:rPr>
            </w:pPr>
            <w:r>
              <w:rPr>
                <w:rFonts w:hint="eastAsia" w:ascii="宋体" w:hAnsi="宋体" w:cs="宋体"/>
                <w:color w:val="auto"/>
                <w:highlight w:val="none"/>
              </w:rPr>
              <w:t xml:space="preserve">备注</w:t>
            </w:r>
            <w:r>
              <w:rPr>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2</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服务响应</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3</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到达现场</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r>
      <w:tr>
        <w:trPr>
          <w:trHeight w:val="854"/>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4</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解决问题</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1097"/>
              <w:jc w:val="center"/>
              <w:spacing w:before="25" w:after="25"/>
              <w:rPr>
                <w:rFonts w:ascii="宋体" w:hAnsi="宋体" w:cs="宋体"/>
                <w:color w:val="auto"/>
                <w:highlight w:val="none"/>
              </w:rPr>
            </w:pPr>
            <w:r>
              <w:rPr>
                <w:rFonts w:hint="eastAsia" w:ascii="宋体" w:hAnsi="宋体" w:cs="宋体"/>
                <w:color w:val="auto"/>
                <w:highlight w:val="none"/>
              </w:rPr>
              <w:t xml:space="preserve">..</w:t>
            </w:r>
            <w:r>
              <w:rPr>
                <w:color w:val="auto"/>
                <w:highlight w:val="none"/>
              </w:rPr>
            </w:r>
            <w:r/>
          </w:p>
        </w:tc>
        <w:tc>
          <w:tcPr>
            <w:tcBorders>
              <w:top w:val="single" w:color="000000" w:sz="4" w:space="0"/>
              <w:left w:val="none" w:color="000000" w:sz="4" w:space="0"/>
              <w:bottom w:val="single" w:color="000000" w:sz="4" w:space="0"/>
              <w:right w:val="single" w:color="000000" w:sz="4" w:space="0"/>
            </w:tcBorders>
            <w:tcW w:w="1889"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c>
          <w:tcPr>
            <w:tcBorders>
              <w:top w:val="single" w:color="000000" w:sz="4" w:space="0"/>
              <w:left w:val="none" w:color="000000" w:sz="4" w:space="0"/>
              <w:bottom w:val="single" w:color="000000" w:sz="4" w:space="0"/>
              <w:right w:val="single" w:color="000000" w:sz="4" w:space="0"/>
            </w:tcBorders>
            <w:tcW w:w="1266"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c>
          <w:tcPr>
            <w:tcBorders>
              <w:top w:val="single" w:color="000000" w:sz="4" w:space="0"/>
              <w:left w:val="none" w:color="000000" w:sz="4" w:space="0"/>
              <w:bottom w:val="single" w:color="000000" w:sz="4" w:space="0"/>
              <w:right w:val="single" w:color="000000" w:sz="4" w:space="0"/>
            </w:tcBorders>
            <w:tcW w:w="1333" w:type="pct"/>
            <w:vAlign w:val="center"/>
            <w:textDirection w:val="lrTb"/>
            <w:noWrap w:val="false"/>
          </w:tcPr>
          <w:p>
            <w:pPr>
              <w:pStyle w:val="1097"/>
              <w:jc w:val="center"/>
              <w:spacing w:before="25" w:after="25"/>
              <w:rPr>
                <w:rFonts w:ascii="宋体" w:hAnsi="宋体" w:cs="宋体"/>
                <w:color w:val="auto"/>
                <w:highlight w:val="none"/>
              </w:rPr>
            </w:pPr>
            <w:r>
              <w:rPr>
                <w:rFonts w:ascii="宋体" w:hAnsi="宋体" w:cs="宋体"/>
                <w:color w:val="auto"/>
                <w:highlight w:val="none"/>
              </w:rPr>
            </w:r>
            <w:r>
              <w:rPr>
                <w:color w:val="auto"/>
                <w:highlight w:val="none"/>
              </w:rPr>
            </w:r>
            <w:r/>
          </w:p>
        </w:tc>
      </w:tr>
    </w:tbl>
    <w:p>
      <w:pPr>
        <w:pStyle w:val="1097"/>
        <w:ind w:firstLine="420"/>
        <w:spacing w:before="25" w:after="25" w:line="360" w:lineRule="auto"/>
        <w:rPr>
          <w:rFonts w:ascii="宋体" w:hAnsi="宋体" w:cs="宋体"/>
          <w:color w:val="auto"/>
          <w:highlight w:val="none"/>
        </w:rPr>
      </w:pPr>
      <w:r>
        <w:rPr>
          <w:rFonts w:hint="eastAsia" w:ascii="宋体" w:hAnsi="宋体" w:cs="宋体"/>
          <w:color w:val="auto"/>
          <w:highlight w:val="none"/>
        </w:rPr>
        <w:t xml:space="preserve">注：1、针对服务内容有必须说明的事项，请在“备注”栏目内注明；</w:t>
      </w:r>
      <w:r>
        <w:rPr>
          <w:color w:val="auto"/>
          <w:highlight w:val="none"/>
        </w:rPr>
      </w:r>
      <w:r/>
    </w:p>
    <w:p>
      <w:pPr>
        <w:pStyle w:val="1097"/>
        <w:ind w:firstLine="840"/>
        <w:spacing w:before="25" w:after="25" w:line="360" w:lineRule="auto"/>
        <w:rPr>
          <w:rFonts w:ascii="宋体" w:hAnsi="宋体" w:cs="宋体"/>
          <w:color w:val="auto"/>
          <w:highlight w:val="none"/>
        </w:rPr>
      </w:pPr>
      <w:r>
        <w:rPr>
          <w:rFonts w:hint="eastAsia" w:ascii="宋体" w:hAnsi="宋体" w:cs="宋体"/>
          <w:color w:val="auto"/>
          <w:highlight w:val="none"/>
        </w:rPr>
        <w:t xml:space="preserve">2、如有其它售后服务内容，可自行参照填写。</w:t>
      </w:r>
      <w:r>
        <w:rPr>
          <w:color w:val="auto"/>
          <w:highlight w:val="none"/>
        </w:rPr>
      </w:r>
      <w:r/>
    </w:p>
    <w:p>
      <w:pPr>
        <w:pStyle w:val="1097"/>
        <w:ind w:firstLine="420"/>
        <w:spacing w:before="25" w:after="25" w:line="360" w:lineRule="auto"/>
        <w:rPr>
          <w:rFonts w:ascii="宋体" w:hAnsi="宋体" w:cs="宋体"/>
          <w:color w:val="auto"/>
          <w:highlight w:val="none"/>
        </w:rPr>
      </w:pPr>
      <w:r>
        <w:rPr>
          <w:rFonts w:hint="eastAsia" w:ascii="宋体" w:hAnsi="宋体" w:cs="宋体"/>
          <w:color w:val="auto"/>
          <w:highlight w:val="none"/>
        </w:rPr>
        <w:t xml:space="preserve"> </w:t>
      </w:r>
      <w:r>
        <w:rPr>
          <w:color w:val="auto"/>
          <w:highlight w:val="none"/>
        </w:rPr>
      </w:r>
      <w:r/>
    </w:p>
    <w:p>
      <w:pPr>
        <w:pStyle w:val="1097"/>
        <w:ind w:firstLine="210"/>
        <w:spacing w:line="360" w:lineRule="auto"/>
        <w:rPr>
          <w:rFonts w:ascii="宋体" w:hAnsi="宋体" w:cs="宋体"/>
          <w:color w:val="auto"/>
          <w:highlight w:val="none"/>
        </w:rPr>
      </w:pPr>
      <w:r>
        <w:rPr>
          <w:rFonts w:hint="eastAsia" w:ascii="宋体" w:hAnsi="宋体" w:cs="宋体"/>
          <w:color w:val="auto"/>
          <w:highlight w:val="none"/>
        </w:rPr>
        <w:t xml:space="preserve">投标人（公章）：</w:t>
      </w:r>
      <w:r>
        <w:rPr>
          <w:color w:val="auto"/>
          <w:highlight w:val="none"/>
        </w:rPr>
      </w:r>
      <w:r/>
    </w:p>
    <w:p>
      <w:pPr>
        <w:pStyle w:val="1097"/>
        <w:ind w:firstLine="210"/>
        <w:spacing w:line="360" w:lineRule="auto"/>
        <w:rPr>
          <w:rFonts w:ascii="宋体" w:hAnsi="宋体" w:cs="宋体"/>
          <w:color w:val="auto"/>
          <w:highlight w:val="none"/>
        </w:rPr>
      </w:pPr>
      <w:r>
        <w:rPr>
          <w:rFonts w:hint="eastAsia" w:ascii="宋体" w:hAnsi="宋体" w:cs="宋体"/>
          <w:color w:val="auto"/>
          <w:highlight w:val="none"/>
        </w:rPr>
        <w:t xml:space="preserve">法定代表人或授权委托人：（签字或签章）</w:t>
      </w:r>
      <w:r>
        <w:rPr>
          <w:color w:val="auto"/>
          <w:highlight w:val="none"/>
        </w:rPr>
      </w:r>
      <w:r/>
    </w:p>
    <w:p>
      <w:pPr>
        <w:pStyle w:val="1097"/>
        <w:ind w:firstLine="210"/>
        <w:jc w:val="both"/>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rPr>
          <w:color w:val="auto"/>
          <w:highlight w:val="none"/>
        </w:rPr>
      </w:r>
      <w:r/>
    </w:p>
    <w:p>
      <w:pPr>
        <w:jc w:val="center"/>
        <w:rPr>
          <w:rFonts w:ascii="宋体" w:hAnsi="宋体" w:eastAsia="宋体" w:cs="宋体"/>
          <w:b/>
          <w:bCs/>
          <w:color w:val="auto"/>
          <w:sz w:val="32"/>
          <w:szCs w:val="28"/>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28"/>
          <w:highlight w:val="none"/>
        </w:rPr>
        <w:t xml:space="preserve">十</w:t>
      </w:r>
      <w:r>
        <w:rPr>
          <w:rFonts w:hint="eastAsia" w:ascii="宋体" w:hAnsi="宋体" w:eastAsia="宋体" w:cs="宋体"/>
          <w:b/>
          <w:bCs/>
          <w:color w:val="auto"/>
          <w:sz w:val="32"/>
          <w:szCs w:val="28"/>
          <w:highlight w:val="none"/>
          <w:lang w:val="en-US" w:eastAsia="zh-CN"/>
        </w:rPr>
        <w:t xml:space="preserve">一</w:t>
      </w:r>
      <w:r>
        <w:rPr>
          <w:rFonts w:hint="eastAsia" w:ascii="宋体" w:hAnsi="宋体" w:eastAsia="宋体" w:cs="宋体"/>
          <w:b/>
          <w:bCs/>
          <w:color w:val="auto"/>
          <w:sz w:val="32"/>
          <w:szCs w:val="28"/>
          <w:highlight w:val="none"/>
        </w:rPr>
        <w:t xml:space="preserve">、中小企业声明函</w:t>
      </w:r>
      <w:r>
        <w:rPr>
          <w:color w:val="auto"/>
          <w:highlight w:val="none"/>
        </w:rPr>
      </w:r>
      <w:r/>
    </w:p>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zh-CN"/>
        </w:rPr>
        <w:t xml:space="preserve">苏州市公安局居住证九期制证</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rPr>
          <w:color w:val="auto"/>
          <w:highlight w:val="none"/>
        </w:rPr>
      </w:r>
      <w:r/>
    </w:p>
    <w:p>
      <w:pPr>
        <w:ind w:firstLine="6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color w:val="auto"/>
          <w:highlight w:val="none"/>
        </w:rPr>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中小企业划分标准详见“工信部联企业〔2011〕300号通知中的《中小企业划型标准规定》”。</w:t>
      </w:r>
      <w:r>
        <w:rPr>
          <w:color w:val="auto"/>
          <w:highlight w:val="none"/>
        </w:rPr>
      </w:r>
      <w:r/>
    </w:p>
    <w:p>
      <w:pPr>
        <w:numPr>
          <w:ilvl w:val="0"/>
          <w:numId w:val="5"/>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如</w:t>
      </w:r>
      <w:r>
        <w:rPr>
          <w:rFonts w:hint="eastAsia" w:ascii="宋体" w:hAnsi="宋体" w:eastAsia="宋体" w:cs="宋体"/>
          <w:b/>
          <w:color w:val="auto"/>
          <w:sz w:val="24"/>
          <w:szCs w:val="24"/>
          <w:highlight w:val="none"/>
          <w:u w:val="single"/>
          <w:lang w:eastAsia="zh-CN"/>
        </w:rPr>
        <w:t xml:space="preserve">投标人</w:t>
      </w:r>
      <w:r>
        <w:rPr>
          <w:rFonts w:hint="eastAsia" w:ascii="宋体" w:hAnsi="宋体" w:eastAsia="宋体" w:cs="宋体"/>
          <w:b/>
          <w:color w:val="auto"/>
          <w:sz w:val="24"/>
          <w:szCs w:val="24"/>
          <w:highlight w:val="none"/>
          <w:u w:val="single"/>
        </w:rPr>
        <w:t xml:space="preserve">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highlight w:val="none"/>
        </w:rPr>
        <w:t xml:space="preserve">。</w:t>
      </w:r>
      <w:r>
        <w:rPr>
          <w:color w:val="auto"/>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3、从业人员、营业收入、资产总额填报上一年度数据，无上一年度数据的新成立企业可不填报。</w:t>
      </w:r>
      <w:r>
        <w:rPr>
          <w:color w:val="auto"/>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应对照中小企业划分标准和采购标的所属行业：</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，如实、完整填报《中小企业声明函》，如未对（中型企业、小型企业、微型企业）进行勾选，视同非中、小、微企业，不享受相应扶持政策。</w:t>
      </w:r>
      <w:r>
        <w:rPr>
          <w:color w:val="auto"/>
          <w:highlight w:val="none"/>
        </w:rPr>
      </w:r>
      <w:r/>
    </w:p>
    <w:p>
      <w:pPr>
        <w:jc w:val="center"/>
        <w:spacing w:line="360" w:lineRule="auto"/>
        <w:rPr>
          <w:rFonts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bCs/>
          <w:color w:val="auto"/>
          <w:sz w:val="32"/>
          <w:szCs w:val="28"/>
          <w:highlight w:val="none"/>
        </w:rPr>
        <w:t xml:space="preserve">十</w:t>
      </w:r>
      <w:r>
        <w:rPr>
          <w:rFonts w:hint="eastAsia" w:ascii="宋体" w:hAnsi="宋体" w:eastAsia="宋体" w:cs="宋体"/>
          <w:b/>
          <w:bCs/>
          <w:color w:val="auto"/>
          <w:sz w:val="32"/>
          <w:szCs w:val="28"/>
          <w:highlight w:val="none"/>
          <w:lang w:val="en-US" w:eastAsia="zh-CN"/>
        </w:rPr>
        <w:t xml:space="preserve">二</w:t>
      </w:r>
      <w:r>
        <w:rPr>
          <w:rFonts w:hint="eastAsia" w:ascii="宋体" w:hAnsi="宋体" w:eastAsia="宋体" w:cs="宋体"/>
          <w:b/>
          <w:bCs/>
          <w:color w:val="auto"/>
          <w:sz w:val="32"/>
          <w:szCs w:val="28"/>
          <w:highlight w:val="none"/>
        </w:rPr>
        <w:t xml:space="preserve">、残疾人福利性单位声明函</w:t>
      </w:r>
      <w:r>
        <w:rPr>
          <w:color w:val="auto"/>
          <w:highlight w:val="none"/>
        </w:rPr>
      </w:r>
      <w:r/>
    </w:p>
    <w:p>
      <w:pPr>
        <w:pStyle w:val="981"/>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rPr>
        <w:t xml:space="preserve">：</w:t>
      </w:r>
      <w:r>
        <w:rPr>
          <w:color w:val="auto"/>
          <w:highlight w:val="none"/>
        </w:rPr>
      </w:r>
      <w:r/>
    </w:p>
    <w:p>
      <w:pPr>
        <w:pStyle w:val="981"/>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u w:val="single"/>
          <w:lang w:eastAsia="zh-CN"/>
        </w:rPr>
        <w:t xml:space="preserve">采购人</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rPr>
        <w:t xml:space="preserve"> 单位的</w:t>
      </w:r>
      <w:r>
        <w:rPr>
          <w:rFonts w:hint="eastAsia" w:ascii="宋体" w:hAnsi="宋体" w:eastAsia="宋体" w:cs="宋体"/>
          <w:color w:val="auto"/>
          <w:szCs w:val="24"/>
          <w:highlight w:val="none"/>
          <w:u w:val="single"/>
          <w:lang w:val="zh-CN"/>
        </w:rPr>
        <w:t xml:space="preserve">（项目名称、招标编号）</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pStyle w:val="981"/>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rPr>
          <w:color w:val="auto"/>
          <w:highlight w:val="none"/>
        </w:rPr>
      </w:r>
      <w:r/>
    </w:p>
    <w:p>
      <w:pPr>
        <w:pStyle w:val="981"/>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rPr>
          <w:color w:val="auto"/>
          <w:highlight w:val="none"/>
        </w:rPr>
      </w:r>
      <w:r/>
    </w:p>
    <w:p>
      <w:pPr>
        <w:pStyle w:val="981"/>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rPr>
          <w:color w:val="auto"/>
          <w:highlight w:val="none"/>
        </w:rPr>
      </w:r>
      <w:r/>
    </w:p>
    <w:p>
      <w:pPr>
        <w:pStyle w:val="981"/>
        <w:ind w:firstLine="0"/>
        <w:jc w:val="right"/>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         （单位盖章） </w:t>
      </w:r>
      <w:r>
        <w:rPr>
          <w:color w:val="auto"/>
          <w:highlight w:val="none"/>
        </w:rPr>
      </w:r>
      <w:r/>
    </w:p>
    <w:p>
      <w:pPr>
        <w:pStyle w:val="981"/>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rPr>
          <w:color w:val="auto"/>
          <w:highlight w:val="none"/>
        </w:rPr>
      </w:r>
      <w:r/>
    </w:p>
    <w:p>
      <w:pPr>
        <w:pStyle w:val="981"/>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rPr>
          <w:color w:val="auto"/>
          <w:highlight w:val="none"/>
        </w:rPr>
      </w:r>
      <w:r/>
    </w:p>
    <w:p>
      <w:pPr>
        <w:spacing w:line="3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pStyle w:val="975"/>
        <w:jc w:val="center"/>
        <w:rPr>
          <w:rFonts w:ascii="宋体" w:hAnsi="宋体" w:eastAsia="宋体" w:cs="宋体"/>
          <w:bCs/>
          <w:color w:val="auto"/>
          <w:sz w:val="21"/>
          <w:szCs w:val="21"/>
          <w:highlight w:val="none"/>
        </w:rPr>
      </w:pPr>
      <w:r>
        <w:rPr>
          <w:rFonts w:hint="eastAsia" w:ascii="宋体" w:hAnsi="宋体" w:eastAsia="宋体" w:cs="宋体"/>
          <w:color w:val="auto"/>
          <w:szCs w:val="21"/>
          <w:highlight w:val="none"/>
          <w:u w:val="single"/>
        </w:rPr>
        <w:br w:type="page" w:clear="all"/>
      </w:r>
      <w:bookmarkStart w:id="37" w:name="_Toc494471873"/>
      <w:r>
        <w:rPr>
          <w:color w:val="auto"/>
          <w:highlight w:val="none"/>
        </w:rPr>
      </w:r>
      <w:bookmarkStart w:id="38" w:name="_Toc160701726"/>
      <w:r>
        <w:rPr>
          <w:rFonts w:hint="eastAsia" w:ascii="宋体" w:hAnsi="宋体" w:eastAsia="宋体" w:cs="宋体"/>
          <w:color w:val="auto"/>
          <w:highlight w:val="none"/>
        </w:rPr>
        <w:t xml:space="preserve">第四章 采购内容</w:t>
      </w:r>
      <w:bookmarkEnd w:id="37"/>
      <w:r>
        <w:rPr>
          <w:color w:val="auto"/>
          <w:highlight w:val="none"/>
        </w:rPr>
      </w:r>
      <w:bookmarkEnd w:id="38"/>
      <w:r>
        <w:rPr>
          <w:color w:val="auto"/>
          <w:highlight w:val="none"/>
        </w:rPr>
      </w:r>
      <w:bookmarkEnd w:id="21"/>
      <w:r>
        <w:rPr>
          <w:color w:val="auto"/>
          <w:highlight w:val="none"/>
        </w:rPr>
      </w:r>
      <w:r/>
    </w:p>
    <w:p>
      <w:pPr>
        <w:ind w:firstLine="482"/>
        <w:spacing w:line="360" w:lineRule="auto"/>
        <w:rPr>
          <w:rFonts w:ascii="宋体" w:hAnsi="宋体" w:eastAsia="宋体" w:cs="宋体"/>
          <w:b/>
          <w:color w:val="auto"/>
          <w:sz w:val="24"/>
          <w:szCs w:val="24"/>
          <w:highlight w:val="none"/>
        </w:rPr>
      </w:pPr>
      <w:r>
        <w:rPr>
          <w:color w:val="auto"/>
          <w:highlight w:val="none"/>
        </w:rPr>
      </w:r>
      <w:bookmarkStart w:id="39" w:name="_Toc388026587"/>
      <w:r>
        <w:rPr>
          <w:rFonts w:hint="eastAsia" w:ascii="宋体" w:hAnsi="宋体" w:eastAsia="宋体" w:cs="宋体"/>
          <w:b/>
          <w:color w:val="auto"/>
          <w:sz w:val="24"/>
          <w:szCs w:val="24"/>
          <w:highlight w:val="none"/>
          <w:lang w:val="zh-CN"/>
        </w:rPr>
        <w:t xml:space="preserve">受</w:t>
      </w:r>
      <w:r>
        <w:rPr>
          <w:rFonts w:hint="eastAsia" w:ascii="宋体" w:hAnsi="宋体" w:eastAsia="宋体" w:cs="宋体"/>
          <w:b/>
          <w:color w:val="auto"/>
          <w:sz w:val="24"/>
          <w:szCs w:val="24"/>
          <w:highlight w:val="none"/>
          <w:u w:val="single"/>
          <w:lang w:val="zh-CN"/>
        </w:rPr>
        <w:t xml:space="preserve">苏州市公安局</w:t>
      </w:r>
      <w:r>
        <w:rPr>
          <w:rFonts w:hint="eastAsia" w:ascii="宋体" w:hAnsi="宋体" w:eastAsia="宋体" w:cs="宋体"/>
          <w:b/>
          <w:color w:val="auto"/>
          <w:sz w:val="24"/>
          <w:szCs w:val="24"/>
          <w:highlight w:val="none"/>
          <w:lang w:val="zh-CN"/>
        </w:rPr>
        <w:t xml:space="preserve">的委托，苏州海企国际工程咨询有限公司作为招标代理人，为委托人拟采购的</w:t>
      </w:r>
      <w:r>
        <w:rPr>
          <w:rFonts w:hint="eastAsia" w:ascii="宋体" w:hAnsi="宋体" w:eastAsia="宋体" w:cs="宋体"/>
          <w:b/>
          <w:bCs/>
          <w:color w:val="auto"/>
          <w:sz w:val="24"/>
          <w:szCs w:val="24"/>
          <w:highlight w:val="none"/>
          <w:u w:val="single"/>
          <w:lang w:eastAsia="zh-CN"/>
        </w:rPr>
        <w:t xml:space="preserve">苏州市公安局居住证九期制证</w:t>
      </w:r>
      <w:r>
        <w:rPr>
          <w:rFonts w:hint="eastAsia" w:ascii="宋体" w:hAnsi="宋体" w:eastAsia="宋体" w:cs="宋体"/>
          <w:b/>
          <w:color w:val="auto"/>
          <w:sz w:val="24"/>
          <w:szCs w:val="24"/>
          <w:highlight w:val="none"/>
          <w:lang w:val="zh-CN"/>
        </w:rPr>
        <w:t xml:space="preserve">进行国内公开招标。</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一、招标编号：</w:t>
      </w:r>
      <w:r>
        <w:rPr>
          <w:rFonts w:hint="eastAsia" w:ascii="宋体" w:hAnsi="宋体" w:eastAsia="宋体" w:cs="宋体"/>
          <w:bCs/>
          <w:color w:val="auto"/>
          <w:sz w:val="24"/>
          <w:szCs w:val="24"/>
          <w:highlight w:val="none"/>
          <w:lang w:eastAsia="zh-CN"/>
        </w:rPr>
        <w:t xml:space="preserve">JSZC-320500-SZHQ-G2026-0013</w:t>
      </w:r>
      <w:r>
        <w:rPr>
          <w:rFonts w:hint="eastAsia" w:ascii="宋体" w:hAnsi="宋体" w:eastAsia="宋体" w:cs="宋体"/>
          <w:bCs/>
          <w:color w:val="auto"/>
          <w:sz w:val="24"/>
          <w:szCs w:val="24"/>
          <w:highlight w:val="none"/>
        </w:rPr>
        <w:t xml:space="preserve">号</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二、招标内容：</w:t>
      </w:r>
      <w:r>
        <w:rPr>
          <w:rFonts w:hint="eastAsia" w:ascii="宋体" w:hAnsi="宋体" w:eastAsia="宋体" w:cs="宋体"/>
          <w:bCs/>
          <w:color w:val="auto"/>
          <w:sz w:val="24"/>
          <w:szCs w:val="24"/>
          <w:highlight w:val="none"/>
          <w:lang w:eastAsia="zh-CN"/>
        </w:rPr>
        <w:t xml:space="preserve">苏州市公安局居住证九期制证</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bookmarkStart w:id="40" w:name="OLE_LINK5"/>
      <w:r>
        <w:rPr>
          <w:rFonts w:hint="eastAsia" w:ascii="宋体" w:hAnsi="宋体" w:eastAsia="宋体" w:cs="宋体"/>
          <w:bCs/>
          <w:color w:val="auto"/>
          <w:sz w:val="24"/>
          <w:szCs w:val="24"/>
          <w:highlight w:val="none"/>
        </w:rPr>
        <w:t xml:space="preserve">采购预算及最高限价：</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1、预算金额：</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val="en-US" w:eastAsia="zh-CN"/>
        </w:rPr>
        <w:t xml:space="preserve">肆佰壹拾肆万贰仟零叁拾捌圆整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cs/>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4142038.00</w:t>
      </w:r>
      <w:r>
        <w:rPr>
          <w:rFonts w:hint="eastAsia" w:ascii="宋体" w:hAnsi="宋体" w:eastAsia="宋体" w:cs="宋体"/>
          <w:bCs/>
          <w:color w:val="auto"/>
          <w:sz w:val="24"/>
          <w:szCs w:val="24"/>
          <w:highlight w:val="none"/>
        </w:rPr>
        <w:t xml:space="preserve">元）</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2、最高限价（单价）：</w:t>
      </w:r>
      <w:r>
        <w:rPr>
          <w:rFonts w:hint="eastAsia" w:ascii="宋体" w:hAnsi="宋体" w:eastAsia="宋体" w:cs="宋体"/>
          <w:bCs/>
          <w:color w:val="auto"/>
          <w:sz w:val="24"/>
          <w:szCs w:val="24"/>
          <w:highlight w:val="none"/>
          <w:lang w:eastAsia="zh-CN"/>
        </w:rPr>
        <w:t xml:space="preserve">9.2</w:t>
      </w:r>
      <w:r>
        <w:rPr>
          <w:rFonts w:hint="eastAsia" w:ascii="宋体" w:hAnsi="宋体" w:eastAsia="宋体" w:cs="宋体"/>
          <w:bCs/>
          <w:color w:val="auto"/>
          <w:sz w:val="24"/>
          <w:szCs w:val="24"/>
          <w:highlight w:val="none"/>
        </w:rPr>
        <w:t xml:space="preserve">元/张。最高限价(总价)：</w:t>
      </w:r>
      <w:r>
        <w:rPr>
          <w:rFonts w:hint="eastAsia" w:ascii="宋体" w:hAnsi="宋体" w:eastAsia="宋体" w:cs="宋体"/>
          <w:bCs/>
          <w:color w:val="auto"/>
          <w:sz w:val="24"/>
          <w:szCs w:val="24"/>
          <w:highlight w:val="none"/>
          <w:lang w:eastAsia="zh-CN"/>
        </w:rPr>
        <w:t xml:space="preserve">414</w:t>
      </w:r>
      <w:r>
        <w:rPr>
          <w:rFonts w:hint="eastAsia" w:ascii="宋体" w:hAnsi="宋体" w:eastAsia="宋体" w:cs="宋体"/>
          <w:bCs/>
          <w:color w:val="auto"/>
          <w:sz w:val="24"/>
          <w:szCs w:val="24"/>
          <w:highlight w:val="none"/>
          <w:lang w:val="en-US" w:eastAsia="zh-CN"/>
        </w:rPr>
        <w:t xml:space="preserve">0000</w:t>
      </w:r>
      <w:r>
        <w:rPr>
          <w:rFonts w:hint="eastAsia" w:ascii="宋体" w:hAnsi="宋体" w:eastAsia="宋体" w:cs="宋体"/>
          <w:bCs/>
          <w:color w:val="auto"/>
          <w:sz w:val="24"/>
          <w:szCs w:val="24"/>
          <w:highlight w:val="none"/>
          <w:lang w:eastAsia="zh-CN"/>
        </w:rPr>
        <w:t xml:space="preserve">.00</w:t>
      </w:r>
      <w:r>
        <w:rPr>
          <w:rFonts w:hint="eastAsia" w:ascii="宋体" w:hAnsi="宋体" w:eastAsia="宋体" w:cs="宋体"/>
          <w:bCs/>
          <w:color w:val="auto"/>
          <w:sz w:val="24"/>
          <w:szCs w:val="24"/>
          <w:highlight w:val="none"/>
        </w:rPr>
        <w:t xml:space="preserve">元。（该项目既限定单价，也限制总价）</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实际结算计算方式： </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需提供投标总报价，根据投标总报价与采购预算同比例下浮确定每张居住证的单价，单价计算方式为：</w:t>
      </w:r>
      <w:r>
        <w:rPr>
          <w:rFonts w:hint="eastAsia" w:ascii="宋体" w:hAnsi="宋体" w:eastAsia="宋体" w:cs="宋体"/>
          <w:bCs/>
          <w:color w:val="auto"/>
          <w:sz w:val="24"/>
          <w:szCs w:val="24"/>
          <w:highlight w:val="none"/>
          <w:lang w:eastAsia="zh-CN"/>
        </w:rPr>
        <w:t xml:space="preserve">9.2</w:t>
      </w:r>
      <w:r>
        <w:rPr>
          <w:rFonts w:hint="eastAsia" w:ascii="宋体" w:hAnsi="宋体" w:eastAsia="宋体" w:cs="宋体"/>
          <w:bCs/>
          <w:color w:val="auto"/>
          <w:sz w:val="24"/>
          <w:szCs w:val="24"/>
          <w:highlight w:val="none"/>
        </w:rPr>
        <w:t xml:space="preserve">*×（投标总报价/采购预算）。四舍五入，保留小数点后两位。（此项目实际结算以单价×居住证实际生产张数结算；最终结算金额不超过投标总报价）。</w:t>
      </w:r>
      <w:bookmarkEnd w:id="40"/>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四、采购需求：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概况：为保证全市居住证的正常制作发放和居住证制度正常实施，现开展苏州市公安局居住证九期制证采购，证件制作需符合江苏省公安厅规定的江苏省居住证证件制作管理工作规范。采购自2026年9月1日至2027年8月31日合计1年的全市居住证成品卡制作服</w:t>
      </w:r>
      <w:r>
        <w:rPr>
          <w:rFonts w:hint="eastAsia" w:ascii="宋体" w:hAnsi="宋体" w:eastAsia="宋体" w:cs="宋体"/>
          <w:color w:val="auto"/>
          <w:sz w:val="24"/>
          <w:szCs w:val="24"/>
          <w:highlight w:val="none"/>
        </w:rPr>
        <w:t xml:space="preserve">务项目，预计制证约为450,000张。</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2、制证中心现有主要在用设备、软件系统</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2.1现有服务设备：</w:t>
      </w:r>
      <w:r>
        <w:rPr>
          <w:color w:val="auto"/>
          <w:highlight w:val="none"/>
        </w:rPr>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工业级彩色印刷机1台，层压机2台，冲切机2台，高速电写入发卡机3台，分拣机3台，加密机2台，服务器3台，碎卡设备1台。</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2.2配套软件系统</w:t>
      </w:r>
      <w:r>
        <w:rPr>
          <w:color w:val="auto"/>
          <w:highlight w:val="none"/>
        </w:rPr>
      </w:r>
      <w:r/>
    </w:p>
    <w:p>
      <w:pPr>
        <w:ind w:firstLine="48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2.2.1居住证制证管理系统：支持整个制证中心的日常运作，包含生产、物料控制、库房管理及发货运输的核心系统，可统计、查询、制证情况并监控生产过程。</w:t>
      </w:r>
      <w:r>
        <w:rPr>
          <w:color w:val="auto"/>
          <w:highlight w:val="none"/>
        </w:rPr>
      </w:r>
      <w:r/>
    </w:p>
    <w:p>
      <w:pPr>
        <w:ind w:firstLine="480"/>
        <w:spacing w:line="360" w:lineRule="auto"/>
        <w:rPr>
          <w:rFonts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2.2.2江苏省居住证信息管理系统-苏州：与居住证制证管理系统对接，实现居住证申领数据的获取和制证数据反馈 ，构建‘采集-核验-制证-发放’一体化闭环功能。</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2.2.3密钥系统：实现对居住证芯片数据加密存储与解密读取；因苏州居住证密钥系统已与全省密钥系统对接，故必须实现无缝兼容省厅密钥标准。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2.3制证场所说明：</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2.3.1现有制证场所地址：苏州市工业园区通园路25号德发工贸园内B幢3楼。</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2.3.2现有制证场所概况：制证中心厂房建筑面积约1120平方米；产权人为苏州工业园区德发工贸有限公司。</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2.3.3其他说明：</w:t>
      </w:r>
      <w:r>
        <w:rPr>
          <w:color w:val="auto"/>
          <w:highlight w:val="none"/>
        </w:rPr>
      </w:r>
      <w:r/>
    </w:p>
    <w:p>
      <w:pPr>
        <w:pStyle w:val="1073"/>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中标后可延用现有制证场所；投标文件中需提供书面承诺：签订合同前与苏</w:t>
      </w:r>
      <w:r>
        <w:rPr>
          <w:rFonts w:hint="eastAsia" w:ascii="宋体" w:hAnsi="宋体" w:cs="宋体"/>
          <w:color w:val="auto"/>
          <w:sz w:val="24"/>
          <w:szCs w:val="24"/>
          <w:highlight w:val="none"/>
        </w:rPr>
        <w:t xml:space="preserve">州工业园区德发工贸有限公司签署壹年服务期间的租房合同及承担壹年服务期间的房屋租</w:t>
      </w:r>
      <w:r>
        <w:rPr>
          <w:rFonts w:hint="eastAsia" w:ascii="宋体" w:hAnsi="宋体" w:cs="宋体"/>
          <w:color w:val="auto"/>
          <w:sz w:val="24"/>
          <w:szCs w:val="24"/>
          <w:highlight w:val="none"/>
        </w:rPr>
        <w:t xml:space="preserve">金；否则</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有权拒签合同；</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报价时需考虑。</w:t>
      </w:r>
      <w:r>
        <w:rPr>
          <w:color w:val="auto"/>
          <w:highlight w:val="none"/>
        </w:rPr>
      </w:r>
      <w:r/>
    </w:p>
    <w:p>
      <w:pPr>
        <w:pStyle w:val="1073"/>
        <w:ind w:firstLine="480"/>
        <w:spacing w:line="360" w:lineRule="auto"/>
        <w:rPr>
          <w:rFonts w:ascii="宋体" w:hAnsi="宋体" w:cs="宋体"/>
          <w:color w:val="auto"/>
          <w:sz w:val="24"/>
          <w:szCs w:val="24"/>
          <w:highlight w:val="none"/>
        </w:rPr>
      </w:pPr>
      <w:r>
        <w:rPr>
          <w:rFonts w:ascii="Wingdings" w:hAnsi="Wingdings" w:cs="宋体"/>
          <w:color w:val="auto"/>
          <w:sz w:val="24"/>
          <w:szCs w:val="24"/>
          <w:highlight w:val="none"/>
        </w:rPr>
        <w:t xml:space="preserve">（二）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如不延用现有制证场所，投标文件中需提供书面承诺：</w:t>
      </w:r>
      <w:r>
        <w:rPr>
          <w:color w:val="auto"/>
          <w:highlight w:val="none"/>
        </w:rPr>
      </w:r>
      <w:r/>
    </w:p>
    <w:p>
      <w:pPr>
        <w:pStyle w:val="1073"/>
        <w:numPr>
          <w:ilvl w:val="0"/>
          <w:numId w:val="6"/>
        </w:numPr>
        <w:ind w:left="0" w:firstLine="480"/>
        <w:spacing w:line="360" w:lineRule="auto"/>
        <w:tabs>
          <w:tab w:val="left" w:pos="567" w:leader="none"/>
          <w:tab w:val="left" w:pos="70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签订合同前在苏州市区内（不含吴江区）提供制证场所（如为租赁需提供租赁合同；如为自有需提供房产证明文件）；</w:t>
      </w:r>
      <w:r>
        <w:rPr>
          <w:color w:val="auto"/>
          <w:highlight w:val="none"/>
        </w:rPr>
      </w:r>
      <w:r/>
    </w:p>
    <w:p>
      <w:pPr>
        <w:pStyle w:val="1073"/>
        <w:numPr>
          <w:ilvl w:val="0"/>
          <w:numId w:val="6"/>
        </w:numPr>
        <w:ind w:left="0" w:firstLine="480"/>
        <w:jc w:val="left"/>
        <w:spacing w:line="360" w:lineRule="auto"/>
        <w:tabs>
          <w:tab w:val="left" w:pos="567" w:leader="none"/>
          <w:tab w:val="left" w:pos="70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制证场所需满足现有设备、人员等居住证制作的生产要求并通过消防验收；场所建筑面积不小于1120平方米，层高不低于3.9米；选择在一楼以上制证场所需具备配套货梯，货梯承重不低于2.0吨；电源总功率不低于130KW（提供配套对应的380伏与220伏电路）；具有水路，保证生活区、卫生间正常运行，以及水路应当到达辅机房，以保证制冷设备正常工作；</w:t>
      </w:r>
      <w:r>
        <w:rPr>
          <w:color w:val="auto"/>
          <w:highlight w:val="none"/>
        </w:rPr>
      </w:r>
      <w:r/>
    </w:p>
    <w:p>
      <w:pPr>
        <w:pStyle w:val="1096"/>
        <w:numPr>
          <w:ilvl w:val="0"/>
          <w:numId w:val="6"/>
        </w:numPr>
        <w:ind w:left="0" w:firstLine="480"/>
        <w:jc w:val="left"/>
        <w:spacing w:line="360" w:lineRule="auto"/>
        <w:tabs>
          <w:tab w:val="left" w:pos="567" w:leader="none"/>
          <w:tab w:val="left" w:pos="709"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证场所需包含：办公区、会议区、生活区、原材料库房、废品库房、生产车间、机房、卫生间核心区域；其中原材料和废品库房建筑面积不小于180㎡；核心生产区域不小于300㎡；重点区域及安全通道具有配套视频监控系统，库房等重点区域安装报警联动系统；</w:t>
      </w:r>
      <w:r>
        <w:rPr>
          <w:color w:val="auto"/>
          <w:highlight w:val="none"/>
        </w:rPr>
      </w:r>
      <w:r/>
    </w:p>
    <w:p>
      <w:pPr>
        <w:pStyle w:val="1073"/>
        <w:numPr>
          <w:ilvl w:val="0"/>
          <w:numId w:val="6"/>
        </w:numPr>
        <w:ind w:left="0" w:firstLine="48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合同生效前落实所有搬迁事宜；由此产生的一切费用由</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自行承担；否则</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有权拒签合同；</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报价时需考虑。</w:t>
      </w:r>
      <w:r>
        <w:rPr>
          <w:color w:val="auto"/>
          <w:highlight w:val="none"/>
        </w:rPr>
      </w:r>
      <w:r/>
    </w:p>
    <w:p>
      <w:pPr>
        <w:pStyle w:val="1073"/>
        <w:ind w:firstLine="482"/>
        <w:spacing w:line="360" w:lineRule="auto"/>
        <w:tabs>
          <w:tab w:val="left" w:pos="567"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注：以上（一）、（二）两条由</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rPr>
        <w:t xml:space="preserve">根据实际情况进行选择，投标文件中需提供相关书面承诺函并加盖单位公章，否则视为无效投标。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2.4物流：制作完成的居住证需按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具体要求通过邮政快递下发到苏州全市各派出所。</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3、主要服务内容及要求：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3.1证件制作需符合江苏省公安厅规定的江苏省居住证证件制作管理工作规范。制发符合现有标准的“全省统一、全省通用”居住证，提高居住证办证率和及时有效性，缩短制证周期。</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3.2完成制证中心软件系统及硬件设备设施维护，确保制证中心稳定运行，保障制证不间断。</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完成居住证的制作和物流发放：证件制作需符合江苏省公安厅规定的江苏省居住证证件制作管理工作规范，确保成品证质量符合现有标准，并完全兼容江苏省现有居住证的相关标准；所有居住证通过邮政快递下发到苏州全市各派出所。</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3.4完成相关设备与管理系统软件的更新与维护；制证中心居住证制证管理系统与江苏省居住证信息管理系统-苏州系统的对接，实现居住证申领数据的获取和制证数据的反馈。</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苏州市居住证制证中心日常运营及维护：包括厂房租赁、水电物业费、快递、居住证生产辅材、居住证包装材料等；做好苏州市居住证制证中心的日常运营及设备维护工作，做好制证中心人员的培训及日常管理工作，确保制证中心有序、安全地运转。</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3.6居住证IC卡半成品采购：</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必须使用江苏省公安厅统一的单一芯片非接触式8K CPU卡，IC卡半成品按照江苏省公安厅相关要求执行。</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4、制证中心现有在用软硬件设备设施维护：</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4.1针对制证中心现有设备进行整体维护：包含每年一次（每年12月份）在用所有设备全面检修维护及项目周期内的日常维护。</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维护配件：包含多种规格的传感器、轨道、刹车、离合器、模具、激光传感器、气缸、电机、脚踏开关、加热管、热电偶、液控单向阀、变速箱、液压电机、换向阀、多种规格的继电器、液压油、防冻液、叠加溢流阀、电磁铁、光电组件、主控板等配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4.3维护清单：</w:t>
      </w:r>
      <w:r>
        <w:rPr>
          <w:color w:val="auto"/>
          <w:highlight w:val="none"/>
        </w:rPr>
      </w:r>
      <w:r/>
    </w:p>
    <w:tbl>
      <w:tblPr>
        <w:tblStyle w:val="97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32"/>
        <w:gridCol w:w="2376"/>
        <w:gridCol w:w="936"/>
        <w:gridCol w:w="5226"/>
      </w:tblGrid>
      <w:tr>
        <w:trPr>
          <w:trHeight w:val="397"/>
        </w:trPr>
        <w:tc>
          <w:tcPr>
            <w:tcW w:w="304"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品牌型号</w:t>
            </w:r>
            <w:r>
              <w:rPr>
                <w:color w:val="auto"/>
                <w:highlight w:val="none"/>
              </w:rPr>
            </w:r>
            <w:r/>
          </w:p>
        </w:tc>
        <w:tc>
          <w:tcPr>
            <w:tcW w:w="47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主要技术参数</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高速电写入发卡</w:t>
            </w:r>
            <w:r>
              <w:rPr>
                <w:rFonts w:hint="eastAsia" w:ascii="宋体" w:hAnsi="宋体" w:eastAsia="宋体" w:cs="宋体"/>
                <w:color w:val="auto"/>
                <w:sz w:val="24"/>
                <w:szCs w:val="24"/>
                <w:highlight w:val="none"/>
              </w:rPr>
              <w:t xml:space="preserve">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灵动通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LDT-FGF-5000</w:t>
            </w:r>
            <w:r>
              <w:rPr>
                <w:color w:val="auto"/>
                <w:highlight w:val="none"/>
              </w:rPr>
            </w:r>
            <w:r/>
          </w:p>
        </w:tc>
        <w:tc>
          <w:tcPr>
            <w:tcW w:w="47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重量：约300Kg</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电源：AC220V  50/60Hz</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额定功率：约1KW</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层压</w:t>
            </w:r>
            <w:r>
              <w:rPr>
                <w:rFonts w:hint="eastAsia" w:ascii="宋体" w:hAnsi="宋体" w:eastAsia="宋体" w:cs="宋体"/>
                <w:color w:val="auto"/>
                <w:sz w:val="24"/>
                <w:szCs w:val="24"/>
                <w:highlight w:val="none"/>
              </w:rPr>
              <w:t xml:space="preserve">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武汉文林 WENLIN-2014-FA5200</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制冷方式：水循环制冷、七进七出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加热方式：电加热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压力级别：热机压力12级，冷机压力5级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压力精度：士0.05Mpa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温度精度：士2（℃）</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层压板平整度：士0.05mm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加热板材料：冷、热机优质铝合金</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层压层数：七层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层压电压：380V 50HZ/ 26KW</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冲切</w:t>
            </w:r>
            <w:r>
              <w:rPr>
                <w:rFonts w:hint="eastAsia" w:ascii="宋体" w:hAnsi="宋体" w:eastAsia="宋体" w:cs="宋体"/>
                <w:color w:val="auto"/>
                <w:sz w:val="24"/>
                <w:szCs w:val="24"/>
                <w:highlight w:val="none"/>
              </w:rPr>
              <w:t xml:space="preserve">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灵动通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LDT-MCP-130</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电源：AC 380V/50 HZ</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总功率：约3.5KW</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气源：6kg/cm2（干燥/无水）</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耗气量：约30L/min</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重量：约650Kg</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产量：6000~14000 pcs /小时(冲头数越多产量越高)</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适用版面：3×8、4×8、5×5</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冲切精度：±0.10mm</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分拣机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TCIDS-42A</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分拣工作站数量：42口；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分拣速度：2400张/小时；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进卡槽容量：350张；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集卡槽、废卡槽容量：90张/每次；</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数据库</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浪潮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NF8465M4</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服务器类别：4U机架式服务器；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CPU：处理器：2颗八核XeonE7-4809v3(2.0GHz/8c)/6.4GT/20ML3</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内存：32G DDR3内存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硬盘：4*1T 热插拔SAS硬盘 2.5”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网络：集成四口千兆网口，支持网络冗余、网络唤醒、负载均衡等高级网络特性；</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戴尔 R940</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CPU/内存/硬盘：2.1G*4/16GB*16/900GB SAS 15K*24/PERC </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H740P/5720QP/1100W 冗电/线缆+扩展板/热插拔/24*2.5</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戴尔 R930</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类别：4U机架式，CPU：2*六核E7-4807处理器，内存：32GB，硬盘：4*1TB，RAID：支持RAID0、1、5、10，网络：集成双千兆网口，光驱：DVD-ROM，电源：2*1975W热插拔冗余电源。</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加密机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江南君安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SJ0923</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传输速率： 10M/100M/1G自适应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工作电压： ~220V±25％、50HZ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功耗： 85W</w:t>
            </w:r>
            <w:r>
              <w:rPr>
                <w:color w:val="auto"/>
                <w:highlight w:val="none"/>
              </w:rPr>
            </w:r>
            <w:r/>
          </w:p>
        </w:tc>
      </w:tr>
      <w:tr>
        <w:trPr>
          <w:trHeight w:val="397"/>
        </w:trPr>
        <w:tc>
          <w:tcPr>
            <w:tcW w:w="3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光纤交换机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DELL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2824</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传输速率：10/100/1000Mbps</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端口描述：24个10/100/1000BASE-T自动感应千兆以太网交换端口，2个SFP光纤组合端口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电源电压：100V，1A</w:t>
            </w:r>
            <w:r>
              <w:rPr>
                <w:color w:val="auto"/>
                <w:highlight w:val="none"/>
              </w:rPr>
            </w:r>
            <w:r/>
          </w:p>
        </w:tc>
      </w:tr>
      <w:tr>
        <w:trPr>
          <w:trHeight w:val="397"/>
        </w:trPr>
        <w:tc>
          <w:tcPr>
            <w:tcW w:w="304"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UPS</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山特 15KVA 65只C12-100</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在线式UPS，效率&gt;93.5%（在线模式）/98%（ECO模式），电池电压192V/216V240V可配</w:t>
            </w:r>
            <w:r>
              <w:rPr>
                <w:color w:val="auto"/>
                <w:highlight w:val="none"/>
              </w:rPr>
            </w:r>
            <w:r/>
          </w:p>
        </w:tc>
      </w:tr>
      <w:tr>
        <w:trPr>
          <w:trHeight w:val="397"/>
        </w:trPr>
        <w:tc>
          <w:tcPr>
            <w:tcW w:w="304"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格力</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格力品牌空调</w:t>
            </w:r>
            <w:r>
              <w:rPr>
                <w:color w:val="auto"/>
                <w:highlight w:val="none"/>
              </w:rPr>
            </w:r>
            <w:r/>
          </w:p>
        </w:tc>
      </w:tr>
      <w:tr>
        <w:trPr>
          <w:trHeight w:val="397"/>
        </w:trPr>
        <w:tc>
          <w:tcPr>
            <w:tcW w:w="304"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color w:val="auto"/>
                <w:highlight w:val="none"/>
              </w:rPr>
            </w:r>
            <w:r/>
          </w:p>
        </w:tc>
        <w:tc>
          <w:tcPr>
            <w:tcW w:w="637"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碎卡机</w:t>
            </w:r>
            <w:r>
              <w:rPr>
                <w:color w:val="auto"/>
                <w:highlight w:val="none"/>
              </w:rPr>
            </w:r>
            <w:r/>
          </w:p>
        </w:tc>
        <w:tc>
          <w:tcPr>
            <w:tcW w:w="637" w:type="pct"/>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科密 SD-100K</w:t>
            </w:r>
            <w:r>
              <w:rPr>
                <w:color w:val="auto"/>
                <w:highlight w:val="none"/>
              </w:rPr>
            </w:r>
            <w:r/>
          </w:p>
        </w:tc>
        <w:tc>
          <w:tcPr>
            <w:tcW w:w="477"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rPr>
                <w:color w:val="auto"/>
                <w:highlight w:val="none"/>
              </w:rPr>
            </w:r>
            <w:r/>
          </w:p>
        </w:tc>
        <w:tc>
          <w:tcPr>
            <w:tcW w:w="2943" w:type="pct"/>
            <w:vAlign w:val="center"/>
            <w:textDirection w:val="lrTb"/>
            <w:noWrap w:val="false"/>
          </w:tcPr>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尺寸：≤543mmX500mmX945mm</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毛重：约121kg</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碎纸效果：4x35mm</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单次碎纸量：不低于35张</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碎纸宽度：300mm</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碎纸速度：2.85米/分</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纸桶容量：85升</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碎纸时间：24小时</w:t>
            </w:r>
            <w:r>
              <w:rPr>
                <w:color w:val="auto"/>
                <w:highlight w:val="none"/>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功率：950w</w:t>
            </w:r>
            <w:r>
              <w:rPr>
                <w:color w:val="auto"/>
                <w:highlight w:val="none"/>
              </w:rPr>
            </w:r>
            <w:r/>
          </w:p>
        </w:tc>
      </w:tr>
    </w:tbl>
    <w:p>
      <w:pPr>
        <w:numPr>
          <w:ilvl w:val="0"/>
          <w:numId w:val="7"/>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半成品卡库存管理</w:t>
      </w:r>
      <w:bookmarkStart w:id="41" w:name="OLE_LINK17"/>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5.1居住证成品卡卡体分为5 层：Inlay层（厚度 0. 48mm 士 0. 05mm），印刷层（ 正反2层），腹膜层（正反2 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5.2居住证IC卡半成品卡是指Inlay层（包括芯片、COS、基材）。具体要求：</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 Inlay层不少于三层，芯片和线圈不能裸露在外；</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 Inlay层（小张）尺寸：大小不小于88.0mm</w:t>
      </w:r>
      <w:r>
        <w:rPr>
          <w:rFonts w:ascii="Symbol" w:hAnsi="Symbol" w:eastAsia="Symbol" w:cs="Symbol"/>
          <w:color w:val="auto"/>
          <w:sz w:val="24"/>
          <w:szCs w:val="24"/>
          <w:highlight w:val="none"/>
        </w:rPr>
        <w:t xml:space="preserve">´</w:t>
      </w:r>
      <w:r>
        <w:rPr>
          <w:rFonts w:hint="eastAsia" w:ascii="宋体" w:hAnsi="宋体" w:eastAsia="宋体" w:cs="宋体"/>
          <w:color w:val="auto"/>
          <w:sz w:val="24"/>
          <w:szCs w:val="24"/>
          <w:highlight w:val="none"/>
        </w:rPr>
        <w:t xml:space="preserve">57.0mm；</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 Inlay层厚度：0.43~0.53mm之间。</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5.3芯片存储介质采用高可靠性EEPROM，具有非接触式接口，符合《中国金融集成电路(IC)卡规范》(JR/T 0025—2010)、国家标准GB/T14916、GB/T17554、国际ISO/IEC14443 Type A类型传输标准。具体要求如下：</w:t>
      </w:r>
      <w:r>
        <w:rPr>
          <w:color w:val="auto"/>
          <w:highlight w:val="none"/>
        </w:rPr>
      </w:r>
      <w:r/>
    </w:p>
    <w:tbl>
      <w:tblPr>
        <w:tblStyle w:val="979"/>
        <w:tblW w:w="91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2096"/>
        <w:gridCol w:w="6379"/>
      </w:tblGrid>
      <w:tr>
        <w:trPr>
          <w:jc w:val="center"/>
          <w:trHeight w:val="405"/>
        </w:trPr>
        <w:tc>
          <w:tcPr>
            <w:tcW w:w="711" w:type="dxa"/>
            <w:textDirection w:val="lrTb"/>
            <w:noWrap w:val="false"/>
          </w:tcPr>
          <w:p>
            <w:pPr>
              <w:pStyle w:val="1010"/>
              <w:ind w:left="0" w:firstLine="0"/>
              <w:jc w:val="center"/>
              <w:keepLines w:val="0"/>
              <w:keepNext w:val="0"/>
              <w:pageBreakBefore w:val="0"/>
              <w:spacing w:after="0" w:line="360" w:lineRule="auto"/>
              <w:widowControl w:val="off"/>
              <w:rPr>
                <w:rFonts w:hAnsi="宋体" w:cs="宋体"/>
                <w:b/>
                <w:bCs/>
                <w:color w:val="auto"/>
                <w:sz w:val="24"/>
                <w:szCs w:val="24"/>
                <w:highlight w:val="none"/>
              </w:rPr>
            </w:pPr>
            <w:r>
              <w:rPr>
                <w:rFonts w:hint="eastAsia" w:hAnsi="宋体" w:cs="宋体"/>
                <w:b/>
                <w:bCs/>
                <w:color w:val="auto"/>
                <w:sz w:val="24"/>
                <w:szCs w:val="24"/>
                <w:highlight w:val="none"/>
              </w:rPr>
              <w:t xml:space="preserve">序号</w:t>
            </w:r>
            <w:r>
              <w:rPr>
                <w:color w:val="auto"/>
                <w:highlight w:val="none"/>
              </w:rPr>
            </w:r>
            <w:r/>
          </w:p>
        </w:tc>
        <w:tc>
          <w:tcPr>
            <w:tcW w:w="2096" w:type="dxa"/>
            <w:textDirection w:val="lrTb"/>
            <w:noWrap w:val="false"/>
          </w:tcPr>
          <w:p>
            <w:pPr>
              <w:pStyle w:val="1010"/>
              <w:ind w:left="0" w:firstLine="0"/>
              <w:keepLines w:val="0"/>
              <w:keepNext w:val="0"/>
              <w:pageBreakBefore w:val="0"/>
              <w:spacing w:after="0" w:line="360" w:lineRule="auto"/>
              <w:widowControl w:val="off"/>
              <w:rPr>
                <w:rFonts w:hAnsi="宋体" w:cs="宋体"/>
                <w:b/>
                <w:bCs/>
                <w:color w:val="auto"/>
                <w:sz w:val="24"/>
                <w:szCs w:val="24"/>
                <w:highlight w:val="none"/>
              </w:rPr>
            </w:pPr>
            <w:r>
              <w:rPr>
                <w:rFonts w:hint="eastAsia" w:hAnsi="宋体" w:cs="宋体"/>
                <w:b/>
                <w:bCs/>
                <w:color w:val="auto"/>
                <w:sz w:val="24"/>
                <w:szCs w:val="24"/>
                <w:highlight w:val="none"/>
              </w:rPr>
              <w:t xml:space="preserve">技术要素</w:t>
            </w:r>
            <w:r>
              <w:rPr>
                <w:color w:val="auto"/>
                <w:highlight w:val="none"/>
              </w:rPr>
            </w:r>
            <w:r/>
          </w:p>
        </w:tc>
        <w:tc>
          <w:tcPr>
            <w:tcW w:w="6379" w:type="dxa"/>
            <w:textDirection w:val="lrTb"/>
            <w:noWrap w:val="false"/>
          </w:tcPr>
          <w:p>
            <w:pPr>
              <w:pStyle w:val="1010"/>
              <w:ind w:left="0" w:firstLine="0"/>
              <w:jc w:val="center"/>
              <w:keepLines w:val="0"/>
              <w:keepNext w:val="0"/>
              <w:pageBreakBefore w:val="0"/>
              <w:spacing w:after="0" w:line="360" w:lineRule="auto"/>
              <w:widowControl w:val="off"/>
              <w:rPr>
                <w:rFonts w:hAnsi="宋体" w:cs="宋体"/>
                <w:b/>
                <w:bCs/>
                <w:color w:val="auto"/>
                <w:sz w:val="24"/>
                <w:szCs w:val="24"/>
                <w:highlight w:val="none"/>
              </w:rPr>
            </w:pPr>
            <w:r>
              <w:rPr>
                <w:rFonts w:hint="eastAsia" w:hAnsi="宋体" w:cs="宋体"/>
                <w:b/>
                <w:bCs/>
                <w:color w:val="auto"/>
                <w:sz w:val="24"/>
                <w:szCs w:val="24"/>
                <w:highlight w:val="none"/>
              </w:rPr>
              <w:t xml:space="preserve">指标要求</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1</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工作场强</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CPU模式下1.5A/m~7.5A/m</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2</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处理器</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采用8051内核(指令处理周期：4个时钟周期)</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3</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存储器</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8K字节EEPROM</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ROM不小于32K字节</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EEPROM擦写次数不小于100，000次</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EEPROM数据保持不小于10年</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硬件支持SM1算法</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真随机数发生器(RNG)</w:t>
            </w:r>
            <w:r>
              <w:rPr>
                <w:color w:val="auto"/>
                <w:highlight w:val="none"/>
              </w:rPr>
            </w:r>
            <w:r/>
          </w:p>
        </w:tc>
      </w:tr>
      <w:tr>
        <w:trPr>
          <w:jc w:val="center"/>
        </w:trPr>
        <w:tc>
          <w:tcPr>
            <w:tcW w:w="711"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r/>
          </w:p>
        </w:tc>
        <w:tc>
          <w:tcPr>
            <w:tcW w:w="209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安全机制</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非正常的工作温度和工作场强检测机制，安检超出复位系统</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5</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数据加密</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EEPROM、ROM、IRAM和XRAM的数据均可以加密保护</w:t>
            </w:r>
            <w:r>
              <w:rPr>
                <w:color w:val="auto"/>
                <w:highlight w:val="none"/>
              </w:rPr>
            </w:r>
            <w:r/>
          </w:p>
        </w:tc>
      </w:tr>
      <w:tr>
        <w:trPr>
          <w:jc w:val="center"/>
        </w:trPr>
        <w:tc>
          <w:tcPr>
            <w:tcW w:w="711"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r/>
          </w:p>
        </w:tc>
        <w:tc>
          <w:tcPr>
            <w:tcW w:w="209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定时器</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2个可编程定时器/计数器</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7</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ESD</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HBM模式大于4KV</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8</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工作温度</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 +70℃</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9</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存储温度</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 +85℃</w:t>
            </w:r>
            <w:r>
              <w:rPr>
                <w:color w:val="auto"/>
                <w:highlight w:val="none"/>
              </w:rPr>
            </w:r>
            <w:r/>
          </w:p>
        </w:tc>
      </w:tr>
      <w:tr>
        <w:trPr>
          <w:jc w:val="center"/>
        </w:trPr>
        <w:tc>
          <w:tcPr>
            <w:tcW w:w="711"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10</w:t>
            </w:r>
            <w:r>
              <w:rPr>
                <w:color w:val="auto"/>
                <w:highlight w:val="none"/>
              </w:rPr>
            </w:r>
            <w:r/>
          </w:p>
        </w:tc>
        <w:tc>
          <w:tcPr>
            <w:tcW w:w="2096" w:type="dxa"/>
            <w:vAlign w:val="center"/>
            <w:textDirection w:val="lrTb"/>
            <w:noWrap w:val="false"/>
          </w:tcPr>
          <w:p>
            <w:pPr>
              <w:pStyle w:val="1010"/>
              <w:ind w:left="0" w:firstLine="0"/>
              <w:jc w:val="center"/>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数据传输速率</w:t>
            </w:r>
            <w:r>
              <w:rPr>
                <w:color w:val="auto"/>
                <w:highlight w:val="none"/>
              </w:rPr>
            </w:r>
            <w:r/>
          </w:p>
        </w:tc>
        <w:tc>
          <w:tcPr>
            <w:tcW w:w="6379"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106Kbps</w:t>
            </w:r>
            <w:r>
              <w:rPr>
                <w:color w:val="auto"/>
                <w:highlight w:val="none"/>
              </w:rPr>
            </w:r>
            <w:r/>
          </w:p>
        </w:tc>
      </w:tr>
    </w:tbl>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w:t>
      </w:r>
      <w:r>
        <w:rPr>
          <w:rFonts w:hint="eastAsia" w:ascii="宋体" w:hAnsi="宋体" w:eastAsia="宋体" w:cs="宋体"/>
          <w:bCs/>
          <w:color w:val="auto"/>
          <w:sz w:val="24"/>
          <w:szCs w:val="24"/>
          <w:highlight w:val="none"/>
        </w:rPr>
        <w:t xml:space="preserve">卡片操作系统(COS)：支持单COS多应用架构，同时支持居住证应用和其它社会应用；通过COS内部防火墙机制，确保居住证应用和其它社会应用从安全、文件系统、命令等各方面进行独立管理，互不影响。</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5.4.1采用硬掩膜技术。</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5.4.2根据用户要求开发专用指令。</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5.4.3支持一卡多应用，各应用之间相互独立(多应用、防火墙功能)。</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5.4.4支持多级目录管理。</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5.4.5支持多种文件类型，包括透明文件、记录文件、安全文件、循环文件、变长记录文件、密钥文件等。</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5.4.6在通讯过程中支持多种安全保护机制信息的机密性和完整性保护。</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5.4.7支持多种安全访问方式和权限(认证功能和口令保护)。</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5.4.8硬件支持SM1算法。</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5.4.9支持中国人民银行规定的电子钱包和电子存折功能。</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5.4.1支持应用扩充，随时通过卡管理平台安全加载新应用或对老应用新增应用数据。</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5.4.11支持符合ISO14443 TYPEA规范的非接触式接口界面。</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5.5系统对接要求: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5.5.1江苏省居住证信息管理系统-苏州系统负责全市流动人口、居住房屋和居住证的管理；符合办理条件并提出办理申请的流动人口办理居住证，相关信息的采集及后续证件管理江苏省居住证信息管理系统-苏州系统负责。</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5.5.2制证中心居住证制证管理系统支持整个制证中心的日常运作，包含生产、物料控制、库房管理及发货运输的核心系统，可统计、查询、管理人员与社保及监控生产过程；为了确保制证数据的准确可靠，以及方面后续的证件管理，制证中心居住证制证管理系统需要与江苏省居住证信息管理系统-苏州系统实现对接，完成居住证申领数据的获取和制证数据的反馈。</w:t>
      </w:r>
      <w:bookmarkEnd w:id="41"/>
      <w:r>
        <w:rPr>
          <w:color w:val="auto"/>
          <w:highlight w:val="none"/>
        </w:rPr>
      </w:r>
      <w:r/>
    </w:p>
    <w:p>
      <w:pPr>
        <w:numPr>
          <w:ilvl w:val="0"/>
          <w:numId w:val="7"/>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居住证制作要求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6.居住证制作要求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6.1居</w:t>
      </w:r>
      <w:r>
        <w:rPr>
          <w:rFonts w:hint="eastAsia" w:ascii="宋体" w:hAnsi="宋体" w:eastAsia="宋体" w:cs="宋体"/>
          <w:color w:val="auto"/>
          <w:sz w:val="24"/>
          <w:szCs w:val="24"/>
          <w:highlight w:val="none"/>
        </w:rPr>
        <w:t xml:space="preserve">住证证件式样</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6.1.1证件正面：尺寸85.6mmx54.0mmxl.0</w:t>
      </w:r>
      <w:r>
        <w:rPr>
          <w:rFonts w:hint="eastAsia" w:ascii="宋体" w:hAnsi="宋体" w:eastAsia="宋体" w:cs="宋体"/>
          <w:color w:val="auto"/>
          <w:sz w:val="24"/>
          <w:szCs w:val="24"/>
          <w:highlight w:val="none"/>
          <w:lang w:val="en-US" w:eastAsia="zh-CN"/>
        </w:rPr>
        <w:t xml:space="preserve">m</w:t>
      </w:r>
      <w:r>
        <w:rPr>
          <w:rFonts w:hint="eastAsia" w:ascii="宋体" w:hAnsi="宋体" w:eastAsia="宋体" w:cs="宋体"/>
          <w:color w:val="auto"/>
          <w:sz w:val="24"/>
          <w:szCs w:val="24"/>
          <w:highlight w:val="none"/>
        </w:rPr>
        <w:t xml:space="preserve">m；四角为圆角， 圆角半径为3.2mm。</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6.1.2证件背面：相片尺寸 32mmx26mm；正面、免冠、彩色，头部约占相片尺寸2/3。</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6.1.3具体式样如下 ；</w:t>
      </w:r>
      <w:r>
        <w:rPr>
          <w:color w:val="auto"/>
          <w:highlight w:val="none"/>
        </w:rPr>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mc:AlternateContent>
          <mc:Choice Requires="wpg">
            <w:drawing>
              <wp:inline xmlns:wp="http://schemas.openxmlformats.org/drawingml/2006/wordprocessingDrawing" distT="0" distB="0" distL="0" distR="0">
                <wp:extent cx="3947160" cy="2903220"/>
                <wp:effectExtent l="0" t="0" r="15240" b="1143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8"/>
                        <a:stretch/>
                      </pic:blipFill>
                      <pic:spPr bwMode="auto">
                        <a:xfrm>
                          <a:off x="0" y="0"/>
                          <a:ext cx="3947160" cy="290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0.8pt;height:228.6pt;mso-wrap-distance-left:0.0pt;mso-wrap-distance-top:0.0pt;mso-wrap-distance-right:0.0pt;mso-wrap-distance-bottom:0.0pt;" stroked="f">
                <v:path textboxrect="0,0,0,0"/>
                <v:imagedata r:id="rId18" o:title=""/>
              </v:shape>
            </w:pict>
          </mc:Fallback>
        </mc:AlternateConten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6.2卡体印刷要求</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6.2.1色彩：图案和颜色应以设计原稿样卡为准，复制真实、自然，且同一产品不同批次生产的卡片，颜色基本一致。</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印刷：没有内容错误、漏印刷、印刷图案或字符方向错误、印刷位置错误问题；表面没有明显色斑、条纹，图案或字符有明显重影、毛刺或缺损；卡片图案和文字符号及印刷式样可根据客户要求设计；卡经覆膜处理后，图案精美、色泽鲜艳、表面耐磨，在正常应用情况下，图案不褪色、不剥落。</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6.3卡体技术指标要求</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6.3.1卡基材质要求：居住证卡体材质采用符合国家标准的PVC。</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卡体要求：符合ISO7816-1&amp;2的参考标准;片基85.47mm≤长度≤85.72mm，53.92mm≤宽度≤54.03mm；厚度：0.88mm≤正卡厚度≤1.04mm，导角：3.2mm的圆弧。卡体边沿：卡体的边沿光滑，毛刺小于0.08mm；卡体表面透明覆膜；卡体复合强度：卡片的卡基、热合透明膜应复合良好，卡片没有起层、气泡、剥离等现象。</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外观：卡片外观没有明显变形，凹凸不平，卡片上没有孔、坑、损伤、破裂、划伤、磨毛、热合亮斑等；卡片尘点、墨点、气泡、杂质等异常斑点或异物不超过6个；卡片平直；自然光下距离20cm处肉眼直视不能目测到芯片。外观要求如下：</w:t>
      </w:r>
      <w:r>
        <w:rPr>
          <w:color w:val="auto"/>
          <w:highlight w:val="none"/>
        </w:rPr>
      </w:r>
      <w:r/>
    </w:p>
    <w:tbl>
      <w:tblPr>
        <w:tblStyle w:val="979"/>
        <w:tblW w:w="8568"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7246"/>
      </w:tblGrid>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color w:val="auto"/>
                <w:highlight w:val="none"/>
              </w:rPr>
            </w:r>
            <w:r/>
          </w:p>
        </w:tc>
        <w:tc>
          <w:tcPr>
            <w:tcW w:w="7246"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   准</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光洁</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无气泡、凹凸点及脏污；</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黑点</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无直径＞0.2㎜的明显黑点；</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直径﹤0.2㎜的不明显黑点：正面不超过1个；反面不超过2个；</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无长度＞0.5㎜的细小杂质纤维；</w:t>
            </w:r>
            <w:r>
              <w:rPr>
                <w:color w:val="auto"/>
                <w:highlight w:val="none"/>
              </w:rPr>
            </w:r>
            <w:r/>
          </w:p>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长度﹤0.5㎜的细小杂质纤维：正面不超过1个；反面不超过2个；</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色斑</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无直径＞0.5㎜杂色斑；正反面不超过2个；</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划痕</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无长度＞5㎜的细划痕；长度﹤5㎜的细划痕：不超过2条；</w:t>
            </w:r>
            <w:r>
              <w:rPr>
                <w:color w:val="auto"/>
                <w:highlight w:val="none"/>
              </w:rPr>
            </w:r>
            <w:r/>
          </w:p>
        </w:tc>
      </w:tr>
      <w:tr>
        <w:trPr/>
        <w:tc>
          <w:tcPr>
            <w:tcW w:w="1322"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色差</w:t>
            </w:r>
            <w:r>
              <w:rPr>
                <w:color w:val="auto"/>
                <w:highlight w:val="none"/>
              </w:rPr>
            </w:r>
            <w:r/>
          </w:p>
        </w:tc>
        <w:tc>
          <w:tcPr>
            <w:tcW w:w="7246" w:type="dxa"/>
            <w:vAlign w:val="center"/>
            <w:textDirection w:val="lrTb"/>
            <w:noWrap w:val="false"/>
          </w:tcPr>
          <w:p>
            <w:pPr>
              <w:ind w:firstLine="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不超出±5 %。</w:t>
            </w:r>
            <w:r>
              <w:rPr>
                <w:color w:val="auto"/>
                <w:highlight w:val="none"/>
              </w:rPr>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6.3.4卡片机电特性要求：机械特性、电气特性必须符合ISO/IEC14443系列标准中的要求。卡的弯曲翘曲符合GB/T 14916标准，卡片动态扭曲达到1000次，卡片动态弯曲达到1000次，卡片的层间剥离强度符合GB/T 14916标准。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6.4居住证初始化要求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6.4.1密钥系统实现对居住证芯片数据的加密存储与解密读取。苏州居住证密钥系统已与江苏省公安厅密钥系统对接，实现无缝兼容省厅密钥标准。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6.4.2居住证证件在制作的过程中，需完成密钥的写入，对芯片进行初始化；并保证数据安全与正确性。</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6.4.3需保证密钥安全，保证不将招标人提供的发卡对象相关信息应用于其它非授权目的，保证数据不向第三者泄漏。</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居住证卡内数据要求:按照全省居住证“一证通”的要求，结合流动人口服务管理实际需要，对个人基本信息、居住信息、随行家庭成员信息、政府部门信息、其他社会应用信息等制定全省统一的卡内信息存储规范（字节写入顺序），保证各地申领发放的居住证能在全省通用，同时又能兼顾各地市本地的个性化信息采集和管理需求。因此居住证证件在制作的过程中，需完成相关信息的写入工作，具体写入信息和写入规范中标后由采购人另行提供。</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6.6证件制作其他要求</w:t>
      </w:r>
      <w:r>
        <w:rPr>
          <w:color w:val="auto"/>
          <w:highlight w:val="none"/>
        </w:rPr>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6.6.1网络要求：承诺中标后相关数据需运行于苏州市公安局公安信息专网。</w:t>
      </w:r>
      <w:r>
        <w:rPr>
          <w:rFonts w:hint="eastAsia" w:ascii="宋体" w:hAnsi="宋体" w:eastAsia="宋体" w:cs="宋体"/>
          <w:b/>
          <w:bCs/>
          <w:color w:val="auto"/>
          <w:sz w:val="24"/>
          <w:szCs w:val="24"/>
          <w:highlight w:val="none"/>
        </w:rPr>
        <w:t xml:space="preserve">(投标文件中需提供相关书面承诺函并加盖单位公章，否则视为无效投标)</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6.6.2产能要求：工作日按单班计，每班8小时，日产能不低于1.6万张居住证成品卡。</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6.6.3制作时间要求：接到制证数据后【7】个工作日内完成居住证的制作，并按照流程进行发放。</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6.6.4证件成品包装及物流：成品居住证证件须按照不同的派出所分拣与打包，并快递至姑苏区、虎丘区、相城区、吴中区（含度假区）、园区、吴江区、常熟市、张家港市、昆山市、太仓市各地派出所。</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7、苏州市居住证制证中心运营及人员管理要求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配置人员及要求：本期项目结合预估的制证数量和日（工作日）产能要求，计划制证中心投入共计不少于12人，其中包含至少10名生产员工、2名管理人员（管理人员需为大专及以上学历，需专职，不得兼职。具备相关专业背景，负责项目签订后的整个运作过程，计划、协调、管理、监控和跟踪项目，合理安排项目进度、为项目组织人力资源，确保项目的顺利实施）</w:t>
      </w:r>
      <w:r>
        <w:rPr>
          <w:rFonts w:hint="eastAsia" w:ascii="宋体" w:hAnsi="宋体" w:eastAsia="宋体" w:cs="宋体"/>
          <w:color w:val="auto"/>
          <w:sz w:val="24"/>
          <w:szCs w:val="24"/>
          <w:highlight w:val="none"/>
        </w:rPr>
        <w:t xml:space="preserve">。全员分班分组负责制证中心的日常制发证、物料管理、物流货运等</w:t>
      </w:r>
      <w:r>
        <w:rPr>
          <w:rFonts w:hint="eastAsia" w:ascii="宋体" w:hAnsi="宋体" w:eastAsia="宋体" w:cs="宋体"/>
          <w:color w:val="auto"/>
          <w:sz w:val="24"/>
          <w:szCs w:val="24"/>
          <w:highlight w:val="none"/>
        </w:rPr>
        <w:t xml:space="preserve">工作。</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应本着认真负责的态度组织项目团队，投标文件中的项目组主要成员名单，在中标后不经招标单位允许不得随意更换，否则，招标单位有权作为违约处理直至终止合同。</w:t>
      </w:r>
      <w:r>
        <w:rPr>
          <w:color w:val="auto"/>
          <w:highlight w:val="none"/>
        </w:rPr>
      </w:r>
      <w:r/>
    </w:p>
    <w:p>
      <w:pPr>
        <w:pStyle w:val="1010"/>
        <w:ind w:left="0" w:firstLine="482"/>
        <w:spacing w:after="0"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注：上述所有人员须提供响应单位为其缴纳的最近一期社保证明扫描件，未提供或不符合要求的视为非实质性响应。</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制证中心运营：包含但不限于采购需求中的设备采购、半成品卡采购、打印耗材、证件制作配套材料、厂房的租赁、厂房水电、办公网络；证件生产过程中涉及的办公用品、居住证生产辅材、工具、现有设备维修和备品备件；成品证按派出所快递；制证中心全员工</w:t>
      </w:r>
      <w:r>
        <w:rPr>
          <w:rFonts w:hint="eastAsia" w:ascii="宋体" w:hAnsi="宋体" w:eastAsia="宋体" w:cs="宋体"/>
          <w:color w:val="auto"/>
          <w:sz w:val="24"/>
          <w:szCs w:val="24"/>
          <w:highlight w:val="none"/>
        </w:rPr>
        <w:t xml:space="preserve">资福利、员工宿舍及租房等。</w:t>
      </w:r>
      <w:r>
        <w:rPr>
          <w:color w:val="auto"/>
          <w:highlight w:val="none"/>
        </w:rPr>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7.3为确保居住证制证生产的连续稳定，</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在投标文件中提供书面承诺：签订合同前完成人员到位（投入人员不少于12人，其中包含至少10名生产员工、2名管理人员），确保人员技能满足生产产能、技能等招标要求，确保制证生产的连续稳定，不能停工停产。</w:t>
      </w:r>
      <w:r>
        <w:rPr>
          <w:rFonts w:hint="eastAsia" w:ascii="宋体" w:hAnsi="宋体" w:eastAsia="宋体" w:cs="宋体"/>
          <w:b/>
          <w:bCs/>
          <w:color w:val="auto"/>
          <w:sz w:val="24"/>
          <w:szCs w:val="24"/>
          <w:highlight w:val="none"/>
        </w:rPr>
        <w:t xml:space="preserve">（注：投标文件中需提供相关书面承诺函并加盖单位公章，否则视为无效投标）</w:t>
      </w:r>
      <w:r>
        <w:rPr>
          <w:color w:val="auto"/>
          <w:highlight w:val="none"/>
        </w:rPr>
      </w:r>
      <w:r/>
    </w:p>
    <w:p>
      <w:pPr>
        <w:pStyle w:val="1087"/>
        <w:ind w:left="0" w:firstLine="482"/>
        <w:spacing w:before="0"/>
        <w:tabs>
          <w:tab w:val="left" w:pos="1267" w:leader="none"/>
        </w:tabs>
        <w:rPr>
          <w:rFonts w:eastAsia="宋体" w:cs="宋体"/>
          <w:b/>
          <w:bCs/>
          <w:color w:val="auto"/>
          <w:sz w:val="24"/>
          <w:szCs w:val="24"/>
          <w:highlight w:val="none"/>
        </w:rPr>
      </w:pPr>
      <w:r>
        <w:rPr>
          <w:rFonts w:hint="eastAsia" w:eastAsia="宋体" w:cs="宋体"/>
          <w:b/>
          <w:color w:val="auto"/>
          <w:sz w:val="24"/>
          <w:szCs w:val="24"/>
          <w:highlight w:val="none"/>
        </w:rPr>
        <w:t xml:space="preserve">二、</w:t>
      </w:r>
      <w:r>
        <w:rPr>
          <w:rFonts w:hint="eastAsia" w:eastAsia="宋体" w:cs="宋体"/>
          <w:b/>
          <w:bCs/>
          <w:color w:val="auto"/>
          <w:sz w:val="24"/>
          <w:szCs w:val="24"/>
          <w:highlight w:val="none"/>
        </w:rPr>
        <w:t xml:space="preserve">其他要求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提供的服务能够至少达到以上要求，同时明确详细的服务方案，请充分考虑项目实施过程中的人员安排。</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2、投标人必须承诺招标文件中提出的全部服务要求，如果其中某些条款不响应时，应在文件中逐条列出，未列出的视同响应。</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3、本次招标报价为最终报价，投标文件中的报价</w:t>
      </w:r>
      <w:r>
        <w:rPr>
          <w:rFonts w:hint="eastAsia" w:ascii="宋体" w:hAnsi="宋体" w:eastAsia="宋体" w:cs="宋体"/>
          <w:color w:val="auto"/>
          <w:sz w:val="24"/>
          <w:szCs w:val="24"/>
          <w:highlight w:val="none"/>
        </w:rPr>
        <w:t xml:space="preserve">包括居住证制作、居住证制证中心厂房租赁、制证中心现有制证设备维护、物流发放、居住证制证中心运营及员工管理、人工、保险、加班费、质保及其它辅助费用、利润、税金、代理服务费、政策性文件规定及合同包含的所有风险、责任等各项应有费用。</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要求：居住证制作实施各阶段进行严格的质量监督与控制。在项目实施过程中要引入风险管理、质量管理、文档管理等管理办法，加强系统软硬件测试及问题跟踪管理，严格按照双方确定的计划进度保质保量完成工作。</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5、售后服务及维保要求：</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5.1负责设备与配件到货后的免费安装、调试、培训；必须提供技术支持。</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5.2维护期内提供7×24小时不间断的技术支持响应；技术支持方式包括：电话技术服务、现场技术服务、定期巡查服务、技术升级服务等，提供现场技术培训，为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培训相关系统管理、系统及设备常见故障排除等知识与技能；须提供详细的培训方案及资料。</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5.3设备发生软、硬件故障，应在1小时内予以响应（免费上门服务），8小时内解决问题，否则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将自行采取必要措施，由此产生的风险和费用由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5.4提供包括用户使用手册、维护手册、技术白皮书等在内的完备准确的工程技术资料。安装和系统调测期间，</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和监理单位有权派出技术人员参加，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有义务提供技术咨询；系统运行期，如发生系统软件扩展升级等情况，负责现场升级和向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提供必要的技术资料。</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5.5系统运行期间应向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提供系统维护和管理文档，并提供运行期间的系统安装、调试、使用、维护、升级和新技术推荐等方面的咨询服务。</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 6、验收要求：</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验收时间：</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）、随机对制作的证件进行抽检；</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）、每月的月初对上月的服务进行考核。</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验收方式：现场验收</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验收标准：</w:t>
      </w:r>
      <w:r>
        <w:rPr>
          <w:color w:val="auto"/>
          <w:highlight w:val="none"/>
        </w:rPr>
      </w:r>
      <w:r/>
    </w:p>
    <w:p>
      <w:pPr>
        <w:pStyle w:val="1010"/>
        <w:ind w:left="0"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（1）原有设备维护的验收：根据维护清单品牌型号、数量等进行维护：包含每年一次（每年12月份）在用所有设备全面检修维护及项目周期内的日常维护。</w:t>
      </w:r>
      <w:r>
        <w:rPr>
          <w:color w:val="auto"/>
          <w:highlight w:val="none"/>
        </w:rPr>
      </w:r>
      <w:r/>
    </w:p>
    <w:p>
      <w:pPr>
        <w:pStyle w:val="1010"/>
        <w:ind w:left="0"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（2）按照招标要求中有关对证件信息、尺寸、外观等要求对成品居住证进行随机抽检验收。随机抽检比例为0.5%；</w:t>
      </w:r>
      <w:r>
        <w:rPr>
          <w:color w:val="auto"/>
          <w:highlight w:val="none"/>
        </w:rPr>
      </w:r>
      <w:r/>
    </w:p>
    <w:p>
      <w:pPr>
        <w:pStyle w:val="1010"/>
        <w:ind w:left="0" w:firstLine="480"/>
        <w:keepLines w:val="0"/>
        <w:keepNext w:val="0"/>
        <w:pageBreakBefore w:val="0"/>
        <w:spacing w:after="0"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（3）月度考核：具体以月度考核表内容为准。</w:t>
      </w:r>
      <w:r>
        <w:rPr>
          <w:color w:val="auto"/>
          <w:highlight w:val="none"/>
        </w:rPr>
      </w:r>
      <w:r/>
    </w:p>
    <w:p>
      <w:pPr>
        <w:pStyle w:val="1010"/>
        <w:ind w:left="0" w:firstLine="480"/>
        <w:keepLines w:val="0"/>
        <w:keepNext w:val="0"/>
        <w:pageBreakBefore w:val="0"/>
        <w:spacing w:after="0"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根据招标文件、合同及有关规定并按国家最新行业标准进行验收通过</w:t>
      </w:r>
      <w:r>
        <w:rPr>
          <w:rFonts w:hint="eastAsia" w:hAnsi="宋体" w:cs="宋体"/>
          <w:color w:val="auto"/>
          <w:sz w:val="24"/>
          <w:szCs w:val="24"/>
          <w:highlight w:val="none"/>
          <w:lang w:eastAsia="zh-CN"/>
        </w:rPr>
        <w:t xml:space="preserve">。</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rPr>
        <w:t xml:space="preserve">合同条款。</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、为</w:t>
      </w:r>
      <w:r>
        <w:rPr>
          <w:rFonts w:ascii="宋体" w:hAnsi="宋体" w:eastAsia="宋体" w:cs="宋体"/>
          <w:color w:val="auto"/>
          <w:sz w:val="24"/>
          <w:szCs w:val="24"/>
          <w:highlight w:val="none"/>
        </w:rPr>
        <w:t xml:space="preserve">切实做好项目服务工作，</w:t>
      </w:r>
      <w:r>
        <w:rPr>
          <w:rFonts w:hint="eastAsia" w:ascii="宋体" w:hAnsi="宋体" w:eastAsia="宋体" w:cs="宋体"/>
          <w:color w:val="auto"/>
          <w:sz w:val="24"/>
          <w:szCs w:val="24"/>
          <w:highlight w:val="none"/>
          <w:lang w:eastAsia="zh-CN"/>
        </w:rPr>
        <w:t xml:space="preserve">投标人</w:t>
      </w:r>
      <w:r>
        <w:rPr>
          <w:rFonts w:ascii="宋体" w:hAnsi="宋体" w:eastAsia="宋体" w:cs="宋体"/>
          <w:color w:val="auto"/>
          <w:sz w:val="24"/>
          <w:szCs w:val="24"/>
          <w:highlight w:val="none"/>
        </w:rPr>
        <w:t xml:space="preserve">需提供</w:t>
      </w:r>
      <w:r>
        <w:rPr>
          <w:rFonts w:hint="eastAsia" w:ascii="宋体" w:hAnsi="宋体" w:eastAsia="宋体" w:cs="宋体"/>
          <w:color w:val="auto"/>
          <w:sz w:val="24"/>
          <w:szCs w:val="24"/>
          <w:highlight w:val="none"/>
        </w:rPr>
        <w:t xml:space="preserve">总体规划方案；设备维护服务方案；项目运营方案；提供的服务体系、质量保证措施、售后服务方案；培训服务方案；故障应急处理、备品备件等方案；居住证生产制作方案等。</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、凡涉及招标文件的补充说明或修</w:t>
      </w:r>
      <w:r>
        <w:rPr>
          <w:rFonts w:hint="eastAsia" w:ascii="宋体" w:hAnsi="宋体" w:eastAsia="宋体" w:cs="宋体"/>
          <w:bCs/>
          <w:color w:val="auto"/>
          <w:sz w:val="24"/>
          <w:szCs w:val="24"/>
          <w:highlight w:val="none"/>
        </w:rPr>
        <w:t xml:space="preserve">正，均以苏州市政府采购网上信息公告为准。</w:t>
      </w:r>
      <w:r>
        <w:rPr>
          <w:color w:val="auto"/>
          <w:highlight w:val="none"/>
        </w:rPr>
      </w:r>
      <w:r/>
    </w:p>
    <w:p>
      <w:pPr>
        <w:pStyle w:val="977"/>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pStyle w:val="975"/>
        <w:jc w:val="center"/>
        <w:rPr>
          <w:rFonts w:ascii="宋体" w:hAnsi="宋体" w:eastAsia="宋体" w:cs="宋体"/>
          <w:color w:val="auto"/>
          <w:highlight w:val="none"/>
        </w:rPr>
      </w:pPr>
      <w:r>
        <w:rPr>
          <w:color w:val="auto"/>
          <w:highlight w:val="none"/>
        </w:rPr>
      </w:r>
      <w:bookmarkStart w:id="42" w:name="_Toc160701727"/>
      <w:r>
        <w:rPr>
          <w:color w:val="auto"/>
          <w:highlight w:val="none"/>
        </w:rPr>
      </w:r>
      <w:bookmarkStart w:id="43" w:name="_Toc494471874"/>
      <w:r>
        <w:rPr>
          <w:rFonts w:hint="eastAsia" w:ascii="宋体" w:hAnsi="宋体" w:eastAsia="宋体" w:cs="宋体"/>
          <w:color w:val="auto"/>
          <w:highlight w:val="none"/>
        </w:rPr>
        <w:t xml:space="preserve">第五章 合同主要条款</w:t>
      </w:r>
      <w:bookmarkEnd w:id="39"/>
      <w:r>
        <w:rPr>
          <w:color w:val="auto"/>
          <w:highlight w:val="none"/>
        </w:rPr>
      </w:r>
      <w:bookmarkEnd w:id="42"/>
      <w:r>
        <w:rPr>
          <w:color w:val="auto"/>
          <w:highlight w:val="none"/>
        </w:rPr>
      </w:r>
      <w:bookmarkEnd w:id="43"/>
      <w:r>
        <w:rPr>
          <w:color w:val="auto"/>
          <w:highlight w:val="none"/>
        </w:rPr>
      </w:r>
      <w:r/>
    </w:p>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政府采购合同</w:t>
      </w:r>
      <w:r>
        <w:rPr>
          <w:color w:val="auto"/>
          <w:highlight w:val="none"/>
        </w:rPr>
      </w:r>
      <w:r/>
    </w:p>
    <w:p>
      <w:pPr>
        <w:ind w:right="945"/>
        <w:tabs>
          <w:tab w:val="left" w:pos="3130" w:leader="none"/>
          <w:tab w:val="right" w:pos="9645"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right="945" w:firstLine="5040"/>
        <w:tabs>
          <w:tab w:val="left" w:pos="3130" w:leader="none"/>
          <w:tab w:val="right" w:pos="964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color w:val="auto"/>
          <w:highlight w:val="none"/>
        </w:rPr>
      </w:r>
      <w:r/>
    </w:p>
    <w:p>
      <w:pPr>
        <w:spacing w:line="360" w:lineRule="auto"/>
        <w:rPr>
          <w:rFonts w:ascii="宋体" w:hAnsi="宋体" w:eastAsia="宋体" w:cs="宋体"/>
          <w:color w:val="auto"/>
          <w:sz w:val="24"/>
          <w:szCs w:val="24"/>
          <w:highlight w:val="none"/>
        </w:rPr>
        <w:outlineLvl w:val="0"/>
      </w:pPr>
      <w:r>
        <w:rPr>
          <w:rFonts w:ascii="宋体" w:hAnsi="宋体" w:eastAsia="宋体" w:cs="宋体"/>
          <w:color w:val="auto"/>
          <w:sz w:val="24"/>
          <w:szCs w:val="24"/>
          <w:highlight w:val="none"/>
        </w:rPr>
      </w:r>
      <w:r>
        <w:rPr>
          <w:color w:val="auto"/>
          <w:highlight w:val="none"/>
        </w:rPr>
      </w:r>
      <w:r/>
    </w:p>
    <w:p>
      <w:pPr>
        <w:jc w:val="left"/>
        <w:spacing w:line="360" w:lineRule="auto"/>
        <w:rPr>
          <w:rFonts w:ascii="宋体" w:hAnsi="宋体" w:eastAsia="宋体" w:cs="宋体"/>
          <w:b/>
          <w:color w:val="auto"/>
          <w:sz w:val="24"/>
          <w:szCs w:val="24"/>
          <w:highlight w:val="none"/>
        </w:rPr>
      </w:pPr>
      <w:r>
        <w:rPr>
          <w:color w:val="auto"/>
          <w:highlight w:val="none"/>
        </w:rPr>
      </w:r>
      <w:bookmarkStart w:id="44" w:name="_Toc494471875"/>
      <w:r>
        <w:rPr>
          <w:color w:val="auto"/>
          <w:highlight w:val="none"/>
        </w:rPr>
      </w:r>
      <w:bookmarkStart w:id="45" w:name="_Toc388026588"/>
      <w:r>
        <w:rPr>
          <w:rFonts w:hint="eastAsia" w:ascii="宋体" w:hAnsi="宋体" w:eastAsia="宋体" w:cs="宋体"/>
          <w:b/>
          <w:color w:val="auto"/>
          <w:sz w:val="24"/>
          <w:szCs w:val="24"/>
          <w:highlight w:val="none"/>
        </w:rPr>
        <w:t xml:space="preserve">项目名称：苏州市公安局居住证九期制证</w:t>
      </w:r>
      <w:r>
        <w:rPr>
          <w:color w:val="auto"/>
          <w:highlight w:val="none"/>
        </w:rPr>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rPr>
          <w:color w:val="auto"/>
          <w:highlight w:val="none"/>
        </w:rPr>
      </w:r>
      <w:r/>
    </w:p>
    <w:p>
      <w:pPr>
        <w:spacing w:line="360" w:lineRule="auto"/>
        <w:tabs>
          <w:tab w:val="left" w:pos="567"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spacing w:line="560" w:lineRule="exact"/>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甲方：苏州市公安局</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地址：苏州市相城区人民路3998号</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联系电话(手机)：</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color w:val="auto"/>
          <w:highlight w:val="none"/>
        </w:rPr>
      </w:r>
      <w:r/>
    </w:p>
    <w:p>
      <w:pPr>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联系电话(手机)：</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政府采购法》等相关法律法规的规定，甲乙双方就此次成交的【苏州市公安局居住证九期制证】（以下简称“本项目”）的购销事宜，协商一致，签订本合同书，以兹共同遵守。</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1、合同范围：乙方应为甲方提供【苏州市公安局居住证九期制证】服务。乙方在服务期限为甲方提供相应的维护服务。具体内容详见招标文件采购需求。</w:t>
      </w:r>
      <w:r>
        <w:rPr>
          <w:color w:val="auto"/>
          <w:highlight w:val="none"/>
        </w:rPr>
      </w:r>
      <w:r/>
    </w:p>
    <w:p>
      <w:pPr>
        <w:ind w:firstLine="480"/>
        <w:jc w:val="left"/>
        <w:spacing w:line="560" w:lineRule="exac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2、服务期限：</w:t>
      </w:r>
      <w:r>
        <w:rPr>
          <w:rFonts w:hint="eastAsia" w:ascii="宋体" w:hAnsi="宋体" w:eastAsia="宋体" w:cs="宋体"/>
          <w:bCs/>
          <w:color w:val="auto"/>
          <w:sz w:val="24"/>
          <w:szCs w:val="24"/>
          <w:highlight w:val="none"/>
        </w:rPr>
        <w:t xml:space="preserve">12个月，自</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日。若在本项目服务期内，累计完成服务金额达到合同金额或本项目服务期满，项目自动终止。</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3、服务地点：暂定原制证场所（苏州市工业园区通园路25号）或乙方履行服务最终地点（如乙方选择新厂房地点）。</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二、下列文件为本合同不可分割部分：</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2、乙方中标的投标文件；</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3、招标文件；</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4、乙方在投标过程中所作的其它承诺、声明、书面澄清等。</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color w:val="auto"/>
          <w:highlight w:val="none"/>
        </w:rPr>
      </w:r>
      <w:bookmarkStart w:id="46" w:name="OLE_LINK171"/>
      <w:r>
        <w:rPr>
          <w:color w:val="auto"/>
          <w:highlight w:val="none"/>
        </w:rPr>
      </w:r>
      <w:bookmarkStart w:id="47" w:name="OLE_LINK172"/>
      <w:r>
        <w:rPr>
          <w:rFonts w:hint="eastAsia" w:ascii="宋体" w:hAnsi="宋体" w:eastAsia="宋体" w:cs="宋体"/>
          <w:color w:val="auto"/>
          <w:sz w:val="24"/>
          <w:szCs w:val="24"/>
          <w:highlight w:val="none"/>
        </w:rPr>
        <w:t xml:space="preserve">以上文件与本合同具有同等法律效力，</w:t>
      </w:r>
      <w:bookmarkEnd w:id="46"/>
      <w:r>
        <w:rPr>
          <w:color w:val="auto"/>
          <w:highlight w:val="none"/>
        </w:rPr>
      </w:r>
      <w:bookmarkEnd w:id="47"/>
      <w:r>
        <w:rPr>
          <w:color w:val="auto"/>
          <w:highlight w:val="none"/>
        </w:rPr>
      </w:r>
      <w:bookmarkStart w:id="48" w:name="OLE_LINK207"/>
      <w:r>
        <w:rPr>
          <w:color w:val="auto"/>
          <w:highlight w:val="none"/>
        </w:rPr>
      </w:r>
      <w:bookmarkStart w:id="49" w:name="OLE_LINK206"/>
      <w:r>
        <w:rPr>
          <w:rFonts w:hint="eastAsia" w:ascii="宋体" w:hAnsi="宋体" w:eastAsia="宋体" w:cs="宋体"/>
          <w:color w:val="auto"/>
          <w:sz w:val="24"/>
          <w:szCs w:val="24"/>
          <w:highlight w:val="none"/>
        </w:rPr>
        <w:t xml:space="preserve">若与本合同内容有冲突的，则以本合同内容为准。如上述文件之间存在冲突或不一致的，以排列序位在前的文件为准，同一序位的文件以形成时间在后的为准。</w:t>
      </w:r>
      <w:bookmarkEnd w:id="48"/>
      <w:r>
        <w:rPr>
          <w:color w:val="auto"/>
          <w:highlight w:val="none"/>
        </w:rPr>
      </w:r>
      <w:bookmarkEnd w:id="49"/>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三、合同价款及支付方式：</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1、本合同价格总额（含税）为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张。上述价格包括居住证制作、居住证制证中心厂房租赁、制证中心现有制证设备维护、物流发放、居住证制证中心运营及员工管理、人工、保险、加班费、质保及其它辅助费用、利润、税金、代理服务费、政策性文件规定及合同包含的所有风险、责任等各项应有费用。除上述费用外，甲方不承担其他相关费用及因乙方人员辞退、工伤事故等发生的全部经济补偿金和赔偿金；乙方在服务期间产生的租金由乙方自行承担；上述价格在合同实施期间不因市场变化因素而变动。除非因特殊原因并经甲乙双方协商同意，乙方不得再要求追加任何费用。</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合同签订后，甲方按居住证实际生产量向乙方</w:t>
      </w:r>
      <w:r>
        <w:rPr>
          <w:rFonts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rPr>
        <w:t xml:space="preserve">相应费用，甲方每次实际支付的费用以考核结果为准（具体标准详见附件《考核内容及标准》）。合同期内甲方向乙方</w:t>
      </w:r>
      <w:r>
        <w:rPr>
          <w:rFonts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rPr>
        <w:t xml:space="preserve">费用，</w:t>
      </w:r>
      <w:r>
        <w:rPr>
          <w:rFonts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rPr>
        <w:t xml:space="preserve">时间分别为：第一次</w:t>
      </w:r>
      <w:r>
        <w:rPr>
          <w:rFonts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rPr>
        <w:t xml:space="preserve">：2026年11月30日之前；第二次</w:t>
      </w:r>
      <w:r>
        <w:rPr>
          <w:rFonts w:ascii="宋体" w:hAnsi="宋体" w:eastAsia="宋体" w:cs="宋体"/>
          <w:color w:val="auto"/>
          <w:sz w:val="24"/>
          <w:szCs w:val="24"/>
          <w:highlight w:val="none"/>
        </w:rPr>
        <w:t xml:space="preserve">结算</w:t>
      </w:r>
      <w:r>
        <w:rPr>
          <w:rFonts w:hint="eastAsia" w:ascii="宋体" w:hAnsi="宋体" w:eastAsia="宋体" w:cs="宋体"/>
          <w:color w:val="auto"/>
          <w:sz w:val="24"/>
          <w:szCs w:val="24"/>
          <w:highlight w:val="none"/>
        </w:rPr>
        <w:t xml:space="preserve">：合同到期后30日内。</w:t>
      </w:r>
      <w:r>
        <w:rPr>
          <w:color w:val="auto"/>
          <w:highlight w:val="none"/>
        </w:rPr>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3、乙方提请甲方款项结算前，需提供以下材料，</w:t>
      </w:r>
      <w:bookmarkStart w:id="50" w:name="_Hlk44274401"/>
      <w:r>
        <w:rPr>
          <w:rFonts w:hint="eastAsia" w:ascii="宋体" w:hAnsi="宋体" w:eastAsia="宋体" w:cs="宋体"/>
          <w:color w:val="auto"/>
          <w:sz w:val="24"/>
          <w:szCs w:val="24"/>
          <w:highlight w:val="none"/>
        </w:rPr>
        <w:t xml:space="preserve">因乙方未按约定提供以下材料的，甲方有权迟延付款，且不承担迟延付款责任</w:t>
      </w:r>
      <w:bookmarkEnd w:id="50"/>
      <w:r>
        <w:rPr>
          <w:rFonts w:hint="eastAsia" w:ascii="宋体" w:hAnsi="宋体" w:eastAsia="宋体" w:cs="宋体"/>
          <w:color w:val="auto"/>
          <w:sz w:val="24"/>
          <w:szCs w:val="24"/>
          <w:highlight w:val="none"/>
        </w:rPr>
        <w:t xml:space="preserve">：</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3.1合法有效且符合甲方要求的发票。</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3.2甲方对乙方提供的服务进行考核所形成的考核单证。</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4、支付方式：银行转账或数字人民币支付。</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4.1乙方数字人民币信息：</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数字人民币账号（数币钱包ID）：</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4.2乙方银行账户信息：</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color w:val="auto"/>
          <w:highlight w:val="none"/>
        </w:rPr>
      </w:r>
      <w:r/>
    </w:p>
    <w:p>
      <w:pPr>
        <w:ind w:firstLine="422"/>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四、履约保证金：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1、履约保证金金额为：合同总金额的5%；即人民币大写    （￥    ）。</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2、本合同签订之日起【三十】日内，按照合同约定，乙方可以转账方式或者支票、汇票、本票、保函等非现金形式向甲方缴纳或提交履约保证金。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未按照约定的期限和方式提交履约保证金的，甲方有权解除本合同，乙方应向甲方支付本合同总金额5%的违约金，给甲方造成损失的，乙方应赔偿甲方一切直接、间接损失；甲方书面同意乙方延期提交履约保证金的除外。</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服务期满、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在乙方以第三方担保的方式提供履约担保的情况下，如第三方担保期限已经届满或担保义务免除，则视为甲方返还履约保证金的义务消灭，甲方无需实际返还行为。</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五、甲方权利和义务：</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1、根据甲方采购要求及乙方投标文件中的承诺，对乙方提供的服务及履行本合同情况实行验收考核。</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2、如乙方提供的服务人员不称职或不符合甲方要求的，甲方有权要求乙方限期更换。</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3、甲方必须满足本招标文件相关要求。</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六、乙方权利和义务：</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（二）乙方应保证乙方及其工作人员具有相应的资质，并采取必要的安全措施。</w:t>
      </w:r>
      <w:bookmarkStart w:id="51" w:name="OLE_LINK28"/>
      <w:r>
        <w:rPr>
          <w:color w:val="auto"/>
          <w:highlight w:val="none"/>
        </w:rPr>
      </w:r>
      <w:bookmarkStart w:id="52" w:name="OLE_LINK27"/>
      <w:r>
        <w:rPr>
          <w:rFonts w:hint="eastAsia" w:ascii="宋体" w:hAnsi="宋体" w:eastAsia="宋体" w:cs="宋体"/>
          <w:color w:val="auto"/>
          <w:sz w:val="24"/>
          <w:szCs w:val="24"/>
          <w:highlight w:val="none"/>
        </w:rPr>
        <w:t xml:space="preserve">乙方工作人员应遵守甲方的工作规范和安全要求</w:t>
      </w:r>
      <w:bookmarkEnd w:id="51"/>
      <w:r>
        <w:rPr>
          <w:color w:val="auto"/>
          <w:highlight w:val="none"/>
        </w:rPr>
      </w:r>
      <w:bookmarkEnd w:id="52"/>
      <w:r>
        <w:rPr>
          <w:rFonts w:hint="eastAsia" w:ascii="宋体" w:hAnsi="宋体" w:eastAsia="宋体" w:cs="宋体"/>
          <w:color w:val="auto"/>
          <w:sz w:val="24"/>
          <w:szCs w:val="24"/>
          <w:highlight w:val="none"/>
        </w:rPr>
        <w:t xml:space="preserve">，乙方工作人员在服务过程中发生的意外事故、重大疾病、猝死等均由乙方承担责任，与甲方无关。</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（三）乙方应按照招标文件中的要求履行维保服务，乙方未按约定履行维保服务的，甲方有权聘请第三方进行维修，由此产生的一切风险和费用由乙方承担，甲方有权自尚未支付的款项中予以扣除。</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（四）乙方必须满足本招标文件要求。</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（五）乙方应保证现有设备及软件系统制发居住证工作的连续性，不得以任何原因停工停产；乙方应在合同签订后5个工作日内利用现有设备和人员按照现有标准进行生产，并在</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5个工作日内完成新增设备的到货、调试与上线使用等工作，形成与现有设备、软件系统、密钥系统及芯片结构无缝对接。如乙方履行不符合上述约定的，则甲方可单方终止本合同，并要求乙方承担相应的违约责任。</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（六）乙方应在接到制证数据后【7】个工作日内完成居住证的制作，并按照流程进行发放，若乙方逾期完成的，应承担相应的违约责任。</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七、人员配置要求及应急响应服务：</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为确保项目工作的有序开展，服务单位需指派具有丰富经验的技术人员提供服务，制证中心提供服务团队【</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】人，其中【</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】名生产员工、【</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名管理人员。</w:t>
      </w:r>
      <w:r>
        <w:rPr>
          <w:color w:val="auto"/>
          <w:highlight w:val="none"/>
        </w:rPr>
      </w:r>
      <w:r/>
    </w:p>
    <w:p>
      <w:pPr>
        <w:pStyle w:val="1075"/>
        <w:ind w:firstLine="480"/>
        <w:jc w:val="left"/>
        <w:spacing w:line="560" w:lineRule="exact"/>
        <w:rPr>
          <w:rFonts w:hint="default" w:ascii="宋体" w:hAnsi="宋体" w:eastAsia="宋体"/>
          <w:bCs w:val="0"/>
          <w:color w:val="auto"/>
          <w:szCs w:val="24"/>
          <w:highlight w:val="none"/>
        </w:rPr>
      </w:pPr>
      <w:r>
        <w:rPr>
          <w:rFonts w:ascii="宋体" w:hAnsi="宋体" w:eastAsia="宋体"/>
          <w:bCs w:val="0"/>
          <w:color w:val="auto"/>
          <w:szCs w:val="24"/>
          <w:highlight w:val="none"/>
        </w:rPr>
        <w:t xml:space="preserve">维护期内乙方提供7×24小时不间断的技术支持响应；技术支持方式包括：电话技术服务、现场技术服务、定期巡查服务、技术升级服务等。</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设备发生软、硬件故障，乙方应在1小时内予以响应（免费上门服务），8小时内解决问题，否则甲方将自行采取必要措施，由此产生的风险和费用由乙方承担。</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八、安全生产</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rPr>
          <w:color w:val="auto"/>
          <w:highlight w:val="none"/>
        </w:rPr>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九、售后服务：</w:t>
      </w:r>
      <w:r>
        <w:rPr>
          <w:color w:val="auto"/>
          <w:highlight w:val="none"/>
        </w:rPr>
      </w:r>
      <w:r/>
    </w:p>
    <w:p>
      <w:pPr>
        <w:pStyle w:val="1075"/>
        <w:ind w:firstLine="480"/>
        <w:jc w:val="left"/>
        <w:spacing w:line="560" w:lineRule="exact"/>
        <w:rPr>
          <w:rFonts w:hint="default" w:ascii="宋体" w:hAnsi="宋体" w:eastAsia="宋体"/>
          <w:color w:val="auto"/>
          <w:szCs w:val="24"/>
          <w:highlight w:val="none"/>
        </w:rPr>
      </w:pPr>
      <w:r>
        <w:rPr>
          <w:rFonts w:ascii="宋体" w:hAnsi="宋体" w:eastAsia="宋体"/>
          <w:bCs w:val="0"/>
          <w:color w:val="auto"/>
          <w:szCs w:val="24"/>
          <w:highlight w:val="none"/>
        </w:rPr>
        <w:t xml:space="preserve">1、本项目所有设备按照维护要求免费保修。</w:t>
      </w:r>
      <w:r>
        <w:rPr>
          <w:color w:val="auto"/>
          <w:highlight w:val="none"/>
        </w:rPr>
      </w:r>
      <w:r/>
    </w:p>
    <w:p>
      <w:pPr>
        <w:pStyle w:val="1092"/>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乙方保证其提供的服务和产品不会侵犯任何第三方知识产权和其他合法权益，不会对甲方造成任何损害。本项目中涉及的所有设备最终产权归甲方所有；服务结束或不可力因素终止，乙方需无条件将所有设备归还给甲方。</w:t>
      </w:r>
      <w:r>
        <w:rPr>
          <w:color w:val="auto"/>
          <w:highlight w:val="none"/>
        </w:rPr>
      </w:r>
      <w:r/>
    </w:p>
    <w:p>
      <w:pPr>
        <w:pStyle w:val="1010"/>
        <w:ind w:left="0" w:firstLine="48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hAnsi="宋体" w:cs="宋体"/>
          <w:color w:val="auto"/>
          <w:sz w:val="24"/>
          <w:szCs w:val="24"/>
          <w:highlight w:val="none"/>
          <w:lang w:val="en-US" w:eastAsia="zh-CN"/>
        </w:rPr>
        <w:t xml:space="preserve">验收要求</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验收时间：</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1</w:t>
      </w:r>
      <w:r>
        <w:rPr>
          <w:rFonts w:hint="eastAsia" w:hAnsi="宋体" w:cs="宋体"/>
          <w:color w:val="auto"/>
          <w:sz w:val="24"/>
          <w:szCs w:val="24"/>
          <w:highlight w:val="none"/>
        </w:rPr>
        <w:t xml:space="preserve">）、随机对制作的证件进行抽检；</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）、每月的月初对上月的服务进行考核。</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验收方式：现场验收</w:t>
      </w:r>
      <w:r>
        <w:rPr>
          <w:color w:val="auto"/>
          <w:highlight w:val="none"/>
        </w:rPr>
      </w:r>
      <w:r/>
    </w:p>
    <w:p>
      <w:pPr>
        <w:pStyle w:val="1010"/>
        <w:ind w:left="0" w:firstLine="480"/>
        <w:spacing w:after="0" w:line="360" w:lineRule="auto"/>
        <w:rPr>
          <w:rFonts w:hAnsi="宋体" w:cs="宋体"/>
          <w:color w:val="auto"/>
          <w:sz w:val="24"/>
          <w:szCs w:val="24"/>
          <w:highlight w:val="none"/>
        </w:rPr>
      </w:pPr>
      <w:r>
        <w:rPr>
          <w:rFonts w:hint="eastAsia" w:hAnsi="宋体" w:cs="宋体"/>
          <w:color w:val="auto"/>
          <w:sz w:val="24"/>
          <w:szCs w:val="24"/>
          <w:highlight w:val="none"/>
        </w:rPr>
        <w:t xml:space="preserve">验收标准：</w:t>
      </w:r>
      <w:r>
        <w:rPr>
          <w:color w:val="auto"/>
          <w:highlight w:val="none"/>
        </w:rPr>
      </w:r>
      <w:r/>
    </w:p>
    <w:p>
      <w:pPr>
        <w:pStyle w:val="1010"/>
        <w:ind w:left="0"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（1）原有设备维护的验收：根据维护清单品牌型号、数量等进行维护：包含每年一次（每年12月份）在用所有设备全面检修维护及项目周期内的日常维护。</w:t>
      </w:r>
      <w:r>
        <w:rPr>
          <w:color w:val="auto"/>
          <w:highlight w:val="none"/>
        </w:rPr>
      </w:r>
      <w:r/>
    </w:p>
    <w:p>
      <w:pPr>
        <w:pStyle w:val="1010"/>
        <w:ind w:left="0" w:firstLine="480"/>
        <w:keepLines w:val="0"/>
        <w:keepNext w:val="0"/>
        <w:pageBreakBefore w:val="0"/>
        <w:spacing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（2）按照招标要求中有关对证件信息、尺寸、外观等要求对成品居住证进行随机抽检验收。随机抽检比例为0.5%；</w:t>
      </w:r>
      <w:r>
        <w:rPr>
          <w:color w:val="auto"/>
          <w:highlight w:val="none"/>
        </w:rPr>
      </w:r>
      <w:r/>
    </w:p>
    <w:p>
      <w:pPr>
        <w:pStyle w:val="1010"/>
        <w:ind w:left="0" w:firstLine="480"/>
        <w:keepLines w:val="0"/>
        <w:keepNext w:val="0"/>
        <w:pageBreakBefore w:val="0"/>
        <w:spacing w:after="0" w:line="360" w:lineRule="auto"/>
        <w:widowControl w:val="off"/>
        <w:rPr>
          <w:rFonts w:hAnsi="宋体" w:cs="宋体"/>
          <w:color w:val="auto"/>
          <w:sz w:val="24"/>
          <w:szCs w:val="24"/>
          <w:highlight w:val="none"/>
        </w:rPr>
      </w:pPr>
      <w:r>
        <w:rPr>
          <w:rFonts w:hint="eastAsia" w:hAnsi="宋体" w:cs="宋体"/>
          <w:color w:val="auto"/>
          <w:sz w:val="24"/>
          <w:szCs w:val="24"/>
          <w:highlight w:val="none"/>
        </w:rPr>
        <w:t xml:space="preserve">（3）月度考核：具体以月度考核表内容为准。</w:t>
      </w:r>
      <w:r>
        <w:rPr>
          <w:color w:val="auto"/>
          <w:highlight w:val="none"/>
        </w:rPr>
      </w:r>
      <w:r/>
    </w:p>
    <w:p>
      <w:pPr>
        <w:ind w:firstLine="480"/>
        <w:spacing w:line="560" w:lineRule="exact"/>
        <w:rPr>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根据招标文件、本合同及有关规定并按国家最新行业标准进行验收通过。</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十一、保密条款：</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color w:val="auto"/>
          <w:highlight w:val="none"/>
        </w:rPr>
      </w:r>
      <w:r/>
    </w:p>
    <w:p>
      <w:pPr>
        <w:ind w:firstLine="42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（五）无论本合同是否变更、解除或终止，合同的保密条款不受其限制而继续有效，乙方都应继续承担保密条款约定的保密义务。保密义务的期限为永久。</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十二、服务工作管理、检查考核：根据甲方要求及乙方承诺进行考核。考核标准见附件。</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十三、不可抗力：</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2.合同一方因不可抗力不能履行合同的，应当在不可抗力发生后10日内通知对方，以减轻可能给对方造成的损失，并应当在发出通知后30日内提供书面证明。</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3.不可抗力事由消除后，合同继续履行等事项，由双方协商确认。</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十四、违约责任：</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1.甲方违约责任及违约金支付</w:t>
      </w:r>
      <w:r>
        <w:rPr>
          <w:color w:val="auto"/>
          <w:highlight w:val="none"/>
        </w:rPr>
      </w:r>
      <w:r/>
    </w:p>
    <w:p>
      <w:pPr>
        <w:ind w:firstLine="480"/>
        <w:spacing w:line="560" w:lineRule="exact"/>
        <w:rPr>
          <w:rFonts w:ascii="宋体" w:hAnsi="宋体" w:eastAsia="宋体" w:cs="宋体"/>
          <w:color w:val="auto"/>
          <w:sz w:val="24"/>
          <w:szCs w:val="24"/>
          <w:highlight w:val="none"/>
        </w:rPr>
      </w:pPr>
      <w:r>
        <w:rPr>
          <w:color w:val="auto"/>
          <w:highlight w:val="none"/>
        </w:rPr>
      </w:r>
      <w:bookmarkStart w:id="53" w:name="OLE_LINK179"/>
      <w:r>
        <w:rPr>
          <w:color w:val="auto"/>
          <w:highlight w:val="none"/>
        </w:rPr>
      </w:r>
      <w:bookmarkStart w:id="54" w:name="OLE_LINK178"/>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1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在合同生效后，甲方无理由要求终止服务的，应向乙方支付本合同总价款的【20】%作为违约金，违约金不足以弥补损失的，乙方有权要求甲方补足。</w:t>
      </w:r>
      <w:bookmarkEnd w:id="53"/>
      <w:r>
        <w:rPr>
          <w:color w:val="auto"/>
          <w:highlight w:val="none"/>
        </w:rPr>
      </w:r>
      <w:bookmarkEnd w:id="54"/>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2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甲方逾期付款的应按照逾期付款金额的每天万分之四支付逾期付款违约金，但甲方支付的该项违约金总额不得超过本合同总价款的5%。</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3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甲方违反合同规定，拒绝接受乙方提供的合格服务的，应当承担乙方由此造成的损失。</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2.乙方违约责任及违约金支付</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1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乙方不能提供服务的（逾期未提供服务超过15日视为不能提供服务），或服务不合格从而影响甲方按期正常使用的，应向甲方支付本合同总价款【20】%的违约金，</w:t>
      </w:r>
      <w:r>
        <w:rPr>
          <w:rFonts w:hint="eastAsia" w:ascii="宋体" w:hAnsi="宋体" w:eastAsia="宋体" w:cs="宋体"/>
          <w:color w:val="auto"/>
          <w:sz w:val="24"/>
          <w:szCs w:val="24"/>
          <w:highlight w:val="none"/>
        </w:rPr>
        <w:t xml:space="preserve">承担甲方因此产生的损失费用</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同时,甲方有权单方面解除本合同。</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2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乙方逾期提供服务的，应与甲方协商，甲方仍要求乙方继续提供服务的，乙方应立即提供服务并按照逾期服务金额的每天万分之四支付逾期违约金，同时承担甲方因此产生的损失费用。</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3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ascii="宋体" w:hAnsi="宋体" w:eastAsia="宋体" w:cs="宋体"/>
          <w:color w:val="auto"/>
          <w:sz w:val="24"/>
          <w:szCs w:val="24"/>
          <w:highlight w:val="none"/>
        </w:rPr>
        <w:fldChar w:fldCharType="end"/>
      </w:r>
      <w:bookmarkStart w:id="55" w:name="OLE_LINK214"/>
      <w:r>
        <w:rPr>
          <w:color w:val="auto"/>
          <w:highlight w:val="none"/>
        </w:rPr>
      </w:r>
      <w:bookmarkStart w:id="56" w:name="OLE_LINK213"/>
      <w:r>
        <w:rPr>
          <w:rFonts w:ascii="宋体" w:hAnsi="宋体" w:eastAsia="宋体" w:cs="宋体"/>
          <w:color w:val="auto"/>
          <w:sz w:val="24"/>
          <w:szCs w:val="24"/>
          <w:highlight w:val="none"/>
        </w:rPr>
        <w:t xml:space="preserve">乙方在服务过程中向甲方提交虚假材料，不如实告知维护服务的具体情况，致使甲方产生损失的，甲方有权终止本合同，乙方应</w:t>
      </w:r>
      <w:r>
        <w:rPr>
          <w:rFonts w:hint="eastAsia" w:ascii="宋体" w:hAnsi="宋体" w:eastAsia="宋体" w:cs="宋体"/>
          <w:color w:val="auto"/>
          <w:sz w:val="24"/>
          <w:szCs w:val="24"/>
          <w:highlight w:val="none"/>
        </w:rPr>
        <w:t xml:space="preserve">向甲方支付本合同总价款【20】%的违约金，</w:t>
      </w:r>
      <w:r>
        <w:rPr>
          <w:rFonts w:ascii="宋体" w:hAnsi="宋体" w:eastAsia="宋体" w:cs="宋体"/>
          <w:color w:val="auto"/>
          <w:sz w:val="24"/>
          <w:szCs w:val="24"/>
          <w:highlight w:val="none"/>
        </w:rPr>
        <w:t xml:space="preserve">返还甲方已支付的服务费用并赔偿甲方一切直接、间接损失。</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4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rPr>
        <w:t xml:space="preserve">连续3个月</w:t>
      </w:r>
      <w:r>
        <w:rPr>
          <w:rFonts w:ascii="宋体" w:hAnsi="宋体" w:eastAsia="宋体" w:cs="宋体"/>
          <w:color w:val="auto"/>
          <w:sz w:val="24"/>
          <w:szCs w:val="24"/>
          <w:highlight w:val="none"/>
        </w:rPr>
        <w:t xml:space="preserve">考核分数低于【</w:t>
      </w:r>
      <w:r>
        <w:rPr>
          <w:rFonts w:hint="eastAsia" w:ascii="宋体" w:hAnsi="宋体" w:eastAsia="宋体" w:cs="宋体"/>
          <w:color w:val="auto"/>
          <w:sz w:val="24"/>
          <w:szCs w:val="24"/>
          <w:highlight w:val="none"/>
        </w:rPr>
        <w:t xml:space="preserve">80</w:t>
      </w:r>
      <w:r>
        <w:rPr>
          <w:rFonts w:ascii="宋体" w:hAnsi="宋体" w:eastAsia="宋体" w:cs="宋体"/>
          <w:color w:val="auto"/>
          <w:sz w:val="24"/>
          <w:szCs w:val="24"/>
          <w:highlight w:val="none"/>
        </w:rPr>
        <w:t xml:space="preserve">】分的，甲方有权解除本合同，并要求乙方承担本合同价款总额【20】%的违约金，给甲方造成损失的，应赔偿甲方一切直接、间接损失。</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fldChar w:fldCharType="begin"/>
      </w:r>
      <w:r>
        <w:rPr>
          <w:rFonts w:ascii="宋体" w:hAnsi="宋体" w:eastAsia="宋体" w:cs="宋体"/>
          <w:color w:val="auto"/>
          <w:sz w:val="24"/>
          <w:szCs w:val="24"/>
          <w:highlight w:val="none"/>
        </w:rPr>
        <w:instrText xml:space="preserve"> = 5 \* GB3 </w:instrText>
      </w:r>
      <w:r>
        <w:rPr>
          <w:rFonts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若乙方服务内容虽考核合格，但在考核中存在问题的，甲方仍有权要求乙方限期进行整改，并按照考核结果扣减相应费用。因整改而导致的费用和损失由乙方自行承担。乙方未按甲方要求进行整改或经整改后仍不合格的，视为乙方违约，甲方有权解除本合同，乙方应向甲方支付本合同总价款【</w:t>
      </w:r>
      <w:r>
        <w:rPr>
          <w:rFonts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t xml:space="preserve">】%的违约金，</w:t>
      </w:r>
      <w:r>
        <w:rPr>
          <w:rFonts w:ascii="宋体" w:hAnsi="宋体" w:eastAsia="宋体" w:cs="宋体"/>
          <w:color w:val="auto"/>
          <w:sz w:val="24"/>
          <w:szCs w:val="24"/>
          <w:highlight w:val="none"/>
        </w:rPr>
        <w:t xml:space="preserve">同时承担甲方因此产生的损失费用</w:t>
      </w:r>
      <w:r>
        <w:rPr>
          <w:rFonts w:hint="eastAsia" w:ascii="宋体" w:hAnsi="宋体" w:eastAsia="宋体" w:cs="宋体"/>
          <w:color w:val="auto"/>
          <w:sz w:val="24"/>
          <w:szCs w:val="24"/>
          <w:highlight w:val="none"/>
        </w:rPr>
        <w:t xml:space="preserve">。</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⑥本合同项目禁止任何形式的转包与分包。如乙方出现违反上述约定的情况，甲方有权要求乙方立即向甲方支付本合同总价款【20】%的违约金，</w:t>
      </w:r>
      <w:r>
        <w:rPr>
          <w:rFonts w:hint="eastAsia" w:asciiTheme="minorEastAsia" w:hAnsiTheme="minorEastAsia" w:eastAsiaTheme="minorEastAsia" w:cstheme="minorEastAsia"/>
          <w:bCs/>
          <w:color w:val="auto"/>
          <w:sz w:val="24"/>
          <w:szCs w:val="24"/>
          <w:highlight w:val="none"/>
        </w:rPr>
        <w:t xml:space="preserve">乙方应赔偿甲方一切直接和间接损失。</w:t>
      </w:r>
      <w:r>
        <w:rPr>
          <w:color w:val="auto"/>
          <w:highlight w:val="none"/>
        </w:rPr>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w:t>
      </w:r>
      <w:r>
        <w:rPr>
          <w:rFonts w:ascii="宋体" w:hAnsi="宋体" w:eastAsia="宋体" w:cs="宋体"/>
          <w:color w:val="auto"/>
          <w:sz w:val="24"/>
          <w:szCs w:val="24"/>
          <w:highlight w:val="none"/>
        </w:rPr>
        <w:t xml:space="preserve">乙方如有其它违反本合同约定行为的，应按照本合同总价款【20】%向甲方支付违约金，</w:t>
      </w:r>
      <w:r>
        <w:rPr>
          <w:rFonts w:hint="eastAsia" w:ascii="宋体" w:hAnsi="宋体" w:eastAsia="宋体" w:cs="宋体"/>
          <w:color w:val="auto"/>
          <w:sz w:val="24"/>
          <w:szCs w:val="24"/>
          <w:highlight w:val="none"/>
        </w:rPr>
        <w:t xml:space="preserve">同时承担甲方因此产生的损失费用。</w:t>
      </w:r>
      <w:bookmarkEnd w:id="55"/>
      <w:r>
        <w:rPr>
          <w:color w:val="auto"/>
          <w:highlight w:val="none"/>
        </w:rPr>
      </w:r>
      <w:bookmarkEnd w:id="56"/>
      <w:r>
        <w:rPr>
          <w:color w:val="auto"/>
          <w:highlight w:val="none"/>
        </w:rPr>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⑧乙方因履行本合同而需向甲方支付款项的（包括但不限于违约赔偿、退款等），甲方有权直接自未付款项中予以抵扣，不足部分甲方有权要求乙方补足。</w:t>
      </w:r>
      <w:r>
        <w:rPr>
          <w:color w:val="auto"/>
          <w:highlight w:val="none"/>
        </w:rPr>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⑨乙方对招标文件中承诺函所承诺的内容未按约定提供，甲方有权终止合同，并要求乙方支付本合同总金额【20】%的违约金。</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十五、合同生效及其它：</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合同经甲乙双方法定或授权代表签字并加盖公章后生效。</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十六、合同的解除和转让：</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（一）除《政府采购法》第49条、第50条规定的情形及本合同约定的情形外，本合同签订后，甲乙双方不得擅自变更、中止或终止本合同。</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（二）有下列情形之一，合同一方可以解除合同：</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1、因不可抗力致使不能实现合同目的，未受不可抗力影响的一方有权解除合同；</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 xml:space="preserve">乙方存在违反本合同第十一条之情形的，甲方有权解除合同。</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3、因合同一方违约导致合同不能履行，另一方有权解除合同。</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（三）有权解除合同的一方，应当在违约事实或不可抗力发生之后一年内书面通知对方提出解除合同，合同在书面通知到达对方时解除。</w:t>
      </w:r>
      <w:r>
        <w:rPr>
          <w:color w:val="auto"/>
          <w:highlight w:val="none"/>
        </w:rPr>
      </w:r>
      <w:r/>
    </w:p>
    <w:p>
      <w:pPr>
        <w:ind w:firstLine="42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（四）合同的部分和全部都不得转让。</w:t>
      </w:r>
      <w:r>
        <w:rPr>
          <w:color w:val="auto"/>
          <w:highlight w:val="none"/>
        </w:rPr>
      </w:r>
      <w:r/>
    </w:p>
    <w:p>
      <w:pPr>
        <w:ind w:firstLine="480"/>
        <w:spacing w:line="360" w:lineRule="auto"/>
        <w:rPr>
          <w:rFonts w:asciiTheme="minorEastAsia" w:hAnsiTheme="minorEastAsia" w:eastAsiaTheme="minorEastAsia" w:cstheme="minorEastAsia"/>
          <w:b/>
          <w:bCs/>
          <w:color w:val="auto"/>
          <w:sz w:val="21"/>
          <w:szCs w:val="21"/>
          <w:highlight w:val="none"/>
        </w:rPr>
        <w:outlineLvl w:val="0"/>
      </w:pPr>
      <w:r>
        <w:rPr>
          <w:rFonts w:hint="eastAsia" w:ascii="宋体" w:hAnsi="宋体" w:eastAsia="宋体" w:cs="宋体"/>
          <w:color w:val="auto"/>
          <w:sz w:val="24"/>
          <w:szCs w:val="24"/>
          <w:highlight w:val="none"/>
        </w:rPr>
        <w:t xml:space="preserve">十七、</w:t>
      </w:r>
      <w:r>
        <w:rPr>
          <w:rFonts w:hint="eastAsia" w:asciiTheme="minorEastAsia" w:hAnsiTheme="minorEastAsia" w:eastAsiaTheme="minorEastAsia" w:cstheme="minorEastAsia"/>
          <w:b/>
          <w:bCs/>
          <w:color w:val="auto"/>
          <w:sz w:val="21"/>
          <w:szCs w:val="21"/>
          <w:highlight w:val="none"/>
        </w:rPr>
        <w:t xml:space="preserve">分包与转包</w:t>
      </w:r>
      <w:r>
        <w:rPr>
          <w:color w:val="auto"/>
          <w:highlight w:val="none"/>
        </w:rPr>
      </w:r>
      <w:r/>
    </w:p>
    <w:p>
      <w:pPr>
        <w:ind w:firstLine="480"/>
        <w:spacing w:line="360" w:lineRule="auto"/>
        <w:rPr>
          <w:rFonts w:asciiTheme="minorEastAsia" w:hAnsiTheme="minorEastAsia" w:eastAsiaTheme="minorEastAsia" w:cstheme="minorEastAsia"/>
          <w:bCs/>
          <w:color w:val="auto"/>
          <w:sz w:val="24"/>
          <w:szCs w:val="24"/>
          <w:highlight w:val="none"/>
        </w:rPr>
        <w:outlineLvl w:val="0"/>
      </w:pPr>
      <w:r>
        <w:rPr>
          <w:color w:val="auto"/>
          <w:highlight w:val="none"/>
        </w:rPr>
      </w:r>
      <w:bookmarkStart w:id="57" w:name="_Toc21187"/>
      <w:r>
        <w:rPr>
          <w:color w:val="auto"/>
          <w:highlight w:val="none"/>
        </w:rPr>
      </w:r>
      <w:bookmarkStart w:id="58" w:name="_Toc5573"/>
      <w:r>
        <w:rPr>
          <w:rFonts w:hint="eastAsia" w:asciiTheme="minorEastAsia" w:hAnsiTheme="minorEastAsia" w:eastAsiaTheme="minorEastAsia" w:cstheme="minorEastAsia"/>
          <w:bCs/>
          <w:color w:val="auto"/>
          <w:sz w:val="24"/>
          <w:szCs w:val="24"/>
          <w:highlight w:val="none"/>
        </w:rPr>
        <w:t xml:space="preserve">（一）本合同项目不得转包与分包。</w:t>
      </w:r>
      <w:bookmarkEnd w:id="57"/>
      <w:r>
        <w:rPr>
          <w:color w:val="auto"/>
          <w:highlight w:val="none"/>
        </w:rPr>
      </w:r>
      <w:bookmarkEnd w:id="58"/>
      <w:r>
        <w:rPr>
          <w:color w:val="auto"/>
          <w:highlight w:val="none"/>
        </w:rPr>
      </w:r>
      <w:r/>
    </w:p>
    <w:p>
      <w:pPr>
        <w:ind w:firstLine="480"/>
        <w:spacing w:line="360" w:lineRule="auto"/>
        <w:rPr>
          <w:rFonts w:asciiTheme="minorEastAsia" w:hAnsiTheme="minorEastAsia" w:eastAsiaTheme="minorEastAsia" w:cstheme="minorEastAsia"/>
          <w:bCs/>
          <w:color w:val="auto"/>
          <w:sz w:val="24"/>
          <w:szCs w:val="24"/>
          <w:highlight w:val="none"/>
        </w:rPr>
        <w:outlineLvl w:val="0"/>
      </w:pPr>
      <w:r>
        <w:rPr>
          <w:color w:val="auto"/>
          <w:highlight w:val="none"/>
        </w:rPr>
      </w:r>
      <w:bookmarkStart w:id="59" w:name="_Toc2635"/>
      <w:r>
        <w:rPr>
          <w:color w:val="auto"/>
          <w:highlight w:val="none"/>
        </w:rPr>
      </w:r>
      <w:bookmarkStart w:id="60" w:name="_Toc25681"/>
      <w:r>
        <w:rPr>
          <w:rFonts w:hint="eastAsia" w:asciiTheme="minorEastAsia" w:hAnsiTheme="minorEastAsia" w:eastAsiaTheme="minorEastAsia" w:cstheme="minorEastAsia"/>
          <w:bCs/>
          <w:color w:val="auto"/>
          <w:sz w:val="24"/>
          <w:szCs w:val="24"/>
          <w:highlight w:val="none"/>
        </w:rPr>
        <w:t xml:space="preserve">（二）如乙方存在分包或转包行为，甲方有权解除合同，乙方须返还全部已支付价款，并向甲方支付合同总金额20%的违约金。</w:t>
      </w:r>
      <w:bookmarkEnd w:id="59"/>
      <w:r>
        <w:rPr>
          <w:color w:val="auto"/>
          <w:highlight w:val="none"/>
        </w:rPr>
      </w:r>
      <w:bookmarkEnd w:id="60"/>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（三）因分包或转包导致甲方遭受损失的，乙方应赔偿甲方一切直接和间接损失。</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十八、其它：</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（一）乙方除应做好服务人员的安全教育外，还应为服务人员提供必要的劳动保护条件，一切安全责任事故均由乙方负责；</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保全保险费、诉讼费、鉴定费、律师费、差旅费等。</w:t>
      </w:r>
      <w:r>
        <w:rPr>
          <w:color w:val="auto"/>
          <w:highlight w:val="none"/>
        </w:rPr>
      </w:r>
      <w:r/>
    </w:p>
    <w:p>
      <w:pPr>
        <w:ind w:firstLine="480"/>
        <w:jc w:val="left"/>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附则：</w:t>
      </w:r>
      <w:r>
        <w:rPr>
          <w:color w:val="auto"/>
          <w:highlight w:val="none"/>
        </w:rPr>
      </w:r>
      <w:r/>
    </w:p>
    <w:p>
      <w:pPr>
        <w:ind w:firstLine="480"/>
        <w:spacing w:line="560" w:lineRule="exact"/>
        <w:tabs>
          <w:tab w:val="left" w:pos="567"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合同份数：本合同一式【柒】份，甲方执【叁】份，乙方执【贰】份，代理</w:t>
      </w:r>
      <w:r>
        <w:rPr>
          <w:rFonts w:ascii="宋体" w:hAnsi="宋体" w:eastAsia="宋体" w:cs="宋体"/>
          <w:color w:val="auto"/>
          <w:sz w:val="24"/>
          <w:szCs w:val="24"/>
          <w:highlight w:val="none"/>
        </w:rPr>
        <w:t xml:space="preserve">机构</w:t>
      </w:r>
      <w:r>
        <w:rPr>
          <w:rFonts w:hint="eastAsia" w:ascii="宋体" w:hAnsi="宋体" w:eastAsia="宋体" w:cs="宋体"/>
          <w:color w:val="auto"/>
          <w:sz w:val="24"/>
          <w:szCs w:val="24"/>
          <w:highlight w:val="none"/>
        </w:rPr>
        <w:t xml:space="preserve">执【贰】份，各份合同具有同等法律效力。</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2.本合同文件使用中文书写、解释和说明。</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3.本合同履行过程中产生的纪要、协议以及</w:t>
      </w:r>
      <w:r>
        <w:rPr>
          <w:rFonts w:hint="eastAsia" w:ascii="宋体" w:hAnsi="宋体" w:eastAsia="宋体" w:cs="宋体"/>
          <w:color w:val="auto"/>
          <w:sz w:val="24"/>
          <w:szCs w:val="24"/>
          <w:highlight w:val="none"/>
        </w:rPr>
        <w:t xml:space="preserve">中标</w:t>
      </w:r>
      <w:r>
        <w:rPr>
          <w:rFonts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rPr>
        <w:t xml:space="preserve">投标</w:t>
      </w:r>
      <w:r>
        <w:rPr>
          <w:rFonts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rPr>
        <w:t xml:space="preserve">招标文件</w:t>
      </w:r>
      <w:r>
        <w:rPr>
          <w:rFonts w:ascii="宋体" w:hAnsi="宋体" w:eastAsia="宋体" w:cs="宋体"/>
          <w:color w:val="auto"/>
          <w:sz w:val="24"/>
          <w:szCs w:val="24"/>
          <w:highlight w:val="none"/>
        </w:rPr>
        <w:t xml:space="preserve">为本合同的附件，与合同具有同等法律效力。</w:t>
      </w:r>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4.本合同未尽事宜应按照《中华人民共和国政府采购法》《中华人民共和国民法典》之规定解释。双方也可按照</w:t>
      </w:r>
      <w:bookmarkStart w:id="61" w:name="_Hlk44273759"/>
      <w:r>
        <w:rPr>
          <w:rFonts w:ascii="宋体" w:hAnsi="宋体" w:eastAsia="宋体" w:cs="宋体"/>
          <w:color w:val="auto"/>
          <w:sz w:val="24"/>
          <w:szCs w:val="24"/>
          <w:highlight w:val="none"/>
        </w:rPr>
        <w:t xml:space="preserve">书面形式签订补充协议，补充协议与本合同具有同等法律效力，经双方法定代表人或授权代表人签字并加盖公章后生效。补充协议之间如存在冲突的，应当以最新签订的为准。</w:t>
      </w:r>
      <w:bookmarkEnd w:id="61"/>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bookmarkStart w:id="62" w:name="OLE_LINK217"/>
      <w:r>
        <w:rPr>
          <w:color w:val="auto"/>
          <w:highlight w:val="none"/>
        </w:rPr>
      </w:r>
      <w:bookmarkStart w:id="63" w:name="OLE_LINK218"/>
      <w:r>
        <w:rPr>
          <w:rFonts w:ascii="宋体" w:hAnsi="宋体" w:eastAsia="宋体" w:cs="宋体"/>
          <w:color w:val="auto"/>
          <w:sz w:val="24"/>
          <w:szCs w:val="24"/>
          <w:highlight w:val="none"/>
        </w:rPr>
        <w:t xml:space="preserve">在本合同履行过程中，甲乙双方一切合同事项上的对接均以书面通知为准。双方所确认的联系人、联系方式及法律文书送达地址（本合同首部所载明的地址），如发生变更的，应当于变更之日起3日内书面通知另一方，未通知的自行承担送达不能等一切不利后果。</w:t>
      </w:r>
      <w:bookmarkEnd w:id="62"/>
      <w:r>
        <w:rPr>
          <w:color w:val="auto"/>
          <w:highlight w:val="none"/>
        </w:rPr>
      </w:r>
      <w:bookmarkEnd w:id="63"/>
      <w:r>
        <w:rPr>
          <w:color w:val="auto"/>
          <w:highlight w:val="none"/>
        </w:rPr>
      </w:r>
      <w:r/>
    </w:p>
    <w:p>
      <w:pPr>
        <w:ind w:firstLine="480"/>
        <w:spacing w:line="5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（以下无正文）</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rPr>
          <w:color w:val="auto"/>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日期：</w:t>
      </w:r>
      <w:r>
        <w:rPr>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考核标准附件：</w:t>
      </w:r>
      <w:r>
        <w:rPr>
          <w:color w:val="auto"/>
          <w:highlight w:val="none"/>
        </w:rPr>
      </w:r>
      <w:r/>
    </w:p>
    <w:p>
      <w:pPr>
        <w:pStyle w:val="1098"/>
        <w:ind w:firstLine="0"/>
        <w:spacing w:before="179"/>
        <w:rPr>
          <w:rFonts w:hint="default" w:eastAsia="宋体"/>
          <w:b w:val="0"/>
          <w:color w:val="auto"/>
          <w:szCs w:val="24"/>
          <w:highlight w:val="none"/>
        </w:rPr>
      </w:pPr>
      <w:r>
        <w:rPr>
          <w:rFonts w:eastAsia="宋体"/>
          <w:b w:val="0"/>
          <w:color w:val="auto"/>
          <w:szCs w:val="24"/>
          <w:highlight w:val="none"/>
        </w:rPr>
        <w:t xml:space="preserve">《苏州市公安局居住证九期制证月度考核表》</w:t>
      </w:r>
      <w:r>
        <w:rPr>
          <w:color w:val="auto"/>
          <w:highlight w:val="none"/>
        </w:rPr>
      </w:r>
      <w:r/>
    </w:p>
    <w:tbl>
      <w:tblPr>
        <w:tblStyle w:val="979"/>
        <w:tblW w:w="9160" w:type="dxa"/>
        <w:tblInd w:w="30" w:type="dxa"/>
        <w:tblLayout w:type="fixed"/>
        <w:tblCellMar>
          <w:left w:w="108" w:type="dxa"/>
          <w:top w:w="0" w:type="dxa"/>
          <w:right w:w="108" w:type="dxa"/>
          <w:bottom w:w="0" w:type="dxa"/>
        </w:tblCellMar>
        <w:tblLook w:val="04A0" w:firstRow="1" w:lastRow="0" w:firstColumn="1" w:lastColumn="0" w:noHBand="0" w:noVBand="1"/>
      </w:tblPr>
      <w:tblGrid>
        <w:gridCol w:w="1681"/>
        <w:gridCol w:w="2825"/>
        <w:gridCol w:w="3672"/>
        <w:gridCol w:w="982"/>
      </w:tblGrid>
      <w:tr>
        <w:trPr>
          <w:trHeight w:val="397"/>
        </w:trPr>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ind w:right="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考核月度</w:t>
            </w:r>
            <w:r>
              <w:rPr>
                <w:color w:val="auto"/>
                <w:highlight w:val="none"/>
              </w:rPr>
            </w:r>
            <w:r/>
          </w:p>
        </w:tc>
        <w:tc>
          <w:tcPr>
            <w:tcBorders>
              <w:top w:val="none" w:color="000000" w:sz="4" w:space="0"/>
              <w:left w:val="none" w:color="000000" w:sz="4" w:space="0"/>
              <w:bottom w:val="single" w:color="auto" w:sz="8" w:space="0"/>
              <w:right w:val="none" w:color="000000" w:sz="4" w:space="0"/>
            </w:tcBorders>
            <w:tcW w:w="2825" w:type="dxa"/>
            <w:vAlign w:val="center"/>
            <w:textDirection w:val="lrTb"/>
            <w:noWrap w:val="false"/>
          </w:tcPr>
          <w:p>
            <w:pPr>
              <w:ind w:firstLine="482"/>
              <w:jc w:val="righ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年</w:t>
            </w:r>
            <w:r>
              <w:rPr>
                <w:color w:val="auto"/>
                <w:highlight w:val="none"/>
              </w:rPr>
            </w:r>
            <w:r/>
          </w:p>
        </w:tc>
        <w:tc>
          <w:tcPr>
            <w:tcBorders>
              <w:top w:val="none" w:color="000000" w:sz="4" w:space="0"/>
              <w:left w:val="none" w:color="000000" w:sz="4" w:space="0"/>
              <w:bottom w:val="single" w:color="auto" w:sz="8" w:space="0"/>
              <w:right w:val="none" w:color="000000" w:sz="4" w:space="0"/>
            </w:tcBorders>
            <w:tcW w:w="3672" w:type="dxa"/>
            <w:vAlign w:val="center"/>
            <w:textDirection w:val="lrTb"/>
            <w:noWrap w:val="false"/>
          </w:tcPr>
          <w:p>
            <w:pPr>
              <w:ind w:right="964"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w:t>
            </w:r>
            <w:r>
              <w:rPr>
                <w:color w:val="auto"/>
                <w:highlight w:val="none"/>
              </w:rPr>
            </w:r>
            <w:r/>
          </w:p>
        </w:tc>
        <w:tc>
          <w:tcPr>
            <w:tcBorders>
              <w:top w:val="none" w:color="000000" w:sz="4" w:space="0"/>
              <w:left w:val="none" w:color="000000" w:sz="4" w:space="0"/>
              <w:bottom w:val="none" w:color="000000" w:sz="4" w:space="0"/>
              <w:right w:val="none" w:color="000000" w:sz="4" w:space="0"/>
            </w:tcBorders>
            <w:tcW w:w="982" w:type="dxa"/>
            <w:vAlign w:val="center"/>
            <w:textDirection w:val="lrTb"/>
            <w:noWrap w:val="false"/>
          </w:tcPr>
          <w:p>
            <w:pPr>
              <w:ind w:firstLine="482"/>
              <w:jc w:val="righ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rPr>
                <w:color w:val="auto"/>
                <w:highlight w:val="none"/>
              </w:rPr>
            </w:r>
            <w:r/>
          </w:p>
        </w:tc>
      </w:tr>
      <w:tr>
        <w:trPr>
          <w:trHeight w:val="397"/>
        </w:trPr>
        <w:tc>
          <w:tcPr>
            <w:shd w:val="clear" w:color="000000" w:fill="f3f3f3"/>
            <w:tcBorders>
              <w:top w:val="single" w:color="auto" w:sz="8" w:space="0"/>
              <w:left w:val="single" w:color="auto" w:sz="8" w:space="0"/>
              <w:bottom w:val="single" w:color="auto" w:sz="8" w:space="0"/>
              <w:right w:val="single" w:color="auto" w:sz="8" w:space="0"/>
            </w:tcBorders>
            <w:tcW w:w="1681" w:type="dxa"/>
            <w:vAlign w:val="center"/>
            <w:textDirection w:val="lrTb"/>
            <w:noWrap w:val="false"/>
          </w:tcPr>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月考核项目</w:t>
            </w:r>
            <w:r>
              <w:rPr>
                <w:color w:val="auto"/>
                <w:highlight w:val="none"/>
              </w:rPr>
            </w:r>
            <w:r/>
          </w:p>
        </w:tc>
        <w:tc>
          <w:tcPr>
            <w:gridSpan w:val="2"/>
            <w:shd w:val="clear" w:color="000000" w:fill="f3f3f3"/>
            <w:tcBorders>
              <w:top w:val="single" w:color="auto" w:sz="8" w:space="0"/>
              <w:left w:val="none" w:color="000000" w:sz="4" w:space="0"/>
              <w:bottom w:val="single" w:color="auto" w:sz="8" w:space="0"/>
              <w:right w:val="single" w:color="000000" w:sz="8" w:space="0"/>
            </w:tcBorders>
            <w:tcW w:w="6497" w:type="dxa"/>
            <w:vAlign w:val="center"/>
            <w:textDirection w:val="lrTb"/>
            <w:noWrap w:val="false"/>
          </w:tcPr>
          <w:p>
            <w:pPr>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rPr>
                <w:color w:val="auto"/>
                <w:highlight w:val="none"/>
              </w:rPr>
            </w:r>
            <w:r/>
          </w:p>
        </w:tc>
        <w:tc>
          <w:tcPr>
            <w:shd w:val="clear" w:color="000000" w:fill="f3f3f3"/>
            <w:tcBorders>
              <w:top w:val="single" w:color="auto" w:sz="8" w:space="0"/>
              <w:left w:val="none" w:color="000000" w:sz="4" w:space="0"/>
              <w:bottom w:val="none" w:color="000000" w:sz="4" w:space="0"/>
              <w:right w:val="single" w:color="auto" w:sz="8" w:space="0"/>
            </w:tcBorders>
            <w:tcW w:w="982" w:type="dxa"/>
            <w:vAlign w:val="center"/>
            <w:textDirection w:val="lrTb"/>
            <w:noWrap w:val="false"/>
          </w:tcPr>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rPr>
                <w:color w:val="auto"/>
                <w:highlight w:val="none"/>
              </w:rPr>
            </w:r>
            <w:r/>
          </w:p>
        </w:tc>
      </w:tr>
      <w:tr>
        <w:trPr>
          <w:trHeight w:val="397"/>
        </w:trPr>
        <w:tc>
          <w:tcPr>
            <w:tcBorders>
              <w:top w:val="none" w:color="000000" w:sz="4" w:space="0"/>
              <w:left w:val="single" w:color="auto" w:sz="8" w:space="0"/>
              <w:bottom w:val="none" w:color="000000" w:sz="4" w:space="0"/>
              <w:right w:val="single" w:color="auto" w:sz="8" w:space="0"/>
            </w:tcBorders>
            <w:tcW w:w="1681"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产能考核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（40分）</w:t>
            </w:r>
            <w:r>
              <w:rPr>
                <w:color w:val="auto"/>
                <w:highlight w:val="none"/>
              </w:rPr>
            </w:r>
            <w:r/>
          </w:p>
        </w:tc>
        <w:tc>
          <w:tcPr>
            <w:tcBorders>
              <w:top w:val="none" w:color="000000" w:sz="4" w:space="0"/>
              <w:left w:val="none" w:color="000000" w:sz="4" w:space="0"/>
              <w:bottom w:val="single" w:color="auto" w:sz="8" w:space="0"/>
              <w:right w:val="single" w:color="auto" w:sz="8" w:space="0"/>
            </w:tcBorders>
            <w:tcW w:w="2825"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实际日产能抽查：工作日按单班计，每班8小时，制证中心日产能不低于1.6万张居住证成品卡</w:t>
            </w:r>
            <w:r>
              <w:rPr>
                <w:color w:val="auto"/>
                <w:highlight w:val="none"/>
              </w:rPr>
            </w:r>
            <w:r/>
          </w:p>
        </w:tc>
        <w:tc>
          <w:tcPr>
            <w:tcBorders>
              <w:top w:val="none" w:color="000000" w:sz="4" w:space="0"/>
              <w:left w:val="none" w:color="000000" w:sz="4" w:space="0"/>
              <w:bottom w:val="single" w:color="auto" w:sz="8" w:space="0"/>
              <w:right w:val="single" w:color="auto" w:sz="8" w:space="0"/>
            </w:tcBorders>
            <w:tcW w:w="3672" w:type="dxa"/>
            <w:vAlign w:val="center"/>
            <w:textDirection w:val="lrTb"/>
            <w:noWrap w:val="false"/>
          </w:tcPr>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不定期对生产台账和实际制证有效数量进行抽查，抽查中生产台账和日实际制证有效数量满足1.6万日产能的，得满分；每少1000张，扣5分；因居住证信息有效采集数不足1.6万条/工作日的不扣分，按实际采集数生产。</w:t>
            </w:r>
            <w:r>
              <w:rPr>
                <w:color w:val="auto"/>
                <w:highlight w:val="none"/>
              </w:rPr>
            </w:r>
            <w:r/>
          </w:p>
        </w:tc>
        <w:tc>
          <w:tcPr>
            <w:tcBorders>
              <w:top w:val="single" w:color="auto" w:sz="8" w:space="0"/>
              <w:left w:val="none" w:color="000000" w:sz="4" w:space="0"/>
              <w:bottom w:val="single" w:color="auto" w:sz="8"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397"/>
        </w:trPr>
        <w:tc>
          <w:tcPr>
            <w:tcBorders>
              <w:top w:val="single" w:color="auto" w:sz="8" w:space="0"/>
              <w:left w:val="single" w:color="auto" w:sz="8" w:space="0"/>
              <w:bottom w:val="none" w:color="000000" w:sz="4" w:space="0"/>
              <w:right w:val="single" w:color="auto" w:sz="8" w:space="0"/>
            </w:tcBorders>
            <w:tcW w:w="1681" w:type="dxa"/>
            <w:vAlign w:val="center"/>
            <w:vMerge w:val="restart"/>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（40分）</w:t>
            </w:r>
            <w:r>
              <w:rPr>
                <w:color w:val="auto"/>
                <w:highlight w:val="none"/>
              </w:rPr>
            </w:r>
            <w:r/>
          </w:p>
        </w:tc>
        <w:tc>
          <w:tcPr>
            <w:tcBorders>
              <w:top w:val="none" w:color="000000" w:sz="4" w:space="0"/>
              <w:left w:val="none" w:color="000000" w:sz="4" w:space="0"/>
              <w:bottom w:val="single" w:color="auto" w:sz="8" w:space="0"/>
              <w:right w:val="single" w:color="auto" w:sz="8" w:space="0"/>
            </w:tcBorders>
            <w:tcW w:w="2825"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制证中心人数抽查：根据产能要求和预估制证数量，制证中心投入【   】人，包含【   】名</w:t>
            </w:r>
            <w:r>
              <w:rPr>
                <w:rFonts w:hint="eastAsia" w:ascii="宋体" w:hAnsi="宋体" w:eastAsia="宋体" w:cs="宋体"/>
                <w:color w:val="auto"/>
                <w:sz w:val="24"/>
                <w:szCs w:val="24"/>
                <w:highlight w:val="none"/>
              </w:rPr>
              <w:t xml:space="preserve">生产员工、【   】名管理人员</w:t>
            </w:r>
            <w:r>
              <w:rPr>
                <w:color w:val="auto"/>
                <w:highlight w:val="none"/>
              </w:rPr>
            </w:r>
            <w:r/>
          </w:p>
        </w:tc>
        <w:tc>
          <w:tcPr>
            <w:tcBorders>
              <w:top w:val="none" w:color="000000" w:sz="4" w:space="0"/>
              <w:left w:val="none" w:color="000000" w:sz="4" w:space="0"/>
              <w:bottom w:val="single" w:color="auto" w:sz="8" w:space="0"/>
              <w:right w:val="none" w:color="000000" w:sz="4" w:space="0"/>
            </w:tcBorders>
            <w:tcW w:w="3672" w:type="dxa"/>
            <w:vAlign w:val="center"/>
            <w:textDirection w:val="lrTb"/>
            <w:noWrap w:val="false"/>
          </w:tcPr>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不定期对制证中心实际上班人数进行抽查，如管理人员和设备维护工程师未到岗，每缺少一人扣10分；如生产员工未到岗，每缺少一人扣5分；未到岗人员有正常请假手续的不扣分；除病假、丧假等特殊假期，每人每月年假请假天数不得超过3天。</w:t>
            </w:r>
            <w:r>
              <w:rPr>
                <w:color w:val="auto"/>
                <w:highlight w:val="none"/>
              </w:rPr>
            </w:r>
            <w:r/>
          </w:p>
        </w:tc>
        <w:tc>
          <w:tcPr>
            <w:tcBorders>
              <w:top w:val="none" w:color="000000" w:sz="4" w:space="0"/>
              <w:left w:val="single" w:color="auto" w:sz="8" w:space="0"/>
              <w:bottom w:val="none" w:color="000000" w:sz="4"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397"/>
        </w:trPr>
        <w:tc>
          <w:tcPr>
            <w:tcBorders>
              <w:top w:val="single" w:color="auto" w:sz="8" w:space="0"/>
              <w:left w:val="single" w:color="auto" w:sz="8" w:space="0"/>
              <w:bottom w:val="none" w:color="000000" w:sz="4" w:space="0"/>
              <w:right w:val="single" w:color="auto" w:sz="8" w:space="0"/>
            </w:tcBorders>
            <w:tcW w:w="1681" w:type="dxa"/>
            <w:vAlign w:val="center"/>
            <w:vMerge w:val="continue"/>
            <w:textDirection w:val="lrTb"/>
            <w:noWrap w:val="false"/>
          </w:tcPr>
          <w:p>
            <w:pPr>
              <w:ind w:firstLine="480"/>
              <w:jc w:val="left"/>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2825"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证件制作时间要求：应在接到制证数据后【7】个工作日内完成居住证的制作，并按照流程进行发放</w:t>
            </w:r>
            <w:r>
              <w:rPr>
                <w:color w:val="auto"/>
                <w:highlight w:val="none"/>
              </w:rPr>
            </w:r>
            <w:r/>
          </w:p>
        </w:tc>
        <w:tc>
          <w:tcPr>
            <w:tcBorders>
              <w:top w:val="none" w:color="000000" w:sz="4" w:space="0"/>
              <w:left w:val="none" w:color="000000" w:sz="4" w:space="0"/>
              <w:bottom w:val="single" w:color="auto" w:sz="8" w:space="0"/>
              <w:right w:val="none" w:color="000000" w:sz="4" w:space="0"/>
            </w:tcBorders>
            <w:tcW w:w="3672"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每月核算，下月初对上月制证数据进行核算，如超7个工作日制证的数量超过当月制证总数的0.5%，扣5分。</w:t>
            </w:r>
            <w:r>
              <w:rPr>
                <w:color w:val="auto"/>
                <w:highlight w:val="none"/>
              </w:rPr>
            </w:r>
            <w:r/>
          </w:p>
        </w:tc>
        <w:tc>
          <w:tcPr>
            <w:tcBorders>
              <w:top w:val="single" w:color="auto" w:sz="8" w:space="0"/>
              <w:left w:val="single" w:color="auto" w:sz="8" w:space="0"/>
              <w:bottom w:val="none" w:color="000000" w:sz="4"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397"/>
        </w:trPr>
        <w:tc>
          <w:tcPr>
            <w:tcBorders>
              <w:top w:val="single" w:color="auto" w:sz="8" w:space="0"/>
              <w:left w:val="single" w:color="auto" w:sz="8" w:space="0"/>
              <w:bottom w:val="none" w:color="000000" w:sz="4" w:space="0"/>
              <w:right w:val="single" w:color="auto" w:sz="8" w:space="0"/>
            </w:tcBorders>
            <w:tcW w:w="1681" w:type="dxa"/>
            <w:vAlign w:val="center"/>
            <w:vMerge w:val="continue"/>
            <w:textDirection w:val="lrTb"/>
            <w:noWrap w:val="false"/>
          </w:tcPr>
          <w:p>
            <w:pPr>
              <w:ind w:firstLine="480"/>
              <w:jc w:val="left"/>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none" w:color="000000" w:sz="4" w:space="0"/>
              <w:bottom w:val="single" w:color="auto" w:sz="8" w:space="0"/>
              <w:right w:val="single" w:color="auto" w:sz="8" w:space="0"/>
            </w:tcBorders>
            <w:tcW w:w="2825"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快递要求：成品居住证须按照不同的派出所分拣与打包，并快递至各地派出所</w:t>
            </w:r>
            <w:r>
              <w:rPr>
                <w:color w:val="auto"/>
                <w:highlight w:val="none"/>
              </w:rPr>
            </w:r>
            <w:r/>
          </w:p>
        </w:tc>
        <w:tc>
          <w:tcPr>
            <w:tcBorders>
              <w:top w:val="none" w:color="000000" w:sz="4" w:space="0"/>
              <w:left w:val="none" w:color="000000" w:sz="4" w:space="0"/>
              <w:bottom w:val="single" w:color="auto" w:sz="8" w:space="0"/>
              <w:right w:val="none" w:color="000000" w:sz="4" w:space="0"/>
            </w:tcBorders>
            <w:tcW w:w="3672"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通过快递台账抽查和派出所主动上报的方式对快递质量考核，每发生一次快递接收单位非证件申请单位的快递错误扣1分。</w:t>
            </w:r>
            <w:r>
              <w:rPr>
                <w:color w:val="auto"/>
                <w:highlight w:val="none"/>
              </w:rPr>
            </w:r>
            <w:r/>
          </w:p>
        </w:tc>
        <w:tc>
          <w:tcPr>
            <w:tcBorders>
              <w:top w:val="single" w:color="auto" w:sz="8" w:space="0"/>
              <w:left w:val="single" w:color="auto" w:sz="8" w:space="0"/>
              <w:bottom w:val="none" w:color="000000" w:sz="4"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397"/>
        </w:trPr>
        <w:tc>
          <w:tcPr>
            <w:gridSpan w:val="3"/>
            <w:tcBorders>
              <w:top w:val="single" w:color="auto" w:sz="8" w:space="0"/>
              <w:left w:val="single" w:color="auto" w:sz="8" w:space="0"/>
              <w:bottom w:val="single" w:color="auto" w:sz="8" w:space="0"/>
              <w:right w:val="none" w:color="000000" w:sz="4" w:space="0"/>
            </w:tcBorders>
            <w:tcW w:w="8178"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月度总体评价（20分）：由采购方根据当月的生产稳定性、服务及时性、满意度等几个方面进行评价打分</w:t>
            </w:r>
            <w:r>
              <w:rPr>
                <w:color w:val="auto"/>
                <w:highlight w:val="none"/>
              </w:rPr>
            </w:r>
            <w:r/>
          </w:p>
        </w:tc>
        <w:tc>
          <w:tcPr>
            <w:tcBorders>
              <w:top w:val="single" w:color="auto" w:sz="8" w:space="0"/>
              <w:left w:val="single" w:color="auto" w:sz="8" w:space="0"/>
              <w:bottom w:val="none" w:color="000000" w:sz="4"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397"/>
        </w:trPr>
        <w:tc>
          <w:tcPr>
            <w:gridSpan w:val="3"/>
            <w:tcBorders>
              <w:top w:val="single" w:color="auto" w:sz="8" w:space="0"/>
              <w:left w:val="single" w:color="auto" w:sz="8" w:space="0"/>
              <w:bottom w:val="single" w:color="auto" w:sz="8" w:space="0"/>
              <w:right w:val="none" w:color="000000" w:sz="4" w:space="0"/>
            </w:tcBorders>
            <w:tcW w:w="8178" w:type="dxa"/>
            <w:vAlign w:val="center"/>
            <w:textDirection w:val="lrTb"/>
            <w:noWrap w:val="false"/>
          </w:tcPr>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①考核得分=产能考核得分+日常工作得分+总体评价得分；②月度得分≥85分，则按照合同全额付款，月度得分＜85分，则每低1分，核减当月结算总额的1%；③如连续3个月度得分低于80分，则采购方有权单方面解除合同；④解释权归采购方；⑤不可抗力因素导致的结果除外。</w:t>
            </w:r>
            <w:r>
              <w:rPr>
                <w:color w:val="auto"/>
                <w:highlight w:val="none"/>
              </w:rPr>
            </w:r>
            <w:r/>
          </w:p>
        </w:tc>
        <w:tc>
          <w:tcPr>
            <w:tcBorders>
              <w:top w:val="single" w:color="auto" w:sz="8" w:space="0"/>
              <w:left w:val="single" w:color="auto" w:sz="8" w:space="0"/>
              <w:bottom w:val="single" w:color="auto" w:sz="8" w:space="0"/>
              <w:right w:val="single" w:color="auto" w:sz="8" w:space="0"/>
            </w:tcBorders>
            <w:tcW w:w="982" w:type="dxa"/>
            <w:vAlign w:val="center"/>
            <w:textDirection w:val="lrTb"/>
            <w:noWrap w:val="false"/>
          </w:tcPr>
          <w:p>
            <w:pPr>
              <w:ind w:firstLine="48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color w:val="auto"/>
                <w:highlight w:val="none"/>
              </w:rPr>
            </w:r>
            <w:r/>
          </w:p>
        </w:tc>
      </w:tr>
      <w:tr>
        <w:trPr>
          <w:trHeight w:val="645"/>
        </w:trPr>
        <w:tc>
          <w:tcPr>
            <w:gridSpan w:val="2"/>
            <w:tcBorders>
              <w:top w:val="single" w:color="auto" w:sz="8" w:space="0"/>
              <w:left w:val="single" w:color="auto" w:sz="8" w:space="0"/>
              <w:bottom w:val="single" w:color="000000" w:sz="8" w:space="0"/>
              <w:right w:val="single" w:color="000000" w:sz="8" w:space="0"/>
            </w:tcBorders>
            <w:tcW w:w="4506" w:type="dxa"/>
            <w:vAlign w:val="center"/>
            <w:textDirection w:val="lrTb"/>
            <w:noWrap w:val="false"/>
          </w:tcPr>
          <w:p>
            <w:pPr>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考核确认（签字）：</w:t>
            </w:r>
            <w:r>
              <w:rPr>
                <w:color w:val="auto"/>
                <w:highlight w:val="none"/>
              </w:rPr>
            </w:r>
            <w:r/>
          </w:p>
        </w:tc>
        <w:tc>
          <w:tcPr>
            <w:gridSpan w:val="2"/>
            <w:tcBorders>
              <w:top w:val="single" w:color="auto" w:sz="8" w:space="0"/>
              <w:left w:val="none" w:color="000000" w:sz="4" w:space="0"/>
              <w:bottom w:val="single" w:color="000000" w:sz="8" w:space="0"/>
              <w:right w:val="single" w:color="000000" w:sz="8" w:space="0"/>
            </w:tcBorders>
            <w:tcW w:w="4654" w:type="dxa"/>
            <w:vAlign w:val="center"/>
            <w:textDirection w:val="lrTb"/>
            <w:noWrap w:val="false"/>
          </w:tcPr>
          <w:p>
            <w:pPr>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考核时间：</w:t>
            </w:r>
            <w:r>
              <w:rPr>
                <w:rFonts w:hint="eastAsia" w:ascii="宋体" w:hAnsi="宋体" w:eastAsia="宋体" w:cs="宋体"/>
                <w:color w:val="auto"/>
                <w:sz w:val="24"/>
                <w:szCs w:val="24"/>
                <w:highlight w:val="none"/>
              </w:rPr>
              <w:t xml:space="preserve">　</w:t>
            </w:r>
            <w:r>
              <w:rPr>
                <w:color w:val="auto"/>
                <w:highlight w:val="none"/>
              </w:rPr>
            </w:r>
            <w:r/>
          </w:p>
        </w:tc>
      </w:tr>
    </w:tbl>
    <w:p>
      <w:pPr>
        <w:rPr>
          <w:rFonts w:hint="eastAsia" w:ascii="宋体" w:hAnsi="宋体" w:eastAsia="宋体" w:cs="宋体"/>
          <w:color w:val="auto"/>
          <w:highlight w:val="none"/>
        </w:rPr>
      </w:pPr>
      <w:r>
        <w:rPr>
          <w:color w:val="auto"/>
          <w:highlight w:val="none"/>
        </w:rPr>
      </w:r>
      <w:bookmarkStart w:id="64" w:name="_Toc160701728"/>
      <w:r>
        <w:rPr>
          <w:rFonts w:hint="eastAsia" w:ascii="宋体" w:hAnsi="宋体" w:eastAsia="宋体" w:cs="宋体"/>
          <w:color w:val="auto"/>
          <w:highlight w:val="none"/>
        </w:rPr>
        <w:br w:type="page" w:clear="all"/>
      </w:r>
      <w:r>
        <w:rPr>
          <w:color w:val="auto"/>
          <w:highlight w:val="none"/>
        </w:rPr>
      </w:r>
      <w:r/>
    </w:p>
    <w:p>
      <w:pPr>
        <w:pStyle w:val="975"/>
        <w:jc w:val="center"/>
        <w:spacing w:before="0" w:after="0" w:line="579" w:lineRule="auto"/>
        <w:rPr>
          <w:rFonts w:ascii="宋体" w:hAnsi="宋体" w:eastAsia="宋体" w:cs="宋体"/>
          <w:color w:val="auto"/>
          <w:highlight w:val="none"/>
        </w:rPr>
      </w:pPr>
      <w:r>
        <w:rPr>
          <w:rFonts w:hint="eastAsia" w:ascii="宋体" w:hAnsi="宋体" w:eastAsia="宋体" w:cs="宋体"/>
          <w:color w:val="auto"/>
          <w:highlight w:val="none"/>
        </w:rPr>
        <w:t xml:space="preserve">第六章  评标办法及标准</w:t>
      </w:r>
      <w:bookmarkEnd w:id="44"/>
      <w:r>
        <w:rPr>
          <w:color w:val="auto"/>
          <w:highlight w:val="none"/>
        </w:rPr>
      </w:r>
      <w:bookmarkEnd w:id="45"/>
      <w:r>
        <w:rPr>
          <w:color w:val="auto"/>
          <w:highlight w:val="none"/>
        </w:rPr>
      </w:r>
      <w:bookmarkEnd w:id="64"/>
      <w:r>
        <w:rPr>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rPr>
          <w:color w:val="auto"/>
          <w:highlight w:val="none"/>
        </w:rPr>
      </w:r>
      <w:r/>
    </w:p>
    <w:p>
      <w:pPr>
        <w:spacing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rPr>
          <w:color w:val="auto"/>
          <w:highlight w:val="none"/>
        </w:rPr>
      </w:r>
      <w:r/>
    </w:p>
    <w:p>
      <w:pPr>
        <w:pStyle w:val="1060"/>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1、本次招标评标采用为</w:t>
      </w:r>
      <w:r>
        <w:rPr>
          <w:rFonts w:hint="eastAsia" w:hAnsi="宋体" w:eastAsia="宋体" w:cs="宋体"/>
          <w:b/>
          <w:bCs/>
          <w:color w:val="auto"/>
          <w:sz w:val="24"/>
          <w:szCs w:val="24"/>
          <w:highlight w:val="none"/>
          <w:u w:val="single"/>
        </w:rPr>
        <w:t xml:space="preserve">综合评分法</w:t>
      </w:r>
      <w:r>
        <w:rPr>
          <w:rFonts w:hint="eastAsia" w:hAnsi="宋体" w:eastAsia="宋体" w:cs="宋体"/>
          <w:color w:val="auto"/>
          <w:sz w:val="24"/>
          <w:szCs w:val="24"/>
          <w:highlight w:val="none"/>
        </w:rPr>
        <w:t xml:space="preserve">，即在满足招标文件实质性要求前提下，评标委员会按照招标文件中规定的评分标准和各项因素进行综合评审后，按评标总得分高低顺序推荐中标候选供应商。</w:t>
      </w:r>
      <w:r>
        <w:rPr>
          <w:color w:val="auto"/>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color w:val="auto"/>
          <w:highlight w:val="none"/>
        </w:rPr>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中标候选人并列</w:t>
      </w:r>
      <w:r>
        <w:rPr>
          <w:rFonts w:hint="eastAsia" w:ascii="宋体" w:hAnsi="宋体" w:eastAsia="宋体" w:cs="宋体"/>
          <w:color w:val="auto"/>
          <w:sz w:val="24"/>
          <w:szCs w:val="24"/>
          <w:highlight w:val="none"/>
        </w:rPr>
        <w:t xml:space="preserve">的，以投标报价较低者优先作为中标候选人，如果投标报价也相同的，则由公证机构组织以抽签方式确定中标候选人。</w:t>
      </w:r>
      <w:r>
        <w:rPr>
          <w:color w:val="auto"/>
          <w:highlight w:val="none"/>
        </w:rPr>
      </w:r>
      <w:r/>
    </w:p>
    <w:p>
      <w:pPr>
        <w:ind w:firstLine="480"/>
        <w:spacing w:line="360" w:lineRule="auto"/>
        <w:rPr>
          <w:rFonts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4、针对小微型企业、残疾人福利性单位、监狱企业的评审价格折扣按照招标文件内针对中小型企业的评审、促进残疾人就业和支持监狱企业发展有关政策相关规定执行。</w:t>
      </w:r>
      <w:r>
        <w:rPr>
          <w:color w:val="auto"/>
          <w:highlight w:val="none"/>
        </w:rPr>
      </w:r>
      <w:r/>
    </w:p>
    <w:p>
      <w:pPr>
        <w:ind w:firstLine="482"/>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(一）价格分：40分</w:t>
      </w:r>
      <w:r>
        <w:rPr>
          <w:color w:val="auto"/>
          <w:highlight w:val="none"/>
        </w:rPr>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第一步：投标报价低于或等于财政预算价格（或最高限价）的，为有效投标报价。超财政预算（或最高限价）的投标报价为无效投标报价。</w:t>
      </w:r>
      <w:r>
        <w:rPr>
          <w:color w:val="auto"/>
          <w:highlight w:val="none"/>
        </w:rPr>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投标报价得分＝（评标基准价/投标报价）×40％×100</w:t>
      </w:r>
      <w:r>
        <w:rPr>
          <w:color w:val="auto"/>
          <w:highlight w:val="none"/>
        </w:rPr>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（二）技术部分</w:t>
      </w:r>
      <w:r>
        <w:rPr>
          <w:rFonts w:hint="eastAsia" w:ascii="宋体" w:hAnsi="宋体" w:eastAsia="宋体" w:cs="宋体"/>
          <w:b/>
          <w:color w:val="auto"/>
          <w:sz w:val="24"/>
          <w:szCs w:val="24"/>
          <w:highlight w:val="none"/>
          <w:lang w:val="zh-CN"/>
        </w:rPr>
        <w:t xml:space="preserve">（</w:t>
      </w:r>
      <w:r>
        <w:rPr>
          <w:rFonts w:ascii="宋体" w:hAnsi="宋体" w:eastAsia="宋体" w:cs="宋体"/>
          <w:b/>
          <w:color w:val="auto"/>
          <w:sz w:val="24"/>
          <w:szCs w:val="24"/>
          <w:highlight w:val="none"/>
        </w:rPr>
        <w:t xml:space="preserve">41</w:t>
      </w:r>
      <w:r>
        <w:rPr>
          <w:rFonts w:hint="eastAsia" w:ascii="宋体" w:hAnsi="宋体" w:eastAsia="宋体" w:cs="宋体"/>
          <w:b/>
          <w:color w:val="auto"/>
          <w:sz w:val="24"/>
          <w:szCs w:val="24"/>
          <w:highlight w:val="none"/>
          <w:lang w:val="zh-CN"/>
        </w:rPr>
        <w:t xml:space="preserve">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项目总体方案</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结合项目实际，提供该项目的规划方案，须涵盖以下核心要素。（6分）</w:t>
      </w:r>
      <w:r>
        <w:rPr>
          <w:color w:val="auto"/>
          <w:highlight w:val="none"/>
        </w:rPr>
      </w:r>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项目概况、项目主要服务内容；</w:t>
      </w:r>
      <w:r>
        <w:rPr>
          <w:color w:val="auto"/>
          <w:highlight w:val="none"/>
        </w:rPr>
      </w:r>
      <w:r/>
    </w:p>
    <w:p>
      <w:pPr>
        <w:numPr>
          <w:ilvl w:val="0"/>
          <w:numId w:val="8"/>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项目需求分析、项目管理方案；</w:t>
      </w:r>
      <w:r>
        <w:rPr>
          <w:color w:val="auto"/>
          <w:highlight w:val="none"/>
        </w:rPr>
      </w:r>
      <w:r/>
    </w:p>
    <w:p>
      <w:pPr>
        <w:numPr>
          <w:ilvl w:val="0"/>
          <w:numId w:val="8"/>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工作程序及机制方案、工作流程方案。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内容要素齐全、内容</w:t>
      </w:r>
      <w:r>
        <w:rPr>
          <w:rFonts w:hint="eastAsia" w:ascii="宋体" w:hAnsi="宋体" w:eastAsia="宋体" w:cs="宋体"/>
          <w:bCs/>
          <w:color w:val="auto"/>
          <w:sz w:val="24"/>
          <w:szCs w:val="24"/>
          <w:highlight w:val="none"/>
        </w:rPr>
        <w:t xml:space="preserve">全面合理、</w:t>
      </w:r>
      <w:r>
        <w:rPr>
          <w:rFonts w:hint="eastAsia" w:ascii="宋体" w:hAnsi="宋体" w:eastAsia="宋体" w:cs="宋体"/>
          <w:bCs/>
          <w:color w:val="auto"/>
          <w:sz w:val="24"/>
          <w:szCs w:val="24"/>
          <w:highlight w:val="none"/>
          <w:lang w:val="en-US" w:eastAsia="zh-CN"/>
        </w:rPr>
        <w:t xml:space="preserve">有针对性</w:t>
      </w:r>
      <w:r>
        <w:rPr>
          <w:rFonts w:hint="eastAsia" w:ascii="宋体" w:hAnsi="宋体" w:eastAsia="宋体" w:cs="宋体"/>
          <w:bCs/>
          <w:color w:val="auto"/>
          <w:sz w:val="24"/>
          <w:szCs w:val="24"/>
          <w:highlight w:val="none"/>
        </w:rPr>
        <w:t xml:space="preserve">、贴合项目实际的得2分；</w:t>
      </w:r>
      <w:r>
        <w:rPr>
          <w:rFonts w:hint="eastAsia" w:ascii="宋体" w:hAnsi="宋体" w:eastAsia="宋体" w:cs="宋体"/>
          <w:bCs/>
          <w:color w:val="auto"/>
          <w:sz w:val="24"/>
          <w:szCs w:val="24"/>
          <w:highlight w:val="none"/>
          <w:lang w:val="en-US" w:eastAsia="zh-CN"/>
        </w:rPr>
        <w:t xml:space="preserve">要素不齐全、内容</w:t>
      </w:r>
      <w:r>
        <w:rPr>
          <w:rFonts w:hint="eastAsia" w:ascii="宋体" w:hAnsi="宋体" w:eastAsia="宋体" w:cs="宋体"/>
          <w:bCs/>
          <w:color w:val="auto"/>
          <w:sz w:val="24"/>
          <w:szCs w:val="24"/>
          <w:highlight w:val="none"/>
        </w:rPr>
        <w:t xml:space="preserve">不全面、</w:t>
      </w:r>
      <w:r>
        <w:rPr>
          <w:rFonts w:hint="eastAsia" w:ascii="宋体" w:hAnsi="宋体" w:eastAsia="宋体" w:cs="宋体"/>
          <w:bCs/>
          <w:color w:val="auto"/>
          <w:sz w:val="24"/>
          <w:szCs w:val="24"/>
          <w:highlight w:val="none"/>
          <w:lang w:val="en-US" w:eastAsia="zh-CN"/>
        </w:rPr>
        <w:t xml:space="preserve">针对性</w:t>
      </w:r>
      <w:r>
        <w:rPr>
          <w:rFonts w:hint="eastAsia" w:ascii="宋体" w:hAnsi="宋体" w:eastAsia="宋体" w:cs="宋体"/>
          <w:bCs/>
          <w:color w:val="auto"/>
          <w:sz w:val="24"/>
          <w:szCs w:val="24"/>
          <w:highlight w:val="none"/>
        </w:rPr>
        <w:t xml:space="preserve">有所欠缺、与项目实际贴合度不高的得1分；每项叙述内容脱离采购需求、未作完整叙述或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本项最高得6分。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2、设备维护服务方案：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针对设备清单提供维护方案，须涵盖以下核心要素。（6分）</w:t>
      </w:r>
      <w:r>
        <w:rPr>
          <w:color w:val="auto"/>
          <w:highlight w:val="none"/>
        </w:rPr>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现有设备功能、性能情况；</w:t>
      </w:r>
      <w:r>
        <w:rPr>
          <w:color w:val="auto"/>
          <w:highlight w:val="none"/>
        </w:rPr>
      </w:r>
      <w:r/>
    </w:p>
    <w:p>
      <w:pPr>
        <w:numPr>
          <w:ilvl w:val="0"/>
          <w:numId w:val="9"/>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提供产能分析；</w:t>
      </w:r>
      <w:r>
        <w:rPr>
          <w:color w:val="auto"/>
          <w:highlight w:val="none"/>
        </w:rPr>
      </w:r>
      <w:r/>
    </w:p>
    <w:p>
      <w:pPr>
        <w:numPr>
          <w:ilvl w:val="0"/>
          <w:numId w:val="9"/>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设备维护方案。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内容要素齐全、内容</w:t>
      </w:r>
      <w:r>
        <w:rPr>
          <w:rFonts w:hint="eastAsia" w:ascii="宋体" w:hAnsi="宋体" w:eastAsia="宋体" w:cs="宋体"/>
          <w:bCs/>
          <w:color w:val="auto"/>
          <w:sz w:val="24"/>
          <w:szCs w:val="24"/>
          <w:highlight w:val="none"/>
        </w:rPr>
        <w:t xml:space="preserve">全面合理、</w:t>
      </w:r>
      <w:r>
        <w:rPr>
          <w:rFonts w:hint="eastAsia" w:ascii="宋体" w:hAnsi="宋体" w:eastAsia="宋体" w:cs="宋体"/>
          <w:bCs/>
          <w:color w:val="auto"/>
          <w:sz w:val="24"/>
          <w:szCs w:val="24"/>
          <w:highlight w:val="none"/>
          <w:lang w:val="en-US" w:eastAsia="zh-CN"/>
        </w:rPr>
        <w:t xml:space="preserve">有针对性</w:t>
      </w:r>
      <w:r>
        <w:rPr>
          <w:rFonts w:hint="eastAsia" w:ascii="宋体" w:hAnsi="宋体" w:eastAsia="宋体" w:cs="宋体"/>
          <w:bCs/>
          <w:color w:val="auto"/>
          <w:sz w:val="24"/>
          <w:szCs w:val="24"/>
          <w:highlight w:val="none"/>
        </w:rPr>
        <w:t xml:space="preserve">、贴合项目实际的得2分；</w:t>
      </w:r>
      <w:r>
        <w:rPr>
          <w:rFonts w:hint="eastAsia" w:ascii="宋体" w:hAnsi="宋体" w:eastAsia="宋体" w:cs="宋体"/>
          <w:bCs/>
          <w:color w:val="auto"/>
          <w:sz w:val="24"/>
          <w:szCs w:val="24"/>
          <w:highlight w:val="none"/>
          <w:lang w:val="en-US" w:eastAsia="zh-CN"/>
        </w:rPr>
        <w:t xml:space="preserve">要素不齐全、内容</w:t>
      </w:r>
      <w:r>
        <w:rPr>
          <w:rFonts w:hint="eastAsia" w:ascii="宋体" w:hAnsi="宋体" w:eastAsia="宋体" w:cs="宋体"/>
          <w:bCs/>
          <w:color w:val="auto"/>
          <w:sz w:val="24"/>
          <w:szCs w:val="24"/>
          <w:highlight w:val="none"/>
        </w:rPr>
        <w:t xml:space="preserve">不全面、</w:t>
      </w:r>
      <w:r>
        <w:rPr>
          <w:rFonts w:hint="eastAsia" w:ascii="宋体" w:hAnsi="宋体" w:eastAsia="宋体" w:cs="宋体"/>
          <w:bCs/>
          <w:color w:val="auto"/>
          <w:sz w:val="24"/>
          <w:szCs w:val="24"/>
          <w:highlight w:val="none"/>
          <w:lang w:val="en-US" w:eastAsia="zh-CN"/>
        </w:rPr>
        <w:t xml:space="preserve">针对性</w:t>
      </w:r>
      <w:r>
        <w:rPr>
          <w:rFonts w:hint="eastAsia" w:ascii="宋体" w:hAnsi="宋体" w:eastAsia="宋体" w:cs="宋体"/>
          <w:bCs/>
          <w:color w:val="auto"/>
          <w:sz w:val="24"/>
          <w:szCs w:val="24"/>
          <w:highlight w:val="none"/>
        </w:rPr>
        <w:t xml:space="preserve">有所欠缺、与项目实际贴合度不高的得1分；每项叙述内容脱离采购需求、未作完整叙述或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本项最高得6分。</w:t>
      </w:r>
      <w:r>
        <w:rPr>
          <w:color w:val="auto"/>
          <w:highlight w:val="none"/>
        </w:rPr>
      </w:r>
      <w:r/>
    </w:p>
    <w:p>
      <w:pPr>
        <w:pStyle w:val="1083"/>
        <w:ind w:left="520" w:firstLine="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3、项目运营方案：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针对本项目提供运营方案，须涵盖以下核心要素。（</w:t>
      </w: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分）</w:t>
      </w:r>
      <w:r>
        <w:rPr>
          <w:color w:val="auto"/>
          <w:highlight w:val="none"/>
        </w:rPr>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排班及岗位设置方案；</w:t>
      </w:r>
      <w:r>
        <w:rPr>
          <w:color w:val="auto"/>
          <w:highlight w:val="none"/>
        </w:rPr>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水电保障方案：</w:t>
      </w:r>
      <w:r>
        <w:rPr>
          <w:color w:val="auto"/>
          <w:highlight w:val="none"/>
        </w:rPr>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快递物流方案；</w:t>
      </w:r>
      <w:r>
        <w:rPr>
          <w:color w:val="auto"/>
          <w:highlight w:val="none"/>
        </w:rPr>
      </w:r>
      <w:r/>
    </w:p>
    <w:p>
      <w:pPr>
        <w:numPr>
          <w:ilvl w:val="0"/>
          <w:numId w:val="10"/>
        </w:num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产能保障方案。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内容要素齐全、内容</w:t>
      </w:r>
      <w:r>
        <w:rPr>
          <w:rFonts w:hint="eastAsia" w:ascii="宋体" w:hAnsi="宋体" w:eastAsia="宋体" w:cs="宋体"/>
          <w:bCs/>
          <w:color w:val="auto"/>
          <w:sz w:val="24"/>
          <w:szCs w:val="24"/>
          <w:highlight w:val="none"/>
        </w:rPr>
        <w:t xml:space="preserve">全面合理、可行性充分、贴合项目实际的得2分；</w:t>
      </w:r>
      <w:r>
        <w:rPr>
          <w:rFonts w:hint="eastAsia" w:ascii="宋体" w:hAnsi="宋体" w:eastAsia="宋体" w:cs="宋体"/>
          <w:bCs/>
          <w:color w:val="auto"/>
          <w:sz w:val="24"/>
          <w:szCs w:val="24"/>
          <w:highlight w:val="none"/>
          <w:lang w:val="en-US" w:eastAsia="zh-CN"/>
        </w:rPr>
        <w:t xml:space="preserve">要素齐全、内容</w:t>
      </w:r>
      <w:r>
        <w:rPr>
          <w:rFonts w:hint="eastAsia" w:ascii="宋体" w:hAnsi="宋体" w:eastAsia="宋体" w:cs="宋体"/>
          <w:bCs/>
          <w:color w:val="auto"/>
          <w:sz w:val="24"/>
          <w:szCs w:val="24"/>
          <w:highlight w:val="none"/>
        </w:rPr>
        <w:t xml:space="preserve">不全面、可行性有所欠缺、与项目实际贴合度不高的得1分；每项叙述内容脱离采购需求、未作完整叙述或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color w:val="auto"/>
          <w:highlight w:val="none"/>
        </w:rPr>
      </w:r>
      <w:r/>
    </w:p>
    <w:p>
      <w:pPr>
        <w:pStyle w:val="1083"/>
        <w:ind w:left="520" w:firstLine="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全周期服务与品质保障体系：</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针对本项目提供质保售后服务方案，须涵盖以下核心要素。（</w:t>
      </w: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分）</w:t>
      </w:r>
      <w:r>
        <w:rPr>
          <w:color w:val="auto"/>
          <w:highlight w:val="none"/>
        </w:rPr>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服务体系；</w:t>
      </w:r>
      <w:r>
        <w:rPr>
          <w:color w:val="auto"/>
          <w:highlight w:val="none"/>
        </w:rPr>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质量保证措施；</w:t>
      </w:r>
      <w:r>
        <w:rPr>
          <w:color w:val="auto"/>
          <w:highlight w:val="none"/>
        </w:rPr>
      </w:r>
      <w:r/>
    </w:p>
    <w:p>
      <w:pPr>
        <w:numPr>
          <w:ilvl w:val="0"/>
          <w:numId w:val="11"/>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售后服务方案。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全面合理、可行性充分、贴合项目实际的得1分；</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不全面、可行性有所欠缺、与项目实际贴合度不高的得0.5分；每项叙述内容脱离采购需求、未作完整叙述或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color w:val="auto"/>
          <w:highlight w:val="none"/>
        </w:rPr>
      </w:r>
      <w:r/>
    </w:p>
    <w:p>
      <w:pPr>
        <w:ind w:left="52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5、项目的培训服务方案：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针对本项目提供居住证生产的流程培训方案：（4分）</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上述方案全面合理、可行性充分、贴合项目实际的得4分；方案不全面、</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可行性有所欠缺、</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与项目实际贴合度不高的得2分；每项叙述内容脱离采购需求、未作完整叙述或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color w:val="auto"/>
          <w:highlight w:val="none"/>
        </w:rPr>
      </w:r>
      <w:r/>
    </w:p>
    <w:p>
      <w:pPr>
        <w:ind w:left="52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6、项目应急处置与备品备件保障方案：</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针对本项目提供应急处理方案，须涵盖以下核心要素。（6分）</w:t>
      </w:r>
      <w:r>
        <w:rPr>
          <w:color w:val="auto"/>
          <w:highlight w:val="none"/>
        </w:rPr>
      </w:r>
      <w:r/>
    </w:p>
    <w:p>
      <w:pPr>
        <w:numPr>
          <w:ilvl w:val="0"/>
          <w:numId w:val="12"/>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故障应急处理流程及机制；</w:t>
      </w:r>
      <w:r>
        <w:rPr>
          <w:color w:val="auto"/>
          <w:highlight w:val="none"/>
        </w:rPr>
      </w:r>
      <w:r/>
    </w:p>
    <w:p>
      <w:pPr>
        <w:numPr>
          <w:ilvl w:val="0"/>
          <w:numId w:val="12"/>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备品备件提供程序</w:t>
      </w:r>
      <w:r>
        <w:rPr>
          <w:rFonts w:ascii="宋体" w:hAnsi="宋体" w:eastAsia="宋体" w:cs="宋体"/>
          <w:bCs/>
          <w:color w:val="auto"/>
          <w:sz w:val="24"/>
          <w:szCs w:val="24"/>
          <w:highlight w:val="none"/>
        </w:rPr>
        <w:t xml:space="preserve">及要求</w:t>
      </w:r>
      <w:r>
        <w:rPr>
          <w:rFonts w:hint="eastAsia" w:ascii="宋体" w:hAnsi="宋体" w:eastAsia="宋体" w:cs="宋体"/>
          <w:bCs/>
          <w:color w:val="auto"/>
          <w:sz w:val="24"/>
          <w:szCs w:val="24"/>
          <w:highlight w:val="none"/>
        </w:rPr>
        <w:t xml:space="preserve">；</w:t>
      </w:r>
      <w:r>
        <w:rPr>
          <w:color w:val="auto"/>
          <w:highlight w:val="none"/>
        </w:rPr>
      </w:r>
      <w:r/>
    </w:p>
    <w:p>
      <w:pPr>
        <w:numPr>
          <w:ilvl w:val="0"/>
          <w:numId w:val="12"/>
        </w:num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设备</w:t>
      </w:r>
      <w:r>
        <w:rPr>
          <w:rFonts w:ascii="宋体" w:hAnsi="宋体" w:eastAsia="宋体" w:cs="宋体"/>
          <w:bCs/>
          <w:color w:val="auto"/>
          <w:sz w:val="24"/>
          <w:szCs w:val="24"/>
          <w:highlight w:val="none"/>
        </w:rPr>
        <w:t xml:space="preserve">配件</w:t>
      </w:r>
      <w:r>
        <w:rPr>
          <w:rFonts w:hint="eastAsia" w:ascii="宋体" w:hAnsi="宋体" w:eastAsia="宋体" w:cs="宋体"/>
          <w:bCs/>
          <w:color w:val="auto"/>
          <w:sz w:val="24"/>
          <w:szCs w:val="24"/>
          <w:highlight w:val="none"/>
        </w:rPr>
        <w:t xml:space="preserve">维护及更换</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全面合理、可行性充分、贴合项目实际的得2分；</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不全面、可行性有所欠缺、与项目实际贴合度不高的得1分；每项叙述内容脱离采购需求、未作完整叙述或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本项最高得6分。</w:t>
      </w:r>
      <w:r>
        <w:rPr>
          <w:color w:val="auto"/>
          <w:highlight w:val="none"/>
        </w:rPr>
      </w:r>
      <w:r/>
    </w:p>
    <w:p>
      <w:pPr>
        <w:ind w:left="52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7居住证生产制作方案</w:t>
      </w:r>
      <w:r>
        <w:rPr>
          <w:rFonts w:hint="eastAsia" w:ascii="宋体" w:hAnsi="宋体" w:eastAsia="宋体" w:cs="宋体"/>
          <w:color w:val="auto"/>
          <w:sz w:val="24"/>
          <w:szCs w:val="24"/>
          <w:highlight w:val="none"/>
        </w:rPr>
        <w:t xml:space="preserve"> ：</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针对本项目居住证生产制作提供方案，须涵盖以下核心要素。（8分）</w:t>
      </w:r>
      <w:r>
        <w:rPr>
          <w:color w:val="auto"/>
          <w:highlight w:val="none"/>
        </w:rPr>
      </w:r>
      <w:r/>
    </w:p>
    <w:p>
      <w:pPr>
        <w:ind w:firstLine="480"/>
        <w:spacing w:line="360" w:lineRule="auto"/>
        <w:rPr>
          <w:rFonts w:ascii="宋体" w:hAnsi="宋体" w:eastAsia="宋体" w:cs="宋体"/>
          <w:bCs/>
          <w:strike/>
          <w:color w:val="auto"/>
          <w:sz w:val="24"/>
          <w:szCs w:val="24"/>
          <w:highlight w:val="none"/>
        </w:rPr>
      </w:pPr>
      <w:r>
        <w:rPr>
          <w:rFonts w:hint="eastAsia" w:ascii="宋体" w:hAnsi="宋体" w:eastAsia="宋体" w:cs="宋体"/>
          <w:bCs/>
          <w:color w:val="auto"/>
          <w:sz w:val="24"/>
          <w:szCs w:val="24"/>
          <w:highlight w:val="none"/>
        </w:rPr>
        <w:t xml:space="preserve">（1）居住证生产制作技术与工艺；</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（2）居住证生产制作流程；</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（3）居住证制证与密钥系统；</w:t>
      </w:r>
      <w:r>
        <w:rPr>
          <w:color w:val="auto"/>
          <w:highlight w:val="none"/>
        </w:rPr>
      </w:r>
      <w:r/>
    </w:p>
    <w:p>
      <w:pPr>
        <w:ind w:firstLine="480"/>
        <w:spacing w:line="360" w:lineRule="auto"/>
        <w:rPr>
          <w:rFonts w:ascii="宋体" w:hAnsi="宋体" w:eastAsia="宋体" w:cs="宋体"/>
          <w:bCs/>
          <w:strike/>
          <w:color w:val="auto"/>
          <w:sz w:val="24"/>
          <w:szCs w:val="24"/>
          <w:highlight w:val="none"/>
        </w:rPr>
      </w:pPr>
      <w:r>
        <w:rPr>
          <w:rFonts w:hint="eastAsia" w:ascii="宋体" w:hAnsi="宋体" w:eastAsia="宋体" w:cs="宋体"/>
          <w:bCs/>
          <w:color w:val="auto"/>
          <w:sz w:val="24"/>
          <w:szCs w:val="24"/>
          <w:highlight w:val="none"/>
        </w:rPr>
        <w:t xml:space="preserve">（4）居住证生产制作技术规范。</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上述每项应逐条叙述，每项叙述</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全面合理、可行性充分、贴合项目实际的得2分；</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不全面、可行性有所欠缺、与项目实际贴合度不高的得1分；每项叙述内容脱离采购需求、未作完整叙述或</w:t>
      </w:r>
      <w:r>
        <w:rPr>
          <w:rFonts w:hint="eastAsia" w:ascii="宋体" w:hAnsi="宋体" w:eastAsia="宋体" w:cs="宋体"/>
          <w:color w:val="auto"/>
          <w:sz w:val="24"/>
          <w:szCs w:val="24"/>
          <w:highlight w:val="none"/>
        </w:rPr>
        <w:t xml:space="preserve">未提供</w:t>
      </w:r>
      <w:r>
        <w:rPr>
          <w:rFonts w:hint="eastAsia" w:ascii="宋体" w:hAnsi="宋体" w:eastAsia="宋体" w:cs="宋体"/>
          <w:bCs/>
          <w:color w:val="auto"/>
          <w:sz w:val="24"/>
          <w:szCs w:val="24"/>
          <w:highlight w:val="none"/>
        </w:rPr>
        <w:t xml:space="preserve">的不得分。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color w:val="auto"/>
          <w:highlight w:val="none"/>
        </w:rPr>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（三）</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履约能力比较（1</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1、拟投入本项目管理人员</w:t>
      </w:r>
      <w:r>
        <w:rPr>
          <w:rFonts w:hint="eastAsia" w:ascii="宋体" w:hAnsi="宋体" w:eastAsia="宋体" w:cs="宋体"/>
          <w:color w:val="auto"/>
          <w:sz w:val="24"/>
          <w:szCs w:val="24"/>
          <w:highlight w:val="none"/>
        </w:rPr>
        <w:t xml:space="preserve">具有与本项目相关的专业（如：计算机、电子信息等与本项目相关的专业）本科或以上学历证书，每有1人得2分，最高得4分。</w:t>
      </w:r>
      <w:r>
        <w:rPr>
          <w:color w:val="auto"/>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2、拟投入本项目管理人员具有信息系统项目管理师证书或注册信息安全工程师、或IT运维工程师证书，每有1人得2分，一人多证仅得一次分，最高4分。</w:t>
      </w:r>
      <w:r>
        <w:rPr>
          <w:color w:val="auto"/>
          <w:highlight w:val="none"/>
        </w:rPr>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（注：以上1、2项需提供相关人员的身份证扫描件、有效证书或证明扫描件、投标人为其缴纳的最新一期社保证明资料</w:t>
      </w:r>
      <w:r>
        <w:rPr>
          <w:rFonts w:hint="eastAsia" w:ascii="宋体" w:hAnsi="宋体" w:eastAsia="宋体" w:cs="宋体"/>
          <w:b/>
          <w:bCs/>
          <w:color w:val="auto"/>
          <w:sz w:val="24"/>
          <w:szCs w:val="24"/>
          <w:highlight w:val="none"/>
        </w:rPr>
        <w:t xml:space="preserve">扫描件</w:t>
      </w:r>
      <w:r>
        <w:rPr>
          <w:rFonts w:hint="eastAsia" w:ascii="宋体" w:hAnsi="宋体" w:eastAsia="宋体" w:cs="宋体"/>
          <w:b/>
          <w:bCs/>
          <w:color w:val="auto"/>
          <w:sz w:val="24"/>
          <w:szCs w:val="24"/>
          <w:highlight w:val="none"/>
        </w:rPr>
        <w:t xml:space="preserve">并加盖投标人公章，</w:t>
      </w:r>
      <w:r>
        <w:rPr>
          <w:rFonts w:hint="eastAsia" w:ascii="宋体" w:hAnsi="宋体" w:eastAsia="宋体" w:cs="宋体"/>
          <w:b/>
          <w:bCs/>
          <w:color w:val="auto"/>
          <w:sz w:val="24"/>
          <w:szCs w:val="24"/>
          <w:highlight w:val="none"/>
        </w:rPr>
        <w:t xml:space="preserve">未提供</w:t>
      </w:r>
      <w:r>
        <w:rPr>
          <w:rFonts w:hint="eastAsia" w:ascii="宋体" w:hAnsi="宋体" w:eastAsia="宋体" w:cs="宋体"/>
          <w:b/>
          <w:bCs/>
          <w:color w:val="auto"/>
          <w:sz w:val="24"/>
          <w:szCs w:val="24"/>
          <w:highlight w:val="none"/>
        </w:rPr>
        <w:t xml:space="preserve">或</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rPr>
        <w:t xml:space="preserve">不全</w:t>
      </w:r>
      <w:r>
        <w:rPr>
          <w:rFonts w:hint="eastAsia" w:ascii="宋体" w:hAnsi="宋体" w:eastAsia="宋体" w:cs="宋体"/>
          <w:b/>
          <w:bCs/>
          <w:color w:val="auto"/>
          <w:sz w:val="24"/>
          <w:szCs w:val="24"/>
          <w:highlight w:val="none"/>
        </w:rPr>
        <w:t xml:space="preserve">不得分。）</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bookmarkStart w:id="65" w:name="OLE_LINK38"/>
      <w:r>
        <w:rPr>
          <w:color w:val="auto"/>
          <w:highlight w:val="none"/>
        </w:rPr>
      </w:r>
      <w:bookmarkStart w:id="66" w:name="OLE_LINK36"/>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具有有效期内的质量管理体系认证证书、环境管理体系认证证书、职业健康安全管理体系认证证书、信息安全管理体系认证证书、信息技术服务管理体系认证证书的，每满足一项得</w:t>
      </w: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分。最高得5分。</w:t>
      </w:r>
      <w:bookmarkEnd w:id="65"/>
      <w:r>
        <w:rPr>
          <w:color w:val="auto"/>
        </w:rPr>
      </w:r>
      <w:bookmarkEnd w:id="66"/>
      <w:r>
        <w:rPr>
          <w:color w:val="auto"/>
          <w:highlight w:val="none"/>
        </w:rPr>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（注：投标文件中须提供以上证书扫描件并加盖</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公章或网络查询截图并加盖</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公章，未提供不得分）</w:t>
      </w:r>
      <w:r>
        <w:rPr>
          <w:rFonts w:hint="eastAsia" w:ascii="宋体" w:hAnsi="宋体" w:eastAsia="宋体" w:cs="宋体"/>
          <w:color w:val="auto"/>
          <w:sz w:val="24"/>
          <w:szCs w:val="24"/>
          <w:highlight w:val="none"/>
        </w:rPr>
        <w:t xml:space="preserve"> </w:t>
      </w:r>
      <w:r>
        <w:rPr>
          <w:color w:val="auto"/>
          <w:highlight w:val="none"/>
        </w:rPr>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（四）类似项目业绩（6分）</w:t>
      </w:r>
      <w:r>
        <w:rPr>
          <w:color w:val="auto"/>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2023年1月1日起至今（以合同签订之日起为准）</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具有类似服务项目业绩的，每提供一个得2分，最高得6分。</w:t>
      </w:r>
      <w:r>
        <w:rPr>
          <w:color w:val="auto"/>
          <w:highlight w:val="none"/>
        </w:rPr>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（注：投标文件内须提供有效合同扫描件和任意一期发票</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并加盖投标人公章，未提供不得分。类似业绩日期认定：以签订合同日期为准）</w:t>
      </w:r>
      <w:r>
        <w:rPr>
          <w:color w:val="auto"/>
          <w:highlight w:val="none"/>
        </w:rPr>
      </w:r>
      <w:r/>
    </w:p>
    <w:p>
      <w:pPr>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rPr>
          <w:color w:val="auto"/>
          <w:highlight w:val="none"/>
        </w:rPr>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rPr>
          <w:color w:val="auto"/>
          <w:highlight w:val="none"/>
        </w:rPr>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1.针对评分标准中评分的每一条，投标人均应提供相关资料并作出相应说明供评委评判，不提供相关资料的视为不具备该项得分的条件。</w:t>
      </w:r>
      <w:r>
        <w:rPr>
          <w:color w:val="auto"/>
          <w:highlight w:val="none"/>
        </w:rPr>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2.投标文件中如出现前后不一致时，评委有权请投标人澄清说明，澄清说明事项涉及评分时，评委有权酌情扣分。</w:t>
      </w:r>
      <w:r>
        <w:rPr>
          <w:color w:val="auto"/>
          <w:highlight w:val="none"/>
        </w:rPr>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auto"/>
          <w:highlight w:val="none"/>
        </w:rPr>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r/>
    </w:p>
    <w:p>
      <w:pPr>
        <w:ind w:left="482"/>
        <w:jc w:val="righ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en-US"/>
        </w:rPr>
        <w:t xml:space="preserve">（全文完）</w:t>
      </w:r>
      <w:r>
        <w:rPr>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115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13"/>
      </w:rPr>
      <w:framePr w:wrap="around" w:vAnchor="text" w:hAnchor="margin" w:xAlign="right" w:y="1"/>
    </w:pPr>
    <w:r>
      <w:fldChar w:fldCharType="begin"/>
    </w:r>
    <w:r>
      <w:rPr>
        <w:rStyle w:val="1013"/>
      </w:rPr>
      <w:instrText xml:space="preserve">PAGE  </w:instrText>
    </w:r>
    <w:r>
      <w:fldChar w:fldCharType="end"/>
    </w:r>
    <w:r/>
  </w:p>
  <w:p>
    <w:pPr>
      <w:pStyle w:val="99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2973070</wp:posOffset>
              </wp:positionH>
              <wp:positionV relativeFrom="paragraph">
                <wp:posOffset>0</wp:posOffset>
              </wp:positionV>
              <wp:extent cx="1000125"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997"/>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argin-left:234.1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997"/>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90"/>
      <w:jc w:val="both"/>
      <w:rPr>
        <w:rFonts w:hint="default" w:ascii="宋体" w:hAnsi="宋体" w:eastAsia="宋体"/>
        <w:lang w:val="en-US" w:eastAsia="zh-CN"/>
      </w:rPr>
    </w:pPr>
    <w:r>
      <w:rPr>
        <w:rFonts w:hint="eastAsia" w:eastAsia="宋体"/>
        <w:u w:val="single"/>
      </w:rPr>
      <w:t xml:space="preserve">政府采购公开招标文件                                           招标编号：</w:t>
    </w:r>
    <w:r>
      <w:rPr>
        <w:rFonts w:hint="eastAsia" w:eastAsia="宋体"/>
        <w:u w:val="single"/>
        <w:lang w:eastAsia="zh-CN"/>
      </w:rPr>
      <w:t xml:space="preserve">JSZC-320500-SZHQ-G2026-00</w:t>
    </w:r>
    <w:r>
      <w:rPr>
        <w:rFonts w:hint="eastAsia" w:eastAsia="宋体"/>
        <w:u w:val="single"/>
        <w:lang w:val="en-US" w:eastAsia="zh-CN"/>
      </w:rPr>
      <w:t xml:space="preserve">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JSZC-320500-SZHQ-G2026-00</w:t>
    </w:r>
    <w:r>
      <w:rPr>
        <w:rFonts w:hint="eastAsia" w:eastAsia="宋体"/>
        <w:u w:val="single"/>
        <w:lang w:val="en-US" w:eastAsia="zh-CN"/>
      </w:rPr>
      <w:t xml:space="preserve">13</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right="90"/>
      <w:jc w:val="both"/>
      <w:rPr>
        <w:rFonts w:eastAsia="宋体"/>
        <w:u w:val="single"/>
      </w:rPr>
    </w:pPr>
    <w:r>
      <w:rPr>
        <w:rFonts w:hint="eastAsia" w:eastAsia="宋体"/>
        <w:u w:val="single"/>
      </w:rPr>
      <w:t xml:space="preserve">政府采购公开招标文件                                             招标编号：</w:t>
    </w:r>
    <w:r>
      <w:rPr>
        <w:rFonts w:hint="eastAsia" w:eastAsia="宋体"/>
        <w:u w:val="single"/>
        <w:lang w:eastAsia="zh-CN"/>
      </w:rPr>
      <w:t xml:space="preserve">JSZC-320500-SZHQ-G2026-00</w:t>
    </w:r>
    <w:r>
      <w:rPr>
        <w:rFonts w:hint="eastAsia" w:eastAsia="宋体"/>
        <w:u w:val="single"/>
        <w:lang w:val="en-US" w:eastAsia="zh-CN"/>
      </w:rPr>
      <w:t xml:space="preserve">13</w:t>
    </w:r>
    <w:r>
      <w:rPr>
        <w:rFonts w:hint="eastAsia" w:eastAsia="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9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9"/>
  </w:num>
  <w:num w:numId="3">
    <w:abstractNumId w:val="10"/>
  </w:num>
  <w:num w:numId="4">
    <w:abstractNumId w:val="5"/>
  </w:num>
  <w:num w:numId="5">
    <w:abstractNumId w:val="4"/>
  </w:num>
  <w:num w:numId="6">
    <w:abstractNumId w:val="3"/>
  </w:num>
  <w:num w:numId="7">
    <w:abstractNumId w:val="7"/>
  </w:num>
  <w:num w:numId="8">
    <w:abstractNumId w:val="0"/>
  </w:num>
  <w:num w:numId="9">
    <w:abstractNumId w:val="8"/>
  </w:num>
  <w:num w:numId="10">
    <w:abstractNumId w:val="11"/>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978"/>
    <w:link w:val="975"/>
    <w:uiPriority w:val="9"/>
    <w:rPr>
      <w:rFonts w:ascii="Arial" w:hAnsi="Arial" w:eastAsia="Arial" w:cs="Arial"/>
      <w:sz w:val="40"/>
      <w:szCs w:val="40"/>
    </w:rPr>
  </w:style>
  <w:style w:type="character" w:styleId="811">
    <w:name w:val="Heading 2 Char"/>
    <w:basedOn w:val="978"/>
    <w:link w:val="976"/>
    <w:uiPriority w:val="9"/>
    <w:rPr>
      <w:rFonts w:ascii="Arial" w:hAnsi="Arial" w:eastAsia="Arial" w:cs="Arial"/>
      <w:sz w:val="34"/>
    </w:rPr>
  </w:style>
  <w:style w:type="character" w:styleId="812">
    <w:name w:val="Heading 3 Char"/>
    <w:basedOn w:val="978"/>
    <w:link w:val="977"/>
    <w:uiPriority w:val="9"/>
    <w:rPr>
      <w:rFonts w:ascii="Arial" w:hAnsi="Arial" w:eastAsia="Arial" w:cs="Arial"/>
      <w:sz w:val="30"/>
      <w:szCs w:val="30"/>
    </w:rPr>
  </w:style>
  <w:style w:type="paragraph" w:styleId="813">
    <w:name w:val="Heading 4"/>
    <w:basedOn w:val="974"/>
    <w:next w:val="974"/>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basedOn w:val="978"/>
    <w:link w:val="813"/>
    <w:uiPriority w:val="9"/>
    <w:rPr>
      <w:rFonts w:ascii="Arial" w:hAnsi="Arial" w:eastAsia="Arial" w:cs="Arial"/>
      <w:b/>
      <w:bCs/>
      <w:sz w:val="26"/>
      <w:szCs w:val="26"/>
    </w:rPr>
  </w:style>
  <w:style w:type="paragraph" w:styleId="815">
    <w:name w:val="Heading 5"/>
    <w:basedOn w:val="974"/>
    <w:next w:val="974"/>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basedOn w:val="978"/>
    <w:link w:val="815"/>
    <w:uiPriority w:val="9"/>
    <w:rPr>
      <w:rFonts w:ascii="Arial" w:hAnsi="Arial" w:eastAsia="Arial" w:cs="Arial"/>
      <w:b/>
      <w:bCs/>
      <w:sz w:val="24"/>
      <w:szCs w:val="24"/>
    </w:rPr>
  </w:style>
  <w:style w:type="paragraph" w:styleId="817">
    <w:name w:val="Heading 6"/>
    <w:basedOn w:val="974"/>
    <w:next w:val="974"/>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basedOn w:val="978"/>
    <w:link w:val="817"/>
    <w:uiPriority w:val="9"/>
    <w:rPr>
      <w:rFonts w:ascii="Arial" w:hAnsi="Arial" w:eastAsia="Arial" w:cs="Arial"/>
      <w:b/>
      <w:bCs/>
      <w:sz w:val="22"/>
      <w:szCs w:val="22"/>
    </w:rPr>
  </w:style>
  <w:style w:type="paragraph" w:styleId="819">
    <w:name w:val="Heading 7"/>
    <w:basedOn w:val="974"/>
    <w:next w:val="974"/>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basedOn w:val="978"/>
    <w:link w:val="819"/>
    <w:uiPriority w:val="9"/>
    <w:rPr>
      <w:rFonts w:ascii="Arial" w:hAnsi="Arial" w:eastAsia="Arial" w:cs="Arial"/>
      <w:b/>
      <w:bCs/>
      <w:i/>
      <w:iCs/>
      <w:sz w:val="22"/>
      <w:szCs w:val="22"/>
    </w:rPr>
  </w:style>
  <w:style w:type="paragraph" w:styleId="821">
    <w:name w:val="Heading 8"/>
    <w:basedOn w:val="974"/>
    <w:next w:val="974"/>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basedOn w:val="978"/>
    <w:link w:val="821"/>
    <w:uiPriority w:val="9"/>
    <w:rPr>
      <w:rFonts w:ascii="Arial" w:hAnsi="Arial" w:eastAsia="Arial" w:cs="Arial"/>
      <w:i/>
      <w:iCs/>
      <w:sz w:val="22"/>
      <w:szCs w:val="22"/>
    </w:rPr>
  </w:style>
  <w:style w:type="paragraph" w:styleId="823">
    <w:name w:val="Heading 9"/>
    <w:basedOn w:val="974"/>
    <w:next w:val="974"/>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basedOn w:val="978"/>
    <w:link w:val="823"/>
    <w:uiPriority w:val="9"/>
    <w:rPr>
      <w:rFonts w:ascii="Arial" w:hAnsi="Arial" w:eastAsia="Arial" w:cs="Arial"/>
      <w:i/>
      <w:iCs/>
      <w:sz w:val="21"/>
      <w:szCs w:val="21"/>
    </w:rPr>
  </w:style>
  <w:style w:type="paragraph" w:styleId="825">
    <w:name w:val="No Spacing"/>
    <w:uiPriority w:val="1"/>
    <w:qFormat/>
    <w:pPr>
      <w:spacing w:before="0" w:after="0" w:line="240" w:lineRule="auto"/>
    </w:pPr>
  </w:style>
  <w:style w:type="paragraph" w:styleId="826">
    <w:name w:val="Title"/>
    <w:basedOn w:val="974"/>
    <w:next w:val="974"/>
    <w:link w:val="827"/>
    <w:uiPriority w:val="10"/>
    <w:qFormat/>
    <w:pPr>
      <w:contextualSpacing/>
      <w:spacing w:before="300" w:after="200"/>
    </w:pPr>
    <w:rPr>
      <w:sz w:val="48"/>
      <w:szCs w:val="48"/>
    </w:rPr>
  </w:style>
  <w:style w:type="character" w:styleId="827">
    <w:name w:val="Title Char"/>
    <w:basedOn w:val="978"/>
    <w:link w:val="826"/>
    <w:uiPriority w:val="10"/>
    <w:rPr>
      <w:sz w:val="48"/>
      <w:szCs w:val="48"/>
    </w:rPr>
  </w:style>
  <w:style w:type="character" w:styleId="828">
    <w:name w:val="Subtitle Char"/>
    <w:basedOn w:val="978"/>
    <w:link w:val="1001"/>
    <w:uiPriority w:val="11"/>
    <w:rPr>
      <w:sz w:val="24"/>
      <w:szCs w:val="24"/>
    </w:rPr>
  </w:style>
  <w:style w:type="paragraph" w:styleId="829">
    <w:name w:val="Quote"/>
    <w:basedOn w:val="974"/>
    <w:next w:val="974"/>
    <w:link w:val="830"/>
    <w:uiPriority w:val="29"/>
    <w:qFormat/>
    <w:pPr>
      <w:ind w:left="720" w:right="720"/>
    </w:pPr>
    <w:rPr>
      <w:i/>
    </w:rPr>
  </w:style>
  <w:style w:type="character" w:styleId="830">
    <w:name w:val="Quote Char"/>
    <w:link w:val="829"/>
    <w:uiPriority w:val="29"/>
    <w:rPr>
      <w:i/>
    </w:rPr>
  </w:style>
  <w:style w:type="paragraph" w:styleId="831">
    <w:name w:val="Intense Quote"/>
    <w:basedOn w:val="974"/>
    <w:next w:val="974"/>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character" w:styleId="833">
    <w:name w:val="Header Char"/>
    <w:basedOn w:val="978"/>
    <w:link w:val="999"/>
    <w:uiPriority w:val="99"/>
  </w:style>
  <w:style w:type="character" w:styleId="834">
    <w:name w:val="Footer Char"/>
    <w:basedOn w:val="978"/>
    <w:link w:val="997"/>
    <w:uiPriority w:val="99"/>
  </w:style>
  <w:style w:type="paragraph" w:styleId="835">
    <w:name w:val="Caption"/>
    <w:basedOn w:val="974"/>
    <w:next w:val="974"/>
    <w:uiPriority w:val="35"/>
    <w:semiHidden/>
    <w:unhideWhenUsed/>
    <w:qFormat/>
    <w:pPr>
      <w:spacing w:line="276" w:lineRule="auto"/>
    </w:pPr>
    <w:rPr>
      <w:b/>
      <w:bCs/>
      <w:color w:val="4f81bd" w:themeColor="accent1"/>
      <w:sz w:val="18"/>
      <w:szCs w:val="18"/>
    </w:rPr>
  </w:style>
  <w:style w:type="character" w:styleId="836">
    <w:name w:val="Caption Char"/>
    <w:basedOn w:val="835"/>
    <w:link w:val="997"/>
    <w:uiPriority w:val="99"/>
  </w:style>
  <w:style w:type="table" w:styleId="837">
    <w:name w:val="Table Grid Light"/>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basedOn w:val="9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basedOn w:val="9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basedOn w:val="9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basedOn w:val="9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basedOn w:val="9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basedOn w:val="9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basedOn w:val="9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basedOn w:val="9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basedOn w:val="9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basedOn w:val="9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basedOn w:val="9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basedOn w:val="9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basedOn w:val="9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basedOn w:val="9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basedOn w:val="9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basedOn w:val="9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basedOn w:val="9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basedOn w:val="9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basedOn w:val="9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basedOn w:val="9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basedOn w:val="9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basedOn w:val="9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basedOn w:val="9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basedOn w:val="9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basedOn w:val="9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basedOn w:val="9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basedOn w:val="9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basedOn w:val="9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basedOn w:val="9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basedOn w:val="9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basedOn w:val="9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basedOn w:val="9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basedOn w:val="9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basedOn w:val="9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basedOn w:val="9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basedOn w:val="9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basedOn w:val="9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basedOn w:val="9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basedOn w:val="9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basedOn w:val="9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basedOn w:val="9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basedOn w:val="9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basedOn w:val="9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basedOn w:val="9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basedOn w:val="9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basedOn w:val="9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basedOn w:val="9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basedOn w:val="9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basedOn w:val="9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basedOn w:val="9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basedOn w:val="9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basedOn w:val="9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basedOn w:val="9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basedOn w:val="9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basedOn w:val="9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basedOn w:val="9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basedOn w:val="9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basedOn w:val="9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basedOn w:val="9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basedOn w:val="9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basedOn w:val="9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basedOn w:val="9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basedOn w:val="9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basedOn w:val="9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basedOn w:val="9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basedOn w:val="9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basedOn w:val="9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basedOn w:val="9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basedOn w:val="9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basedOn w:val="9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basedOn w:val="9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basedOn w:val="9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basedOn w:val="9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basedOn w:val="9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basedOn w:val="9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basedOn w:val="9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basedOn w:val="9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basedOn w:val="9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basedOn w:val="9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2">
    <w:name w:val="footnote text"/>
    <w:basedOn w:val="974"/>
    <w:link w:val="963"/>
    <w:uiPriority w:val="99"/>
    <w:semiHidden/>
    <w:unhideWhenUsed/>
    <w:pPr>
      <w:spacing w:after="40" w:line="240" w:lineRule="auto"/>
    </w:pPr>
    <w:rPr>
      <w:sz w:val="18"/>
    </w:rPr>
  </w:style>
  <w:style w:type="character" w:styleId="963">
    <w:name w:val="Footnote Text Char"/>
    <w:link w:val="962"/>
    <w:uiPriority w:val="99"/>
    <w:rPr>
      <w:sz w:val="18"/>
    </w:rPr>
  </w:style>
  <w:style w:type="character" w:styleId="964">
    <w:name w:val="footnote reference"/>
    <w:basedOn w:val="978"/>
    <w:uiPriority w:val="99"/>
    <w:unhideWhenUsed/>
    <w:rPr>
      <w:vertAlign w:val="superscript"/>
    </w:rPr>
  </w:style>
  <w:style w:type="paragraph" w:styleId="965">
    <w:name w:val="endnote text"/>
    <w:basedOn w:val="974"/>
    <w:link w:val="966"/>
    <w:uiPriority w:val="99"/>
    <w:semiHidden/>
    <w:unhideWhenUsed/>
    <w:pPr>
      <w:spacing w:after="0" w:line="240" w:lineRule="auto"/>
    </w:pPr>
    <w:rPr>
      <w:sz w:val="20"/>
    </w:rPr>
  </w:style>
  <w:style w:type="character" w:styleId="966">
    <w:name w:val="Endnote Text Char"/>
    <w:link w:val="965"/>
    <w:uiPriority w:val="99"/>
    <w:rPr>
      <w:sz w:val="20"/>
    </w:rPr>
  </w:style>
  <w:style w:type="character" w:styleId="967">
    <w:name w:val="endnote reference"/>
    <w:basedOn w:val="978"/>
    <w:uiPriority w:val="99"/>
    <w:semiHidden/>
    <w:unhideWhenUsed/>
    <w:rPr>
      <w:vertAlign w:val="superscript"/>
    </w:rPr>
  </w:style>
  <w:style w:type="paragraph" w:styleId="968">
    <w:name w:val="toc 4"/>
    <w:basedOn w:val="974"/>
    <w:next w:val="974"/>
    <w:uiPriority w:val="39"/>
    <w:unhideWhenUsed/>
    <w:pPr>
      <w:ind w:left="850" w:right="0" w:firstLine="0"/>
      <w:spacing w:after="57"/>
    </w:pPr>
  </w:style>
  <w:style w:type="paragraph" w:styleId="969">
    <w:name w:val="toc 5"/>
    <w:basedOn w:val="974"/>
    <w:next w:val="974"/>
    <w:uiPriority w:val="39"/>
    <w:unhideWhenUsed/>
    <w:pPr>
      <w:ind w:left="1134" w:right="0" w:firstLine="0"/>
      <w:spacing w:after="57"/>
    </w:pPr>
  </w:style>
  <w:style w:type="paragraph" w:styleId="970">
    <w:name w:val="toc 6"/>
    <w:basedOn w:val="974"/>
    <w:next w:val="974"/>
    <w:uiPriority w:val="39"/>
    <w:unhideWhenUsed/>
    <w:pPr>
      <w:ind w:left="1417" w:right="0" w:firstLine="0"/>
      <w:spacing w:after="57"/>
    </w:pPr>
  </w:style>
  <w:style w:type="paragraph" w:styleId="971">
    <w:name w:val="toc 8"/>
    <w:basedOn w:val="974"/>
    <w:next w:val="974"/>
    <w:uiPriority w:val="39"/>
    <w:unhideWhenUsed/>
    <w:pPr>
      <w:ind w:left="1984"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75">
    <w:name w:val="Heading 1"/>
    <w:basedOn w:val="974"/>
    <w:next w:val="974"/>
    <w:uiPriority w:val="9"/>
    <w:qFormat/>
    <w:pPr>
      <w:keepLines/>
      <w:keepNext/>
      <w:spacing w:before="340" w:after="330" w:line="578" w:lineRule="auto"/>
      <w:outlineLvl w:val="0"/>
    </w:pPr>
    <w:rPr>
      <w:b/>
      <w:sz w:val="44"/>
    </w:rPr>
  </w:style>
  <w:style w:type="paragraph" w:styleId="976">
    <w:name w:val="Heading 2"/>
    <w:basedOn w:val="974"/>
    <w:next w:val="974"/>
    <w:link w:val="1025"/>
    <w:uiPriority w:val="9"/>
    <w:qFormat/>
    <w:pPr>
      <w:keepLines/>
      <w:keepNext/>
      <w:spacing w:before="260" w:after="260" w:line="416" w:lineRule="auto"/>
      <w:outlineLvl w:val="1"/>
    </w:pPr>
    <w:rPr>
      <w:rFonts w:ascii="Cambria" w:hAnsi="Cambria" w:eastAsia="宋体"/>
      <w:b/>
      <w:bCs/>
      <w:sz w:val="32"/>
      <w:szCs w:val="32"/>
    </w:rPr>
  </w:style>
  <w:style w:type="paragraph" w:styleId="977">
    <w:name w:val="Heading 3"/>
    <w:basedOn w:val="974"/>
    <w:next w:val="974"/>
    <w:link w:val="1026"/>
    <w:uiPriority w:val="0"/>
    <w:qFormat/>
    <w:pPr>
      <w:keepLines/>
      <w:keepNext/>
      <w:spacing w:before="260" w:after="260" w:line="416" w:lineRule="auto"/>
      <w:outlineLvl w:val="2"/>
    </w:pPr>
    <w:rPr>
      <w:b/>
      <w:bCs/>
      <w:sz w:val="32"/>
      <w:szCs w:val="32"/>
    </w:rPr>
  </w:style>
  <w:style w:type="character" w:styleId="978" w:default="1">
    <w:name w:val="Default Paragraph Font"/>
    <w:uiPriority w:val="1"/>
    <w:semiHidden/>
    <w:unhideWhenUsed/>
    <w:qFormat/>
  </w:style>
  <w:style w:type="table" w:styleId="979" w:default="1">
    <w:name w:val="Normal Table"/>
    <w:uiPriority w:val="99"/>
    <w:semiHidden/>
    <w:unhideWhenUsed/>
    <w:qFormat/>
    <w:tblPr>
      <w:tblCellMar>
        <w:left w:w="108" w:type="dxa"/>
        <w:top w:w="0" w:type="dxa"/>
        <w:right w:w="108" w:type="dxa"/>
        <w:bottom w:w="0" w:type="dxa"/>
      </w:tblCellMar>
    </w:tblPr>
  </w:style>
  <w:style w:type="paragraph" w:styleId="980">
    <w:name w:val="toc 7"/>
    <w:next w:val="974"/>
    <w:uiPriority w:val="0"/>
    <w:qFormat/>
    <w:pPr>
      <w:ind w:left="2125"/>
      <w:jc w:val="both"/>
    </w:pPr>
    <w:rPr>
      <w:rFonts w:ascii="Times New Roman" w:hAnsi="Times New Roman" w:eastAsia="宋体" w:cs="Times New Roman"/>
      <w:sz w:val="21"/>
      <w:lang w:val="en-US" w:eastAsia="zh-CN" w:bidi="ar-SA"/>
    </w:rPr>
  </w:style>
  <w:style w:type="paragraph" w:styleId="981">
    <w:name w:val="Normal Indent"/>
    <w:basedOn w:val="974"/>
    <w:next w:val="974"/>
    <w:link w:val="1027"/>
    <w:uiPriority w:val="0"/>
    <w:unhideWhenUsed/>
    <w:qFormat/>
    <w:pPr>
      <w:ind w:firstLine="420"/>
      <w:jc w:val="left"/>
    </w:pPr>
    <w:rPr>
      <w:sz w:val="24"/>
    </w:rPr>
  </w:style>
  <w:style w:type="paragraph" w:styleId="982">
    <w:name w:val="List Bullet"/>
    <w:basedOn w:val="975"/>
    <w:next w:val="974"/>
    <w:uiPriority w:val="99"/>
    <w:unhideWhenUsed/>
    <w:qFormat/>
    <w:pPr>
      <w:numPr>
        <w:ilvl w:val="0"/>
        <w:numId w:val="1"/>
      </w:numPr>
    </w:pPr>
  </w:style>
  <w:style w:type="paragraph" w:styleId="983">
    <w:name w:val="Document Map"/>
    <w:basedOn w:val="974"/>
    <w:link w:val="1028"/>
    <w:uiPriority w:val="99"/>
    <w:unhideWhenUsed/>
    <w:qFormat/>
    <w:rPr>
      <w:rFonts w:ascii="宋体" w:eastAsia="宋体"/>
      <w:sz w:val="18"/>
      <w:szCs w:val="18"/>
    </w:rPr>
  </w:style>
  <w:style w:type="paragraph" w:styleId="984">
    <w:name w:val="annotation text"/>
    <w:basedOn w:val="974"/>
    <w:link w:val="1029"/>
    <w:uiPriority w:val="0"/>
    <w:qFormat/>
    <w:pPr>
      <w:jc w:val="left"/>
    </w:pPr>
  </w:style>
  <w:style w:type="paragraph" w:styleId="985">
    <w:name w:val="Body Text 3"/>
    <w:basedOn w:val="974"/>
    <w:uiPriority w:val="99"/>
    <w:unhideWhenUsed/>
    <w:qFormat/>
    <w:pPr>
      <w:jc w:val="center"/>
    </w:pPr>
    <w:rPr>
      <w:rFonts w:ascii="宋体" w:hAnsi="宋体"/>
    </w:rPr>
  </w:style>
  <w:style w:type="paragraph" w:styleId="986">
    <w:name w:val="Body Text"/>
    <w:basedOn w:val="974"/>
    <w:next w:val="974"/>
    <w:uiPriority w:val="99"/>
    <w:unhideWhenUsed/>
    <w:qFormat/>
    <w:rPr>
      <w:rFonts w:ascii="楷体_GB2312"/>
      <w:b/>
      <w:bCs/>
      <w:sz w:val="28"/>
    </w:rPr>
  </w:style>
  <w:style w:type="paragraph" w:styleId="987">
    <w:name w:val="Body Text Indent"/>
    <w:basedOn w:val="974"/>
    <w:link w:val="1030"/>
    <w:uiPriority w:val="99"/>
    <w:unhideWhenUsed/>
    <w:qFormat/>
    <w:pPr>
      <w:ind w:firstLine="570"/>
    </w:pPr>
    <w:rPr>
      <w:rFonts w:ascii="宋体" w:eastAsia="宋体"/>
      <w:sz w:val="28"/>
    </w:rPr>
  </w:style>
  <w:style w:type="paragraph" w:styleId="988">
    <w:name w:val="List Number 3"/>
    <w:basedOn w:val="975"/>
    <w:next w:val="974"/>
    <w:uiPriority w:val="99"/>
    <w:unhideWhenUsed/>
    <w:qFormat/>
    <w:pPr>
      <w:numPr>
        <w:ilvl w:val="0"/>
        <w:numId w:val="2"/>
      </w:numPr>
    </w:pPr>
  </w:style>
  <w:style w:type="paragraph" w:styleId="989">
    <w:name w:val="toc 3"/>
    <w:basedOn w:val="974"/>
    <w:next w:val="974"/>
    <w:uiPriority w:val="39"/>
    <w:unhideWhenUsed/>
    <w:qFormat/>
    <w:pPr>
      <w:ind w:left="840"/>
    </w:pPr>
  </w:style>
  <w:style w:type="paragraph" w:styleId="990">
    <w:name w:val="Plain Text"/>
    <w:basedOn w:val="974"/>
    <w:link w:val="1031"/>
    <w:uiPriority w:val="0"/>
    <w:unhideWhenUsed/>
    <w:qFormat/>
    <w:rPr>
      <w:rFonts w:ascii="宋体" w:hAnsi="Courier New"/>
    </w:rPr>
  </w:style>
  <w:style w:type="paragraph" w:styleId="991">
    <w:name w:val="List Bullet 5"/>
    <w:basedOn w:val="975"/>
    <w:next w:val="992"/>
    <w:uiPriority w:val="99"/>
    <w:unhideWhenUsed/>
    <w:qFormat/>
    <w:pPr>
      <w:numPr>
        <w:ilvl w:val="0"/>
        <w:numId w:val="3"/>
      </w:numPr>
    </w:pPr>
  </w:style>
  <w:style w:type="paragraph" w:styleId="992" w:customStyle="1">
    <w:name w:val="正文首行缩进1"/>
    <w:next w:val="988"/>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993">
    <w:name w:val="Date"/>
    <w:basedOn w:val="974"/>
    <w:next w:val="974"/>
    <w:uiPriority w:val="99"/>
    <w:unhideWhenUsed/>
    <w:qFormat/>
    <w:rPr>
      <w:rFonts w:ascii="宋体" w:hAnsi="宋体"/>
      <w:sz w:val="24"/>
    </w:rPr>
  </w:style>
  <w:style w:type="paragraph" w:styleId="994">
    <w:name w:val="Body Text Indent 2"/>
    <w:basedOn w:val="974"/>
    <w:link w:val="1032"/>
    <w:uiPriority w:val="99"/>
    <w:unhideWhenUsed/>
    <w:qFormat/>
    <w:pPr>
      <w:ind w:left="420"/>
      <w:spacing w:after="120" w:line="480" w:lineRule="auto"/>
    </w:pPr>
  </w:style>
  <w:style w:type="paragraph" w:styleId="995">
    <w:name w:val="Balloon Text"/>
    <w:basedOn w:val="974"/>
    <w:next w:val="996"/>
    <w:link w:val="1033"/>
    <w:uiPriority w:val="0"/>
    <w:qFormat/>
    <w:rPr>
      <w:sz w:val="18"/>
      <w:szCs w:val="18"/>
    </w:rPr>
  </w:style>
  <w:style w:type="paragraph" w:styleId="996" w:customStyle="1">
    <w:name w:val="正文缩进1"/>
    <w:next w:val="974"/>
    <w:uiPriority w:val="0"/>
    <w:qFormat/>
    <w:pPr>
      <w:ind w:left="3400"/>
      <w:jc w:val="both"/>
    </w:pPr>
    <w:rPr>
      <w:rFonts w:ascii="Times New Roman" w:hAnsi="Times New Roman" w:eastAsia="宋体" w:cs="Times New Roman"/>
      <w:sz w:val="21"/>
      <w:lang w:val="en-US" w:eastAsia="zh-CN" w:bidi="ar-SA"/>
    </w:rPr>
  </w:style>
  <w:style w:type="paragraph" w:styleId="997">
    <w:name w:val="Footer"/>
    <w:basedOn w:val="974"/>
    <w:link w:val="1034"/>
    <w:uiPriority w:val="99"/>
    <w:unhideWhenUsed/>
    <w:qFormat/>
    <w:pPr>
      <w:jc w:val="left"/>
      <w:tabs>
        <w:tab w:val="center" w:pos="4153" w:leader="none"/>
        <w:tab w:val="right" w:pos="8306" w:leader="none"/>
      </w:tabs>
    </w:pPr>
    <w:rPr>
      <w:sz w:val="18"/>
    </w:rPr>
  </w:style>
  <w:style w:type="paragraph" w:styleId="998">
    <w:name w:val="envelope return"/>
    <w:basedOn w:val="974"/>
    <w:uiPriority w:val="0"/>
    <w:qFormat/>
    <w:rPr>
      <w:rFonts w:ascii="Arial" w:hAnsi="Arial"/>
    </w:rPr>
  </w:style>
  <w:style w:type="paragraph" w:styleId="999">
    <w:name w:val="Header"/>
    <w:basedOn w:val="974"/>
    <w:link w:val="1035"/>
    <w:uiPriority w:val="99"/>
    <w:unhideWhenUsed/>
    <w:qFormat/>
    <w:pPr>
      <w:jc w:val="center"/>
      <w:tabs>
        <w:tab w:val="center" w:pos="4153" w:leader="none"/>
        <w:tab w:val="right" w:pos="8306" w:leader="none"/>
      </w:tabs>
      <w:pBdr>
        <w:bottom w:val="none" w:color="auto" w:sz="0" w:space="1"/>
      </w:pBdr>
    </w:pPr>
    <w:rPr>
      <w:sz w:val="18"/>
    </w:rPr>
  </w:style>
  <w:style w:type="paragraph" w:styleId="1000">
    <w:name w:val="toc 1"/>
    <w:basedOn w:val="974"/>
    <w:next w:val="974"/>
    <w:uiPriority w:val="39"/>
    <w:unhideWhenUsed/>
    <w:qFormat/>
    <w:pPr>
      <w:jc w:val="left"/>
    </w:pPr>
    <w:rPr>
      <w:sz w:val="24"/>
    </w:rPr>
  </w:style>
  <w:style w:type="paragraph" w:styleId="1001">
    <w:name w:val="Subtitle"/>
    <w:basedOn w:val="974"/>
    <w:link w:val="1036"/>
    <w:uiPriority w:val="0"/>
    <w:qFormat/>
    <w:pPr>
      <w:jc w:val="center"/>
      <w:spacing w:before="240" w:after="60" w:line="312" w:lineRule="auto"/>
      <w:outlineLvl w:val="1"/>
    </w:pPr>
    <w:rPr>
      <w:rFonts w:ascii="Arial" w:hAnsi="Arial" w:eastAsia="宋体"/>
      <w:b/>
      <w:bCs/>
      <w:sz w:val="32"/>
      <w:szCs w:val="32"/>
    </w:rPr>
  </w:style>
  <w:style w:type="paragraph" w:styleId="1002">
    <w:name w:val="Body Text Indent 3"/>
    <w:basedOn w:val="974"/>
    <w:uiPriority w:val="99"/>
    <w:unhideWhenUsed/>
    <w:qFormat/>
    <w:pPr>
      <w:ind w:left="420"/>
      <w:jc w:val="left"/>
      <w:spacing w:after="120"/>
      <w:widowControl/>
    </w:pPr>
    <w:rPr>
      <w:rFonts w:eastAsia="宋体"/>
      <w:sz w:val="16"/>
      <w:szCs w:val="16"/>
    </w:rPr>
  </w:style>
  <w:style w:type="paragraph" w:styleId="1003">
    <w:name w:val="toc 2"/>
    <w:basedOn w:val="974"/>
    <w:next w:val="974"/>
    <w:uiPriority w:val="39"/>
    <w:unhideWhenUsed/>
    <w:qFormat/>
    <w:pPr>
      <w:ind w:left="420"/>
    </w:pPr>
  </w:style>
  <w:style w:type="paragraph" w:styleId="1004">
    <w:name w:val="toc 9"/>
    <w:basedOn w:val="974"/>
    <w:next w:val="974"/>
    <w:uiPriority w:val="0"/>
    <w:semiHidden/>
    <w:qFormat/>
    <w:pPr>
      <w:ind w:left="3360"/>
    </w:pPr>
  </w:style>
  <w:style w:type="paragraph" w:styleId="1005">
    <w:name w:val="Body Text 2"/>
    <w:basedOn w:val="975"/>
    <w:next w:val="982"/>
    <w:uiPriority w:val="0"/>
    <w:qFormat/>
    <w:pPr>
      <w:ind w:firstLine="1024"/>
      <w:spacing w:before="0" w:after="120" w:line="480" w:lineRule="auto"/>
    </w:pPr>
  </w:style>
  <w:style w:type="paragraph" w:styleId="1006">
    <w:name w:val="Normal (Web)"/>
    <w:basedOn w:val="974"/>
    <w:uiPriority w:val="0"/>
    <w:unhideWhenUsed/>
    <w:qFormat/>
    <w:pPr>
      <w:jc w:val="left"/>
      <w:spacing w:before="100" w:beforeAutospacing="1" w:after="100" w:afterAutospacing="1"/>
      <w:widowControl/>
    </w:pPr>
    <w:rPr>
      <w:rFonts w:ascii="宋体" w:hAnsi="宋体" w:cs="宋体"/>
      <w:sz w:val="24"/>
    </w:rPr>
  </w:style>
  <w:style w:type="paragraph" w:styleId="1007">
    <w:name w:val="index 1"/>
    <w:basedOn w:val="974"/>
    <w:next w:val="974"/>
    <w:uiPriority w:val="0"/>
    <w:semiHidden/>
    <w:qFormat/>
  </w:style>
  <w:style w:type="paragraph" w:styleId="1008">
    <w:name w:val="annotation subject"/>
    <w:basedOn w:val="984"/>
    <w:next w:val="984"/>
    <w:uiPriority w:val="0"/>
    <w:semiHidden/>
    <w:qFormat/>
    <w:rPr>
      <w:bCs/>
    </w:rPr>
  </w:style>
  <w:style w:type="paragraph" w:styleId="1009">
    <w:name w:val="Body Text First Indent"/>
    <w:basedOn w:val="986"/>
    <w:next w:val="974"/>
    <w:uiPriority w:val="99"/>
    <w:unhideWhenUsed/>
    <w:qFormat/>
    <w:pPr>
      <w:ind w:firstLine="420"/>
    </w:pPr>
  </w:style>
  <w:style w:type="paragraph" w:styleId="1010">
    <w:name w:val="Body Text First Indent 2"/>
    <w:basedOn w:val="987"/>
    <w:link w:val="1037"/>
    <w:uiPriority w:val="99"/>
    <w:unhideWhenUsed/>
    <w:qFormat/>
    <w:pPr>
      <w:ind w:left="420" w:firstLine="420"/>
      <w:spacing w:after="120"/>
    </w:pPr>
  </w:style>
  <w:style w:type="table" w:styleId="1011">
    <w:name w:val="Table Grid"/>
    <w:basedOn w:val="97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2">
    <w:name w:val="Strong"/>
    <w:uiPriority w:val="22"/>
    <w:qFormat/>
    <w:rPr>
      <w:b/>
      <w:bCs/>
    </w:rPr>
  </w:style>
  <w:style w:type="character" w:styleId="1013">
    <w:name w:val="page number"/>
    <w:uiPriority w:val="0"/>
    <w:unhideWhenUsed/>
    <w:qFormat/>
  </w:style>
  <w:style w:type="character" w:styleId="1014">
    <w:name w:val="FollowedHyperlink"/>
    <w:uiPriority w:val="99"/>
    <w:unhideWhenUsed/>
    <w:qFormat/>
    <w:rPr>
      <w:color w:val="07519a"/>
      <w:u w:val="none"/>
    </w:rPr>
  </w:style>
  <w:style w:type="character" w:styleId="1015">
    <w:name w:val="Emphasis"/>
    <w:uiPriority w:val="20"/>
    <w:qFormat/>
  </w:style>
  <w:style w:type="character" w:styleId="1016">
    <w:name w:val="HTML Definition"/>
    <w:uiPriority w:val="99"/>
    <w:unhideWhenUsed/>
    <w:qFormat/>
  </w:style>
  <w:style w:type="character" w:styleId="1017">
    <w:name w:val="HTML Variable"/>
    <w:uiPriority w:val="99"/>
    <w:unhideWhenUsed/>
    <w:qFormat/>
    <w:rPr>
      <w:color w:val="666666"/>
      <w:sz w:val="18"/>
      <w:szCs w:val="18"/>
      <w:shd w:val="clear" w:color="auto" w:fill="ffffff"/>
    </w:rPr>
  </w:style>
  <w:style w:type="character" w:styleId="1018">
    <w:name w:val="Hyperlink"/>
    <w:uiPriority w:val="99"/>
    <w:unhideWhenUsed/>
    <w:qFormat/>
    <w:rPr>
      <w:color w:val="07519a"/>
      <w:u w:val="none"/>
    </w:rPr>
  </w:style>
  <w:style w:type="character" w:styleId="1019">
    <w:name w:val="HTML Code"/>
    <w:uiPriority w:val="99"/>
    <w:unhideWhenUsed/>
    <w:qFormat/>
    <w:rPr>
      <w:rFonts w:hint="default" w:ascii="serif" w:hAnsi="serif" w:eastAsia="serif" w:cs="serif"/>
      <w:sz w:val="21"/>
      <w:szCs w:val="21"/>
    </w:rPr>
  </w:style>
  <w:style w:type="character" w:styleId="1020">
    <w:name w:val="annotation reference"/>
    <w:uiPriority w:val="0"/>
    <w:qFormat/>
    <w:rPr>
      <w:sz w:val="21"/>
      <w:szCs w:val="21"/>
    </w:rPr>
  </w:style>
  <w:style w:type="character" w:styleId="1021">
    <w:name w:val="HTML Cite"/>
    <w:uiPriority w:val="99"/>
    <w:unhideWhenUsed/>
    <w:qFormat/>
  </w:style>
  <w:style w:type="character" w:styleId="1022">
    <w:name w:val="HTML Keyboard"/>
    <w:uiPriority w:val="99"/>
    <w:unhideWhenUsed/>
    <w:qFormat/>
    <w:rPr>
      <w:rFonts w:ascii="serif" w:hAnsi="serif" w:eastAsia="serif" w:cs="serif"/>
      <w:sz w:val="21"/>
      <w:szCs w:val="21"/>
    </w:rPr>
  </w:style>
  <w:style w:type="character" w:styleId="1023">
    <w:name w:val="HTML Sample"/>
    <w:uiPriority w:val="99"/>
    <w:unhideWhenUsed/>
    <w:qFormat/>
    <w:rPr>
      <w:rFonts w:hint="default" w:ascii="serif" w:hAnsi="serif" w:eastAsia="serif" w:cs="serif"/>
      <w:sz w:val="21"/>
      <w:szCs w:val="21"/>
    </w:rPr>
  </w:style>
  <w:style w:type="paragraph" w:styleId="1024" w:customStyle="1">
    <w:name w:val="目录 51"/>
    <w:next w:val="974"/>
    <w:uiPriority w:val="0"/>
    <w:qFormat/>
    <w:pPr>
      <w:ind w:left="1275"/>
      <w:jc w:val="both"/>
    </w:pPr>
    <w:rPr>
      <w:rFonts w:ascii="Times New Roman" w:hAnsi="Times New Roman" w:eastAsia="宋体" w:cs="Times New Roman"/>
      <w:sz w:val="21"/>
      <w:lang w:val="en-US" w:eastAsia="zh-CN" w:bidi="ar-SA"/>
    </w:rPr>
  </w:style>
  <w:style w:type="character" w:styleId="1025" w:customStyle="1">
    <w:name w:val="标题 2 Char"/>
    <w:link w:val="976"/>
    <w:uiPriority w:val="9"/>
    <w:qFormat/>
    <w:rPr>
      <w:rFonts w:ascii="Cambria" w:hAnsi="Cambria" w:eastAsia="宋体" w:cs="Times New Roman"/>
      <w:b/>
      <w:bCs/>
      <w:sz w:val="32"/>
      <w:szCs w:val="32"/>
    </w:rPr>
  </w:style>
  <w:style w:type="character" w:styleId="1026" w:customStyle="1">
    <w:name w:val="标题 3 Char"/>
    <w:link w:val="977"/>
    <w:uiPriority w:val="0"/>
    <w:qFormat/>
    <w:rPr>
      <w:rFonts w:eastAsia="楷体_GB2312"/>
      <w:b/>
      <w:bCs/>
      <w:sz w:val="32"/>
      <w:szCs w:val="32"/>
    </w:rPr>
  </w:style>
  <w:style w:type="character" w:styleId="1027" w:customStyle="1">
    <w:name w:val="正文缩进 Char"/>
    <w:link w:val="981"/>
    <w:uiPriority w:val="0"/>
    <w:qFormat/>
    <w:rPr>
      <w:rFonts w:eastAsia="楷体_GB2312"/>
      <w:sz w:val="24"/>
    </w:rPr>
  </w:style>
  <w:style w:type="character" w:styleId="1028" w:customStyle="1">
    <w:name w:val="文档结构图 Char"/>
    <w:link w:val="983"/>
    <w:uiPriority w:val="99"/>
    <w:semiHidden/>
    <w:qFormat/>
    <w:rPr>
      <w:rFonts w:ascii="宋体"/>
      <w:sz w:val="18"/>
      <w:szCs w:val="18"/>
    </w:rPr>
  </w:style>
  <w:style w:type="character" w:styleId="1029" w:customStyle="1">
    <w:name w:val="批注文字 Char"/>
    <w:link w:val="984"/>
    <w:uiPriority w:val="0"/>
    <w:semiHidden/>
    <w:qFormat/>
    <w:rPr>
      <w:rFonts w:eastAsia="楷体_GB2312"/>
      <w:sz w:val="26"/>
    </w:rPr>
  </w:style>
  <w:style w:type="character" w:styleId="1030" w:customStyle="1">
    <w:name w:val="正文文本缩进 Char"/>
    <w:link w:val="987"/>
    <w:uiPriority w:val="99"/>
    <w:qFormat/>
    <w:rPr>
      <w:rFonts w:ascii="宋体"/>
      <w:sz w:val="28"/>
    </w:rPr>
  </w:style>
  <w:style w:type="character" w:styleId="1031" w:customStyle="1">
    <w:name w:val="纯文本 Char"/>
    <w:link w:val="990"/>
    <w:uiPriority w:val="0"/>
    <w:qFormat/>
    <w:rPr>
      <w:rFonts w:ascii="宋体" w:hAnsi="Courier New" w:eastAsia="楷体_GB2312"/>
      <w:sz w:val="26"/>
    </w:rPr>
  </w:style>
  <w:style w:type="character" w:styleId="1032" w:customStyle="1">
    <w:name w:val="正文文本缩进 2 Char"/>
    <w:link w:val="994"/>
    <w:uiPriority w:val="99"/>
    <w:semiHidden/>
    <w:qFormat/>
    <w:rPr>
      <w:rFonts w:eastAsia="楷体_GB2312"/>
      <w:sz w:val="26"/>
    </w:rPr>
  </w:style>
  <w:style w:type="character" w:styleId="1033" w:customStyle="1">
    <w:name w:val="批注框文本 Char"/>
    <w:link w:val="995"/>
    <w:uiPriority w:val="0"/>
    <w:qFormat/>
    <w:rPr>
      <w:rFonts w:eastAsia="楷体_GB2312"/>
      <w:sz w:val="18"/>
      <w:szCs w:val="18"/>
    </w:rPr>
  </w:style>
  <w:style w:type="character" w:styleId="1034" w:customStyle="1">
    <w:name w:val="页脚 Char"/>
    <w:link w:val="997"/>
    <w:uiPriority w:val="99"/>
    <w:qFormat/>
    <w:rPr>
      <w:rFonts w:eastAsia="楷体_GB2312"/>
      <w:sz w:val="18"/>
    </w:rPr>
  </w:style>
  <w:style w:type="character" w:styleId="1035" w:customStyle="1">
    <w:name w:val="页眉 Char"/>
    <w:link w:val="999"/>
    <w:uiPriority w:val="99"/>
    <w:qFormat/>
    <w:rPr>
      <w:rFonts w:eastAsia="楷体_GB2312"/>
      <w:sz w:val="18"/>
    </w:rPr>
  </w:style>
  <w:style w:type="character" w:styleId="1036" w:customStyle="1">
    <w:name w:val="副标题 Char"/>
    <w:link w:val="1001"/>
    <w:uiPriority w:val="0"/>
    <w:qFormat/>
    <w:rPr>
      <w:rFonts w:ascii="Arial" w:hAnsi="Arial" w:cs="Arial"/>
      <w:b/>
      <w:bCs/>
      <w:sz w:val="32"/>
      <w:szCs w:val="32"/>
    </w:rPr>
  </w:style>
  <w:style w:type="character" w:styleId="1037" w:customStyle="1">
    <w:name w:val="正文首行缩进 2 Char"/>
    <w:link w:val="1010"/>
    <w:uiPriority w:val="99"/>
    <w:qFormat/>
  </w:style>
  <w:style w:type="paragraph" w:styleId="1038" w:customStyle="1">
    <w:name w:val="正文文本1"/>
    <w:basedOn w:val="974"/>
    <w:uiPriority w:val="99"/>
    <w:unhideWhenUsed/>
    <w:qFormat/>
    <w:rPr>
      <w:rFonts w:ascii="楷体_GB2312"/>
      <w:b/>
      <w:bCs/>
      <w:sz w:val="28"/>
    </w:rPr>
  </w:style>
  <w:style w:type="paragraph" w:styleId="1039" w:customStyle="1">
    <w:name w:val="Char Char Char Char Char Char Char Char Char Char Char Char Char"/>
    <w:basedOn w:val="975"/>
    <w:next w:val="974"/>
    <w:uiPriority w:val="0"/>
    <w:qFormat/>
    <w:pPr>
      <w:ind w:firstLine="3584"/>
      <w:spacing w:before="0" w:after="160" w:line="240" w:lineRule="exact"/>
    </w:pPr>
  </w:style>
  <w:style w:type="character" w:styleId="1040" w:customStyle="1">
    <w:name w:val="font61"/>
    <w:uiPriority w:val="0"/>
    <w:qFormat/>
    <w:rPr>
      <w:rFonts w:hint="eastAsia" w:ascii="宋体" w:hAnsi="宋体" w:eastAsia="宋体" w:cs="宋体"/>
      <w:b/>
      <w:color w:val="000000"/>
      <w:sz w:val="20"/>
      <w:szCs w:val="20"/>
      <w:u w:val="none"/>
    </w:rPr>
  </w:style>
  <w:style w:type="character" w:styleId="1041" w:customStyle="1">
    <w:name w:val="bds_nopic2"/>
    <w:uiPriority w:val="0"/>
    <w:qFormat/>
  </w:style>
  <w:style w:type="character" w:styleId="1042" w:customStyle="1">
    <w:name w:val="font41"/>
    <w:uiPriority w:val="0"/>
    <w:qFormat/>
    <w:rPr>
      <w:rFonts w:hint="eastAsia" w:ascii="宋体" w:hAnsi="宋体" w:eastAsia="宋体" w:cs="宋体"/>
      <w:b/>
      <w:color w:val="000000"/>
      <w:sz w:val="24"/>
      <w:szCs w:val="24"/>
      <w:u w:val="none"/>
    </w:rPr>
  </w:style>
  <w:style w:type="character" w:styleId="1043" w:customStyle="1">
    <w:name w:val="正文文本缩进 字符"/>
    <w:uiPriority w:val="99"/>
    <w:qFormat/>
    <w:rPr>
      <w:rFonts w:ascii="宋体"/>
      <w:sz w:val="28"/>
    </w:rPr>
  </w:style>
  <w:style w:type="character" w:styleId="1044" w:customStyle="1">
    <w:name w:val="bds_more"/>
    <w:uiPriority w:val="0"/>
    <w:qFormat/>
  </w:style>
  <w:style w:type="character" w:styleId="1045" w:customStyle="1">
    <w:name w:val="fontstrikethrough"/>
    <w:uiPriority w:val="0"/>
    <w:qFormat/>
    <w:rPr>
      <w:strike/>
    </w:rPr>
  </w:style>
  <w:style w:type="character" w:styleId="1046" w:customStyle="1">
    <w:name w:val="font01"/>
    <w:uiPriority w:val="0"/>
    <w:qFormat/>
    <w:rPr>
      <w:rFonts w:hint="eastAsia" w:ascii="宋体" w:hAnsi="宋体" w:eastAsia="宋体" w:cs="宋体"/>
      <w:color w:val="000000"/>
      <w:sz w:val="20"/>
      <w:szCs w:val="20"/>
      <w:u w:val="none"/>
    </w:rPr>
  </w:style>
  <w:style w:type="character" w:styleId="1047" w:customStyle="1">
    <w:name w:val="bds_more1"/>
    <w:uiPriority w:val="0"/>
    <w:qFormat/>
    <w:rPr>
      <w:rFonts w:hint="eastAsia" w:ascii="宋体" w:hAnsi="宋体" w:eastAsia="宋体" w:cs="宋体"/>
    </w:rPr>
  </w:style>
  <w:style w:type="character" w:styleId="1048" w:customStyle="1">
    <w:name w:val="font81"/>
    <w:uiPriority w:val="0"/>
    <w:qFormat/>
    <w:rPr>
      <w:rFonts w:ascii="宋体" w:hAnsi="宋体" w:eastAsia="宋体" w:cs="宋体"/>
      <w:b/>
      <w:color w:val="000000"/>
      <w:sz w:val="24"/>
      <w:szCs w:val="24"/>
      <w:u w:val="none"/>
    </w:rPr>
  </w:style>
  <w:style w:type="character" w:styleId="1049" w:customStyle="1">
    <w:name w:val="font11"/>
    <w:uiPriority w:val="0"/>
    <w:qFormat/>
    <w:rPr>
      <w:rFonts w:hint="eastAsia" w:ascii="宋体" w:hAnsi="宋体" w:eastAsia="宋体" w:cs="宋体"/>
      <w:b/>
      <w:color w:val="000000"/>
      <w:sz w:val="20"/>
      <w:szCs w:val="20"/>
      <w:u w:val="none"/>
    </w:rPr>
  </w:style>
  <w:style w:type="character" w:styleId="1050" w:customStyle="1">
    <w:name w:val="font21"/>
    <w:uiPriority w:val="0"/>
    <w:qFormat/>
    <w:rPr>
      <w:rFonts w:hint="default" w:ascii="Arial" w:hAnsi="Arial" w:cs="Arial"/>
      <w:color w:val="000000"/>
      <w:sz w:val="20"/>
      <w:szCs w:val="20"/>
      <w:u w:val="none"/>
    </w:rPr>
  </w:style>
  <w:style w:type="character" w:styleId="1051" w:customStyle="1">
    <w:name w:val="Plain Text Char1"/>
    <w:link w:val="1052"/>
    <w:uiPriority w:val="0"/>
    <w:qFormat/>
    <w:rPr>
      <w:rFonts w:ascii="宋体" w:hAnsi="Courier New" w:eastAsia="楷体_GB2312"/>
      <w:sz w:val="26"/>
    </w:rPr>
  </w:style>
  <w:style w:type="paragraph" w:styleId="1052" w:customStyle="1">
    <w:name w:val="纯文本1"/>
    <w:basedOn w:val="974"/>
    <w:link w:val="1051"/>
    <w:uiPriority w:val="0"/>
    <w:qFormat/>
    <w:rPr>
      <w:rFonts w:ascii="宋体" w:hAnsi="Courier New"/>
    </w:rPr>
  </w:style>
  <w:style w:type="character" w:styleId="1053" w:customStyle="1">
    <w:name w:val="font71"/>
    <w:uiPriority w:val="0"/>
    <w:qFormat/>
    <w:rPr>
      <w:rFonts w:ascii="宋体" w:hAnsi="宋体" w:eastAsia="宋体" w:cs="宋体"/>
      <w:b/>
      <w:color w:val="000000"/>
      <w:sz w:val="24"/>
      <w:szCs w:val="24"/>
      <w:u w:val="none"/>
    </w:rPr>
  </w:style>
  <w:style w:type="character" w:styleId="1054" w:customStyle="1">
    <w:name w:val="_正文段落 Char"/>
    <w:link w:val="1055"/>
    <w:uiPriority w:val="0"/>
    <w:qFormat/>
    <w:rPr>
      <w:rFonts w:ascii="宋体" w:hAnsi="宋体"/>
      <w:sz w:val="24"/>
      <w:szCs w:val="24"/>
    </w:rPr>
  </w:style>
  <w:style w:type="paragraph" w:styleId="1055" w:customStyle="1">
    <w:name w:val="_正文段落"/>
    <w:basedOn w:val="974"/>
    <w:link w:val="1054"/>
    <w:uiPriority w:val="0"/>
    <w:qFormat/>
    <w:pPr>
      <w:ind w:firstLine="480"/>
      <w:spacing w:line="360" w:lineRule="auto"/>
    </w:pPr>
    <w:rPr>
      <w:rFonts w:ascii="宋体" w:hAnsi="宋体" w:eastAsia="宋体"/>
      <w:sz w:val="24"/>
      <w:szCs w:val="24"/>
    </w:rPr>
  </w:style>
  <w:style w:type="character" w:styleId="1056" w:customStyle="1">
    <w:name w:val="fontborder"/>
    <w:uiPriority w:val="0"/>
    <w:qFormat/>
  </w:style>
  <w:style w:type="character" w:styleId="1057" w:customStyle="1">
    <w:name w:val="bds_nopic"/>
    <w:uiPriority w:val="0"/>
    <w:qFormat/>
  </w:style>
  <w:style w:type="character" w:styleId="1058" w:customStyle="1">
    <w:name w:val="bds_nopic1"/>
    <w:uiPriority w:val="0"/>
    <w:qFormat/>
  </w:style>
  <w:style w:type="character" w:styleId="1059" w:customStyle="1">
    <w:name w:val="Plain Text Char Char"/>
    <w:link w:val="1060"/>
    <w:uiPriority w:val="0"/>
    <w:qFormat/>
    <w:rPr>
      <w:rFonts w:ascii="宋体" w:hAnsi="Courier New" w:eastAsia="楷体_GB2312"/>
      <w:sz w:val="26"/>
      <w:lang w:val="en-US" w:eastAsia="zh-CN" w:bidi="ar-SA"/>
    </w:rPr>
  </w:style>
  <w:style w:type="paragraph" w:styleId="1060" w:customStyle="1">
    <w:name w:val="纯文本2"/>
    <w:basedOn w:val="974"/>
    <w:link w:val="1059"/>
    <w:uiPriority w:val="0"/>
    <w:qFormat/>
    <w:rPr>
      <w:rFonts w:ascii="宋体" w:hAnsi="Courier New"/>
    </w:rPr>
  </w:style>
  <w:style w:type="character" w:styleId="1061" w:customStyle="1">
    <w:name w:val="bds_more2"/>
    <w:uiPriority w:val="0"/>
    <w:qFormat/>
  </w:style>
  <w:style w:type="character" w:styleId="1062" w:customStyle="1">
    <w:name w:val="font12"/>
    <w:uiPriority w:val="0"/>
    <w:qFormat/>
    <w:rPr>
      <w:rFonts w:hint="eastAsia" w:ascii="宋体" w:hAnsi="宋体" w:eastAsia="宋体" w:cs="宋体"/>
      <w:b/>
      <w:color w:val="000000"/>
      <w:sz w:val="20"/>
      <w:szCs w:val="20"/>
      <w:u w:val="none"/>
    </w:rPr>
  </w:style>
  <w:style w:type="character" w:styleId="1063" w:customStyle="1">
    <w:name w:val="font51"/>
    <w:uiPriority w:val="0"/>
    <w:qFormat/>
    <w:rPr>
      <w:rFonts w:hint="eastAsia" w:ascii="宋体" w:hAnsi="宋体" w:eastAsia="宋体" w:cs="宋体"/>
      <w:b/>
      <w:color w:val="000000"/>
      <w:sz w:val="24"/>
      <w:szCs w:val="24"/>
      <w:u w:val="none"/>
    </w:rPr>
  </w:style>
  <w:style w:type="character" w:styleId="1064" w:customStyle="1">
    <w:name w:val="font112"/>
    <w:uiPriority w:val="0"/>
    <w:qFormat/>
    <w:rPr>
      <w:rFonts w:hint="eastAsia" w:ascii="宋体" w:hAnsi="宋体" w:eastAsia="宋体" w:cs="宋体"/>
      <w:color w:val="000000"/>
      <w:sz w:val="20"/>
      <w:szCs w:val="20"/>
      <w:u w:val="none"/>
    </w:rPr>
  </w:style>
  <w:style w:type="character" w:styleId="1065" w:customStyle="1">
    <w:name w:val="正文首行缩进 2 Char1"/>
    <w:uiPriority w:val="0"/>
    <w:qFormat/>
  </w:style>
  <w:style w:type="character" w:styleId="1066" w:customStyle="1">
    <w:name w:val="font111"/>
    <w:uiPriority w:val="0"/>
    <w:qFormat/>
    <w:rPr>
      <w:rFonts w:hint="eastAsia" w:ascii="宋体" w:hAnsi="宋体" w:eastAsia="宋体" w:cs="宋体"/>
      <w:color w:val="000000"/>
      <w:sz w:val="20"/>
      <w:szCs w:val="20"/>
      <w:u w:val="none"/>
    </w:rPr>
  </w:style>
  <w:style w:type="paragraph" w:styleId="1067" w:customStyle="1">
    <w:name w:val="正文文本缩进1"/>
    <w:basedOn w:val="974"/>
    <w:next w:val="974"/>
    <w:uiPriority w:val="0"/>
    <w:qFormat/>
    <w:pPr>
      <w:ind w:firstLine="570"/>
    </w:pPr>
    <w:rPr>
      <w:rFonts w:ascii="宋体" w:eastAsia="宋体"/>
      <w:sz w:val="28"/>
    </w:rPr>
  </w:style>
  <w:style w:type="paragraph" w:styleId="1068" w:customStyle="1">
    <w:name w:val="p18"/>
    <w:basedOn w:val="974"/>
    <w:uiPriority w:val="0"/>
    <w:qFormat/>
    <w:pPr>
      <w:ind w:firstLine="420"/>
      <w:jc w:val="left"/>
      <w:widowControl/>
    </w:pPr>
    <w:rPr>
      <w:rFonts w:eastAsia="宋体"/>
      <w:sz w:val="24"/>
      <w:szCs w:val="24"/>
    </w:rPr>
  </w:style>
  <w:style w:type="paragraph" w:styleId="1069" w:customStyle="1">
    <w:name w:val="纯文本21"/>
    <w:basedOn w:val="974"/>
    <w:uiPriority w:val="0"/>
    <w:qFormat/>
    <w:rPr>
      <w:rFonts w:ascii="宋体" w:hAnsi="Courier New"/>
    </w:rPr>
  </w:style>
  <w:style w:type="paragraph" w:styleId="1070" w:customStyle="1">
    <w:name w:val="Andy_正文"/>
    <w:basedOn w:val="974"/>
    <w:next w:val="995"/>
    <w:uiPriority w:val="0"/>
    <w:qFormat/>
    <w:pPr>
      <w:ind w:firstLine="480"/>
      <w:spacing w:line="360" w:lineRule="auto"/>
    </w:pPr>
    <w:rPr>
      <w:rFonts w:ascii="Calibri"/>
      <w:sz w:val="24"/>
    </w:rPr>
  </w:style>
  <w:style w:type="paragraph" w:styleId="1071" w:customStyle="1">
    <w:name w:val="Char Char4"/>
    <w:basedOn w:val="974"/>
    <w:next w:val="974"/>
    <w:uiPriority w:val="0"/>
    <w:qFormat/>
    <w:pPr>
      <w:spacing w:line="360" w:lineRule="auto"/>
      <w:shd w:val="clear" w:color="auto" w:fill="000080"/>
    </w:pPr>
  </w:style>
  <w:style w:type="paragraph" w:styleId="1072" w:customStyle="1">
    <w:name w:val="TableOfAuthoring"/>
    <w:basedOn w:val="974"/>
    <w:next w:val="974"/>
    <w:uiPriority w:val="0"/>
    <w:qFormat/>
    <w:pPr>
      <w:ind w:left="420"/>
    </w:pPr>
    <w:rPr>
      <w:rFonts w:ascii="Calibri" w:hAnsi="Calibri"/>
      <w:szCs w:val="24"/>
    </w:rPr>
  </w:style>
  <w:style w:type="paragraph" w:styleId="1073" w:customStyle="1">
    <w:name w:val="列出段落1"/>
    <w:basedOn w:val="974"/>
    <w:uiPriority w:val="34"/>
    <w:qFormat/>
    <w:pPr>
      <w:ind w:firstLine="420"/>
    </w:pPr>
    <w:rPr>
      <w:rFonts w:ascii="Calibri" w:hAnsi="Calibri" w:eastAsia="宋体"/>
    </w:rPr>
  </w:style>
  <w:style w:type="paragraph" w:styleId="1074" w:customStyle="1">
    <w:name w:val="正文缩进111"/>
    <w:basedOn w:val="974"/>
    <w:next w:val="974"/>
    <w:uiPriority w:val="0"/>
    <w:qFormat/>
    <w:pPr>
      <w:ind w:firstLine="420"/>
      <w:jc w:val="left"/>
    </w:pPr>
    <w:rPr>
      <w:sz w:val="24"/>
    </w:rPr>
  </w:style>
  <w:style w:type="paragraph" w:styleId="1075" w:customStyle="1">
    <w:name w:val="表格字体"/>
    <w:basedOn w:val="974"/>
    <w:uiPriority w:val="0"/>
    <w:qFormat/>
    <w:pPr>
      <w:spacing w:line="400" w:lineRule="exact"/>
      <w:widowControl/>
    </w:pPr>
    <w:rPr>
      <w:rFonts w:hint="eastAsia" w:cs="宋体"/>
      <w:bCs/>
      <w:color w:val="000000"/>
      <w:sz w:val="24"/>
      <w:szCs w:val="18"/>
    </w:rPr>
  </w:style>
  <w:style w:type="paragraph" w:styleId="1076"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Char"/>
    <w:basedOn w:val="974"/>
    <w:uiPriority w:val="0"/>
    <w:qFormat/>
    <w:rPr>
      <w:rFonts w:ascii="Tahoma" w:hAnsi="Tahoma" w:eastAsia="宋体"/>
      <w:sz w:val="24"/>
    </w:rPr>
  </w:style>
  <w:style w:type="paragraph" w:styleId="1078" w:customStyle="1">
    <w:name w:val="03 正文"/>
    <w:basedOn w:val="974"/>
    <w:uiPriority w:val="0"/>
    <w:qFormat/>
    <w:pPr>
      <w:ind w:firstLine="420"/>
      <w:spacing w:line="500" w:lineRule="atLeast"/>
      <w:widowControl/>
    </w:pPr>
    <w:rPr>
      <w:szCs w:val="22"/>
    </w:rPr>
  </w:style>
  <w:style w:type="paragraph" w:styleId="1079"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080" w:customStyle="1">
    <w:name w:val="列出段落11"/>
    <w:basedOn w:val="974"/>
    <w:uiPriority w:val="34"/>
    <w:qFormat/>
    <w:pPr>
      <w:ind w:firstLine="420"/>
    </w:pPr>
    <w:rPr>
      <w:rFonts w:ascii="Calibri" w:hAnsi="Calibri" w:eastAsia="宋体"/>
    </w:rPr>
  </w:style>
  <w:style w:type="paragraph" w:styleId="1081" w:customStyle="1">
    <w:name w:val="Style1"/>
    <w:basedOn w:val="974"/>
    <w:uiPriority w:val="0"/>
    <w:qFormat/>
    <w:pPr>
      <w:tabs>
        <w:tab w:val="left" w:pos="-720" w:leader="none"/>
      </w:tabs>
    </w:pPr>
    <w:rPr>
      <w:spacing w:val="-3"/>
      <w:sz w:val="24"/>
      <w:szCs w:val="24"/>
      <w:lang w:val="en-AU" w:eastAsia="en-US"/>
    </w:rPr>
  </w:style>
  <w:style w:type="paragraph" w:styleId="1082" w:customStyle="1">
    <w:name w:val="首行缩进"/>
    <w:basedOn w:val="974"/>
    <w:uiPriority w:val="0"/>
    <w:qFormat/>
    <w:pPr>
      <w:ind w:firstLine="480"/>
    </w:pPr>
    <w:rPr>
      <w:lang w:val="zh-CN"/>
    </w:rPr>
  </w:style>
  <w:style w:type="paragraph" w:styleId="1083">
    <w:name w:val="List Paragraph"/>
    <w:basedOn w:val="974"/>
    <w:next w:val="1084"/>
    <w:uiPriority w:val="0"/>
    <w:qFormat/>
    <w:pPr>
      <w:ind w:firstLine="420"/>
    </w:pPr>
  </w:style>
  <w:style w:type="paragraph" w:styleId="1084" w:customStyle="1">
    <w:name w:val="xl91"/>
    <w:basedOn w:val="975"/>
    <w:next w:val="1085"/>
    <w:uiPriority w:val="0"/>
    <w:qFormat/>
    <w:pPr>
      <w:ind w:firstLine="3584"/>
      <w:spacing w:before="280" w:after="280" w:line="240" w:lineRule="auto"/>
    </w:pPr>
  </w:style>
  <w:style w:type="paragraph" w:styleId="1085" w:customStyle="1">
    <w:name w:val="xl76"/>
    <w:basedOn w:val="975"/>
    <w:next w:val="1005"/>
    <w:uiPriority w:val="0"/>
    <w:qFormat/>
    <w:pPr>
      <w:ind w:firstLine="3584"/>
      <w:jc w:val="center"/>
      <w:spacing w:before="280" w:after="280" w:line="240" w:lineRule="auto"/>
    </w:pPr>
  </w:style>
  <w:style w:type="paragraph" w:styleId="1086" w:customStyle="1">
    <w:name w:val="目录 21"/>
    <w:next w:val="974"/>
    <w:uiPriority w:val="0"/>
    <w:qFormat/>
    <w:pPr>
      <w:jc w:val="both"/>
    </w:pPr>
    <w:rPr>
      <w:rFonts w:ascii="Times New Roman" w:hAnsi="Times New Roman" w:eastAsia="宋体" w:cs="Times New Roman"/>
      <w:sz w:val="21"/>
      <w:lang w:val="en-US" w:eastAsia="zh-CN" w:bidi="ar-SA"/>
    </w:rPr>
  </w:style>
  <w:style w:type="paragraph" w:styleId="1087" w:customStyle="1">
    <w:name w:val="正文1"/>
    <w:basedOn w:val="974"/>
    <w:next w:val="974"/>
    <w:uiPriority w:val="0"/>
    <w:qFormat/>
    <w:pPr>
      <w:ind w:left="420" w:firstLine="527"/>
      <w:spacing w:before="120" w:line="360" w:lineRule="auto"/>
    </w:pPr>
    <w:rPr>
      <w:rFonts w:ascii="宋体" w:hAnsi="宋体"/>
    </w:rPr>
  </w:style>
  <w:style w:type="paragraph" w:styleId="1088" w:customStyle="1">
    <w:name w:val="_Style 11"/>
    <w:basedOn w:val="987"/>
    <w:next w:val="1009"/>
    <w:uiPriority w:val="0"/>
    <w:unhideWhenUsed/>
    <w:qFormat/>
    <w:pPr>
      <w:ind w:firstLine="420"/>
      <w:spacing w:line="360" w:lineRule="exact"/>
    </w:pPr>
    <w:rPr>
      <w:rFonts w:ascii="Times New Roman"/>
    </w:rPr>
  </w:style>
  <w:style w:type="paragraph" w:styleId="1089" w:customStyle="1">
    <w:name w:val="正文首行缩进两字符"/>
    <w:basedOn w:val="974"/>
    <w:uiPriority w:val="0"/>
    <w:qFormat/>
    <w:pPr>
      <w:ind w:firstLine="200"/>
      <w:spacing w:line="360" w:lineRule="auto"/>
    </w:pPr>
    <w:rPr>
      <w:rFonts w:eastAsia="宋体"/>
      <w:sz w:val="21"/>
      <w:szCs w:val="24"/>
    </w:rPr>
  </w:style>
  <w:style w:type="paragraph" w:styleId="1090" w:customStyle="1">
    <w:name w:val="_Style 1"/>
    <w:basedOn w:val="974"/>
    <w:uiPriority w:val="34"/>
    <w:qFormat/>
    <w:pPr>
      <w:ind w:firstLine="420"/>
    </w:pPr>
  </w:style>
  <w:style w:type="paragraph" w:styleId="1091" w:customStyle="1">
    <w:name w:val="Plain Text1"/>
    <w:basedOn w:val="974"/>
    <w:uiPriority w:val="0"/>
    <w:qFormat/>
    <w:rPr>
      <w:rFonts w:hint="eastAsia" w:ascii="宋体" w:hAnsi="Courier New"/>
    </w:rPr>
  </w:style>
  <w:style w:type="paragraph" w:styleId="1092"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093" w:customStyle="1">
    <w:name w:val="段"/>
    <w:next w:val="974"/>
    <w:uiPriority w:val="0"/>
    <w:qFormat/>
    <w:pPr>
      <w:ind w:firstLine="200"/>
      <w:jc w:val="both"/>
    </w:pPr>
    <w:rPr>
      <w:rFonts w:ascii="宋体" w:hAnsi="Times New Roman" w:eastAsia="宋体" w:cs="Times New Roman"/>
      <w:sz w:val="21"/>
      <w:lang w:val="en-US" w:eastAsia="zh-CN" w:bidi="ar-SA"/>
    </w:rPr>
  </w:style>
  <w:style w:type="paragraph" w:styleId="1094" w:customStyle="1">
    <w:name w:val="正文文本缩进11"/>
    <w:basedOn w:val="974"/>
    <w:next w:val="974"/>
    <w:uiPriority w:val="0"/>
    <w:qFormat/>
    <w:pPr>
      <w:ind w:firstLine="570"/>
    </w:pPr>
    <w:rPr>
      <w:rFonts w:ascii="宋体" w:eastAsia="宋体"/>
      <w:sz w:val="28"/>
    </w:rPr>
  </w:style>
  <w:style w:type="paragraph" w:styleId="1095" w:customStyle="1">
    <w:name w:val="font7"/>
    <w:basedOn w:val="974"/>
    <w:uiPriority w:val="0"/>
    <w:qFormat/>
    <w:pPr>
      <w:jc w:val="left"/>
      <w:spacing w:before="100" w:beforeAutospacing="1" w:after="100" w:afterAutospacing="1"/>
      <w:widowControl/>
    </w:pPr>
    <w:rPr>
      <w:rFonts w:eastAsia="宋体"/>
      <w:sz w:val="20"/>
    </w:rPr>
  </w:style>
  <w:style w:type="paragraph" w:styleId="1096" w:customStyle="1">
    <w:name w:val="_Style 27"/>
    <w:basedOn w:val="974"/>
    <w:next w:val="1083"/>
    <w:uiPriority w:val="34"/>
    <w:qFormat/>
    <w:pPr>
      <w:ind w:firstLine="420"/>
    </w:pPr>
    <w:rPr>
      <w:szCs w:val="22"/>
    </w:rPr>
  </w:style>
  <w:style w:type="paragraph" w:styleId="1097" w:customStyle="1">
    <w:name w:val="p0"/>
    <w:basedOn w:val="974"/>
    <w:uiPriority w:val="0"/>
    <w:qFormat/>
    <w:pPr>
      <w:jc w:val="left"/>
      <w:widowControl/>
    </w:pPr>
    <w:rPr>
      <w:rFonts w:eastAsia="宋体"/>
      <w:sz w:val="24"/>
      <w:szCs w:val="24"/>
    </w:rPr>
  </w:style>
  <w:style w:type="paragraph" w:styleId="1098" w:customStyle="1">
    <w:name w:val="备注"/>
    <w:basedOn w:val="974"/>
    <w:uiPriority w:val="0"/>
    <w:qFormat/>
    <w:pPr>
      <w:ind w:firstLine="723"/>
      <w:jc w:val="left"/>
      <w:spacing w:line="400" w:lineRule="exact"/>
      <w:widowControl/>
    </w:pPr>
    <w:rPr>
      <w:rFonts w:hint="eastAsia" w:ascii="宋体" w:hAnsi="宋体" w:eastAsia="仿宋" w:cs="宋体"/>
      <w:b/>
      <w:color w:val="000000"/>
      <w:sz w:val="24"/>
      <w:szCs w:val="18"/>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王雨</cp:lastModifiedBy>
  <cp:revision>17</cp:revision>
  <dcterms:created xsi:type="dcterms:W3CDTF">2025-06-30T06:11:00Z</dcterms:created>
  <dcterms:modified xsi:type="dcterms:W3CDTF">2026-06-24T08:41:41Z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EC1F3FC1D35A43E3A3835734737DD9AB_13</vt:lpwstr>
  </property>
  <property fmtid="{D5CDD505-2E9C-101B-9397-08002B2CF9AE}" pid="4" name="KSOTemplateDocerSaveRecord">
    <vt:lpwstr>eyJoZGlkIjoiNzcwZTBmNzM2ZmY2ZDEwNGRlZmJmNWIyMTZjNjNmOWUiLCJ1c2VySWQiOiI0MTQ1MjkwNzEifQ==</vt:lpwstr>
  </property>
</Properties>
</file>