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A2735">
      <w:pPr>
        <w:pStyle w:val="40"/>
        <w:jc w:val="both"/>
        <w:rPr>
          <w:rFonts w:hint="eastAsia" w:ascii="宋体" w:hAnsi="宋体" w:eastAsia="宋体" w:cs="宋体"/>
          <w:b/>
          <w:bCs/>
          <w:color w:val="auto"/>
          <w:sz w:val="84"/>
          <w:szCs w:val="84"/>
          <w:highlight w:val="none"/>
        </w:rPr>
      </w:pPr>
      <w:bookmarkStart w:id="0" w:name="_Toc383623672"/>
      <w:bookmarkStart w:id="1" w:name="_Toc390098840"/>
      <w:bookmarkStart w:id="2" w:name="_Toc383587456"/>
      <w:bookmarkStart w:id="3" w:name="_Toc390099018"/>
      <w:bookmarkStart w:id="4" w:name="_Toc383625993"/>
      <w:bookmarkStart w:id="5" w:name="_Toc383698647"/>
      <w:bookmarkStart w:id="6" w:name="_Toc390246905"/>
      <w:bookmarkStart w:id="7" w:name="_Toc383623944"/>
      <w:bookmarkStart w:id="8" w:name="_Toc426469868"/>
      <w:bookmarkStart w:id="9" w:name="_Toc383679746"/>
    </w:p>
    <w:p w14:paraId="15C68666">
      <w:pPr>
        <w:pStyle w:val="40"/>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72"/>
          <w:szCs w:val="72"/>
          <w:highlight w:val="none"/>
        </w:rPr>
        <w:t>招　标　文　件</w:t>
      </w:r>
    </w:p>
    <w:p w14:paraId="703B7AA5">
      <w:pPr>
        <w:pStyle w:val="40"/>
        <w:spacing w:line="540" w:lineRule="exact"/>
        <w:rPr>
          <w:rFonts w:hint="eastAsia" w:ascii="宋体" w:hAnsi="宋体" w:eastAsia="宋体" w:cs="宋体"/>
          <w:b/>
          <w:bCs/>
          <w:color w:val="auto"/>
          <w:sz w:val="32"/>
          <w:szCs w:val="32"/>
          <w:highlight w:val="none"/>
        </w:rPr>
      </w:pPr>
    </w:p>
    <w:p w14:paraId="67B2407E">
      <w:pPr>
        <w:pStyle w:val="40"/>
        <w:spacing w:line="540" w:lineRule="exact"/>
        <w:rPr>
          <w:rFonts w:hint="eastAsia" w:ascii="宋体" w:hAnsi="宋体" w:eastAsia="宋体" w:cs="宋体"/>
          <w:b/>
          <w:bCs/>
          <w:color w:val="auto"/>
          <w:sz w:val="32"/>
          <w:szCs w:val="32"/>
          <w:highlight w:val="none"/>
        </w:rPr>
      </w:pPr>
    </w:p>
    <w:p w14:paraId="4A777C18">
      <w:pPr>
        <w:pStyle w:val="40"/>
        <w:spacing w:line="540" w:lineRule="exact"/>
        <w:rPr>
          <w:rFonts w:hint="eastAsia" w:ascii="宋体" w:hAnsi="宋体" w:eastAsia="宋体" w:cs="宋体"/>
          <w:b/>
          <w:bCs/>
          <w:color w:val="auto"/>
          <w:sz w:val="32"/>
          <w:szCs w:val="32"/>
          <w:highlight w:val="none"/>
        </w:rPr>
      </w:pPr>
    </w:p>
    <w:p w14:paraId="5740937C">
      <w:pPr>
        <w:pStyle w:val="40"/>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45C2C29F">
      <w:pPr>
        <w:widowControl/>
        <w:ind w:left="2266" w:hanging="2266" w:hangingChars="513"/>
        <w:jc w:val="lef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项目名称</w:t>
      </w:r>
      <w:r>
        <w:rPr>
          <w:rFonts w:hint="eastAsia" w:ascii="宋体" w:hAnsi="宋体" w:eastAsia="宋体" w:cs="宋体"/>
          <w:color w:val="auto"/>
          <w:sz w:val="44"/>
          <w:szCs w:val="44"/>
          <w:highlight w:val="none"/>
        </w:rPr>
        <w:t>：</w:t>
      </w:r>
      <w:r>
        <w:rPr>
          <w:rFonts w:hint="eastAsia" w:ascii="宋体" w:hAnsi="宋体" w:cs="宋体"/>
          <w:color w:val="auto"/>
          <w:sz w:val="44"/>
          <w:szCs w:val="44"/>
          <w:highlight w:val="none"/>
          <w:lang w:eastAsia="zh-CN"/>
        </w:rPr>
        <w:t>泰兴市初中理化生实验室设备采购项目</w:t>
      </w:r>
      <w:r>
        <w:rPr>
          <w:rFonts w:hint="eastAsia" w:ascii="宋体" w:hAnsi="宋体" w:eastAsia="宋体" w:cs="宋体"/>
          <w:b/>
          <w:bCs/>
          <w:color w:val="auto"/>
          <w:sz w:val="44"/>
          <w:szCs w:val="44"/>
          <w:highlight w:val="none"/>
        </w:rPr>
        <w:t xml:space="preserve"> </w:t>
      </w:r>
    </w:p>
    <w:p w14:paraId="04E1ECE1">
      <w:pPr>
        <w:pStyle w:val="40"/>
        <w:spacing w:line="540" w:lineRule="exact"/>
        <w:jc w:val="both"/>
        <w:rPr>
          <w:rFonts w:hint="eastAsia" w:ascii="宋体" w:hAnsi="宋体" w:eastAsia="宋体" w:cs="宋体"/>
          <w:b/>
          <w:color w:val="auto"/>
          <w:sz w:val="32"/>
          <w:szCs w:val="32"/>
          <w:highlight w:val="none"/>
          <w:lang w:eastAsia="zh-CN"/>
        </w:rPr>
      </w:pPr>
      <w:r>
        <w:rPr>
          <w:rFonts w:hint="eastAsia" w:ascii="宋体" w:hAnsi="宋体" w:eastAsia="宋体" w:cs="宋体"/>
          <w:b/>
          <w:bCs/>
          <w:color w:val="auto"/>
          <w:sz w:val="44"/>
          <w:szCs w:val="44"/>
          <w:highlight w:val="none"/>
        </w:rPr>
        <w:t>项目编号：</w:t>
      </w:r>
      <w:r>
        <w:rPr>
          <w:rFonts w:hint="eastAsia" w:ascii="宋体" w:hAnsi="宋体" w:eastAsia="宋体" w:cs="宋体"/>
          <w:b/>
          <w:bCs/>
          <w:color w:val="auto"/>
          <w:sz w:val="44"/>
          <w:szCs w:val="44"/>
          <w:highlight w:val="none"/>
          <w:lang w:eastAsia="zh-CN"/>
        </w:rPr>
        <w:t>JSZC-321283-GXGL-G2026-0017</w:t>
      </w:r>
      <w:r>
        <w:rPr>
          <w:rFonts w:hint="eastAsia" w:ascii="宋体" w:hAnsi="宋体" w:eastAsia="宋体" w:cs="宋体"/>
          <w:b/>
          <w:bCs/>
          <w:color w:val="auto"/>
          <w:sz w:val="44"/>
          <w:szCs w:val="44"/>
          <w:highlight w:val="none"/>
          <w:lang w:eastAsia="zh-CN"/>
        </w:rPr>
        <w:tab/>
      </w:r>
    </w:p>
    <w:p w14:paraId="71855BB9">
      <w:pPr>
        <w:pStyle w:val="40"/>
        <w:spacing w:line="540" w:lineRule="exact"/>
        <w:ind w:firstLine="643" w:firstLineChars="200"/>
        <w:jc w:val="center"/>
        <w:rPr>
          <w:rFonts w:hint="eastAsia" w:ascii="宋体" w:hAnsi="宋体" w:eastAsia="宋体" w:cs="宋体"/>
          <w:b/>
          <w:color w:val="auto"/>
          <w:sz w:val="32"/>
          <w:szCs w:val="32"/>
          <w:highlight w:val="none"/>
        </w:rPr>
      </w:pPr>
    </w:p>
    <w:p w14:paraId="1D744BC6">
      <w:pPr>
        <w:pStyle w:val="40"/>
        <w:spacing w:line="540" w:lineRule="exact"/>
        <w:ind w:firstLine="643" w:firstLineChars="200"/>
        <w:jc w:val="center"/>
        <w:rPr>
          <w:rFonts w:hint="eastAsia" w:ascii="宋体" w:hAnsi="宋体" w:eastAsia="宋体" w:cs="宋体"/>
          <w:b/>
          <w:color w:val="auto"/>
          <w:sz w:val="32"/>
          <w:szCs w:val="32"/>
          <w:highlight w:val="none"/>
        </w:rPr>
      </w:pPr>
    </w:p>
    <w:p w14:paraId="0E39E10A">
      <w:pPr>
        <w:pStyle w:val="40"/>
        <w:spacing w:line="540" w:lineRule="exact"/>
        <w:ind w:firstLine="643" w:firstLineChars="200"/>
        <w:jc w:val="center"/>
        <w:rPr>
          <w:rFonts w:hint="eastAsia" w:ascii="宋体" w:hAnsi="宋体" w:eastAsia="宋体" w:cs="宋体"/>
          <w:b/>
          <w:color w:val="auto"/>
          <w:sz w:val="32"/>
          <w:szCs w:val="32"/>
          <w:highlight w:val="none"/>
        </w:rPr>
      </w:pPr>
    </w:p>
    <w:p w14:paraId="13269043">
      <w:pPr>
        <w:pStyle w:val="40"/>
        <w:spacing w:line="540" w:lineRule="exact"/>
        <w:ind w:firstLine="643" w:firstLineChars="200"/>
        <w:jc w:val="center"/>
        <w:rPr>
          <w:rFonts w:hint="eastAsia" w:ascii="宋体" w:hAnsi="宋体" w:eastAsia="宋体" w:cs="宋体"/>
          <w:b/>
          <w:color w:val="auto"/>
          <w:sz w:val="32"/>
          <w:szCs w:val="32"/>
          <w:highlight w:val="none"/>
        </w:rPr>
      </w:pPr>
    </w:p>
    <w:p w14:paraId="7C593A37">
      <w:pPr>
        <w:pStyle w:val="40"/>
        <w:spacing w:line="540" w:lineRule="exact"/>
        <w:ind w:firstLine="643" w:firstLineChars="200"/>
        <w:jc w:val="center"/>
        <w:rPr>
          <w:rFonts w:hint="eastAsia" w:ascii="宋体" w:hAnsi="宋体" w:eastAsia="宋体" w:cs="宋体"/>
          <w:b/>
          <w:color w:val="auto"/>
          <w:sz w:val="32"/>
          <w:szCs w:val="32"/>
          <w:highlight w:val="none"/>
        </w:rPr>
      </w:pPr>
    </w:p>
    <w:p w14:paraId="7B8B36F0">
      <w:pPr>
        <w:pStyle w:val="40"/>
        <w:spacing w:line="540" w:lineRule="exact"/>
        <w:ind w:firstLine="643" w:firstLineChars="200"/>
        <w:jc w:val="center"/>
        <w:rPr>
          <w:rFonts w:hint="eastAsia" w:ascii="宋体" w:hAnsi="宋体" w:eastAsia="宋体" w:cs="宋体"/>
          <w:b/>
          <w:color w:val="auto"/>
          <w:sz w:val="32"/>
          <w:szCs w:val="32"/>
          <w:highlight w:val="none"/>
        </w:rPr>
      </w:pPr>
    </w:p>
    <w:p w14:paraId="65652626">
      <w:pPr>
        <w:pStyle w:val="40"/>
        <w:spacing w:line="540" w:lineRule="exact"/>
        <w:ind w:firstLine="643" w:firstLineChars="200"/>
        <w:jc w:val="center"/>
        <w:rPr>
          <w:rFonts w:hint="eastAsia" w:ascii="宋体" w:hAnsi="宋体" w:eastAsia="宋体" w:cs="宋体"/>
          <w:b/>
          <w:color w:val="auto"/>
          <w:sz w:val="32"/>
          <w:szCs w:val="32"/>
          <w:highlight w:val="none"/>
        </w:rPr>
      </w:pPr>
    </w:p>
    <w:p w14:paraId="7037C7E8">
      <w:pPr>
        <w:pStyle w:val="58"/>
        <w:spacing w:line="500" w:lineRule="exact"/>
        <w:ind w:left="0" w:leftChars="0" w:firstLine="0" w:firstLineChars="0"/>
        <w:jc w:val="center"/>
        <w:rPr>
          <w:rFonts w:hint="eastAsia" w:ascii="宋体" w:hAnsi="宋体" w:cs="宋体"/>
          <w:b/>
          <w:bCs/>
          <w:color w:val="auto"/>
          <w:sz w:val="30"/>
          <w:szCs w:val="30"/>
          <w:highlight w:val="none"/>
          <w:lang w:eastAsia="zh-CN"/>
        </w:rPr>
      </w:pPr>
      <w:bookmarkStart w:id="10" w:name="_Toc8578"/>
      <w:r>
        <w:rPr>
          <w:rFonts w:hint="eastAsia" w:ascii="宋体" w:hAnsi="宋体" w:eastAsia="宋体" w:cs="宋体"/>
          <w:b/>
          <w:bCs/>
          <w:color w:val="auto"/>
          <w:sz w:val="30"/>
          <w:szCs w:val="30"/>
          <w:highlight w:val="none"/>
        </w:rPr>
        <w:t>采购人：</w:t>
      </w:r>
      <w:bookmarkEnd w:id="10"/>
      <w:bookmarkStart w:id="11" w:name="_Toc16534"/>
      <w:r>
        <w:rPr>
          <w:rFonts w:hint="eastAsia" w:ascii="宋体" w:hAnsi="宋体" w:cs="宋体"/>
          <w:b/>
          <w:bCs/>
          <w:color w:val="auto"/>
          <w:sz w:val="30"/>
          <w:szCs w:val="30"/>
          <w:highlight w:val="none"/>
          <w:lang w:eastAsia="zh-CN"/>
        </w:rPr>
        <w:t>泰兴市教师发展中心</w:t>
      </w:r>
    </w:p>
    <w:p w14:paraId="31706D32">
      <w:pPr>
        <w:pStyle w:val="58"/>
        <w:spacing w:line="500" w:lineRule="exact"/>
        <w:ind w:left="0" w:lef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代理机构：</w:t>
      </w:r>
      <w:bookmarkEnd w:id="11"/>
      <w:r>
        <w:rPr>
          <w:rFonts w:hint="eastAsia" w:ascii="宋体" w:hAnsi="宋体" w:eastAsia="宋体" w:cs="宋体"/>
          <w:b/>
          <w:bCs/>
          <w:color w:val="auto"/>
          <w:sz w:val="30"/>
          <w:szCs w:val="30"/>
          <w:highlight w:val="none"/>
        </w:rPr>
        <w:t>江苏国兴建设项目管理有限公司</w:t>
      </w:r>
    </w:p>
    <w:p w14:paraId="3A34338C">
      <w:pPr>
        <w:pStyle w:val="58"/>
        <w:spacing w:line="500" w:lineRule="exact"/>
        <w:ind w:left="0" w:lef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二○二</w:t>
      </w:r>
      <w:r>
        <w:rPr>
          <w:rFonts w:hint="eastAsia" w:ascii="宋体"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rPr>
        <w:t>年</w:t>
      </w:r>
      <w:r>
        <w:rPr>
          <w:rFonts w:hint="eastAsia" w:ascii="宋体" w:hAnsi="宋体" w:cs="宋体"/>
          <w:b/>
          <w:bCs/>
          <w:color w:val="auto"/>
          <w:sz w:val="30"/>
          <w:szCs w:val="30"/>
          <w:highlight w:val="none"/>
          <w:lang w:val="en-US" w:eastAsia="zh-CN"/>
        </w:rPr>
        <w:t>七</w:t>
      </w:r>
      <w:r>
        <w:rPr>
          <w:rFonts w:hint="eastAsia" w:ascii="宋体" w:hAnsi="宋体" w:eastAsia="宋体" w:cs="宋体"/>
          <w:b/>
          <w:bCs/>
          <w:color w:val="auto"/>
          <w:sz w:val="30"/>
          <w:szCs w:val="30"/>
          <w:highlight w:val="none"/>
        </w:rPr>
        <w:t>月</w:t>
      </w:r>
    </w:p>
    <w:p w14:paraId="626F9363">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03ECC962">
      <w:pPr>
        <w:pStyle w:val="58"/>
        <w:spacing w:line="360" w:lineRule="exact"/>
        <w:ind w:left="1110" w:firstLine="2259" w:firstLineChars="750"/>
        <w:rPr>
          <w:rFonts w:hint="eastAsia" w:ascii="宋体" w:hAnsi="宋体" w:eastAsia="宋体" w:cs="宋体"/>
          <w:b/>
          <w:color w:val="auto"/>
          <w:sz w:val="30"/>
          <w:szCs w:val="30"/>
          <w:highlight w:val="none"/>
        </w:rPr>
      </w:pPr>
    </w:p>
    <w:sdt>
      <w:sdtPr>
        <w:rPr>
          <w:rFonts w:hint="eastAsia" w:ascii="宋体" w:hAnsi="宋体" w:eastAsia="宋体" w:cs="宋体"/>
          <w:color w:val="auto"/>
          <w:sz w:val="21"/>
          <w:highlight w:val="none"/>
        </w:rPr>
        <w:id w:val="147467045"/>
        <w15:color w:val="DBDBDB"/>
        <w:docPartObj>
          <w:docPartGallery w:val="Table of Contents"/>
          <w:docPartUnique/>
        </w:docPartObj>
      </w:sdtPr>
      <w:sdtEndPr>
        <w:rPr>
          <w:rFonts w:hint="eastAsia" w:ascii="宋体" w:hAnsi="宋体" w:eastAsia="宋体" w:cs="宋体"/>
          <w:b/>
          <w:color w:val="auto"/>
          <w:sz w:val="21"/>
          <w:highlight w:val="none"/>
        </w:rPr>
      </w:sdtEndPr>
      <w:sdtContent>
        <w:p w14:paraId="2ACB7706">
          <w:p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目  录</w:t>
          </w:r>
        </w:p>
        <w:p w14:paraId="276D7F13">
          <w:pPr>
            <w:pStyle w:val="62"/>
            <w:tabs>
              <w:tab w:val="right" w:leader="dot" w:pos="8548"/>
            </w:tabs>
            <w:rPr>
              <w:rFonts w:hint="eastAsia" w:ascii="宋体" w:hAnsi="宋体" w:eastAsia="宋体" w:cs="宋体"/>
              <w:b/>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p>
        <w:p w14:paraId="0599BF2D">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"_Toc24611"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第一章 招标公告</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_Toc24611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68535AF7">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"_Toc8644"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一、项目基本情况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_Toc8644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AD5F811">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"_Toc24495"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二、申请人的资格要求：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_Toc24495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7EDD361">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"_Toc1657"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三、获取招标文件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B7B19BE">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"_Toc17642"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四、提交投标文件截止时间、开标时间和地点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_Toc17642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6F4C7D1">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"_Toc13270"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五、公告期限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_Toc13270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0C6D084">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"_Toc24651"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六、其他补充事宜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_Toc24651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E063880">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"_Toc18289"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七、对本次招标提出询问，请按以下方式联系。</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_Toc18289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E514EBF">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"_Toc987"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第二章 </w:t>
          </w:r>
          <w:r>
            <w:rPr>
              <w:rFonts w:hint="eastAsia" w:ascii="宋体" w:hAnsi="宋体" w:eastAsia="宋体" w:cs="宋体"/>
              <w:color w:val="auto"/>
              <w:sz w:val="24"/>
              <w:szCs w:val="24"/>
              <w:highlight w:val="none"/>
            </w:rPr>
            <w:t>供应商</w:t>
          </w:r>
          <w:r>
            <w:rPr>
              <w:rFonts w:hint="eastAsia" w:ascii="宋体" w:hAnsi="宋体" w:eastAsia="宋体" w:cs="宋体"/>
              <w:b/>
              <w:color w:val="auto"/>
              <w:sz w:val="24"/>
              <w:szCs w:val="24"/>
              <w:highlight w:val="none"/>
            </w:rPr>
            <w:t>须知</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_Toc987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60A0C6C9">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"_Toc4797"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1.总则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F539490">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"_Toc3240"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2.招标文件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94035AA">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"_Toc4709"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3.投标文件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_Toc4709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3A53C7C">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"_Toc12576"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4.投标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_Toc12576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C4EBF98">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"_Toc26062"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5.开标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_Toc26062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EF65468">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"_Toc29463"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6.评标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_Toc29463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BBED571">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"_Toc28529"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7.中标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_Toc28529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3A8ACCE">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"_Toc23349"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8.合同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_Toc23349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6744F45">
          <w:pPr>
            <w:pStyle w:val="63"/>
            <w:tabs>
              <w:tab w:val="right" w:leader="dot" w:pos="8548"/>
            </w:tabs>
            <w:ind w:left="48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"_Toc19745"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9. 需要补充的其他内容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_Toc19745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AD6FF18">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"_Toc4258"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第三章 资格审查及评标办法</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_Toc4258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15</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5DEC9355">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"_Toc7380"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第四章 合同条款（仅供参考）</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_Toc7380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22</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4A4CE1B8">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"_Toc25333"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第五章 采购需求</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_Toc25333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28</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089B20B4">
          <w:pPr>
            <w:pStyle w:val="62"/>
            <w:tabs>
              <w:tab w:val="right" w:leader="dot" w:pos="8548"/>
            </w:tabs>
            <w:rPr>
              <w:rFonts w:hint="eastAsia" w:ascii="宋体" w:hAnsi="宋体" w:eastAsia="宋体" w:cs="宋体"/>
              <w:b/>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"_Toc19231"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第六章 投标文件的编制要求及参考格式</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PAGEREF _Toc19231 \h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36</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fldChar w:fldCharType="end"/>
          </w:r>
        </w:p>
        <w:p w14:paraId="5D23EFCA">
          <w:pPr>
            <w:rPr>
              <w:rFonts w:hint="eastAsia" w:ascii="宋体" w:hAnsi="宋体" w:eastAsia="宋体" w:cs="宋体"/>
              <w:color w:val="auto"/>
              <w:highlight w:val="none"/>
            </w:rPr>
          </w:pPr>
          <w:r>
            <w:rPr>
              <w:rFonts w:hint="eastAsia" w:ascii="宋体" w:hAnsi="宋体" w:eastAsia="宋体" w:cs="宋体"/>
              <w:b/>
              <w:color w:val="auto"/>
              <w:highlight w:val="none"/>
            </w:rPr>
            <w:fldChar w:fldCharType="end"/>
          </w:r>
        </w:p>
      </w:sdtContent>
    </w:sdt>
    <w:p w14:paraId="70AD1185">
      <w:pPr>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382C6356">
      <w:pPr>
        <w:pStyle w:val="20"/>
        <w:tabs>
          <w:tab w:val="left" w:pos="3240"/>
        </w:tabs>
        <w:spacing w:line="500" w:lineRule="exact"/>
        <w:ind w:left="0" w:firstLine="0"/>
        <w:jc w:val="center"/>
        <w:outlineLvl w:val="0"/>
        <w:rPr>
          <w:rFonts w:hint="eastAsia" w:ascii="宋体" w:hAnsi="宋体" w:eastAsia="宋体" w:cs="宋体"/>
          <w:b/>
          <w:color w:val="auto"/>
          <w:highlight w:val="none"/>
        </w:rPr>
      </w:pPr>
      <w:bookmarkStart w:id="12" w:name="_Toc24611"/>
      <w:r>
        <w:rPr>
          <w:rFonts w:hint="eastAsia" w:ascii="宋体" w:hAnsi="宋体" w:eastAsia="宋体" w:cs="宋体"/>
          <w:b/>
          <w:color w:val="auto"/>
          <w:highlight w:val="none"/>
        </w:rPr>
        <w:t xml:space="preserve">第一章 </w:t>
      </w:r>
      <w:bookmarkEnd w:id="0"/>
      <w:bookmarkEnd w:id="1"/>
      <w:bookmarkEnd w:id="2"/>
      <w:bookmarkEnd w:id="3"/>
      <w:bookmarkEnd w:id="4"/>
      <w:bookmarkEnd w:id="5"/>
      <w:bookmarkEnd w:id="6"/>
      <w:bookmarkEnd w:id="7"/>
      <w:bookmarkEnd w:id="8"/>
      <w:bookmarkEnd w:id="9"/>
      <w:r>
        <w:rPr>
          <w:rFonts w:hint="eastAsia" w:ascii="宋体" w:hAnsi="宋体" w:eastAsia="宋体" w:cs="宋体"/>
          <w:b/>
          <w:color w:val="auto"/>
          <w:highlight w:val="none"/>
        </w:rPr>
        <w:t>招标公告</w:t>
      </w:r>
      <w:bookmarkEnd w:id="12"/>
    </w:p>
    <w:p w14:paraId="125E4BD5">
      <w:pPr>
        <w:pBdr>
          <w:top w:val="single" w:color="auto" w:sz="4" w:space="1"/>
          <w:left w:val="single" w:color="auto" w:sz="4" w:space="4"/>
          <w:bottom w:val="single" w:color="auto" w:sz="4" w:space="1"/>
          <w:right w:val="single" w:color="auto" w:sz="4" w:space="4"/>
        </w:pBdr>
        <w:spacing w:line="460" w:lineRule="exac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项目概况</w:t>
      </w:r>
    </w:p>
    <w:p w14:paraId="1D9EED5D">
      <w:pPr>
        <w:pBdr>
          <w:top w:val="single" w:color="auto" w:sz="4" w:space="1"/>
          <w:left w:val="single" w:color="auto" w:sz="4" w:space="4"/>
          <w:bottom w:val="single" w:color="auto" w:sz="4" w:space="1"/>
          <w:right w:val="single" w:color="auto" w:sz="4" w:space="4"/>
        </w:pBdr>
        <w:spacing w:line="460" w:lineRule="exact"/>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u w:val="single"/>
        </w:rPr>
        <w:t xml:space="preserve">  </w:t>
      </w:r>
      <w:r>
        <w:rPr>
          <w:rFonts w:hint="eastAsia" w:ascii="宋体" w:hAnsi="宋体" w:cs="宋体"/>
          <w:color w:val="auto"/>
          <w:kern w:val="2"/>
          <w:sz w:val="28"/>
          <w:szCs w:val="28"/>
          <w:highlight w:val="none"/>
          <w:u w:val="single"/>
          <w:lang w:eastAsia="zh-CN"/>
        </w:rPr>
        <w:t>泰兴市初中理化生实验室设备采购项目</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的潜在供应商应在</w:t>
      </w:r>
      <w:r>
        <w:rPr>
          <w:rFonts w:hint="eastAsia" w:ascii="宋体" w:hAnsi="宋体" w:eastAsia="宋体" w:cs="宋体"/>
          <w:color w:val="auto"/>
          <w:kern w:val="2"/>
          <w:sz w:val="28"/>
          <w:szCs w:val="28"/>
          <w:highlight w:val="none"/>
          <w:u w:val="single"/>
        </w:rPr>
        <w:t>“江苏政府采购网”获取招标文件</w:t>
      </w:r>
      <w:r>
        <w:rPr>
          <w:rFonts w:hint="eastAsia" w:ascii="宋体" w:hAnsi="宋体" w:eastAsia="宋体" w:cs="宋体"/>
          <w:color w:val="auto"/>
          <w:kern w:val="2"/>
          <w:sz w:val="28"/>
          <w:szCs w:val="28"/>
          <w:highlight w:val="none"/>
        </w:rPr>
        <w:t>，并于</w:t>
      </w:r>
      <w:r>
        <w:rPr>
          <w:rFonts w:hint="eastAsia" w:ascii="宋体" w:hAnsi="宋体" w:eastAsia="宋体" w:cs="宋体"/>
          <w:color w:val="auto"/>
          <w:kern w:val="2"/>
          <w:sz w:val="28"/>
          <w:szCs w:val="28"/>
          <w:highlight w:val="none"/>
          <w:u w:val="single"/>
        </w:rPr>
        <w:t>202</w:t>
      </w:r>
      <w:r>
        <w:rPr>
          <w:rFonts w:hint="eastAsia" w:ascii="宋体" w:hAnsi="宋体" w:cs="宋体"/>
          <w:color w:val="auto"/>
          <w:kern w:val="2"/>
          <w:sz w:val="28"/>
          <w:szCs w:val="28"/>
          <w:highlight w:val="none"/>
          <w:u w:val="single"/>
          <w:lang w:val="en-US" w:eastAsia="zh-CN"/>
        </w:rPr>
        <w:t>6</w:t>
      </w:r>
      <w:r>
        <w:rPr>
          <w:rFonts w:hint="eastAsia" w:ascii="宋体" w:hAnsi="宋体" w:eastAsia="宋体" w:cs="宋体"/>
          <w:bCs/>
          <w:color w:val="auto"/>
          <w:kern w:val="2"/>
          <w:sz w:val="28"/>
          <w:szCs w:val="28"/>
          <w:highlight w:val="none"/>
          <w:u w:val="single"/>
        </w:rPr>
        <w:t>年</w:t>
      </w:r>
      <w:r>
        <w:rPr>
          <w:rFonts w:hint="eastAsia" w:ascii="宋体" w:hAnsi="宋体" w:cs="宋体"/>
          <w:bCs/>
          <w:color w:val="auto"/>
          <w:kern w:val="2"/>
          <w:sz w:val="28"/>
          <w:szCs w:val="28"/>
          <w:highlight w:val="none"/>
          <w:u w:val="single"/>
          <w:lang w:val="en-US" w:eastAsia="zh-CN"/>
        </w:rPr>
        <w:t>8</w:t>
      </w:r>
      <w:r>
        <w:rPr>
          <w:rFonts w:hint="eastAsia" w:ascii="宋体" w:hAnsi="宋体" w:eastAsia="宋体" w:cs="宋体"/>
          <w:bCs/>
          <w:color w:val="auto"/>
          <w:kern w:val="2"/>
          <w:sz w:val="28"/>
          <w:szCs w:val="28"/>
          <w:highlight w:val="none"/>
          <w:u w:val="single"/>
        </w:rPr>
        <w:t>月</w:t>
      </w:r>
      <w:r>
        <w:rPr>
          <w:rFonts w:hint="eastAsia" w:ascii="宋体" w:hAnsi="宋体" w:cs="宋体"/>
          <w:bCs/>
          <w:color w:val="auto"/>
          <w:kern w:val="2"/>
          <w:sz w:val="28"/>
          <w:szCs w:val="28"/>
          <w:highlight w:val="none"/>
          <w:u w:val="single"/>
          <w:lang w:val="en-US" w:eastAsia="zh-CN"/>
        </w:rPr>
        <w:t>3</w:t>
      </w:r>
      <w:r>
        <w:rPr>
          <w:rFonts w:hint="eastAsia" w:ascii="宋体" w:hAnsi="宋体" w:eastAsia="宋体" w:cs="宋体"/>
          <w:bCs/>
          <w:color w:val="auto"/>
          <w:kern w:val="2"/>
          <w:sz w:val="28"/>
          <w:szCs w:val="28"/>
          <w:highlight w:val="none"/>
          <w:u w:val="single"/>
        </w:rPr>
        <w:t>日</w:t>
      </w:r>
      <w:r>
        <w:rPr>
          <w:rFonts w:hint="eastAsia" w:ascii="宋体" w:hAnsi="宋体" w:cs="宋体"/>
          <w:bCs/>
          <w:color w:val="auto"/>
          <w:kern w:val="2"/>
          <w:sz w:val="28"/>
          <w:szCs w:val="28"/>
          <w:highlight w:val="none"/>
          <w:u w:val="single"/>
          <w:lang w:val="en-US" w:eastAsia="zh-CN"/>
        </w:rPr>
        <w:t>9</w:t>
      </w:r>
      <w:r>
        <w:rPr>
          <w:rFonts w:hint="eastAsia" w:ascii="宋体" w:hAnsi="宋体" w:eastAsia="宋体" w:cs="宋体"/>
          <w:bCs/>
          <w:color w:val="auto"/>
          <w:kern w:val="2"/>
          <w:sz w:val="28"/>
          <w:szCs w:val="28"/>
          <w:highlight w:val="none"/>
          <w:u w:val="single"/>
        </w:rPr>
        <w:t>点</w:t>
      </w:r>
      <w:r>
        <w:rPr>
          <w:rFonts w:hint="eastAsia" w:ascii="宋体" w:hAnsi="宋体" w:cs="宋体"/>
          <w:bCs/>
          <w:color w:val="auto"/>
          <w:kern w:val="2"/>
          <w:sz w:val="28"/>
          <w:szCs w:val="28"/>
          <w:highlight w:val="none"/>
          <w:u w:val="single"/>
          <w:lang w:val="en-US" w:eastAsia="zh-CN"/>
        </w:rPr>
        <w:t>0</w:t>
      </w:r>
      <w:r>
        <w:rPr>
          <w:rFonts w:hint="eastAsia" w:ascii="宋体" w:hAnsi="宋体" w:eastAsia="宋体" w:cs="宋体"/>
          <w:bCs/>
          <w:color w:val="auto"/>
          <w:kern w:val="2"/>
          <w:sz w:val="28"/>
          <w:szCs w:val="28"/>
          <w:highlight w:val="none"/>
          <w:u w:val="single"/>
          <w:lang w:val="en-US" w:eastAsia="zh-CN"/>
        </w:rPr>
        <w:t>0</w:t>
      </w:r>
      <w:r>
        <w:rPr>
          <w:rFonts w:hint="eastAsia" w:ascii="宋体" w:hAnsi="宋体" w:eastAsia="宋体" w:cs="宋体"/>
          <w:bCs/>
          <w:color w:val="auto"/>
          <w:kern w:val="2"/>
          <w:sz w:val="28"/>
          <w:szCs w:val="28"/>
          <w:highlight w:val="none"/>
          <w:u w:val="single"/>
        </w:rPr>
        <w:t>分（</w:t>
      </w:r>
      <w:r>
        <w:rPr>
          <w:rFonts w:hint="eastAsia" w:ascii="宋体" w:hAnsi="宋体" w:eastAsia="宋体" w:cs="宋体"/>
          <w:bCs/>
          <w:color w:val="auto"/>
          <w:kern w:val="2"/>
          <w:sz w:val="28"/>
          <w:szCs w:val="28"/>
          <w:highlight w:val="none"/>
        </w:rPr>
        <w:t>北京时间）前递交投标文件</w:t>
      </w:r>
      <w:r>
        <w:rPr>
          <w:rFonts w:hint="eastAsia" w:ascii="宋体" w:hAnsi="宋体" w:eastAsia="宋体" w:cs="宋体"/>
          <w:color w:val="auto"/>
          <w:kern w:val="2"/>
          <w:sz w:val="28"/>
          <w:szCs w:val="28"/>
          <w:highlight w:val="none"/>
        </w:rPr>
        <w:t>。</w:t>
      </w:r>
      <w:bookmarkStart w:id="13" w:name="_Toc28359002"/>
      <w:bookmarkStart w:id="14" w:name="_Toc35393790"/>
      <w:bookmarkStart w:id="15" w:name="_Toc28359079"/>
      <w:bookmarkStart w:id="16" w:name="_Toc35393621"/>
      <w:bookmarkStart w:id="17" w:name="_Hlk24379207"/>
    </w:p>
    <w:p w14:paraId="392E2857">
      <w:pPr>
        <w:spacing w:line="460" w:lineRule="exact"/>
        <w:ind w:firstLine="562" w:firstLineChars="200"/>
        <w:outlineLvl w:val="1"/>
        <w:rPr>
          <w:rFonts w:hint="eastAsia" w:ascii="宋体" w:hAnsi="宋体" w:eastAsia="宋体" w:cs="宋体"/>
          <w:b/>
          <w:color w:val="auto"/>
          <w:sz w:val="28"/>
          <w:szCs w:val="28"/>
          <w:highlight w:val="none"/>
        </w:rPr>
      </w:pPr>
      <w:bookmarkStart w:id="18" w:name="_Toc8644"/>
      <w:r>
        <w:rPr>
          <w:rFonts w:hint="eastAsia" w:ascii="宋体" w:hAnsi="宋体" w:eastAsia="宋体" w:cs="宋体"/>
          <w:b/>
          <w:color w:val="auto"/>
          <w:sz w:val="28"/>
          <w:szCs w:val="28"/>
          <w:highlight w:val="none"/>
        </w:rPr>
        <w:t>一、项目基本情况</w:t>
      </w:r>
      <w:bookmarkEnd w:id="13"/>
      <w:bookmarkEnd w:id="14"/>
      <w:bookmarkEnd w:id="15"/>
      <w:bookmarkEnd w:id="16"/>
      <w:bookmarkEnd w:id="18"/>
    </w:p>
    <w:p w14:paraId="4475B282">
      <w:pPr>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1.项目编号：</w:t>
      </w:r>
      <w:r>
        <w:rPr>
          <w:rFonts w:hint="eastAsia" w:ascii="宋体" w:hAnsi="宋体" w:cs="宋体"/>
          <w:color w:val="auto"/>
          <w:sz w:val="28"/>
          <w:szCs w:val="28"/>
          <w:highlight w:val="none"/>
          <w:lang w:eastAsia="zh-CN"/>
        </w:rPr>
        <w:t>JSZC-321283-GXGL-G2026-0017</w:t>
      </w:r>
    </w:p>
    <w:p w14:paraId="500C22C4">
      <w:pPr>
        <w:spacing w:line="460" w:lineRule="exact"/>
        <w:ind w:firstLine="560" w:firstLineChars="200"/>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sz w:val="28"/>
          <w:szCs w:val="28"/>
          <w:highlight w:val="none"/>
        </w:rPr>
        <w:t>2.项目名称：</w:t>
      </w:r>
      <w:bookmarkEnd w:id="17"/>
      <w:r>
        <w:rPr>
          <w:rFonts w:hint="eastAsia" w:ascii="宋体" w:hAnsi="宋体" w:cs="宋体"/>
          <w:color w:val="auto"/>
          <w:sz w:val="28"/>
          <w:szCs w:val="28"/>
          <w:highlight w:val="none"/>
          <w:lang w:eastAsia="zh-CN"/>
        </w:rPr>
        <w:t>泰兴市初中理化生实验室设备采购项目</w:t>
      </w:r>
    </w:p>
    <w:p w14:paraId="769A44E5">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3.采购方式：</w:t>
      </w:r>
      <w:r>
        <w:rPr>
          <w:rFonts w:hint="eastAsia" w:ascii="宋体" w:hAnsi="宋体" w:eastAsia="宋体" w:cs="宋体"/>
          <w:color w:val="auto"/>
          <w:sz w:val="28"/>
          <w:szCs w:val="28"/>
          <w:highlight w:val="none"/>
          <w:lang w:val="en-US" w:eastAsia="zh-CN"/>
        </w:rPr>
        <w:t>公开招标</w:t>
      </w:r>
      <w:r>
        <w:rPr>
          <w:rFonts w:hint="eastAsia" w:ascii="宋体" w:hAnsi="宋体" w:eastAsia="宋体" w:cs="宋体"/>
          <w:color w:val="auto"/>
          <w:sz w:val="28"/>
          <w:szCs w:val="28"/>
          <w:highlight w:val="none"/>
        </w:rPr>
        <w:t xml:space="preserve"> </w:t>
      </w:r>
    </w:p>
    <w:p w14:paraId="6C9692D7">
      <w:pPr>
        <w:spacing w:line="460" w:lineRule="exact"/>
        <w:ind w:firstLine="560" w:firstLineChars="200"/>
        <w:rPr>
          <w:rFonts w:hint="eastAsia" w:ascii="宋体" w:hAnsi="宋体" w:eastAsia="宋体" w:cs="宋体"/>
          <w:color w:val="auto"/>
          <w:sz w:val="28"/>
          <w:szCs w:val="28"/>
          <w:highlight w:val="none"/>
          <w:lang w:val="en-US" w:eastAsia="zh-CN"/>
        </w:rPr>
      </w:pPr>
      <w:bookmarkStart w:id="19" w:name="_Toc35393622"/>
      <w:bookmarkStart w:id="20" w:name="_Toc35393791"/>
      <w:bookmarkStart w:id="21" w:name="_Toc28359080"/>
      <w:bookmarkStart w:id="22" w:name="_Toc28359003"/>
      <w:r>
        <w:rPr>
          <w:rFonts w:hint="eastAsia" w:ascii="宋体" w:hAnsi="宋体" w:eastAsia="宋体" w:cs="宋体"/>
          <w:color w:val="auto"/>
          <w:sz w:val="28"/>
          <w:szCs w:val="28"/>
          <w:highlight w:val="none"/>
        </w:rPr>
        <w:t>4.预算金额：</w:t>
      </w:r>
      <w:r>
        <w:rPr>
          <w:rFonts w:hint="eastAsia" w:ascii="宋体" w:hAnsi="宋体" w:cs="宋体"/>
          <w:color w:val="auto"/>
          <w:sz w:val="28"/>
          <w:szCs w:val="28"/>
          <w:highlight w:val="none"/>
          <w:lang w:val="en-US" w:eastAsia="zh-CN"/>
        </w:rPr>
        <w:t>200万元</w:t>
      </w:r>
    </w:p>
    <w:p w14:paraId="7190442B">
      <w:pPr>
        <w:spacing w:line="46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5.最高限价：</w:t>
      </w:r>
      <w:r>
        <w:rPr>
          <w:rFonts w:hint="eastAsia" w:ascii="宋体" w:hAnsi="宋体" w:cs="宋体"/>
          <w:color w:val="auto"/>
          <w:sz w:val="28"/>
          <w:szCs w:val="28"/>
          <w:highlight w:val="none"/>
          <w:lang w:val="en-US" w:eastAsia="zh-CN"/>
        </w:rPr>
        <w:t>200万元</w:t>
      </w:r>
    </w:p>
    <w:p w14:paraId="1E9EEA0B">
      <w:pP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6.资金来源：</w:t>
      </w:r>
      <w:r>
        <w:rPr>
          <w:rFonts w:hint="eastAsia" w:ascii="宋体" w:hAnsi="宋体" w:eastAsia="宋体" w:cs="宋体"/>
          <w:color w:val="auto"/>
          <w:sz w:val="28"/>
          <w:szCs w:val="28"/>
          <w:highlight w:val="none"/>
          <w:lang w:val="en-US" w:eastAsia="zh-CN"/>
        </w:rPr>
        <w:t>财政</w:t>
      </w:r>
    </w:p>
    <w:p w14:paraId="285A82E4">
      <w:pPr>
        <w:spacing w:line="460" w:lineRule="exact"/>
        <w:ind w:firstLine="560" w:firstLineChars="200"/>
        <w:rPr>
          <w:rFonts w:hint="eastAsia"/>
          <w:color w:val="auto"/>
          <w:lang w:val="zh-CN" w:eastAsia="zh-CN"/>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eastAsia="zh-CN"/>
        </w:rPr>
        <w:t>采购需求：</w:t>
      </w:r>
      <w:r>
        <w:rPr>
          <w:rFonts w:hint="eastAsia" w:ascii="宋体" w:hAnsi="宋体" w:eastAsia="宋体" w:cs="宋体"/>
          <w:color w:val="auto"/>
          <w:sz w:val="28"/>
          <w:szCs w:val="28"/>
          <w:highlight w:val="none"/>
          <w:lang w:val="en-US" w:eastAsia="zh-CN"/>
        </w:rPr>
        <w:t>泰兴市城区初中实验室升级改造项目</w:t>
      </w:r>
      <w:r>
        <w:rPr>
          <w:rFonts w:hint="eastAsia" w:ascii="宋体" w:hAnsi="宋体" w:eastAsia="宋体" w:cs="宋体"/>
          <w:color w:val="auto"/>
          <w:sz w:val="28"/>
          <w:szCs w:val="28"/>
          <w:highlight w:val="none"/>
          <w:lang w:eastAsia="zh-CN"/>
        </w:rPr>
        <w:t>。包括但不限于：</w:t>
      </w:r>
      <w:r>
        <w:rPr>
          <w:rFonts w:hint="eastAsia" w:ascii="宋体" w:hAnsi="宋体" w:cs="宋体"/>
          <w:color w:val="auto"/>
          <w:sz w:val="28"/>
          <w:szCs w:val="28"/>
          <w:highlight w:val="none"/>
          <w:lang w:val="en-US" w:eastAsia="zh-CN"/>
        </w:rPr>
        <w:t>旧设备拆除、</w:t>
      </w:r>
      <w:r>
        <w:rPr>
          <w:rFonts w:hint="eastAsia" w:ascii="宋体" w:hAnsi="宋体" w:eastAsia="宋体" w:cs="宋体"/>
          <w:color w:val="auto"/>
          <w:sz w:val="28"/>
          <w:szCs w:val="28"/>
          <w:highlight w:val="none"/>
          <w:lang w:eastAsia="zh-CN"/>
        </w:rPr>
        <w:t>设备的制造（采购）、运输、装卸、安装、调试、测试、售后服务、技术培训等，直至通过采购单位及其他相关部门的验收以及质量保修、免费维保等全部工作。</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 xml:space="preserve">   8</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服务期限</w:t>
      </w:r>
      <w:r>
        <w:rPr>
          <w:rFonts w:hint="eastAsia" w:ascii="宋体" w:hAnsi="宋体" w:eastAsia="宋体" w:cs="宋体"/>
          <w:color w:val="auto"/>
          <w:sz w:val="28"/>
          <w:szCs w:val="28"/>
          <w:highlight w:val="none"/>
        </w:rPr>
        <w:t>：合同签订后</w:t>
      </w:r>
      <w:r>
        <w:rPr>
          <w:rFonts w:hint="eastAsia" w:ascii="宋体" w:hAnsi="宋体" w:eastAsia="宋体" w:cs="宋体"/>
          <w:color w:val="auto"/>
          <w:sz w:val="28"/>
          <w:szCs w:val="28"/>
          <w:highlight w:val="none"/>
          <w:lang w:val="en-US" w:eastAsia="zh-CN"/>
        </w:rPr>
        <w:t>30</w:t>
      </w:r>
      <w:r>
        <w:rPr>
          <w:rFonts w:hint="eastAsia" w:ascii="宋体" w:hAnsi="宋体" w:eastAsia="宋体" w:cs="宋体"/>
          <w:color w:val="auto"/>
          <w:sz w:val="28"/>
          <w:szCs w:val="28"/>
          <w:highlight w:val="none"/>
        </w:rPr>
        <w:t>天完成设备安装调试、数据上传。</w:t>
      </w:r>
      <w:r>
        <w:rPr>
          <w:rFonts w:hint="eastAsia" w:ascii="宋体" w:hAnsi="宋体" w:eastAsia="宋体" w:cs="宋体"/>
          <w:color w:val="auto"/>
          <w:sz w:val="28"/>
          <w:szCs w:val="28"/>
          <w:highlight w:val="none"/>
          <w:lang w:val="en-US" w:eastAsia="zh-CN"/>
        </w:rPr>
        <w:t xml:space="preserve"> </w:t>
      </w:r>
    </w:p>
    <w:p w14:paraId="50730E90">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.本项目</w:t>
      </w:r>
      <w:r>
        <w:rPr>
          <w:rFonts w:hint="eastAsia" w:ascii="宋体" w:hAnsi="宋体" w:eastAsia="宋体" w:cs="宋体"/>
          <w:color w:val="auto"/>
          <w:sz w:val="28"/>
          <w:szCs w:val="28"/>
          <w:highlight w:val="none"/>
          <w:lang w:val="en-US" w:eastAsia="zh-CN"/>
        </w:rPr>
        <w:t>不允许</w:t>
      </w:r>
      <w:r>
        <w:rPr>
          <w:rFonts w:hint="eastAsia" w:ascii="宋体" w:hAnsi="宋体" w:eastAsia="宋体" w:cs="宋体"/>
          <w:color w:val="auto"/>
          <w:sz w:val="28"/>
          <w:szCs w:val="28"/>
          <w:highlight w:val="none"/>
        </w:rPr>
        <w:t>联合体投标。</w:t>
      </w:r>
    </w:p>
    <w:p w14:paraId="457EE149">
      <w:pPr>
        <w:spacing w:line="460" w:lineRule="exact"/>
        <w:ind w:firstLine="562" w:firstLineChars="200"/>
        <w:outlineLvl w:val="1"/>
        <w:rPr>
          <w:rFonts w:hint="eastAsia" w:ascii="宋体" w:hAnsi="宋体" w:eastAsia="宋体" w:cs="宋体"/>
          <w:b/>
          <w:color w:val="auto"/>
          <w:sz w:val="28"/>
          <w:szCs w:val="28"/>
          <w:highlight w:val="none"/>
        </w:rPr>
      </w:pPr>
      <w:bookmarkStart w:id="23" w:name="_Toc24495"/>
      <w:r>
        <w:rPr>
          <w:rFonts w:hint="eastAsia" w:ascii="宋体" w:hAnsi="宋体" w:eastAsia="宋体" w:cs="宋体"/>
          <w:b/>
          <w:color w:val="auto"/>
          <w:sz w:val="28"/>
          <w:szCs w:val="28"/>
          <w:highlight w:val="none"/>
        </w:rPr>
        <w:t>二、申请人的资格要求：</w:t>
      </w:r>
      <w:bookmarkEnd w:id="19"/>
      <w:bookmarkEnd w:id="20"/>
      <w:bookmarkEnd w:id="21"/>
      <w:bookmarkEnd w:id="22"/>
      <w:bookmarkEnd w:id="23"/>
    </w:p>
    <w:p w14:paraId="16D40401">
      <w:pPr>
        <w:spacing w:line="460" w:lineRule="exact"/>
        <w:ind w:firstLine="560" w:firstLineChars="200"/>
        <w:rPr>
          <w:rFonts w:hint="eastAsia" w:ascii="宋体" w:hAnsi="宋体" w:eastAsia="宋体" w:cs="宋体"/>
          <w:color w:val="auto"/>
          <w:sz w:val="28"/>
          <w:szCs w:val="28"/>
          <w:highlight w:val="none"/>
          <w:lang w:eastAsia="zh-CN"/>
        </w:rPr>
      </w:pPr>
      <w:bookmarkStart w:id="24" w:name="_Toc28359008"/>
      <w:bookmarkStart w:id="25" w:name="_Toc35393627"/>
      <w:bookmarkStart w:id="26" w:name="_Toc28359085"/>
      <w:bookmarkStart w:id="27" w:name="_Toc18289"/>
      <w:bookmarkStart w:id="28" w:name="_Toc35393796"/>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满足《中华人民共和国政府采购法》第二十二条规定：</w:t>
      </w:r>
    </w:p>
    <w:p w14:paraId="408B5B9E">
      <w:pP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基本资格条件的承诺（根据供应商提供的承诺函，内容完整且</w:t>
      </w:r>
      <w:r>
        <w:rPr>
          <w:rFonts w:hint="eastAsia" w:ascii="宋体" w:hAnsi="宋体" w:cs="宋体"/>
          <w:color w:val="auto"/>
          <w:sz w:val="28"/>
          <w:szCs w:val="28"/>
          <w:highlight w:val="none"/>
          <w:lang w:val="en-US" w:eastAsia="zh-CN"/>
        </w:rPr>
        <w:t>签章完备</w:t>
      </w:r>
      <w:r>
        <w:rPr>
          <w:rFonts w:hint="eastAsia" w:ascii="宋体" w:hAnsi="宋体" w:eastAsia="宋体" w:cs="宋体"/>
          <w:color w:val="auto"/>
          <w:sz w:val="28"/>
          <w:szCs w:val="28"/>
          <w:highlight w:val="none"/>
          <w:lang w:eastAsia="zh-CN"/>
        </w:rPr>
        <w:t>）。</w:t>
      </w:r>
    </w:p>
    <w:p w14:paraId="2C54A81D">
      <w:pP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落实政府采购政策需满足的资格要求：本项目为</w:t>
      </w:r>
      <w:r>
        <w:rPr>
          <w:rFonts w:hint="eastAsia" w:ascii="宋体" w:hAnsi="宋体" w:cs="宋体"/>
          <w:color w:val="auto"/>
          <w:sz w:val="28"/>
          <w:szCs w:val="28"/>
          <w:highlight w:val="none"/>
          <w:lang w:val="en-US" w:eastAsia="zh-CN"/>
        </w:rPr>
        <w:t>专门面向</w:t>
      </w:r>
      <w:r>
        <w:rPr>
          <w:rFonts w:hint="eastAsia" w:ascii="宋体" w:hAnsi="宋体" w:eastAsia="宋体" w:cs="宋体"/>
          <w:color w:val="auto"/>
          <w:sz w:val="28"/>
          <w:szCs w:val="28"/>
          <w:highlight w:val="none"/>
          <w:lang w:eastAsia="zh-CN"/>
        </w:rPr>
        <w:t>中小企业的项目。</w:t>
      </w:r>
    </w:p>
    <w:p w14:paraId="4E598A46">
      <w:pP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本项目的特定资格要求：</w:t>
      </w:r>
      <w:r>
        <w:rPr>
          <w:rFonts w:hint="eastAsia" w:ascii="宋体" w:hAnsi="宋体" w:cs="宋体"/>
          <w:color w:val="auto"/>
          <w:sz w:val="28"/>
          <w:szCs w:val="28"/>
          <w:highlight w:val="none"/>
          <w:lang w:eastAsia="zh-CN"/>
        </w:rPr>
        <w:t>无</w:t>
      </w:r>
      <w:r>
        <w:rPr>
          <w:rFonts w:hint="eastAsia" w:ascii="宋体" w:hAnsi="宋体" w:eastAsia="宋体" w:cs="宋体"/>
          <w:color w:val="auto"/>
          <w:sz w:val="28"/>
          <w:szCs w:val="28"/>
          <w:highlight w:val="none"/>
          <w:lang w:eastAsia="zh-CN"/>
        </w:rPr>
        <w:t>。</w:t>
      </w:r>
    </w:p>
    <w:p w14:paraId="402F7D06">
      <w:pPr>
        <w:spacing w:line="460" w:lineRule="exact"/>
        <w:ind w:firstLine="562" w:firstLineChars="200"/>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三、获取招标文件</w:t>
      </w:r>
    </w:p>
    <w:p w14:paraId="1C4D6661">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1.获取时间：202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lang w:val="en-US" w:eastAsia="zh-CN"/>
        </w:rPr>
        <w:t>0</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rPr>
        <w:t>时起，到202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21</w:t>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lang w:val="en-US" w:eastAsia="zh-CN"/>
        </w:rPr>
        <w:t>17:30时</w:t>
      </w:r>
      <w:r>
        <w:rPr>
          <w:rFonts w:hint="eastAsia" w:ascii="宋体" w:hAnsi="宋体" w:eastAsia="宋体" w:cs="宋体"/>
          <w:color w:val="auto"/>
          <w:sz w:val="28"/>
          <w:szCs w:val="28"/>
          <w:highlight w:val="none"/>
        </w:rPr>
        <w:t>止；</w:t>
      </w:r>
    </w:p>
    <w:p w14:paraId="22C1BFF5">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2.获取方式：</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完成注册并办理CA证书后，登录江苏省政府采购管理交易系统（苏采云）（http://jszfcg.jsczt.cn/）获取本项目的招标文件及有关资料。</w:t>
      </w:r>
    </w:p>
    <w:p w14:paraId="5286523D">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3.售价：免费。</w:t>
      </w:r>
    </w:p>
    <w:p w14:paraId="019DDECB">
      <w:pPr>
        <w:spacing w:line="460" w:lineRule="exact"/>
        <w:ind w:firstLine="562" w:firstLineChars="200"/>
        <w:outlineLvl w:val="1"/>
        <w:rPr>
          <w:rFonts w:hint="eastAsia" w:ascii="宋体" w:hAnsi="宋体" w:eastAsia="宋体" w:cs="宋体"/>
          <w:b/>
          <w:color w:val="auto"/>
          <w:sz w:val="28"/>
          <w:szCs w:val="28"/>
          <w:highlight w:val="none"/>
        </w:rPr>
      </w:pPr>
      <w:bookmarkStart w:id="29" w:name="_Toc28359005"/>
      <w:bookmarkStart w:id="30" w:name="_Toc28359082"/>
      <w:bookmarkStart w:id="31" w:name="_Toc35393793"/>
      <w:bookmarkStart w:id="32" w:name="_Toc17642"/>
      <w:bookmarkStart w:id="33" w:name="_Toc35393624"/>
      <w:r>
        <w:rPr>
          <w:rFonts w:hint="eastAsia" w:ascii="宋体" w:hAnsi="宋体" w:eastAsia="宋体" w:cs="宋体"/>
          <w:b/>
          <w:color w:val="auto"/>
          <w:sz w:val="28"/>
          <w:szCs w:val="28"/>
          <w:highlight w:val="none"/>
        </w:rPr>
        <w:t>四、提交投标文件</w:t>
      </w:r>
      <w:bookmarkEnd w:id="29"/>
      <w:bookmarkEnd w:id="30"/>
      <w:r>
        <w:rPr>
          <w:rFonts w:hint="eastAsia" w:ascii="宋体" w:hAnsi="宋体" w:eastAsia="宋体" w:cs="宋体"/>
          <w:b/>
          <w:color w:val="auto"/>
          <w:sz w:val="28"/>
          <w:szCs w:val="28"/>
          <w:highlight w:val="none"/>
        </w:rPr>
        <w:t>截止时间、开标时间和地点</w:t>
      </w:r>
      <w:bookmarkEnd w:id="31"/>
      <w:bookmarkEnd w:id="32"/>
      <w:bookmarkEnd w:id="33"/>
    </w:p>
    <w:p w14:paraId="3A984304">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1.提交投标文件截止时间：202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 xml:space="preserve">点 </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0分止（北京时间）；</w:t>
      </w:r>
    </w:p>
    <w:p w14:paraId="264B6402">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2.开标时间：同投标文件递交截止时间；</w:t>
      </w:r>
    </w:p>
    <w:p w14:paraId="13D94746">
      <w:pP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3.开标地点：“苏采云”系统“开标大厅”。</w:t>
      </w:r>
    </w:p>
    <w:p w14:paraId="0685C8A1">
      <w:pPr>
        <w:spacing w:line="460" w:lineRule="exact"/>
        <w:ind w:firstLine="562" w:firstLineChars="200"/>
        <w:outlineLvl w:val="1"/>
        <w:rPr>
          <w:rFonts w:hint="eastAsia" w:ascii="宋体" w:hAnsi="宋体" w:eastAsia="宋体" w:cs="宋体"/>
          <w:b/>
          <w:color w:val="auto"/>
          <w:sz w:val="28"/>
          <w:szCs w:val="28"/>
          <w:highlight w:val="none"/>
        </w:rPr>
      </w:pPr>
      <w:bookmarkStart w:id="34" w:name="_Toc28359007"/>
      <w:bookmarkStart w:id="35" w:name="_Toc28359084"/>
      <w:bookmarkStart w:id="36" w:name="_Toc35393625"/>
      <w:bookmarkStart w:id="37" w:name="_Toc35393794"/>
      <w:bookmarkStart w:id="38" w:name="_Toc13270"/>
      <w:r>
        <w:rPr>
          <w:rFonts w:hint="eastAsia" w:ascii="宋体" w:hAnsi="宋体" w:eastAsia="宋体" w:cs="宋体"/>
          <w:b/>
          <w:color w:val="auto"/>
          <w:sz w:val="28"/>
          <w:szCs w:val="28"/>
          <w:highlight w:val="none"/>
        </w:rPr>
        <w:t>五、公告期限</w:t>
      </w:r>
      <w:bookmarkEnd w:id="34"/>
      <w:bookmarkEnd w:id="35"/>
      <w:bookmarkEnd w:id="36"/>
      <w:bookmarkEnd w:id="37"/>
      <w:bookmarkEnd w:id="38"/>
    </w:p>
    <w:p w14:paraId="236C5CB7">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自本公告发布之日起5个工作日。</w:t>
      </w:r>
    </w:p>
    <w:p w14:paraId="0C39C53B">
      <w:pPr>
        <w:spacing w:line="460" w:lineRule="exact"/>
        <w:ind w:firstLine="562" w:firstLineChars="200"/>
        <w:outlineLvl w:val="1"/>
        <w:rPr>
          <w:rFonts w:hint="eastAsia" w:ascii="宋体" w:hAnsi="宋体" w:eastAsia="宋体" w:cs="宋体"/>
          <w:color w:val="auto"/>
          <w:sz w:val="28"/>
          <w:szCs w:val="28"/>
          <w:highlight w:val="none"/>
        </w:rPr>
      </w:pPr>
      <w:bookmarkStart w:id="39" w:name="_Toc35393626"/>
      <w:bookmarkStart w:id="40" w:name="_Toc24651"/>
      <w:bookmarkStart w:id="41" w:name="_Toc35393795"/>
      <w:r>
        <w:rPr>
          <w:rFonts w:hint="eastAsia" w:ascii="宋体" w:hAnsi="宋体" w:eastAsia="宋体" w:cs="宋体"/>
          <w:b/>
          <w:color w:val="auto"/>
          <w:sz w:val="28"/>
          <w:szCs w:val="28"/>
          <w:highlight w:val="none"/>
        </w:rPr>
        <w:t>六、其他补充事宜</w:t>
      </w:r>
      <w:bookmarkEnd w:id="39"/>
      <w:bookmarkEnd w:id="40"/>
      <w:bookmarkEnd w:id="41"/>
    </w:p>
    <w:p w14:paraId="37E382B2">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.公告发布媒介：江苏政府采购网（www.ccgp-jiangsu.gov.cn）</w:t>
      </w:r>
    </w:p>
    <w:p w14:paraId="20658E49">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2</w:t>
      </w:r>
      <w:r>
        <w:rPr>
          <w:rFonts w:hint="eastAsia" w:ascii="宋体" w:hAnsi="宋体" w:eastAsia="宋体" w:cs="宋体"/>
          <w:b/>
          <w:color w:val="auto"/>
          <w:sz w:val="28"/>
          <w:szCs w:val="28"/>
          <w:highlight w:val="none"/>
        </w:rPr>
        <w:t>. 注意事项：</w:t>
      </w:r>
    </w:p>
    <w:p w14:paraId="51AECA2A">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登录“江苏省政府采购管理交易系统（苏采云）”须持经注册的CA证书。未注册、领取CA和办理电子签章的潜在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，请至泰州市高港区泰州大道188号(中国医药城会展交易中心W3馆西南角)公共资源交易大厅政务CA窗口办理，电话：0523-81568158。</w:t>
      </w:r>
    </w:p>
    <w:p w14:paraId="542EC3F6">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（2）本项目采用电子化投标，</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应根据《江苏省政府采购管理交易系统（苏采云）供应商操作手册》（“泰州市政府采购网—下载中心”下载）规定，制作、上传电子投标文件（技术支持电话：0523-87633965、0523-86897512；客服QQ709339244、QQ：1810179072）。</w:t>
      </w:r>
    </w:p>
    <w:p w14:paraId="0B534C3B">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（3）有关本次招标的事项若存在变动或修改，敬请及时关注“江苏政府采购网”发布的更正公告。</w:t>
      </w:r>
    </w:p>
    <w:p w14:paraId="475EDEA8">
      <w:pPr>
        <w:spacing w:line="46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如潜在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未按上述要求操作，将自行承担所产生的风险。</w:t>
      </w:r>
    </w:p>
    <w:p w14:paraId="160D3C37">
      <w:pPr>
        <w:spacing w:line="460" w:lineRule="exact"/>
        <w:ind w:firstLine="562" w:firstLineChars="200"/>
        <w:outlineLvl w:val="1"/>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七、对本次招标提出询问，请按以下方式联系。</w:t>
      </w:r>
      <w:bookmarkEnd w:id="24"/>
      <w:bookmarkEnd w:id="25"/>
      <w:bookmarkEnd w:id="26"/>
      <w:bookmarkEnd w:id="27"/>
      <w:bookmarkEnd w:id="28"/>
    </w:p>
    <w:p w14:paraId="40ACF5EB">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bookmarkStart w:id="42" w:name="_Toc426469869"/>
      <w:bookmarkStart w:id="43" w:name="_Toc382813966"/>
      <w:bookmarkStart w:id="44" w:name="_Toc20823272"/>
      <w:bookmarkStart w:id="45" w:name="_Toc382812472"/>
      <w:bookmarkStart w:id="46" w:name="_Toc479757206"/>
      <w:bookmarkStart w:id="47" w:name="_Toc523127445"/>
      <w:bookmarkStart w:id="48" w:name="_Toc382813885"/>
      <w:bookmarkStart w:id="49" w:name="_Toc16938516"/>
      <w:bookmarkStart w:id="50" w:name="_Toc513029200"/>
      <w:r>
        <w:rPr>
          <w:rFonts w:hint="eastAsia" w:ascii="宋体" w:hAnsi="宋体" w:eastAsia="宋体" w:cs="宋体"/>
          <w:color w:val="auto"/>
          <w:kern w:val="2"/>
          <w:sz w:val="28"/>
          <w:szCs w:val="28"/>
          <w:highlight w:val="none"/>
        </w:rPr>
        <w:t>1.采购人信息</w:t>
      </w:r>
    </w:p>
    <w:p w14:paraId="51239927">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名称：</w:t>
      </w:r>
      <w:r>
        <w:rPr>
          <w:rFonts w:hint="eastAsia" w:ascii="宋体" w:hAnsi="宋体" w:cs="宋体"/>
          <w:color w:val="auto"/>
          <w:kern w:val="2"/>
          <w:sz w:val="28"/>
          <w:szCs w:val="28"/>
          <w:highlight w:val="none"/>
          <w:lang w:eastAsia="zh-CN"/>
        </w:rPr>
        <w:t>泰兴市教师发展中心</w:t>
      </w:r>
    </w:p>
    <w:p w14:paraId="3B2ABA2C">
      <w:pPr>
        <w:pStyle w:val="11"/>
        <w:keepNext w:val="0"/>
        <w:keepLines w:val="0"/>
        <w:pageBreakBefore w:val="0"/>
        <w:widowControl w:val="0"/>
        <w:kinsoku/>
        <w:wordWrap/>
        <w:overflowPunct/>
        <w:topLinePunct w:val="0"/>
        <w:autoSpaceDE/>
        <w:autoSpaceDN/>
        <w:bidi w:val="0"/>
        <w:adjustRightInd/>
        <w:snapToGrid/>
        <w:spacing w:after="0" w:line="460" w:lineRule="exact"/>
        <w:ind w:firstLine="560" w:firstLineChars="200"/>
        <w:textAlignment w:val="auto"/>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地址：泰州市泰兴市姚王街道文昌东路1号</w:t>
      </w:r>
    </w:p>
    <w:p w14:paraId="1CB2F1C2">
      <w:pPr>
        <w:pStyle w:val="11"/>
        <w:keepNext w:val="0"/>
        <w:keepLines w:val="0"/>
        <w:pageBreakBefore w:val="0"/>
        <w:widowControl w:val="0"/>
        <w:kinsoku/>
        <w:wordWrap/>
        <w:overflowPunct/>
        <w:topLinePunct w:val="0"/>
        <w:autoSpaceDE/>
        <w:autoSpaceDN/>
        <w:bidi w:val="0"/>
        <w:adjustRightInd/>
        <w:snapToGrid/>
        <w:spacing w:after="0" w:line="460" w:lineRule="exact"/>
        <w:ind w:firstLine="560" w:firstLineChars="200"/>
        <w:textAlignment w:val="auto"/>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联系方式：0523-87728092</w:t>
      </w:r>
    </w:p>
    <w:p w14:paraId="3A86F822">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2.采购代理机构信息</w:t>
      </w:r>
    </w:p>
    <w:p w14:paraId="41E78C6B">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名 称：江苏国兴建设项目管理有限公司</w:t>
      </w:r>
    </w:p>
    <w:p w14:paraId="23831B76">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地　址：</w:t>
      </w:r>
      <w:r>
        <w:rPr>
          <w:rFonts w:hint="eastAsia" w:ascii="宋体" w:hAnsi="宋体" w:cs="宋体"/>
          <w:color w:val="auto"/>
          <w:kern w:val="2"/>
          <w:sz w:val="28"/>
          <w:szCs w:val="28"/>
          <w:highlight w:val="none"/>
          <w:lang w:eastAsia="zh-CN"/>
        </w:rPr>
        <w:t>泰兴市政务服务中心十楼</w:t>
      </w:r>
    </w:p>
    <w:p w14:paraId="439991F0">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联系方式：17701421886</w:t>
      </w:r>
    </w:p>
    <w:p w14:paraId="66FBF2A7">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3.项目联系方式</w:t>
      </w:r>
    </w:p>
    <w:p w14:paraId="417FBE04">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项目联系人：泰兴市</w:t>
      </w:r>
      <w:r>
        <w:rPr>
          <w:rFonts w:hint="eastAsia" w:ascii="宋体" w:hAnsi="宋体" w:cs="宋体"/>
          <w:color w:val="auto"/>
          <w:kern w:val="2"/>
          <w:sz w:val="28"/>
          <w:szCs w:val="28"/>
          <w:highlight w:val="none"/>
          <w:lang w:val="en-US" w:eastAsia="zh-CN"/>
        </w:rPr>
        <w:t>教师发展中心</w:t>
      </w:r>
      <w:r>
        <w:rPr>
          <w:rFonts w:hint="eastAsia" w:ascii="宋体" w:hAnsi="宋体" w:eastAsia="宋体" w:cs="宋体"/>
          <w:color w:val="auto"/>
          <w:kern w:val="2"/>
          <w:sz w:val="28"/>
          <w:szCs w:val="28"/>
          <w:highlight w:val="none"/>
        </w:rPr>
        <w:t xml:space="preserve">    </w:t>
      </w:r>
      <w:r>
        <w:rPr>
          <w:rFonts w:hint="eastAsia" w:ascii="宋体" w:hAnsi="宋体" w:cs="宋体"/>
          <w:color w:val="auto"/>
          <w:kern w:val="2"/>
          <w:sz w:val="28"/>
          <w:szCs w:val="28"/>
          <w:highlight w:val="none"/>
          <w:lang w:val="en-US" w:eastAsia="zh-CN"/>
        </w:rPr>
        <w:t>陈主任</w:t>
      </w:r>
    </w:p>
    <w:p w14:paraId="105D33D1">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default" w:ascii="宋体" w:hAnsi="宋体" w:eastAsia="宋体" w:cs="宋体"/>
          <w:color w:val="auto"/>
          <w:kern w:val="2"/>
          <w:sz w:val="28"/>
          <w:szCs w:val="28"/>
          <w:highlight w:val="none"/>
          <w:lang w:val="en-US"/>
        </w:rPr>
      </w:pPr>
      <w:r>
        <w:rPr>
          <w:rFonts w:hint="eastAsia" w:ascii="宋体" w:hAnsi="宋体" w:eastAsia="宋体" w:cs="宋体"/>
          <w:color w:val="auto"/>
          <w:kern w:val="2"/>
          <w:sz w:val="28"/>
          <w:szCs w:val="28"/>
          <w:highlight w:val="none"/>
        </w:rPr>
        <w:t>电　话：</w:t>
      </w: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0523-87728139</w:t>
      </w:r>
    </w:p>
    <w:p w14:paraId="59AFDB55">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项目联系人：江苏国兴建设项目管理有限公司   刘雪芬</w:t>
      </w:r>
    </w:p>
    <w:p w14:paraId="780F3F37">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电　话：17701421886</w:t>
      </w:r>
    </w:p>
    <w:p w14:paraId="18AAC7AC">
      <w:pPr>
        <w:keepNext w:val="0"/>
        <w:keepLines w:val="0"/>
        <w:pageBreakBefore w:val="0"/>
        <w:widowControl/>
        <w:kinsoku/>
        <w:wordWrap/>
        <w:overflowPunct/>
        <w:topLinePunct w:val="0"/>
        <w:autoSpaceDE/>
        <w:autoSpaceDN/>
        <w:bidi w:val="0"/>
        <w:spacing w:line="480" w:lineRule="exact"/>
        <w:ind w:firstLine="560" w:firstLineChars="200"/>
        <w:jc w:val="both"/>
        <w:textAlignment w:val="auto"/>
        <w:outlineLvl w:val="1"/>
        <w:rPr>
          <w:rFonts w:hint="eastAsia" w:ascii="宋体" w:hAnsi="宋体" w:eastAsia="宋体" w:cs="宋体"/>
          <w:color w:val="auto"/>
          <w:kern w:val="2"/>
          <w:sz w:val="28"/>
          <w:szCs w:val="28"/>
          <w:highlight w:val="none"/>
        </w:rPr>
      </w:pPr>
    </w:p>
    <w:p w14:paraId="22823EA9">
      <w:pPr>
        <w:widowControl/>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6DB5342">
      <w:pPr>
        <w:widowControl/>
        <w:jc w:val="center"/>
        <w:outlineLvl w:val="0"/>
        <w:rPr>
          <w:rFonts w:hint="eastAsia" w:ascii="宋体" w:hAnsi="宋体" w:eastAsia="宋体" w:cs="宋体"/>
          <w:b/>
          <w:color w:val="auto"/>
          <w:sz w:val="32"/>
          <w:szCs w:val="32"/>
          <w:highlight w:val="none"/>
        </w:rPr>
      </w:pPr>
      <w:bookmarkStart w:id="51" w:name="_Toc987"/>
      <w:r>
        <w:rPr>
          <w:rFonts w:hint="eastAsia" w:ascii="宋体" w:hAnsi="宋体" w:eastAsia="宋体" w:cs="宋体"/>
          <w:b/>
          <w:color w:val="auto"/>
          <w:sz w:val="32"/>
          <w:szCs w:val="32"/>
          <w:highlight w:val="none"/>
        </w:rPr>
        <w:t>第二章 供应商须知</w:t>
      </w:r>
      <w:bookmarkEnd w:id="42"/>
      <w:bookmarkEnd w:id="51"/>
    </w:p>
    <w:p w14:paraId="1D0AF196">
      <w:pPr>
        <w:rPr>
          <w:rFonts w:hint="eastAsia" w:ascii="宋体" w:hAnsi="宋体" w:eastAsia="宋体" w:cs="宋体"/>
          <w:color w:val="auto"/>
          <w:highlight w:val="none"/>
        </w:rPr>
      </w:pPr>
      <w:bookmarkStart w:id="52" w:name="_Toc426469870"/>
      <w:r>
        <w:rPr>
          <w:rFonts w:hint="eastAsia" w:ascii="宋体" w:hAnsi="宋体" w:eastAsia="宋体" w:cs="宋体"/>
          <w:color w:val="auto"/>
          <w:highlight w:val="none"/>
        </w:rPr>
        <w:t>供应商须知前附表</w:t>
      </w:r>
      <w:bookmarkEnd w:id="52"/>
    </w:p>
    <w:tbl>
      <w:tblPr>
        <w:tblStyle w:val="2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381"/>
        <w:gridCol w:w="140"/>
        <w:gridCol w:w="6018"/>
      </w:tblGrid>
      <w:tr w14:paraId="0339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0770A0BA">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2381" w:type="dxa"/>
            <w:vAlign w:val="center"/>
          </w:tcPr>
          <w:p w14:paraId="420FDCFB">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条 款 名 称</w:t>
            </w:r>
          </w:p>
        </w:tc>
        <w:tc>
          <w:tcPr>
            <w:tcW w:w="6158" w:type="dxa"/>
            <w:gridSpan w:val="2"/>
            <w:vAlign w:val="center"/>
          </w:tcPr>
          <w:p w14:paraId="65266551">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编  列  内  容</w:t>
            </w:r>
          </w:p>
        </w:tc>
      </w:tr>
      <w:tr w14:paraId="7E7A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5C8FA23E">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381" w:type="dxa"/>
            <w:vAlign w:val="center"/>
          </w:tcPr>
          <w:p w14:paraId="66270B44">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6158" w:type="dxa"/>
            <w:gridSpan w:val="2"/>
            <w:vAlign w:val="top"/>
          </w:tcPr>
          <w:p w14:paraId="3A1443DA">
            <w:pPr>
              <w:keepNext w:val="0"/>
              <w:keepLines w:val="0"/>
              <w:pageBreakBefore w:val="0"/>
              <w:kinsoku/>
              <w:wordWrap/>
              <w:overflowPunct/>
              <w:bidi w:val="0"/>
              <w:spacing w:line="360" w:lineRule="exact"/>
              <w:rPr>
                <w:rFonts w:hint="eastAsia" w:ascii="宋体" w:hAnsi="宋体" w:cs="宋体"/>
                <w:color w:val="auto"/>
                <w:highlight w:val="none"/>
                <w:lang w:eastAsia="zh-CN"/>
              </w:rPr>
            </w:pPr>
            <w:r>
              <w:rPr>
                <w:rFonts w:hint="eastAsia" w:ascii="宋体" w:hAnsi="宋体" w:eastAsia="宋体" w:cs="宋体"/>
                <w:color w:val="auto"/>
                <w:highlight w:val="none"/>
              </w:rPr>
              <w:t>名称：</w:t>
            </w:r>
            <w:r>
              <w:rPr>
                <w:rFonts w:hint="eastAsia" w:ascii="宋体" w:hAnsi="宋体" w:cs="宋体"/>
                <w:color w:val="auto"/>
                <w:highlight w:val="none"/>
                <w:lang w:eastAsia="zh-CN"/>
              </w:rPr>
              <w:t>泰兴市教师发展中心</w:t>
            </w:r>
          </w:p>
          <w:p w14:paraId="254AAE89">
            <w:pPr>
              <w:keepNext w:val="0"/>
              <w:keepLines w:val="0"/>
              <w:pageBreakBefore w:val="0"/>
              <w:kinsoku/>
              <w:wordWrap/>
              <w:overflowPunct/>
              <w:bidi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cs="宋体"/>
                <w:color w:val="auto"/>
                <w:highlight w:val="none"/>
                <w:lang w:eastAsia="zh-CN"/>
              </w:rPr>
              <w:t>泰州市泰兴市姚王街道文昌东路1号</w:t>
            </w:r>
            <w:r>
              <w:rPr>
                <w:rFonts w:hint="eastAsia" w:ascii="宋体" w:hAnsi="宋体" w:eastAsia="宋体" w:cs="宋体"/>
                <w:color w:val="auto"/>
                <w:highlight w:val="none"/>
              </w:rPr>
              <w:t xml:space="preserve"> </w:t>
            </w:r>
          </w:p>
          <w:p w14:paraId="55954D03">
            <w:pPr>
              <w:keepNext w:val="0"/>
              <w:keepLines w:val="0"/>
              <w:pageBreakBefore w:val="0"/>
              <w:kinsoku/>
              <w:wordWrap/>
              <w:overflowPunct/>
              <w:bidi w:val="0"/>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cs="宋体"/>
                <w:color w:val="auto"/>
                <w:highlight w:val="none"/>
                <w:lang w:val="en-US" w:eastAsia="zh-CN"/>
              </w:rPr>
              <w:t>陈主任</w:t>
            </w:r>
          </w:p>
          <w:p w14:paraId="347A132A">
            <w:pPr>
              <w:keepNext w:val="0"/>
              <w:keepLines w:val="0"/>
              <w:pageBreakBefore w:val="0"/>
              <w:kinsoku/>
              <w:wordWrap/>
              <w:overflowPunct/>
              <w:bidi w:val="0"/>
              <w:spacing w:line="3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联系电话：0523-87728</w:t>
            </w:r>
            <w:r>
              <w:rPr>
                <w:rFonts w:hint="eastAsia" w:ascii="宋体" w:hAnsi="宋体" w:cs="宋体"/>
                <w:color w:val="auto"/>
                <w:highlight w:val="none"/>
                <w:lang w:val="en-US" w:eastAsia="zh-CN"/>
              </w:rPr>
              <w:t>139</w:t>
            </w:r>
          </w:p>
        </w:tc>
      </w:tr>
      <w:tr w14:paraId="3342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08C761DC">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381" w:type="dxa"/>
            <w:vAlign w:val="center"/>
          </w:tcPr>
          <w:p w14:paraId="14A9BF98">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采购代理机构</w:t>
            </w:r>
          </w:p>
        </w:tc>
        <w:tc>
          <w:tcPr>
            <w:tcW w:w="6158" w:type="dxa"/>
            <w:gridSpan w:val="2"/>
            <w:vAlign w:val="top"/>
          </w:tcPr>
          <w:p w14:paraId="1104A1A4">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江苏国兴建设项目管理有限公司</w:t>
            </w:r>
          </w:p>
          <w:p w14:paraId="0C41E38B">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地址：泰兴市</w:t>
            </w:r>
            <w:r>
              <w:rPr>
                <w:rFonts w:hint="eastAsia" w:ascii="宋体" w:hAnsi="宋体" w:eastAsia="宋体" w:cs="宋体"/>
                <w:color w:val="auto"/>
                <w:sz w:val="24"/>
                <w:szCs w:val="24"/>
                <w:highlight w:val="none"/>
                <w:lang w:val="en-US" w:eastAsia="zh-CN"/>
              </w:rPr>
              <w:t>政务服务中心十</w:t>
            </w:r>
            <w:r>
              <w:rPr>
                <w:rFonts w:hint="eastAsia" w:ascii="宋体" w:hAnsi="宋体" w:eastAsia="宋体" w:cs="宋体"/>
                <w:color w:val="auto"/>
                <w:sz w:val="24"/>
                <w:szCs w:val="24"/>
                <w:highlight w:val="none"/>
                <w:lang w:eastAsia="zh-CN"/>
              </w:rPr>
              <w:t>楼</w:t>
            </w:r>
            <w:r>
              <w:rPr>
                <w:rFonts w:hint="eastAsia" w:ascii="宋体" w:hAnsi="宋体" w:eastAsia="宋体" w:cs="宋体"/>
                <w:color w:val="auto"/>
                <w:sz w:val="24"/>
                <w:szCs w:val="24"/>
                <w:highlight w:val="none"/>
                <w:lang w:val="en-US" w:eastAsia="zh-CN"/>
              </w:rPr>
              <w:t>1003</w:t>
            </w:r>
            <w:r>
              <w:rPr>
                <w:rFonts w:hint="eastAsia" w:ascii="宋体" w:hAnsi="宋体" w:eastAsia="宋体" w:cs="宋体"/>
                <w:color w:val="auto"/>
                <w:sz w:val="24"/>
                <w:szCs w:val="24"/>
                <w:highlight w:val="none"/>
              </w:rPr>
              <w:t>（泰兴市文昌东路62号）</w:t>
            </w:r>
          </w:p>
          <w:p w14:paraId="3EAA343A">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刘雪芬</w:t>
            </w:r>
          </w:p>
          <w:p w14:paraId="063FF03E">
            <w:pPr>
              <w:keepNext w:val="0"/>
              <w:keepLines w:val="0"/>
              <w:pageBreakBefore w:val="0"/>
              <w:kinsoku/>
              <w:wordWrap/>
              <w:overflowPunct/>
              <w:bidi w:val="0"/>
              <w:spacing w:line="36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17701421886</w:t>
            </w:r>
          </w:p>
        </w:tc>
      </w:tr>
      <w:tr w14:paraId="7F92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25B36595">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381" w:type="dxa"/>
            <w:vAlign w:val="center"/>
          </w:tcPr>
          <w:p w14:paraId="3443BE87">
            <w:pPr>
              <w:adjustRightInd w:val="0"/>
              <w:snapToGrid w:val="0"/>
              <w:spacing w:line="4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项目名称及</w:t>
            </w:r>
          </w:p>
          <w:p w14:paraId="348C16D9">
            <w:pPr>
              <w:adjustRightInd w:val="0"/>
              <w:snapToGrid w:val="0"/>
              <w:spacing w:line="4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项目编号</w:t>
            </w:r>
          </w:p>
        </w:tc>
        <w:tc>
          <w:tcPr>
            <w:tcW w:w="6158" w:type="dxa"/>
            <w:gridSpan w:val="2"/>
          </w:tcPr>
          <w:p w14:paraId="679BD9C8">
            <w:pPr>
              <w:adjustRightInd w:val="0"/>
              <w:snapToGrid w:val="0"/>
              <w:spacing w:line="42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ascii="宋体" w:hAnsi="宋体" w:cs="宋体"/>
                <w:color w:val="auto"/>
                <w:highlight w:val="none"/>
                <w:lang w:eastAsia="zh-CN"/>
              </w:rPr>
              <w:t>泰兴市初中理化生实验室设备采购项目</w:t>
            </w:r>
          </w:p>
          <w:p w14:paraId="5779FB65">
            <w:pPr>
              <w:adjustRightInd w:val="0"/>
              <w:snapToGrid w:val="0"/>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项目编号：</w:t>
            </w:r>
            <w:r>
              <w:rPr>
                <w:rFonts w:hint="eastAsia" w:ascii="宋体" w:hAnsi="宋体" w:cs="宋体"/>
                <w:color w:val="auto"/>
                <w:highlight w:val="none"/>
                <w:lang w:eastAsia="zh-CN"/>
              </w:rPr>
              <w:t>JSZC-321283-GXGL-G2026-0017</w:t>
            </w:r>
            <w:r>
              <w:rPr>
                <w:rFonts w:hint="eastAsia" w:ascii="宋体" w:hAnsi="宋体" w:cs="宋体"/>
                <w:color w:val="auto"/>
                <w:highlight w:val="none"/>
                <w:lang w:eastAsia="zh-CN"/>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"javascript:void(0);"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end"/>
            </w:r>
          </w:p>
        </w:tc>
      </w:tr>
      <w:tr w14:paraId="13A3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77C0FC37">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381" w:type="dxa"/>
            <w:vAlign w:val="center"/>
          </w:tcPr>
          <w:p w14:paraId="4DE46A96">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付款方式</w:t>
            </w:r>
          </w:p>
        </w:tc>
        <w:tc>
          <w:tcPr>
            <w:tcW w:w="6158" w:type="dxa"/>
            <w:gridSpan w:val="2"/>
            <w:vAlign w:val="center"/>
          </w:tcPr>
          <w:p w14:paraId="2FB90582">
            <w:pPr>
              <w:adjustRightInd/>
              <w:snapToGrid/>
              <w:spacing w:line="240" w:lineRule="auto"/>
              <w:jc w:val="left"/>
              <w:rPr>
                <w:rFonts w:hint="eastAsia" w:ascii="宋体" w:hAnsi="宋体" w:eastAsia="宋体" w:cs="宋体"/>
                <w:color w:val="auto"/>
                <w:highlight w:val="none"/>
                <w:lang w:eastAsia="zh-CN"/>
              </w:rPr>
            </w:pPr>
            <w:bookmarkStart w:id="53" w:name="OLE_LINK15"/>
            <w:r>
              <w:rPr>
                <w:rFonts w:hint="eastAsia"/>
                <w:color w:val="auto"/>
                <w:sz w:val="24"/>
                <w:szCs w:val="24"/>
                <w:highlight w:val="none"/>
                <w:lang w:val="en-US" w:eastAsia="zh-CN"/>
              </w:rPr>
              <w:t xml:space="preserve"> </w:t>
            </w:r>
            <w:bookmarkEnd w:id="53"/>
            <w:r>
              <w:rPr>
                <w:rFonts w:hint="eastAsia" w:ascii="宋体" w:hAnsi="宋体" w:eastAsia="宋体" w:cs="宋体"/>
                <w:color w:val="auto"/>
                <w:highlight w:val="none"/>
                <w:lang w:eastAsia="zh-CN"/>
              </w:rPr>
              <w:t>合同签订后，30个工作日内支付合同总价的30%作为预付款；项目完成供货及安装后，经项目采购人验收合格后一次性付清余款。</w:t>
            </w:r>
          </w:p>
        </w:tc>
      </w:tr>
      <w:tr w14:paraId="39C6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2ADA3AB9">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381" w:type="dxa"/>
            <w:vAlign w:val="center"/>
          </w:tcPr>
          <w:p w14:paraId="079C0859">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采购范围</w:t>
            </w:r>
          </w:p>
        </w:tc>
        <w:tc>
          <w:tcPr>
            <w:tcW w:w="6158" w:type="dxa"/>
            <w:gridSpan w:val="2"/>
            <w:vAlign w:val="center"/>
          </w:tcPr>
          <w:p w14:paraId="7E7901A1">
            <w:pPr>
              <w:adjustRightInd w:val="0"/>
              <w:snapToGrid w:val="0"/>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见采购需求</w:t>
            </w:r>
          </w:p>
        </w:tc>
      </w:tr>
      <w:tr w14:paraId="725F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51D19306">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381" w:type="dxa"/>
            <w:vAlign w:val="center"/>
          </w:tcPr>
          <w:p w14:paraId="171A0254">
            <w:pPr>
              <w:adjustRightInd w:val="0"/>
              <w:snapToGrid w:val="0"/>
              <w:spacing w:line="4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服务期限</w:t>
            </w:r>
          </w:p>
        </w:tc>
        <w:tc>
          <w:tcPr>
            <w:tcW w:w="6158" w:type="dxa"/>
            <w:gridSpan w:val="2"/>
            <w:vAlign w:val="center"/>
          </w:tcPr>
          <w:p w14:paraId="2094DE72">
            <w:pPr>
              <w:adjustRightInd w:val="0"/>
              <w:snapToGrid w:val="0"/>
              <w:spacing w:line="420" w:lineRule="exact"/>
              <w:jc w:val="left"/>
              <w:rPr>
                <w:rFonts w:hint="eastAsia" w:ascii="宋体" w:hAnsi="宋体" w:eastAsia="宋体" w:cs="宋体"/>
                <w:color w:val="auto"/>
                <w:highlight w:val="none"/>
              </w:rPr>
            </w:pPr>
            <w:r>
              <w:rPr>
                <w:rFonts w:hint="eastAsia" w:ascii="宋体" w:hAnsi="宋体" w:eastAsia="宋体" w:cs="宋体"/>
                <w:color w:val="auto"/>
                <w:szCs w:val="21"/>
                <w:highlight w:val="none"/>
              </w:rPr>
              <w:t>见招标公告</w:t>
            </w:r>
          </w:p>
        </w:tc>
      </w:tr>
      <w:tr w14:paraId="5CE4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115518C6">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381" w:type="dxa"/>
            <w:vAlign w:val="center"/>
          </w:tcPr>
          <w:p w14:paraId="41EAF7B5">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要求供应商具备的特定条件</w:t>
            </w:r>
          </w:p>
        </w:tc>
        <w:tc>
          <w:tcPr>
            <w:tcW w:w="6158" w:type="dxa"/>
            <w:gridSpan w:val="2"/>
            <w:vAlign w:val="center"/>
          </w:tcPr>
          <w:p w14:paraId="34C0B867">
            <w:pPr>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见招标公告“申请人的资格要求”</w:t>
            </w:r>
          </w:p>
        </w:tc>
      </w:tr>
      <w:tr w14:paraId="6576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79090585">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1.8.2</w:t>
            </w:r>
          </w:p>
        </w:tc>
        <w:tc>
          <w:tcPr>
            <w:tcW w:w="2381" w:type="dxa"/>
            <w:vAlign w:val="center"/>
          </w:tcPr>
          <w:p w14:paraId="47CE8D67">
            <w:pPr>
              <w:spacing w:line="320" w:lineRule="exact"/>
              <w:jc w:val="center"/>
              <w:rPr>
                <w:rFonts w:hint="eastAsia" w:ascii="宋体" w:hAnsi="宋体" w:eastAsia="宋体" w:cs="宋体"/>
                <w:color w:val="auto"/>
                <w:highlight w:val="none"/>
              </w:rPr>
            </w:pPr>
            <w:r>
              <w:rPr>
                <w:rFonts w:hint="eastAsia" w:asciiTheme="majorEastAsia" w:hAnsiTheme="majorEastAsia" w:eastAsiaTheme="majorEastAsia" w:cstheme="majorEastAsia"/>
                <w:color w:val="auto"/>
                <w:sz w:val="24"/>
                <w:szCs w:val="24"/>
                <w:highlight w:val="none"/>
              </w:rPr>
              <w:t>偏离</w:t>
            </w:r>
          </w:p>
        </w:tc>
        <w:tc>
          <w:tcPr>
            <w:tcW w:w="6158" w:type="dxa"/>
            <w:gridSpan w:val="2"/>
            <w:vAlign w:val="center"/>
          </w:tcPr>
          <w:p w14:paraId="521300E2">
            <w:pPr>
              <w:pStyle w:val="10"/>
              <w:spacing w:line="320" w:lineRule="exact"/>
              <w:rPr>
                <w:rFonts w:hint="eastAsia" w:ascii="宋体" w:hAnsi="宋体" w:eastAsia="宋体" w:cs="宋体"/>
                <w:color w:val="auto"/>
                <w:highlight w:val="none"/>
              </w:rPr>
            </w:pPr>
            <w:bookmarkStart w:id="54" w:name="FEfe800446baa24252acf6b14953dc4897"/>
            <w:bookmarkEnd w:id="54"/>
            <w:bookmarkStart w:id="55" w:name="FBfe800446baa24252acf6b14953dc4897"/>
            <w:bookmarkEnd w:id="55"/>
            <w:r>
              <w:rPr>
                <w:rFonts w:hint="eastAsia" w:ascii="宋体" w:hAnsi="宋体" w:cs="宋体"/>
                <w:color w:val="auto"/>
                <w:lang w:val="en-US" w:eastAsia="zh-CN"/>
              </w:rPr>
              <w:t>允许负偏离</w:t>
            </w:r>
          </w:p>
        </w:tc>
      </w:tr>
      <w:tr w14:paraId="1FE1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1CCCF4D3">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381" w:type="dxa"/>
            <w:vAlign w:val="center"/>
          </w:tcPr>
          <w:p w14:paraId="67BE9497">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6158" w:type="dxa"/>
            <w:gridSpan w:val="2"/>
            <w:vAlign w:val="center"/>
          </w:tcPr>
          <w:p w14:paraId="427F2B30">
            <w:pPr>
              <w:spacing w:line="360" w:lineRule="exact"/>
              <w:jc w:val="left"/>
              <w:rPr>
                <w:rFonts w:hint="eastAsia" w:ascii="宋体" w:hAnsi="宋体" w:eastAsia="宋体" w:cs="宋体"/>
                <w:color w:val="auto"/>
                <w:highlight w:val="none"/>
              </w:rPr>
            </w:pPr>
            <w:bookmarkStart w:id="56" w:name="EB35ced2e8f8364f63a510bf246ff979f0"/>
            <w:bookmarkEnd w:id="56"/>
            <w:r>
              <w:rPr>
                <w:rFonts w:hint="eastAsia" w:ascii="宋体" w:hAnsi="宋体" w:eastAsia="宋体" w:cs="宋体"/>
                <w:color w:val="auto"/>
                <w:highlight w:val="none"/>
              </w:rPr>
              <w:t>无</w:t>
            </w:r>
          </w:p>
        </w:tc>
      </w:tr>
      <w:tr w14:paraId="3C18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2A0AA08E">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2.2</w:t>
            </w:r>
          </w:p>
        </w:tc>
        <w:tc>
          <w:tcPr>
            <w:tcW w:w="2381" w:type="dxa"/>
            <w:vAlign w:val="center"/>
          </w:tcPr>
          <w:p w14:paraId="45802136">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供应商要求澄清招标文件的截止时间</w:t>
            </w:r>
          </w:p>
        </w:tc>
        <w:tc>
          <w:tcPr>
            <w:tcW w:w="6158" w:type="dxa"/>
            <w:gridSpan w:val="2"/>
            <w:vAlign w:val="center"/>
          </w:tcPr>
          <w:p w14:paraId="67F22AE1">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cs="宋体"/>
                <w:color w:val="auto"/>
                <w:highlight w:val="none"/>
                <w:lang w:val="en-US" w:eastAsia="zh-CN"/>
              </w:rPr>
              <w:t>7</w:t>
            </w:r>
            <w:r>
              <w:rPr>
                <w:rFonts w:hint="eastAsia" w:ascii="宋体" w:hAnsi="宋体" w:eastAsia="宋体" w:cs="宋体"/>
                <w:color w:val="auto"/>
                <w:highlight w:val="none"/>
              </w:rPr>
              <w:t>月</w:t>
            </w:r>
            <w:r>
              <w:rPr>
                <w:rFonts w:hint="eastAsia" w:ascii="宋体" w:hAnsi="宋体" w:cs="宋体"/>
                <w:color w:val="auto"/>
                <w:highlight w:val="none"/>
                <w:lang w:val="en-US" w:eastAsia="zh-CN"/>
              </w:rPr>
              <w:t>21</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17</w:t>
            </w:r>
            <w:r>
              <w:rPr>
                <w:rFonts w:hint="eastAsia" w:ascii="宋体" w:hAnsi="宋体" w:eastAsia="宋体" w:cs="宋体"/>
                <w:color w:val="auto"/>
                <w:highlight w:val="none"/>
              </w:rPr>
              <w:t>时</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r>
      <w:tr w14:paraId="3A32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3D4F7A1">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381" w:type="dxa"/>
            <w:vAlign w:val="center"/>
          </w:tcPr>
          <w:p w14:paraId="6B91DC57">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投标文件的组成</w:t>
            </w:r>
          </w:p>
        </w:tc>
        <w:tc>
          <w:tcPr>
            <w:tcW w:w="6158" w:type="dxa"/>
            <w:gridSpan w:val="2"/>
            <w:vAlign w:val="center"/>
          </w:tcPr>
          <w:p w14:paraId="1D81C9FE">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（1）开标一览表；</w:t>
            </w:r>
          </w:p>
          <w:p w14:paraId="26A0B714">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（2）投标函；</w:t>
            </w:r>
          </w:p>
          <w:p w14:paraId="19099777">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（3）中小企业声明函（若有）；</w:t>
            </w:r>
          </w:p>
          <w:p w14:paraId="1F72126F">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（4）投标报价明细表及分析说明（若有）；</w:t>
            </w:r>
          </w:p>
          <w:p w14:paraId="3EF67737">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（5）资格性审查和符合性评审文件；</w:t>
            </w:r>
          </w:p>
          <w:p w14:paraId="05494AF7">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（6）投标偏离表；</w:t>
            </w:r>
          </w:p>
          <w:p w14:paraId="6C2717E8">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（7）对照第三章评标办法，认为应列入投标文件的其他材料</w:t>
            </w:r>
            <w:r>
              <w:rPr>
                <w:rFonts w:hint="eastAsia" w:ascii="宋体" w:hAnsi="宋体" w:eastAsia="宋体" w:cs="宋体"/>
                <w:color w:val="auto"/>
                <w:highlight w:val="none"/>
                <w:lang w:eastAsia="zh-CN"/>
              </w:rPr>
              <w:t>；</w:t>
            </w:r>
          </w:p>
          <w:p w14:paraId="10FBD2FF">
            <w:pPr>
              <w:pStyle w:val="14"/>
              <w:spacing w:after="0" w:line="400" w:lineRule="exact"/>
              <w:ind w:left="0" w:leftChars="0"/>
              <w:rPr>
                <w:rFonts w:hint="eastAsia" w:ascii="宋体" w:hAnsi="宋体" w:eastAsia="宋体" w:cs="宋体"/>
                <w:color w:val="auto"/>
                <w:highlight w:val="none"/>
                <w:lang w:eastAsia="zh-CN"/>
              </w:rPr>
            </w:pPr>
            <w:r>
              <w:rPr>
                <w:rFonts w:hint="eastAsia" w:ascii="宋体" w:hAnsi="宋体" w:eastAsia="宋体" w:cs="宋体"/>
                <w:color w:val="auto"/>
                <w:highlight w:val="none"/>
              </w:rPr>
              <w:t>（8）法定代表人身份证明书或法定代表人授权委托书（附身份证复印件）</w:t>
            </w:r>
            <w:r>
              <w:rPr>
                <w:rFonts w:hint="eastAsia" w:ascii="宋体" w:hAnsi="宋体" w:eastAsia="宋体" w:cs="宋体"/>
                <w:color w:val="auto"/>
                <w:highlight w:val="none"/>
                <w:lang w:eastAsia="zh-CN"/>
              </w:rPr>
              <w:t>。</w:t>
            </w:r>
          </w:p>
        </w:tc>
      </w:tr>
      <w:tr w14:paraId="4B4E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7BB18EE4">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381" w:type="dxa"/>
            <w:vAlign w:val="center"/>
          </w:tcPr>
          <w:p w14:paraId="0BC2E7FA">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6158" w:type="dxa"/>
            <w:gridSpan w:val="2"/>
            <w:vAlign w:val="center"/>
          </w:tcPr>
          <w:p w14:paraId="0F3AFED8">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60天</w:t>
            </w:r>
          </w:p>
        </w:tc>
      </w:tr>
      <w:tr w14:paraId="2A01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3A94716F">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3.4.3</w:t>
            </w:r>
          </w:p>
        </w:tc>
        <w:tc>
          <w:tcPr>
            <w:tcW w:w="2381" w:type="dxa"/>
            <w:vAlign w:val="center"/>
          </w:tcPr>
          <w:p w14:paraId="7C6E1C09">
            <w:pPr>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投标文件的份数</w:t>
            </w:r>
          </w:p>
        </w:tc>
        <w:tc>
          <w:tcPr>
            <w:tcW w:w="6158" w:type="dxa"/>
            <w:gridSpan w:val="2"/>
            <w:vAlign w:val="center"/>
          </w:tcPr>
          <w:p w14:paraId="278E2458">
            <w:pPr>
              <w:spacing w:line="3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电子投标文件壹份</w:t>
            </w:r>
          </w:p>
        </w:tc>
      </w:tr>
      <w:tr w14:paraId="7BEE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C5BDCB7">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3.4.4</w:t>
            </w:r>
          </w:p>
        </w:tc>
        <w:tc>
          <w:tcPr>
            <w:tcW w:w="2381" w:type="dxa"/>
            <w:vAlign w:val="center"/>
          </w:tcPr>
          <w:p w14:paraId="061FF603">
            <w:pPr>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投标文件的签署</w:t>
            </w:r>
          </w:p>
        </w:tc>
        <w:tc>
          <w:tcPr>
            <w:tcW w:w="6158" w:type="dxa"/>
            <w:gridSpan w:val="2"/>
            <w:vAlign w:val="center"/>
          </w:tcPr>
          <w:p w14:paraId="0BD9564C">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1.投标函、供应商基本资格条件承诺函</w:t>
            </w:r>
            <w:r>
              <w:rPr>
                <w:rFonts w:hint="eastAsia" w:ascii="宋体" w:hAnsi="宋体" w:eastAsia="宋体" w:cs="宋体"/>
                <w:color w:val="auto"/>
                <w:highlight w:val="none"/>
                <w:lang w:eastAsia="zh-CN"/>
              </w:rPr>
              <w:t>（内容完整且</w:t>
            </w:r>
            <w:r>
              <w:rPr>
                <w:rFonts w:hint="eastAsia" w:ascii="宋体" w:hAnsi="宋体" w:eastAsia="宋体" w:cs="宋体"/>
                <w:color w:val="auto"/>
                <w:highlight w:val="none"/>
                <w:lang w:val="en-US" w:eastAsia="zh-CN"/>
              </w:rPr>
              <w:t>签章完备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4A197D02">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2.投标文件中的任何重要的插字、涂改和增删，修改处须有法定代表人签章或签字。</w:t>
            </w:r>
          </w:p>
        </w:tc>
      </w:tr>
      <w:tr w14:paraId="4432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5A9C1FBC">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5.1.1</w:t>
            </w:r>
          </w:p>
        </w:tc>
        <w:tc>
          <w:tcPr>
            <w:tcW w:w="2381" w:type="dxa"/>
            <w:vAlign w:val="center"/>
          </w:tcPr>
          <w:p w14:paraId="6600B6C0">
            <w:pPr>
              <w:jc w:val="center"/>
              <w:rPr>
                <w:rFonts w:hint="eastAsia" w:ascii="宋体" w:hAnsi="宋体" w:eastAsia="宋体" w:cs="宋体"/>
                <w:color w:val="auto"/>
                <w:highlight w:val="none"/>
              </w:rPr>
            </w:pPr>
            <w:r>
              <w:rPr>
                <w:rFonts w:hint="eastAsia" w:ascii="宋体" w:hAnsi="宋体" w:eastAsia="宋体" w:cs="宋体"/>
                <w:color w:val="auto"/>
                <w:highlight w:val="none"/>
              </w:rPr>
              <w:t>开标时间和地点</w:t>
            </w:r>
          </w:p>
        </w:tc>
        <w:tc>
          <w:tcPr>
            <w:tcW w:w="6158" w:type="dxa"/>
            <w:gridSpan w:val="2"/>
            <w:vAlign w:val="center"/>
          </w:tcPr>
          <w:p w14:paraId="31F3EA2F">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开标时间：</w:t>
            </w:r>
            <w:bookmarkStart w:id="57" w:name="EB72e20e40757d438698d0d924b6237fcc"/>
            <w:bookmarkEnd w:id="57"/>
            <w:r>
              <w:rPr>
                <w:rFonts w:hint="eastAsia" w:ascii="宋体" w:hAnsi="宋体" w:eastAsia="宋体" w:cs="宋体"/>
                <w:color w:val="auto"/>
                <w:szCs w:val="21"/>
                <w:highlight w:val="none"/>
              </w:rPr>
              <w:t>见招标公告</w:t>
            </w:r>
          </w:p>
          <w:p w14:paraId="16FC27DE">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开标地点：</w:t>
            </w:r>
            <w:r>
              <w:rPr>
                <w:rFonts w:hint="eastAsia" w:ascii="宋体" w:hAnsi="宋体" w:eastAsia="宋体" w:cs="宋体"/>
                <w:color w:val="auto"/>
                <w:szCs w:val="21"/>
                <w:highlight w:val="none"/>
              </w:rPr>
              <w:t>见招标公告</w:t>
            </w:r>
          </w:p>
        </w:tc>
      </w:tr>
      <w:tr w14:paraId="01C1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89" w:type="dxa"/>
            <w:vAlign w:val="center"/>
          </w:tcPr>
          <w:p w14:paraId="7F3A479A">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5.1.2</w:t>
            </w:r>
          </w:p>
        </w:tc>
        <w:tc>
          <w:tcPr>
            <w:tcW w:w="2381" w:type="dxa"/>
            <w:vAlign w:val="center"/>
          </w:tcPr>
          <w:p w14:paraId="40959A9E">
            <w:pPr>
              <w:spacing w:line="4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供应商参与开标要求</w:t>
            </w:r>
          </w:p>
        </w:tc>
        <w:tc>
          <w:tcPr>
            <w:tcW w:w="6158" w:type="dxa"/>
            <w:gridSpan w:val="2"/>
            <w:vAlign w:val="center"/>
          </w:tcPr>
          <w:p w14:paraId="2CFE7BC0">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开标活动将在招标公告中规定的时间和地点进行。供应商应当按照规定，参加开标活动。</w:t>
            </w:r>
          </w:p>
        </w:tc>
      </w:tr>
      <w:tr w14:paraId="46C7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0CDE9A4E">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381" w:type="dxa"/>
            <w:vAlign w:val="center"/>
          </w:tcPr>
          <w:p w14:paraId="47B57C86">
            <w:pPr>
              <w:jc w:val="center"/>
              <w:rPr>
                <w:rFonts w:hint="eastAsia" w:ascii="宋体" w:hAnsi="宋体" w:eastAsia="宋体" w:cs="宋体"/>
                <w:color w:val="auto"/>
                <w:highlight w:val="none"/>
              </w:rPr>
            </w:pPr>
            <w:r>
              <w:rPr>
                <w:rFonts w:hint="eastAsia" w:ascii="宋体" w:hAnsi="宋体" w:eastAsia="宋体" w:cs="宋体"/>
                <w:color w:val="auto"/>
                <w:highlight w:val="none"/>
              </w:rPr>
              <w:t>中标公告媒介</w:t>
            </w:r>
          </w:p>
        </w:tc>
        <w:tc>
          <w:tcPr>
            <w:tcW w:w="6158" w:type="dxa"/>
            <w:gridSpan w:val="2"/>
            <w:vAlign w:val="center"/>
          </w:tcPr>
          <w:p w14:paraId="695A0EA2">
            <w:pPr>
              <w:spacing w:line="360" w:lineRule="exact"/>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江苏政府采购网（www.ccgp-jiangsu.gov.cn）</w:t>
            </w:r>
          </w:p>
        </w:tc>
      </w:tr>
      <w:tr w14:paraId="6EEE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3719C4AD">
            <w:pPr>
              <w:spacing w:line="3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8.1.1</w:t>
            </w:r>
          </w:p>
        </w:tc>
        <w:tc>
          <w:tcPr>
            <w:tcW w:w="2381" w:type="dxa"/>
            <w:vAlign w:val="center"/>
          </w:tcPr>
          <w:p w14:paraId="2BF347D3">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6158" w:type="dxa"/>
            <w:gridSpan w:val="2"/>
            <w:vAlign w:val="center"/>
          </w:tcPr>
          <w:p w14:paraId="370C84B7">
            <w:pPr>
              <w:spacing w:line="360" w:lineRule="exact"/>
              <w:jc w:val="left"/>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无</w:t>
            </w:r>
          </w:p>
        </w:tc>
      </w:tr>
      <w:tr w14:paraId="0AC5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4D1D41BB">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8.2.1</w:t>
            </w:r>
          </w:p>
        </w:tc>
        <w:tc>
          <w:tcPr>
            <w:tcW w:w="2381" w:type="dxa"/>
            <w:vAlign w:val="center"/>
          </w:tcPr>
          <w:p w14:paraId="5CE8456B">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签订合同的</w:t>
            </w:r>
          </w:p>
          <w:p w14:paraId="382A836E">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时间要求</w:t>
            </w:r>
          </w:p>
        </w:tc>
        <w:tc>
          <w:tcPr>
            <w:tcW w:w="6158" w:type="dxa"/>
            <w:gridSpan w:val="2"/>
            <w:vAlign w:val="center"/>
          </w:tcPr>
          <w:p w14:paraId="090F5B03">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自中标通知书发出之日起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rPr>
              <w:t>天内</w:t>
            </w:r>
          </w:p>
        </w:tc>
      </w:tr>
      <w:tr w14:paraId="530C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1FD4D94A">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9</w:t>
            </w:r>
          </w:p>
        </w:tc>
        <w:tc>
          <w:tcPr>
            <w:tcW w:w="8539" w:type="dxa"/>
            <w:gridSpan w:val="3"/>
            <w:vAlign w:val="center"/>
          </w:tcPr>
          <w:p w14:paraId="2B2FCCA5">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需要补充的其他内容</w:t>
            </w:r>
          </w:p>
        </w:tc>
      </w:tr>
      <w:tr w14:paraId="02CE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390F1964">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9.1</w:t>
            </w:r>
          </w:p>
        </w:tc>
        <w:tc>
          <w:tcPr>
            <w:tcW w:w="2521" w:type="dxa"/>
            <w:gridSpan w:val="2"/>
            <w:vAlign w:val="center"/>
          </w:tcPr>
          <w:p w14:paraId="03E75341">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质疑和投诉</w:t>
            </w:r>
          </w:p>
        </w:tc>
        <w:tc>
          <w:tcPr>
            <w:tcW w:w="6018" w:type="dxa"/>
            <w:vAlign w:val="center"/>
          </w:tcPr>
          <w:p w14:paraId="1BEFB734">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按照《政府采购质疑和投诉办法》（财政部第94号令）处理</w:t>
            </w:r>
          </w:p>
        </w:tc>
      </w:tr>
      <w:tr w14:paraId="2F65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3D646900">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9.2</w:t>
            </w:r>
          </w:p>
        </w:tc>
        <w:tc>
          <w:tcPr>
            <w:tcW w:w="2521" w:type="dxa"/>
            <w:gridSpan w:val="2"/>
            <w:vAlign w:val="center"/>
          </w:tcPr>
          <w:p w14:paraId="6A40D7E1">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招标文件的解释</w:t>
            </w:r>
          </w:p>
        </w:tc>
        <w:tc>
          <w:tcPr>
            <w:tcW w:w="6018" w:type="dxa"/>
            <w:vAlign w:val="center"/>
          </w:tcPr>
          <w:p w14:paraId="45CA31DD">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由招标人负责</w:t>
            </w:r>
          </w:p>
        </w:tc>
      </w:tr>
      <w:tr w14:paraId="270D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0DB426C1">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9.3</w:t>
            </w:r>
          </w:p>
        </w:tc>
        <w:tc>
          <w:tcPr>
            <w:tcW w:w="2521" w:type="dxa"/>
            <w:gridSpan w:val="2"/>
            <w:vAlign w:val="center"/>
          </w:tcPr>
          <w:p w14:paraId="4AF94343">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落实政府采购政策</w:t>
            </w:r>
          </w:p>
        </w:tc>
        <w:tc>
          <w:tcPr>
            <w:tcW w:w="6018" w:type="dxa"/>
          </w:tcPr>
          <w:p w14:paraId="126A374E">
            <w:pPr>
              <w:pStyle w:val="41"/>
              <w:spacing w:line="380" w:lineRule="exac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根据《政府采购促进中小企业发展管理办法》（财库【2020】46号）规定，对小型和微型生产企业生产的产品或承接的服务价格给予10%的扣除，扣除后的价格参与评审。</w:t>
            </w:r>
          </w:p>
          <w:p w14:paraId="78797F0D">
            <w:pPr>
              <w:pStyle w:val="41"/>
              <w:spacing w:line="380" w:lineRule="exac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供应商应当提供《中小企业声明函》（格式见附件）。本项目为专门面向中小企业，供应商应当提供供应商自身及所有供货商的《中小企业声明函》。</w:t>
            </w:r>
          </w:p>
        </w:tc>
      </w:tr>
      <w:tr w14:paraId="2264B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24AB959">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9.4</w:t>
            </w:r>
          </w:p>
        </w:tc>
        <w:tc>
          <w:tcPr>
            <w:tcW w:w="2521" w:type="dxa"/>
            <w:gridSpan w:val="2"/>
            <w:vAlign w:val="center"/>
          </w:tcPr>
          <w:p w14:paraId="5B2BC62D">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6018" w:type="dxa"/>
            <w:vAlign w:val="center"/>
          </w:tcPr>
          <w:p w14:paraId="3343738D">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1.供应商应仔细阅读和充分理解招标文件的采购需求和合同主要条款，根据自身实际情况并综合考虑合同履行过程中的各类风险，理性报价。</w:t>
            </w:r>
          </w:p>
          <w:p w14:paraId="735A2020">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2.中标价即为</w:t>
            </w:r>
            <w:r>
              <w:rPr>
                <w:rFonts w:hint="eastAsia" w:ascii="宋体" w:hAnsi="宋体" w:eastAsia="宋体" w:cs="宋体"/>
                <w:color w:val="auto"/>
                <w:highlight w:val="none"/>
                <w:lang w:val="en-US" w:eastAsia="zh-CN"/>
              </w:rPr>
              <w:t>合</w:t>
            </w:r>
            <w:r>
              <w:rPr>
                <w:rFonts w:hint="eastAsia" w:ascii="宋体" w:hAnsi="宋体" w:eastAsia="宋体" w:cs="宋体"/>
                <w:color w:val="auto"/>
                <w:highlight w:val="none"/>
              </w:rPr>
              <w:t>同</w:t>
            </w:r>
            <w:r>
              <w:rPr>
                <w:rFonts w:hint="eastAsia" w:ascii="宋体" w:hAnsi="宋体" w:eastAsia="宋体" w:cs="宋体"/>
                <w:color w:val="auto"/>
                <w:highlight w:val="none"/>
                <w:lang w:val="en-US" w:eastAsia="zh-CN"/>
              </w:rPr>
              <w:t>总</w:t>
            </w:r>
            <w:r>
              <w:rPr>
                <w:rFonts w:hint="eastAsia" w:ascii="宋体" w:hAnsi="宋体" w:eastAsia="宋体" w:cs="宋体"/>
                <w:color w:val="auto"/>
                <w:highlight w:val="none"/>
              </w:rPr>
              <w:t>价，在合同期内不予调增。</w:t>
            </w:r>
          </w:p>
          <w:p w14:paraId="719642B2">
            <w:pPr>
              <w:spacing w:line="360" w:lineRule="exact"/>
              <w:jc w:val="left"/>
              <w:rPr>
                <w:rFonts w:hint="eastAsia" w:ascii="宋体" w:hAnsi="宋体" w:eastAsia="宋体" w:cs="宋体"/>
                <w:b/>
                <w:color w:val="auto"/>
                <w:highlight w:val="none"/>
              </w:rPr>
            </w:pPr>
            <w:r>
              <w:rPr>
                <w:rFonts w:hint="eastAsia" w:ascii="宋体" w:hAnsi="宋体" w:eastAsia="宋体" w:cs="宋体"/>
                <w:color w:val="auto"/>
                <w:highlight w:val="none"/>
              </w:rPr>
              <w:t>3.异常的低价可能会导致投标无效。</w:t>
            </w:r>
          </w:p>
        </w:tc>
      </w:tr>
      <w:tr w14:paraId="116C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2981219">
            <w:pPr>
              <w:spacing w:line="360" w:lineRule="exact"/>
              <w:jc w:val="center"/>
              <w:rPr>
                <w:rFonts w:hint="eastAsia" w:ascii="宋体" w:hAnsi="宋体" w:eastAsia="宋体" w:cs="宋体"/>
                <w:b/>
                <w:color w:val="auto"/>
                <w:highlight w:val="none"/>
              </w:rPr>
            </w:pPr>
            <w:bookmarkStart w:id="58" w:name="_Toc426469871"/>
            <w:bookmarkStart w:id="59" w:name="_Toc367784995"/>
            <w:r>
              <w:rPr>
                <w:rFonts w:hint="eastAsia" w:ascii="宋体" w:hAnsi="宋体" w:eastAsia="宋体" w:cs="宋体"/>
                <w:b/>
                <w:color w:val="auto"/>
                <w:highlight w:val="none"/>
              </w:rPr>
              <w:t>9.5</w:t>
            </w:r>
          </w:p>
        </w:tc>
        <w:tc>
          <w:tcPr>
            <w:tcW w:w="2521" w:type="dxa"/>
            <w:gridSpan w:val="2"/>
            <w:vAlign w:val="center"/>
          </w:tcPr>
          <w:p w14:paraId="6894F084">
            <w:pPr>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其他内容</w:t>
            </w:r>
          </w:p>
        </w:tc>
        <w:tc>
          <w:tcPr>
            <w:tcW w:w="6018" w:type="dxa"/>
            <w:vAlign w:val="center"/>
          </w:tcPr>
          <w:p w14:paraId="697AD288">
            <w:pPr>
              <w:numPr>
                <w:ilvl w:val="0"/>
                <w:numId w:val="1"/>
              </w:numPr>
              <w:spacing w:line="360" w:lineRule="exact"/>
              <w:jc w:val="left"/>
              <w:rPr>
                <w:rFonts w:hint="eastAsia" w:asciiTheme="majorEastAsia" w:hAnsiTheme="majorEastAsia" w:eastAsiaTheme="majorEastAsia" w:cstheme="majorEastAsia"/>
                <w:b/>
                <w:bCs/>
                <w:color w:val="auto"/>
                <w:sz w:val="24"/>
                <w:szCs w:val="24"/>
                <w:highlight w:val="none"/>
              </w:rPr>
            </w:pPr>
            <w:r>
              <w:rPr>
                <w:rFonts w:hint="eastAsia" w:ascii="宋体" w:hAnsi="宋体" w:eastAsia="宋体" w:cs="宋体"/>
                <w:b/>
                <w:bCs/>
                <w:color w:val="auto"/>
                <w:highlight w:val="none"/>
              </w:rPr>
              <w:t>招标代理服务费</w:t>
            </w:r>
            <w:r>
              <w:rPr>
                <w:rFonts w:hint="eastAsia" w:ascii="宋体" w:hAnsi="宋体" w:cs="宋体"/>
                <w:b/>
                <w:bCs/>
                <w:color w:val="auto"/>
                <w:highlight w:val="none"/>
                <w:lang w:eastAsia="zh-CN"/>
              </w:rPr>
              <w:t>：</w:t>
            </w:r>
            <w:r>
              <w:rPr>
                <w:rFonts w:hint="eastAsia" w:asciiTheme="majorEastAsia" w:hAnsiTheme="majorEastAsia" w:eastAsiaTheme="majorEastAsia" w:cstheme="majorEastAsia"/>
                <w:b/>
                <w:bCs/>
                <w:color w:val="auto"/>
                <w:sz w:val="24"/>
                <w:szCs w:val="24"/>
                <w:highlight w:val="none"/>
              </w:rPr>
              <w:t>本项目招标代理服务费由中标人在领取中标通知书前支付</w:t>
            </w:r>
            <w:r>
              <w:rPr>
                <w:rFonts w:hint="eastAsia" w:asciiTheme="majorEastAsia" w:hAnsiTheme="majorEastAsia" w:eastAsiaTheme="majorEastAsia" w:cstheme="majorEastAsia"/>
                <w:b/>
                <w:bCs/>
                <w:color w:val="auto"/>
                <w:sz w:val="24"/>
                <w:szCs w:val="24"/>
                <w:highlight w:val="none"/>
                <w:lang w:eastAsia="zh-CN"/>
              </w:rPr>
              <w:t>给代理公司</w:t>
            </w:r>
            <w:r>
              <w:rPr>
                <w:rFonts w:hint="eastAsia" w:asciiTheme="majorEastAsia" w:hAnsiTheme="majorEastAsia" w:eastAsiaTheme="majorEastAsia" w:cstheme="majorEastAsia"/>
                <w:b/>
                <w:bCs/>
                <w:color w:val="auto"/>
                <w:sz w:val="24"/>
                <w:szCs w:val="24"/>
                <w:highlight w:val="none"/>
              </w:rPr>
              <w:t>。招标代理服务费按照计价格【2002】1980号文件及发改价格【2011】534号文件规定的</w:t>
            </w:r>
            <w:r>
              <w:rPr>
                <w:rFonts w:hint="eastAsia" w:asciiTheme="majorEastAsia" w:hAnsiTheme="majorEastAsia" w:eastAsiaTheme="majorEastAsia" w:cstheme="majorEastAsia"/>
                <w:b/>
                <w:bCs/>
                <w:color w:val="auto"/>
                <w:sz w:val="24"/>
                <w:szCs w:val="24"/>
                <w:highlight w:val="none"/>
                <w:lang w:val="en-US" w:eastAsia="zh-CN"/>
              </w:rPr>
              <w:t>68</w:t>
            </w:r>
            <w:r>
              <w:rPr>
                <w:rFonts w:hint="eastAsia" w:asciiTheme="majorEastAsia" w:hAnsiTheme="majorEastAsia" w:eastAsiaTheme="majorEastAsia" w:cstheme="majorEastAsia"/>
                <w:b/>
                <w:bCs/>
                <w:color w:val="auto"/>
                <w:sz w:val="24"/>
                <w:szCs w:val="24"/>
                <w:highlight w:val="none"/>
              </w:rPr>
              <w:t>%计取。</w:t>
            </w:r>
            <w:r>
              <w:rPr>
                <w:rFonts w:hint="eastAsia" w:asciiTheme="majorEastAsia" w:hAnsiTheme="majorEastAsia" w:eastAsiaTheme="majorEastAsia" w:cstheme="majorEastAsia"/>
                <w:b/>
                <w:bCs/>
                <w:color w:val="auto"/>
                <w:sz w:val="24"/>
                <w:szCs w:val="24"/>
                <w:highlight w:val="none"/>
                <w:lang w:eastAsia="zh-CN"/>
              </w:rPr>
              <w:t>此</w:t>
            </w:r>
            <w:r>
              <w:rPr>
                <w:rFonts w:hint="eastAsia" w:asciiTheme="majorEastAsia" w:hAnsiTheme="majorEastAsia" w:eastAsiaTheme="majorEastAsia" w:cstheme="majorEastAsia"/>
                <w:b/>
                <w:bCs/>
                <w:color w:val="auto"/>
                <w:sz w:val="24"/>
                <w:szCs w:val="24"/>
                <w:highlight w:val="none"/>
              </w:rPr>
              <w:t>费用包含在总报价中，无需单列，采购人不另外支付。</w:t>
            </w:r>
            <w:r>
              <w:rPr>
                <w:rFonts w:hint="eastAsia" w:asciiTheme="majorEastAsia" w:hAnsiTheme="majorEastAsia" w:eastAsiaTheme="majorEastAsia" w:cstheme="majorEastAsia"/>
                <w:b/>
                <w:bCs/>
                <w:color w:val="auto"/>
                <w:sz w:val="24"/>
                <w:szCs w:val="24"/>
                <w:highlight w:val="none"/>
                <w:lang w:eastAsia="zh-CN"/>
              </w:rPr>
              <w:t>供应商</w:t>
            </w:r>
            <w:r>
              <w:rPr>
                <w:rFonts w:hint="eastAsia" w:asciiTheme="majorEastAsia" w:hAnsiTheme="majorEastAsia" w:eastAsiaTheme="majorEastAsia" w:cstheme="majorEastAsia"/>
                <w:b/>
                <w:bCs/>
                <w:color w:val="auto"/>
                <w:sz w:val="24"/>
                <w:szCs w:val="24"/>
                <w:highlight w:val="none"/>
              </w:rPr>
              <w:t>应充分考虑投标所发生的所有费用。</w:t>
            </w:r>
          </w:p>
          <w:p w14:paraId="2391B106">
            <w:pPr>
              <w:numPr>
                <w:ilvl w:val="0"/>
                <w:numId w:val="1"/>
              </w:numPr>
              <w:spacing w:line="360" w:lineRule="exact"/>
              <w:jc w:val="left"/>
              <w:rPr>
                <w:rFonts w:hint="default" w:eastAsia="宋体"/>
                <w:color w:val="auto"/>
                <w:highlight w:val="none"/>
                <w:lang w:val="en-US" w:eastAsia="zh-CN"/>
              </w:rPr>
            </w:pPr>
            <w:r>
              <w:rPr>
                <w:rFonts w:hint="eastAsia" w:ascii="宋体" w:hAnsi="宋体" w:cs="宋体"/>
                <w:color w:val="auto"/>
                <w:sz w:val="24"/>
                <w:szCs w:val="24"/>
                <w:highlight w:val="none"/>
                <w:lang w:val="en-US" w:eastAsia="zh-CN" w:bidi="ar-SA"/>
              </w:rPr>
              <w:t>采购人保留对中标单位提供的货物进行抽检的权利，若一次抽检不合格，采购人仅支付一次抽检费用其余抽检费用将由中标单位自行承担。</w:t>
            </w:r>
          </w:p>
          <w:p w14:paraId="008590A5">
            <w:pPr>
              <w:numPr>
                <w:ilvl w:val="0"/>
                <w:numId w:val="1"/>
              </w:numPr>
              <w:spacing w:line="360" w:lineRule="exact"/>
              <w:jc w:val="left"/>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企业类型（小型、微型）的判定可参照《关于印发中小企业划型标准规定的通知》（工信部联企业【2011】300号）文件，本项目所属行业为</w:t>
            </w:r>
            <w:r>
              <w:rPr>
                <w:rFonts w:hint="eastAsia" w:ascii="宋体" w:hAnsi="宋体" w:cs="宋体"/>
                <w:color w:val="auto"/>
                <w:sz w:val="24"/>
                <w:szCs w:val="24"/>
                <w:highlight w:val="none"/>
                <w:lang w:val="en-US" w:eastAsia="zh-CN" w:bidi="ar-SA"/>
              </w:rPr>
              <w:t>制造</w:t>
            </w:r>
            <w:r>
              <w:rPr>
                <w:rFonts w:hint="eastAsia" w:ascii="宋体" w:hAnsi="宋体" w:eastAsia="宋体" w:cs="宋体"/>
                <w:color w:val="auto"/>
                <w:sz w:val="24"/>
                <w:szCs w:val="24"/>
                <w:highlight w:val="none"/>
                <w:lang w:val="en-US" w:eastAsia="zh-CN" w:bidi="ar-SA"/>
              </w:rPr>
              <w:t>业。</w:t>
            </w:r>
          </w:p>
          <w:p w14:paraId="39A538D5">
            <w:pPr>
              <w:numPr>
                <w:ilvl w:val="0"/>
                <w:numId w:val="1"/>
              </w:numPr>
              <w:spacing w:line="360" w:lineRule="exact"/>
              <w:jc w:val="left"/>
              <w:rPr>
                <w:rFonts w:hint="default" w:eastAsia="宋体"/>
                <w:color w:val="auto"/>
                <w:highlight w:val="none"/>
                <w:lang w:val="en-US" w:eastAsia="zh-CN"/>
              </w:rPr>
            </w:pPr>
            <w:r>
              <w:rPr>
                <w:rFonts w:hint="eastAsia" w:ascii="宋体" w:hAnsi="宋体"/>
                <w:color w:val="auto"/>
                <w:sz w:val="28"/>
                <w:szCs w:val="28"/>
              </w:rPr>
              <w:t>本项目</w:t>
            </w:r>
            <w:r>
              <w:rPr>
                <w:rFonts w:hint="eastAsia" w:ascii="宋体" w:hAnsi="宋体"/>
                <w:color w:val="auto"/>
                <w:sz w:val="28"/>
                <w:szCs w:val="28"/>
                <w:lang w:eastAsia="zh-CN"/>
              </w:rPr>
              <w:t>核心产品：</w:t>
            </w:r>
            <w:r>
              <w:rPr>
                <w:rFonts w:hint="eastAsia" w:ascii="宋体" w:hAnsi="宋体" w:cs="宋体"/>
                <w:color w:val="auto"/>
                <w:sz w:val="28"/>
                <w:szCs w:val="28"/>
                <w:highlight w:val="none"/>
                <w:lang w:val="en-US" w:eastAsia="zh-CN"/>
              </w:rPr>
              <w:t>课桌椅</w:t>
            </w:r>
          </w:p>
        </w:tc>
      </w:tr>
    </w:tbl>
    <w:p w14:paraId="017251AC">
      <w:pPr>
        <w:adjustRightInd w:val="0"/>
        <w:snapToGrid w:val="0"/>
        <w:spacing w:line="490" w:lineRule="exact"/>
        <w:outlineLvl w:val="1"/>
        <w:rPr>
          <w:rFonts w:hint="eastAsia" w:ascii="宋体" w:hAnsi="宋体" w:eastAsia="宋体" w:cs="宋体"/>
          <w:color w:val="auto"/>
          <w:highlight w:val="none"/>
        </w:rPr>
      </w:pPr>
      <w:bookmarkStart w:id="60" w:name="_Toc4797"/>
      <w:r>
        <w:rPr>
          <w:rFonts w:hint="eastAsia" w:ascii="宋体" w:hAnsi="宋体" w:eastAsia="宋体" w:cs="宋体"/>
          <w:color w:val="auto"/>
          <w:highlight w:val="none"/>
        </w:rPr>
        <w:t>1.总则</w:t>
      </w:r>
      <w:bookmarkEnd w:id="58"/>
      <w:bookmarkEnd w:id="59"/>
      <w:bookmarkEnd w:id="60"/>
    </w:p>
    <w:p w14:paraId="745A8933">
      <w:pPr>
        <w:adjustRightInd w:val="0"/>
        <w:snapToGrid w:val="0"/>
        <w:spacing w:line="490" w:lineRule="exact"/>
        <w:rPr>
          <w:rFonts w:hint="eastAsia" w:ascii="宋体" w:hAnsi="宋体" w:eastAsia="宋体" w:cs="宋体"/>
          <w:b/>
          <w:color w:val="auto"/>
          <w:highlight w:val="none"/>
        </w:rPr>
      </w:pPr>
      <w:bookmarkStart w:id="61" w:name="_Toc343525506"/>
      <w:bookmarkStart w:id="62" w:name="_Toc152045530"/>
      <w:bookmarkStart w:id="63" w:name="_Toc383438593"/>
      <w:bookmarkStart w:id="64" w:name="_Toc152042306"/>
      <w:bookmarkStart w:id="65" w:name="_Toc179632547"/>
      <w:bookmarkStart w:id="66" w:name="_Toc247085690"/>
      <w:bookmarkStart w:id="67" w:name="_Toc246996919"/>
      <w:bookmarkStart w:id="68" w:name="_Toc144974498"/>
      <w:bookmarkStart w:id="69" w:name="_Toc426469872"/>
      <w:bookmarkStart w:id="70" w:name="_Toc246996176"/>
      <w:bookmarkStart w:id="71" w:name="_Toc367784996"/>
      <w:r>
        <w:rPr>
          <w:rFonts w:hint="eastAsia" w:ascii="宋体" w:hAnsi="宋体" w:eastAsia="宋体" w:cs="宋体"/>
          <w:b/>
          <w:color w:val="auto"/>
          <w:highlight w:val="none"/>
        </w:rPr>
        <w:t>1.1 项目概况</w:t>
      </w:r>
      <w:bookmarkEnd w:id="61"/>
      <w:bookmarkEnd w:id="62"/>
      <w:bookmarkEnd w:id="63"/>
      <w:bookmarkEnd w:id="64"/>
      <w:bookmarkEnd w:id="65"/>
      <w:bookmarkEnd w:id="66"/>
      <w:bookmarkEnd w:id="67"/>
      <w:bookmarkEnd w:id="68"/>
      <w:bookmarkEnd w:id="69"/>
      <w:bookmarkEnd w:id="70"/>
    </w:p>
    <w:p w14:paraId="309BC6C7">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1.1.1根据《中华人民共和国政府采购法》、《中华人民共和国政府采购法实施条例》等有关法律、法规和规章的规定，本采购项目已具备采购条件，现对本项目进行公开招标。</w:t>
      </w:r>
    </w:p>
    <w:p w14:paraId="5FB9FF1F">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1.1.2 招标人：见供应商须知前附表。</w:t>
      </w:r>
    </w:p>
    <w:p w14:paraId="3F61E91D">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1.1.3 采购代理机构：见供应商须知前附表。</w:t>
      </w:r>
    </w:p>
    <w:p w14:paraId="384B82C0">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1.1.4 项目名称及项目编号：见供应商须知前附表。</w:t>
      </w:r>
    </w:p>
    <w:p w14:paraId="18E92694">
      <w:pPr>
        <w:adjustRightInd w:val="0"/>
        <w:snapToGrid w:val="0"/>
        <w:spacing w:line="490" w:lineRule="exact"/>
        <w:rPr>
          <w:rFonts w:hint="eastAsia" w:ascii="宋体" w:hAnsi="宋体" w:eastAsia="宋体" w:cs="宋体"/>
          <w:b/>
          <w:color w:val="auto"/>
          <w:highlight w:val="none"/>
        </w:rPr>
      </w:pPr>
      <w:bookmarkStart w:id="72" w:name="_Toc383438594"/>
      <w:bookmarkStart w:id="73" w:name="_Toc152045531"/>
      <w:bookmarkStart w:id="74" w:name="_Toc152042307"/>
      <w:bookmarkStart w:id="75" w:name="_Toc247085691"/>
      <w:bookmarkStart w:id="76" w:name="_Toc246996920"/>
      <w:bookmarkStart w:id="77" w:name="_Toc343525507"/>
      <w:bookmarkStart w:id="78" w:name="_Toc179632548"/>
      <w:bookmarkStart w:id="79" w:name="_Toc144974499"/>
      <w:bookmarkStart w:id="80" w:name="_Toc426469873"/>
      <w:bookmarkStart w:id="81" w:name="_Toc246996177"/>
      <w:r>
        <w:rPr>
          <w:rFonts w:hint="eastAsia" w:ascii="宋体" w:hAnsi="宋体" w:eastAsia="宋体" w:cs="宋体"/>
          <w:b/>
          <w:color w:val="auto"/>
          <w:highlight w:val="none"/>
        </w:rPr>
        <w:t>1.2</w:t>
      </w:r>
      <w:bookmarkEnd w:id="72"/>
      <w:bookmarkEnd w:id="73"/>
      <w:bookmarkEnd w:id="74"/>
      <w:bookmarkEnd w:id="75"/>
      <w:bookmarkEnd w:id="76"/>
      <w:bookmarkEnd w:id="77"/>
      <w:bookmarkEnd w:id="78"/>
      <w:bookmarkEnd w:id="79"/>
      <w:bookmarkEnd w:id="80"/>
      <w:bookmarkEnd w:id="81"/>
      <w:r>
        <w:rPr>
          <w:rFonts w:hint="eastAsia" w:ascii="宋体" w:hAnsi="宋体" w:eastAsia="宋体" w:cs="宋体"/>
          <w:b/>
          <w:color w:val="auto"/>
          <w:highlight w:val="none"/>
        </w:rPr>
        <w:t>付款方式</w:t>
      </w:r>
    </w:p>
    <w:p w14:paraId="6D73C73E">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1.2.1付款方式：见供应商须知前附表。</w:t>
      </w:r>
    </w:p>
    <w:p w14:paraId="5824DC59">
      <w:pPr>
        <w:adjustRightInd w:val="0"/>
        <w:snapToGrid w:val="0"/>
        <w:spacing w:line="490" w:lineRule="exact"/>
        <w:rPr>
          <w:rFonts w:hint="eastAsia" w:ascii="宋体" w:hAnsi="宋体" w:eastAsia="宋体" w:cs="宋体"/>
          <w:b/>
          <w:color w:val="auto"/>
          <w:highlight w:val="none"/>
        </w:rPr>
      </w:pPr>
      <w:bookmarkStart w:id="82" w:name="_Toc246996178"/>
      <w:bookmarkStart w:id="83" w:name="_Toc152042308"/>
      <w:bookmarkStart w:id="84" w:name="_Toc152045532"/>
      <w:bookmarkStart w:id="85" w:name="_Toc343525508"/>
      <w:bookmarkStart w:id="86" w:name="_Toc179632549"/>
      <w:bookmarkStart w:id="87" w:name="_Toc246996921"/>
      <w:bookmarkStart w:id="88" w:name="_Toc383438595"/>
      <w:bookmarkStart w:id="89" w:name="_Toc144974500"/>
      <w:bookmarkStart w:id="90" w:name="_Toc247085692"/>
      <w:bookmarkStart w:id="91" w:name="_Toc426469874"/>
      <w:r>
        <w:rPr>
          <w:rFonts w:hint="eastAsia" w:ascii="宋体" w:hAnsi="宋体" w:eastAsia="宋体" w:cs="宋体"/>
          <w:b/>
          <w:color w:val="auto"/>
          <w:highlight w:val="none"/>
        </w:rPr>
        <w:t xml:space="preserve">1.3 </w:t>
      </w:r>
      <w:bookmarkEnd w:id="82"/>
      <w:bookmarkEnd w:id="83"/>
      <w:bookmarkEnd w:id="84"/>
      <w:bookmarkEnd w:id="85"/>
      <w:bookmarkEnd w:id="86"/>
      <w:bookmarkEnd w:id="87"/>
      <w:bookmarkEnd w:id="88"/>
      <w:bookmarkEnd w:id="89"/>
      <w:bookmarkEnd w:id="90"/>
      <w:r>
        <w:rPr>
          <w:rFonts w:hint="eastAsia" w:ascii="宋体" w:hAnsi="宋体" w:eastAsia="宋体" w:cs="宋体"/>
          <w:b/>
          <w:color w:val="auto"/>
          <w:highlight w:val="none"/>
        </w:rPr>
        <w:t>采购范围</w:t>
      </w:r>
      <w:bookmarkEnd w:id="91"/>
      <w:r>
        <w:rPr>
          <w:rFonts w:hint="eastAsia" w:ascii="宋体" w:hAnsi="宋体" w:eastAsia="宋体" w:cs="宋体"/>
          <w:b/>
          <w:color w:val="auto"/>
          <w:highlight w:val="none"/>
        </w:rPr>
        <w:t>与服务期限</w:t>
      </w:r>
    </w:p>
    <w:p w14:paraId="5BD72368">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 采购范围：见供应商须知前附表。</w:t>
      </w:r>
    </w:p>
    <w:p w14:paraId="30475764">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1.3.2 服务期限：见供应商须知前附表。</w:t>
      </w:r>
    </w:p>
    <w:p w14:paraId="09138A04">
      <w:pPr>
        <w:adjustRightInd w:val="0"/>
        <w:snapToGrid w:val="0"/>
        <w:spacing w:line="490" w:lineRule="exact"/>
        <w:rPr>
          <w:rFonts w:hint="eastAsia" w:ascii="宋体" w:hAnsi="宋体" w:eastAsia="宋体" w:cs="宋体"/>
          <w:b/>
          <w:color w:val="auto"/>
          <w:highlight w:val="none"/>
        </w:rPr>
      </w:pPr>
      <w:bookmarkStart w:id="92" w:name="_Toc179632551"/>
      <w:bookmarkStart w:id="93" w:name="_Toc144974502"/>
      <w:bookmarkStart w:id="94" w:name="_Toc152042310"/>
      <w:bookmarkStart w:id="95" w:name="_Toc247085693"/>
      <w:bookmarkStart w:id="96" w:name="_Toc246996179"/>
      <w:bookmarkStart w:id="97" w:name="_Toc246996922"/>
      <w:bookmarkStart w:id="98" w:name="_Toc383438596"/>
      <w:bookmarkStart w:id="99" w:name="_Toc426469875"/>
      <w:bookmarkStart w:id="100" w:name="_Toc343525509"/>
      <w:bookmarkStart w:id="101" w:name="_Toc152045534"/>
      <w:r>
        <w:rPr>
          <w:rFonts w:hint="eastAsia" w:ascii="宋体" w:hAnsi="宋体" w:eastAsia="宋体" w:cs="宋体"/>
          <w:b/>
          <w:color w:val="auto"/>
          <w:highlight w:val="none"/>
        </w:rPr>
        <w:t>1.4 供应商资格要求</w:t>
      </w:r>
      <w:bookmarkEnd w:id="92"/>
      <w:bookmarkEnd w:id="93"/>
      <w:bookmarkEnd w:id="94"/>
      <w:bookmarkEnd w:id="95"/>
      <w:bookmarkEnd w:id="96"/>
      <w:bookmarkEnd w:id="97"/>
      <w:bookmarkEnd w:id="98"/>
      <w:bookmarkEnd w:id="99"/>
      <w:bookmarkEnd w:id="100"/>
      <w:bookmarkEnd w:id="101"/>
    </w:p>
    <w:p w14:paraId="328F8522">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1.4.1 供应商参加政府采购活动应当具备下列条件：</w:t>
      </w:r>
    </w:p>
    <w:p w14:paraId="2DD6C9FC">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p w14:paraId="131D60F0">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p w14:paraId="4C3CC0C9">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p w14:paraId="6DE3B716">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p w14:paraId="6738F695">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（5）参加政府采购活动前三年内，在经营活动中没有重大违法记录；</w:t>
      </w:r>
    </w:p>
    <w:p w14:paraId="59932197">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（6）法律、行政法规规定的其他条件。</w:t>
      </w:r>
    </w:p>
    <w:p w14:paraId="1726B5FF">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1.4.2根据采购项目特殊要求，要求供应商具备的特定条件：见供应商须知前附表。</w:t>
      </w:r>
    </w:p>
    <w:p w14:paraId="597CF893">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1.4.3供应商不得存在下列情形之一：</w:t>
      </w:r>
    </w:p>
    <w:p w14:paraId="68B95376">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（l）与招标人或采购代理机构存在隶属关系或者其他利害关系；</w:t>
      </w:r>
    </w:p>
    <w:p w14:paraId="1C31347B">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（2）为采购项目提供了整体设计、规范编制或者项目管理、监理、检测等服务；</w:t>
      </w:r>
    </w:p>
    <w:p w14:paraId="4797A175">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（3）单位负责人为同一人或者存在直接控股、管理关系的不同供应商，参加同一合同项下的政府采购活动。</w:t>
      </w:r>
    </w:p>
    <w:p w14:paraId="5B57F7D5">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（4）以联合体形式参加政府采购活动的，联合体各方再单独参加或者与其他供应商另外组成联合体参加同一合同项下的政府采购活动。</w:t>
      </w:r>
    </w:p>
    <w:p w14:paraId="3CACFCDE">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（5）法律、行政法规规定的其他条件。</w:t>
      </w:r>
    </w:p>
    <w:p w14:paraId="5B16A222">
      <w:pPr>
        <w:adjustRightInd w:val="0"/>
        <w:snapToGrid w:val="0"/>
        <w:spacing w:line="490" w:lineRule="exact"/>
        <w:rPr>
          <w:rFonts w:hint="eastAsia" w:ascii="宋体" w:hAnsi="宋体" w:eastAsia="宋体" w:cs="宋体"/>
          <w:b/>
          <w:color w:val="auto"/>
          <w:highlight w:val="none"/>
        </w:rPr>
      </w:pPr>
      <w:bookmarkStart w:id="102" w:name="_Toc152042311"/>
      <w:bookmarkStart w:id="103" w:name="_Toc247085694"/>
      <w:bookmarkStart w:id="104" w:name="_Toc383438597"/>
      <w:bookmarkStart w:id="105" w:name="_Toc144974503"/>
      <w:bookmarkStart w:id="106" w:name="_Toc246996180"/>
      <w:bookmarkStart w:id="107" w:name="_Toc343525510"/>
      <w:bookmarkStart w:id="108" w:name="_Toc179632552"/>
      <w:bookmarkStart w:id="109" w:name="_Toc152045535"/>
      <w:bookmarkStart w:id="110" w:name="_Toc246996923"/>
      <w:bookmarkStart w:id="111" w:name="_Toc426469876"/>
      <w:r>
        <w:rPr>
          <w:rFonts w:hint="eastAsia" w:ascii="宋体" w:hAnsi="宋体" w:eastAsia="宋体" w:cs="宋体"/>
          <w:b/>
          <w:color w:val="auto"/>
          <w:highlight w:val="none"/>
        </w:rPr>
        <w:t>1.5费用承担</w:t>
      </w:r>
      <w:bookmarkEnd w:id="102"/>
      <w:bookmarkEnd w:id="103"/>
      <w:bookmarkEnd w:id="104"/>
      <w:bookmarkEnd w:id="105"/>
      <w:bookmarkEnd w:id="106"/>
      <w:bookmarkEnd w:id="107"/>
      <w:bookmarkEnd w:id="108"/>
      <w:bookmarkEnd w:id="109"/>
      <w:bookmarkEnd w:id="110"/>
      <w:bookmarkEnd w:id="111"/>
    </w:p>
    <w:p w14:paraId="3D367F58">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无论采购结果如何，供应商为准备和参加投标活动发生的费用自理。</w:t>
      </w:r>
    </w:p>
    <w:p w14:paraId="12CF6DEC">
      <w:pPr>
        <w:adjustRightInd w:val="0"/>
        <w:snapToGrid w:val="0"/>
        <w:spacing w:line="490" w:lineRule="exact"/>
        <w:rPr>
          <w:rFonts w:hint="eastAsia" w:ascii="宋体" w:hAnsi="宋体" w:eastAsia="宋体" w:cs="宋体"/>
          <w:b/>
          <w:color w:val="auto"/>
          <w:highlight w:val="none"/>
        </w:rPr>
      </w:pPr>
      <w:bookmarkStart w:id="112" w:name="_Toc144974505"/>
      <w:bookmarkStart w:id="113" w:name="_Toc383438599"/>
      <w:bookmarkStart w:id="114" w:name="_Toc152042313"/>
      <w:bookmarkStart w:id="115" w:name="_Toc426469878"/>
      <w:bookmarkStart w:id="116" w:name="_Toc152045537"/>
      <w:bookmarkStart w:id="117" w:name="_Toc246996925"/>
      <w:bookmarkStart w:id="118" w:name="_Toc179632554"/>
      <w:bookmarkStart w:id="119" w:name="_Toc343525512"/>
      <w:bookmarkStart w:id="120" w:name="_Toc246996182"/>
      <w:bookmarkStart w:id="121" w:name="_Toc247085696"/>
      <w:r>
        <w:rPr>
          <w:rFonts w:hint="eastAsia" w:ascii="宋体" w:hAnsi="宋体" w:eastAsia="宋体" w:cs="宋体"/>
          <w:b/>
          <w:color w:val="auto"/>
          <w:highlight w:val="none"/>
        </w:rPr>
        <w:t>1.6语言</w:t>
      </w:r>
      <w:bookmarkEnd w:id="112"/>
      <w:r>
        <w:rPr>
          <w:rFonts w:hint="eastAsia" w:ascii="宋体" w:hAnsi="宋体" w:eastAsia="宋体" w:cs="宋体"/>
          <w:b/>
          <w:color w:val="auto"/>
          <w:highlight w:val="none"/>
        </w:rPr>
        <w:t>文字</w:t>
      </w:r>
      <w:bookmarkEnd w:id="113"/>
      <w:bookmarkEnd w:id="114"/>
      <w:bookmarkEnd w:id="115"/>
      <w:bookmarkEnd w:id="116"/>
      <w:bookmarkEnd w:id="117"/>
      <w:bookmarkEnd w:id="118"/>
      <w:bookmarkEnd w:id="119"/>
      <w:bookmarkEnd w:id="120"/>
      <w:bookmarkEnd w:id="121"/>
    </w:p>
    <w:p w14:paraId="5BD30BDC">
      <w:pPr>
        <w:adjustRightInd w:val="0"/>
        <w:snapToGrid w:val="0"/>
        <w:spacing w:line="490" w:lineRule="exact"/>
        <w:ind w:firstLine="480" w:firstLineChars="200"/>
        <w:rPr>
          <w:rFonts w:hint="eastAsia" w:ascii="宋体" w:hAnsi="宋体" w:eastAsia="宋体" w:cs="宋体"/>
          <w:color w:val="auto"/>
          <w:highlight w:val="none"/>
        </w:rPr>
      </w:pPr>
      <w:bookmarkStart w:id="122" w:name="_Toc179632555"/>
      <w:bookmarkStart w:id="123" w:name="_Toc246996926"/>
      <w:bookmarkStart w:id="124" w:name="_Toc144974506"/>
      <w:bookmarkStart w:id="125" w:name="_Toc152045538"/>
      <w:bookmarkStart w:id="126" w:name="_Toc246996183"/>
      <w:bookmarkStart w:id="127" w:name="_Toc152042314"/>
      <w:bookmarkStart w:id="128" w:name="_Toc247085697"/>
      <w:r>
        <w:rPr>
          <w:rFonts w:hint="eastAsia" w:ascii="宋体" w:hAnsi="宋体" w:eastAsia="宋体" w:cs="宋体"/>
          <w:color w:val="auto"/>
          <w:highlight w:val="none"/>
        </w:rPr>
        <w:t>招投标文件使用的语言文字为中文。专用术语使用外文的，应附有中文注释。</w:t>
      </w:r>
    </w:p>
    <w:p w14:paraId="41BA7760">
      <w:pPr>
        <w:adjustRightInd w:val="0"/>
        <w:snapToGrid w:val="0"/>
        <w:spacing w:line="490" w:lineRule="exact"/>
        <w:rPr>
          <w:rFonts w:hint="eastAsia" w:ascii="宋体" w:hAnsi="宋体" w:eastAsia="宋体" w:cs="宋体"/>
          <w:b/>
          <w:color w:val="auto"/>
          <w:highlight w:val="none"/>
        </w:rPr>
      </w:pPr>
      <w:bookmarkStart w:id="129" w:name="_Toc343525513"/>
      <w:bookmarkStart w:id="130" w:name="_Toc426469879"/>
      <w:bookmarkStart w:id="131" w:name="_Toc383438600"/>
      <w:r>
        <w:rPr>
          <w:rFonts w:hint="eastAsia" w:ascii="宋体" w:hAnsi="宋体" w:eastAsia="宋体" w:cs="宋体"/>
          <w:b/>
          <w:color w:val="auto"/>
          <w:highlight w:val="none"/>
        </w:rPr>
        <w:t>1.7 计量单位</w:t>
      </w:r>
      <w:bookmarkEnd w:id="122"/>
      <w:bookmarkEnd w:id="123"/>
      <w:bookmarkEnd w:id="124"/>
      <w:bookmarkEnd w:id="125"/>
      <w:bookmarkEnd w:id="126"/>
      <w:bookmarkEnd w:id="127"/>
      <w:bookmarkEnd w:id="128"/>
      <w:bookmarkEnd w:id="129"/>
      <w:bookmarkEnd w:id="130"/>
      <w:bookmarkEnd w:id="131"/>
    </w:p>
    <w:p w14:paraId="2EBBAB0C">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F57F34D">
      <w:pPr>
        <w:adjustRightInd w:val="0"/>
        <w:snapToGrid w:val="0"/>
        <w:spacing w:line="490" w:lineRule="exact"/>
        <w:rPr>
          <w:rFonts w:hint="eastAsia" w:ascii="宋体" w:hAnsi="宋体" w:eastAsia="宋体" w:cs="宋体"/>
          <w:b/>
          <w:color w:val="auto"/>
          <w:highlight w:val="none"/>
        </w:rPr>
      </w:pPr>
      <w:bookmarkStart w:id="132" w:name="_Toc426469881"/>
      <w:r>
        <w:rPr>
          <w:rFonts w:hint="eastAsia" w:ascii="宋体" w:hAnsi="宋体" w:eastAsia="宋体" w:cs="宋体"/>
          <w:b/>
          <w:color w:val="auto"/>
          <w:highlight w:val="none"/>
        </w:rPr>
        <w:t>1.8偏离</w:t>
      </w:r>
      <w:bookmarkEnd w:id="132"/>
    </w:p>
    <w:p w14:paraId="75AFF5D4">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1.8.1偏离是指投标文件中的内容与招标文件中规定的技术参数、标准、服务要求等不一致的情形。优于招标文件规定的技术参数、标准、服务要求的为正偏离，反之为负偏离。</w:t>
      </w:r>
    </w:p>
    <w:p w14:paraId="761161A1">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1.8.2偏离的具体要求见供应商须知前附表。</w:t>
      </w:r>
    </w:p>
    <w:p w14:paraId="5C9B8A68">
      <w:pPr>
        <w:adjustRightInd w:val="0"/>
        <w:snapToGrid w:val="0"/>
        <w:spacing w:line="490" w:lineRule="exact"/>
        <w:outlineLvl w:val="1"/>
        <w:rPr>
          <w:rFonts w:hint="eastAsia" w:ascii="宋体" w:hAnsi="宋体" w:eastAsia="宋体" w:cs="宋体"/>
          <w:color w:val="auto"/>
          <w:highlight w:val="none"/>
        </w:rPr>
      </w:pPr>
      <w:bookmarkStart w:id="133" w:name="_Toc343525517"/>
      <w:bookmarkStart w:id="134" w:name="_Toc383438604"/>
      <w:bookmarkStart w:id="135" w:name="_Toc3240"/>
      <w:bookmarkStart w:id="136" w:name="_Toc426469882"/>
      <w:r>
        <w:rPr>
          <w:rFonts w:hint="eastAsia" w:ascii="宋体" w:hAnsi="宋体" w:eastAsia="宋体" w:cs="宋体"/>
          <w:color w:val="auto"/>
          <w:highlight w:val="none"/>
        </w:rPr>
        <w:t>2. 招标文件</w:t>
      </w:r>
      <w:bookmarkEnd w:id="133"/>
      <w:bookmarkEnd w:id="134"/>
      <w:bookmarkEnd w:id="135"/>
      <w:bookmarkEnd w:id="136"/>
    </w:p>
    <w:p w14:paraId="382D8271">
      <w:pPr>
        <w:adjustRightInd w:val="0"/>
        <w:snapToGrid w:val="0"/>
        <w:spacing w:line="490" w:lineRule="exact"/>
        <w:rPr>
          <w:rFonts w:hint="eastAsia" w:ascii="宋体" w:hAnsi="宋体" w:eastAsia="宋体" w:cs="宋体"/>
          <w:b/>
          <w:color w:val="auto"/>
          <w:highlight w:val="none"/>
        </w:rPr>
      </w:pPr>
      <w:bookmarkStart w:id="137" w:name="_Toc383438605"/>
      <w:bookmarkStart w:id="138" w:name="_Toc247085702"/>
      <w:bookmarkStart w:id="139" w:name="_Toc343525518"/>
      <w:bookmarkStart w:id="140" w:name="_Toc152045543"/>
      <w:bookmarkStart w:id="141" w:name="_Toc152042319"/>
      <w:bookmarkStart w:id="142" w:name="_Toc426469883"/>
      <w:bookmarkStart w:id="143" w:name="_Toc246996188"/>
      <w:bookmarkStart w:id="144" w:name="_Toc246996931"/>
      <w:bookmarkStart w:id="145" w:name="_Toc179632561"/>
      <w:bookmarkStart w:id="146" w:name="_Toc144974511"/>
      <w:r>
        <w:rPr>
          <w:rFonts w:hint="eastAsia" w:ascii="宋体" w:hAnsi="宋体" w:eastAsia="宋体" w:cs="宋体"/>
          <w:b/>
          <w:color w:val="auto"/>
          <w:highlight w:val="none"/>
        </w:rPr>
        <w:t>2.1 招标文件的组成</w:t>
      </w:r>
      <w:bookmarkEnd w:id="137"/>
      <w:bookmarkEnd w:id="138"/>
      <w:bookmarkEnd w:id="139"/>
      <w:bookmarkEnd w:id="140"/>
      <w:bookmarkEnd w:id="141"/>
      <w:bookmarkEnd w:id="142"/>
      <w:bookmarkEnd w:id="143"/>
      <w:bookmarkEnd w:id="144"/>
      <w:bookmarkEnd w:id="145"/>
      <w:bookmarkEnd w:id="146"/>
    </w:p>
    <w:p w14:paraId="26D93F6A">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2.1.1 本招标文件包括：</w:t>
      </w:r>
    </w:p>
    <w:p w14:paraId="4DFF575E">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55985D43">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（2）供应商须知；</w:t>
      </w:r>
    </w:p>
    <w:p w14:paraId="1120A1CD">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（3）评标办法；</w:t>
      </w:r>
    </w:p>
    <w:p w14:paraId="0C861238">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（4）合同条款及格式；</w:t>
      </w:r>
    </w:p>
    <w:p w14:paraId="3B9A9044">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（5）采购需求； </w:t>
      </w:r>
    </w:p>
    <w:p w14:paraId="27A81DC7">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（6）投标文件的编制要求及参考格式；</w:t>
      </w:r>
    </w:p>
    <w:p w14:paraId="18829CDB">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（7）供应商须知前附表规定的构成招标文件的其他材料。</w:t>
      </w:r>
    </w:p>
    <w:p w14:paraId="7FA4654B">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2.1.2根据本章第2.2款和第2.3款对招标文件所作的澄清、修改，构成招标文件的组成部分。</w:t>
      </w:r>
    </w:p>
    <w:p w14:paraId="55365ADE">
      <w:pPr>
        <w:adjustRightInd w:val="0"/>
        <w:snapToGrid w:val="0"/>
        <w:spacing w:line="490" w:lineRule="exact"/>
        <w:rPr>
          <w:rFonts w:hint="eastAsia" w:ascii="宋体" w:hAnsi="宋体" w:eastAsia="宋体" w:cs="宋体"/>
          <w:b/>
          <w:color w:val="auto"/>
          <w:highlight w:val="none"/>
        </w:rPr>
      </w:pPr>
      <w:bookmarkStart w:id="147" w:name="_Toc152042320"/>
      <w:bookmarkStart w:id="148" w:name="_Toc247085703"/>
      <w:bookmarkStart w:id="149" w:name="_Toc144974512"/>
      <w:bookmarkStart w:id="150" w:name="_Toc152045544"/>
      <w:bookmarkStart w:id="151" w:name="_Toc343525519"/>
      <w:bookmarkStart w:id="152" w:name="_Toc179632562"/>
      <w:bookmarkStart w:id="153" w:name="_Toc246996932"/>
      <w:bookmarkStart w:id="154" w:name="_Toc383438606"/>
      <w:bookmarkStart w:id="155" w:name="_Toc246996189"/>
      <w:bookmarkStart w:id="156" w:name="_Toc426469884"/>
      <w:r>
        <w:rPr>
          <w:rFonts w:hint="eastAsia" w:ascii="宋体" w:hAnsi="宋体" w:eastAsia="宋体" w:cs="宋体"/>
          <w:b/>
          <w:color w:val="auto"/>
          <w:highlight w:val="none"/>
        </w:rPr>
        <w:t>2.2 招标文件的澄清</w:t>
      </w:r>
      <w:bookmarkEnd w:id="147"/>
      <w:bookmarkEnd w:id="148"/>
      <w:bookmarkEnd w:id="149"/>
      <w:bookmarkEnd w:id="150"/>
      <w:bookmarkEnd w:id="151"/>
      <w:bookmarkEnd w:id="152"/>
      <w:bookmarkEnd w:id="153"/>
      <w:bookmarkEnd w:id="154"/>
      <w:bookmarkEnd w:id="155"/>
      <w:bookmarkEnd w:id="156"/>
      <w:r>
        <w:rPr>
          <w:rFonts w:hint="eastAsia" w:ascii="宋体" w:hAnsi="宋体" w:eastAsia="宋体" w:cs="宋体"/>
          <w:b/>
          <w:color w:val="auto"/>
          <w:highlight w:val="none"/>
        </w:rPr>
        <w:t xml:space="preserve"> </w:t>
      </w:r>
    </w:p>
    <w:p w14:paraId="22872BEB">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388AC568">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2F656691">
      <w:pPr>
        <w:adjustRightInd w:val="0"/>
        <w:snapToGrid w:val="0"/>
        <w:spacing w:line="490" w:lineRule="exact"/>
        <w:rPr>
          <w:rFonts w:hint="eastAsia" w:ascii="宋体" w:hAnsi="宋体" w:eastAsia="宋体" w:cs="宋体"/>
          <w:b/>
          <w:color w:val="auto"/>
          <w:highlight w:val="none"/>
        </w:rPr>
      </w:pPr>
      <w:bookmarkStart w:id="157" w:name="_Toc152045545"/>
      <w:bookmarkStart w:id="158" w:name="_Toc152042321"/>
      <w:bookmarkStart w:id="159" w:name="_Toc144974513"/>
      <w:bookmarkStart w:id="160" w:name="_Toc426469885"/>
      <w:bookmarkStart w:id="161" w:name="_Toc179632563"/>
      <w:bookmarkStart w:id="162" w:name="_Toc247085704"/>
      <w:bookmarkStart w:id="163" w:name="_Toc246996933"/>
      <w:bookmarkStart w:id="164" w:name="_Toc246996190"/>
      <w:bookmarkStart w:id="165" w:name="_Toc383438607"/>
      <w:bookmarkStart w:id="166" w:name="_Toc343525520"/>
      <w:r>
        <w:rPr>
          <w:rFonts w:hint="eastAsia" w:ascii="宋体" w:hAnsi="宋体" w:eastAsia="宋体" w:cs="宋体"/>
          <w:b/>
          <w:color w:val="auto"/>
          <w:highlight w:val="none"/>
        </w:rPr>
        <w:t>2.3 招标文件的修改</w:t>
      </w:r>
      <w:bookmarkEnd w:id="157"/>
      <w:bookmarkEnd w:id="158"/>
      <w:bookmarkEnd w:id="159"/>
      <w:bookmarkEnd w:id="160"/>
      <w:bookmarkEnd w:id="161"/>
      <w:bookmarkEnd w:id="162"/>
      <w:bookmarkEnd w:id="163"/>
      <w:bookmarkEnd w:id="164"/>
      <w:bookmarkEnd w:id="165"/>
      <w:bookmarkEnd w:id="166"/>
    </w:p>
    <w:p w14:paraId="65E399F3">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0DD2B71C">
      <w:pPr>
        <w:adjustRightInd w:val="0"/>
        <w:snapToGrid w:val="0"/>
        <w:spacing w:line="490" w:lineRule="exact"/>
        <w:rPr>
          <w:rFonts w:hint="eastAsia" w:ascii="宋体" w:hAnsi="宋体" w:eastAsia="宋体" w:cs="宋体"/>
          <w:b/>
          <w:color w:val="auto"/>
          <w:highlight w:val="none"/>
        </w:rPr>
      </w:pPr>
      <w:r>
        <w:rPr>
          <w:rFonts w:hint="eastAsia" w:ascii="宋体" w:hAnsi="宋体" w:eastAsia="宋体" w:cs="宋体"/>
          <w:b/>
          <w:color w:val="auto"/>
          <w:highlight w:val="none"/>
        </w:rPr>
        <w:t>2.4招标文件的重新发布</w:t>
      </w:r>
    </w:p>
    <w:p w14:paraId="45D6689C">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招标文件的澄清或修改涉及到申请人的资格条件、评标办法、采购需求等实质性内容时，将重新发布招标公告。</w:t>
      </w:r>
    </w:p>
    <w:p w14:paraId="6ABEBE5B">
      <w:pPr>
        <w:adjustRightInd w:val="0"/>
        <w:snapToGrid w:val="0"/>
        <w:spacing w:line="490" w:lineRule="exact"/>
        <w:outlineLvl w:val="1"/>
        <w:rPr>
          <w:rFonts w:hint="eastAsia" w:ascii="宋体" w:hAnsi="宋体" w:eastAsia="宋体" w:cs="宋体"/>
          <w:b/>
          <w:color w:val="auto"/>
          <w:highlight w:val="none"/>
        </w:rPr>
      </w:pPr>
      <w:bookmarkStart w:id="167" w:name="_Toc152045546"/>
      <w:bookmarkStart w:id="168" w:name="_Toc246996934"/>
      <w:bookmarkStart w:id="169" w:name="_Toc343525522"/>
      <w:bookmarkStart w:id="170" w:name="_Toc179632564"/>
      <w:bookmarkStart w:id="171" w:name="_Toc247085705"/>
      <w:bookmarkStart w:id="172" w:name="_Toc383438609"/>
      <w:bookmarkStart w:id="173" w:name="_Toc152042322"/>
      <w:bookmarkStart w:id="174" w:name="_Toc246996191"/>
      <w:bookmarkStart w:id="175" w:name="_Toc144974514"/>
      <w:bookmarkStart w:id="176" w:name="_Toc426469887"/>
      <w:bookmarkStart w:id="177" w:name="_Toc4709"/>
      <w:r>
        <w:rPr>
          <w:rFonts w:hint="eastAsia" w:ascii="宋体" w:hAnsi="宋体" w:eastAsia="宋体" w:cs="宋体"/>
          <w:b/>
          <w:color w:val="auto"/>
          <w:highlight w:val="none"/>
        </w:rPr>
        <w:t>3. 投标</w:t>
      </w:r>
      <w:bookmarkEnd w:id="167"/>
      <w:bookmarkEnd w:id="168"/>
      <w:bookmarkEnd w:id="169"/>
      <w:bookmarkEnd w:id="170"/>
      <w:bookmarkEnd w:id="171"/>
      <w:bookmarkEnd w:id="172"/>
      <w:bookmarkEnd w:id="173"/>
      <w:bookmarkEnd w:id="174"/>
      <w:bookmarkEnd w:id="175"/>
      <w:r>
        <w:rPr>
          <w:rFonts w:hint="eastAsia" w:ascii="宋体" w:hAnsi="宋体" w:eastAsia="宋体" w:cs="宋体"/>
          <w:b/>
          <w:color w:val="auto"/>
          <w:highlight w:val="none"/>
        </w:rPr>
        <w:t>文件</w:t>
      </w:r>
      <w:bookmarkEnd w:id="176"/>
      <w:bookmarkEnd w:id="177"/>
    </w:p>
    <w:p w14:paraId="6FC072F9">
      <w:pPr>
        <w:adjustRightInd w:val="0"/>
        <w:snapToGrid w:val="0"/>
        <w:spacing w:line="490" w:lineRule="exact"/>
        <w:rPr>
          <w:rFonts w:hint="eastAsia" w:ascii="宋体" w:hAnsi="宋体" w:eastAsia="宋体" w:cs="宋体"/>
          <w:b/>
          <w:color w:val="auto"/>
          <w:highlight w:val="none"/>
        </w:rPr>
      </w:pPr>
      <w:bookmarkStart w:id="178" w:name="_Toc246996935"/>
      <w:bookmarkStart w:id="179" w:name="_Toc152042323"/>
      <w:bookmarkStart w:id="180" w:name="_Toc152045547"/>
      <w:bookmarkStart w:id="181" w:name="_Toc343525523"/>
      <w:bookmarkStart w:id="182" w:name="_Toc247085706"/>
      <w:bookmarkStart w:id="183" w:name="_Toc246996192"/>
      <w:bookmarkStart w:id="184" w:name="_Toc144974515"/>
      <w:bookmarkStart w:id="185" w:name="_Toc383438610"/>
      <w:bookmarkStart w:id="186" w:name="_Toc179632565"/>
      <w:bookmarkStart w:id="187" w:name="_Toc426469888"/>
      <w:r>
        <w:rPr>
          <w:rFonts w:hint="eastAsia" w:ascii="宋体" w:hAnsi="宋体" w:eastAsia="宋体" w:cs="宋体"/>
          <w:b/>
          <w:color w:val="auto"/>
          <w:highlight w:val="none"/>
        </w:rPr>
        <w:t>3.1</w:t>
      </w:r>
      <w:bookmarkEnd w:id="178"/>
      <w:bookmarkEnd w:id="179"/>
      <w:bookmarkEnd w:id="180"/>
      <w:bookmarkEnd w:id="181"/>
      <w:bookmarkEnd w:id="182"/>
      <w:bookmarkEnd w:id="183"/>
      <w:bookmarkEnd w:id="184"/>
      <w:bookmarkEnd w:id="185"/>
      <w:bookmarkEnd w:id="186"/>
      <w:r>
        <w:rPr>
          <w:rFonts w:hint="eastAsia" w:ascii="宋体" w:hAnsi="宋体" w:eastAsia="宋体" w:cs="宋体"/>
          <w:b/>
          <w:color w:val="auto"/>
          <w:highlight w:val="none"/>
        </w:rPr>
        <w:t>投标文件的组成</w:t>
      </w:r>
      <w:bookmarkEnd w:id="187"/>
    </w:p>
    <w:p w14:paraId="4D832E11">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投标文件的组成：见供应商须知前附表。</w:t>
      </w:r>
    </w:p>
    <w:p w14:paraId="1B0DD5EF">
      <w:pPr>
        <w:adjustRightInd w:val="0"/>
        <w:snapToGrid w:val="0"/>
        <w:spacing w:line="490" w:lineRule="exact"/>
        <w:rPr>
          <w:rFonts w:hint="eastAsia" w:ascii="宋体" w:hAnsi="宋体" w:eastAsia="宋体" w:cs="宋体"/>
          <w:b/>
          <w:color w:val="auto"/>
          <w:highlight w:val="none"/>
        </w:rPr>
      </w:pPr>
      <w:bookmarkStart w:id="188" w:name="_Toc367785004"/>
      <w:bookmarkStart w:id="189" w:name="_Toc426469889"/>
      <w:r>
        <w:rPr>
          <w:rFonts w:hint="eastAsia" w:ascii="宋体" w:hAnsi="宋体" w:eastAsia="宋体" w:cs="宋体"/>
          <w:b/>
          <w:color w:val="auto"/>
          <w:highlight w:val="none"/>
        </w:rPr>
        <w:t>3.2</w:t>
      </w:r>
      <w:bookmarkEnd w:id="188"/>
      <w:r>
        <w:rPr>
          <w:rFonts w:hint="eastAsia" w:ascii="宋体" w:hAnsi="宋体" w:eastAsia="宋体" w:cs="宋体"/>
          <w:b/>
          <w:color w:val="auto"/>
          <w:highlight w:val="none"/>
        </w:rPr>
        <w:t>投标报价</w:t>
      </w:r>
      <w:bookmarkEnd w:id="189"/>
    </w:p>
    <w:p w14:paraId="7FD3541F">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3.2.1供应商应按招标文件规定的供货及服务要求、责任范围和合同条件，以人民币进行报价。</w:t>
      </w:r>
    </w:p>
    <w:p w14:paraId="3CBC8566">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3.2.2供应商在投标文件中只能有一个投标报价，且不得超过招标公告中载明的最高限价。任何包含价格调整要求和条件的投标报价均将视为无效报价。</w:t>
      </w:r>
    </w:p>
    <w:p w14:paraId="65156E11">
      <w:pPr>
        <w:adjustRightInd w:val="0"/>
        <w:snapToGrid w:val="0"/>
        <w:spacing w:line="490" w:lineRule="exact"/>
        <w:rPr>
          <w:rFonts w:hint="eastAsia" w:ascii="宋体" w:hAnsi="宋体" w:eastAsia="宋体" w:cs="宋体"/>
          <w:b/>
          <w:color w:val="auto"/>
          <w:highlight w:val="none"/>
        </w:rPr>
      </w:pPr>
      <w:bookmarkStart w:id="190" w:name="_Toc426469890"/>
      <w:bookmarkStart w:id="191" w:name="_Toc152045549"/>
      <w:bookmarkStart w:id="192" w:name="_Toc247085708"/>
      <w:bookmarkStart w:id="193" w:name="_Toc179632567"/>
      <w:bookmarkStart w:id="194" w:name="_Toc383438612"/>
      <w:bookmarkStart w:id="195" w:name="_Toc343525525"/>
      <w:bookmarkStart w:id="196" w:name="_Toc144974517"/>
      <w:bookmarkStart w:id="197" w:name="_Toc152042325"/>
      <w:bookmarkStart w:id="198" w:name="_Toc246996194"/>
      <w:bookmarkStart w:id="199" w:name="_Toc246996937"/>
      <w:r>
        <w:rPr>
          <w:rFonts w:hint="eastAsia" w:ascii="宋体" w:hAnsi="宋体" w:eastAsia="宋体" w:cs="宋体"/>
          <w:b/>
          <w:color w:val="auto"/>
          <w:highlight w:val="none"/>
        </w:rPr>
        <w:t>3.3投标有效期</w:t>
      </w:r>
      <w:bookmarkEnd w:id="190"/>
      <w:bookmarkEnd w:id="191"/>
      <w:bookmarkEnd w:id="192"/>
      <w:bookmarkEnd w:id="193"/>
      <w:bookmarkEnd w:id="194"/>
      <w:bookmarkEnd w:id="195"/>
      <w:bookmarkEnd w:id="196"/>
      <w:bookmarkEnd w:id="197"/>
      <w:bookmarkEnd w:id="198"/>
      <w:bookmarkEnd w:id="199"/>
    </w:p>
    <w:p w14:paraId="7FDEF272">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3.3.1在供应商须知前附表规定的投标有效期内，供应商不得要求撤销或修改其投标文件。</w:t>
      </w:r>
    </w:p>
    <w:p w14:paraId="36A09C89">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3.3.2出现特殊情况需要延长投标有效期的，招标人将以书面形式通知供应商。供应商拒绝延长投标有效期的，其投标失效。</w:t>
      </w:r>
    </w:p>
    <w:p w14:paraId="125BE968">
      <w:pPr>
        <w:adjustRightInd w:val="0"/>
        <w:snapToGrid w:val="0"/>
        <w:spacing w:line="490" w:lineRule="exact"/>
        <w:rPr>
          <w:rFonts w:hint="eastAsia" w:ascii="宋体" w:hAnsi="宋体" w:eastAsia="宋体" w:cs="宋体"/>
          <w:b/>
          <w:color w:val="auto"/>
          <w:highlight w:val="none"/>
        </w:rPr>
      </w:pPr>
      <w:bookmarkStart w:id="200" w:name="_Toc426469892"/>
      <w:r>
        <w:rPr>
          <w:rFonts w:hint="eastAsia" w:ascii="宋体" w:hAnsi="宋体" w:eastAsia="宋体" w:cs="宋体"/>
          <w:b/>
          <w:color w:val="auto"/>
          <w:highlight w:val="none"/>
        </w:rPr>
        <w:t>3.4投标文件的编制</w:t>
      </w:r>
      <w:bookmarkEnd w:id="200"/>
    </w:p>
    <w:p w14:paraId="74941688">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3.4.1供应商可以按照第六章“投标文件的编制要求及参考格式”要求编制投标文件。需另行增加的相关内容和材料应编入投标文件相应章节，作为投标文件的组成部分。</w:t>
      </w:r>
    </w:p>
    <w:p w14:paraId="34B2D56A">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3.4.2供应商应对招标文件中的资格要求、服务期限、投标有效期等实质性内容作出响应，并根据评审因素提供相应的证明材料。</w:t>
      </w:r>
    </w:p>
    <w:p w14:paraId="20ED7C1E">
      <w:pPr>
        <w:adjustRightInd w:val="0"/>
        <w:snapToGrid w:val="0"/>
        <w:spacing w:line="49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3.4.3 投标文件的数量：见供应商须知前附表</w:t>
      </w:r>
    </w:p>
    <w:p w14:paraId="65535788">
      <w:pPr>
        <w:adjustRightInd w:val="0"/>
        <w:snapToGrid w:val="0"/>
        <w:spacing w:line="490" w:lineRule="exact"/>
        <w:ind w:firstLine="480" w:firstLineChars="200"/>
        <w:rPr>
          <w:rFonts w:hint="eastAsia" w:ascii="宋体" w:hAnsi="宋体" w:eastAsia="宋体" w:cs="宋体"/>
          <w:color w:val="auto"/>
          <w:highlight w:val="none"/>
        </w:rPr>
      </w:pPr>
      <w:bookmarkStart w:id="201" w:name="_Toc426469894"/>
      <w:bookmarkStart w:id="202" w:name="_Toc367785016"/>
      <w:r>
        <w:rPr>
          <w:rFonts w:hint="eastAsia" w:ascii="宋体" w:hAnsi="宋体" w:eastAsia="宋体" w:cs="宋体"/>
          <w:color w:val="auto"/>
          <w:highlight w:val="none"/>
        </w:rPr>
        <w:t>3.4.4投标文件的签署：见供应商须知前附表</w:t>
      </w:r>
    </w:p>
    <w:bookmarkEnd w:id="71"/>
    <w:bookmarkEnd w:id="201"/>
    <w:bookmarkEnd w:id="202"/>
    <w:p w14:paraId="21EC097B">
      <w:pPr>
        <w:adjustRightInd w:val="0"/>
        <w:snapToGrid w:val="0"/>
        <w:spacing w:line="490" w:lineRule="exact"/>
        <w:outlineLvl w:val="1"/>
        <w:rPr>
          <w:rFonts w:hint="eastAsia" w:ascii="宋体" w:hAnsi="宋体" w:eastAsia="宋体" w:cs="宋体"/>
          <w:color w:val="auto"/>
          <w:highlight w:val="none"/>
        </w:rPr>
      </w:pPr>
      <w:bookmarkStart w:id="203" w:name="_Toc12576"/>
      <w:bookmarkStart w:id="204" w:name="_Toc390246906"/>
      <w:bookmarkStart w:id="205" w:name="_Toc383623673"/>
      <w:bookmarkStart w:id="206" w:name="_Toc383625994"/>
      <w:bookmarkStart w:id="207" w:name="_Toc390099019"/>
      <w:bookmarkStart w:id="208" w:name="_Toc179632605"/>
      <w:bookmarkStart w:id="209" w:name="_Toc247085745"/>
      <w:bookmarkStart w:id="210" w:name="_Toc144974554"/>
      <w:bookmarkStart w:id="211" w:name="_Toc152042364"/>
      <w:bookmarkStart w:id="212" w:name="_Toc246996230"/>
      <w:bookmarkStart w:id="213" w:name="_Toc383623945"/>
      <w:bookmarkStart w:id="214" w:name="_Toc383438646"/>
      <w:bookmarkStart w:id="215" w:name="_Toc152045587"/>
      <w:bookmarkStart w:id="216" w:name="_Toc343525562"/>
      <w:bookmarkStart w:id="217" w:name="_Toc390098841"/>
      <w:bookmarkStart w:id="218" w:name="_Toc246996973"/>
      <w:bookmarkStart w:id="219" w:name="_Toc383587457"/>
      <w:bookmarkStart w:id="220" w:name="_Toc383698648"/>
      <w:bookmarkStart w:id="221" w:name="_Toc383679747"/>
      <w:r>
        <w:rPr>
          <w:rFonts w:hint="eastAsia" w:ascii="宋体" w:hAnsi="宋体" w:eastAsia="宋体" w:cs="宋体"/>
          <w:color w:val="auto"/>
          <w:highlight w:val="none"/>
        </w:rPr>
        <w:t>4.投标</w:t>
      </w:r>
      <w:bookmarkEnd w:id="203"/>
    </w:p>
    <w:p w14:paraId="5C9805A4">
      <w:pPr>
        <w:adjustRightInd w:val="0"/>
        <w:snapToGrid w:val="0"/>
        <w:spacing w:line="490" w:lineRule="exact"/>
        <w:rPr>
          <w:rFonts w:hint="eastAsia" w:ascii="宋体" w:hAnsi="宋体" w:eastAsia="宋体" w:cs="宋体"/>
          <w:b/>
          <w:bCs/>
          <w:color w:val="auto"/>
          <w:sz w:val="24"/>
          <w:szCs w:val="24"/>
          <w:highlight w:val="none"/>
        </w:rPr>
      </w:pPr>
      <w:bookmarkStart w:id="222" w:name="_Toc26062"/>
      <w:r>
        <w:rPr>
          <w:rFonts w:hint="eastAsia" w:ascii="宋体" w:hAnsi="宋体" w:eastAsia="宋体" w:cs="宋体"/>
          <w:b/>
          <w:color w:val="auto"/>
          <w:sz w:val="24"/>
          <w:szCs w:val="24"/>
          <w:highlight w:val="none"/>
        </w:rPr>
        <w:t>4.1</w:t>
      </w:r>
      <w:r>
        <w:rPr>
          <w:rFonts w:hint="eastAsia" w:ascii="宋体" w:hAnsi="宋体" w:eastAsia="宋体" w:cs="宋体"/>
          <w:b/>
          <w:bCs/>
          <w:color w:val="auto"/>
          <w:sz w:val="24"/>
          <w:szCs w:val="24"/>
          <w:highlight w:val="none"/>
        </w:rPr>
        <w:t>投标文件的上传</w:t>
      </w:r>
    </w:p>
    <w:p w14:paraId="73769FB2">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DC47830">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4.2投标文件的修改与撤回</w:t>
      </w:r>
    </w:p>
    <w:p w14:paraId="274955E8">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4.2.1在投标截止时间前，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可以修改或撤回已递交的投标文件。具体操作方法见《江苏省政府采购管理交易系统（苏采云）供应商操作手册》。</w:t>
      </w:r>
    </w:p>
    <w:p w14:paraId="1EF604AD">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4.2.2修改的投标文件应按照本招标文件规定进行编制和重新上传。</w:t>
      </w:r>
    </w:p>
    <w:p w14:paraId="25196F50">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4.3投标文件的确认</w:t>
      </w:r>
    </w:p>
    <w:p w14:paraId="4A219199">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可以通过江苏省政府采购管理交易系统（苏采云）多次上传投标文件，以招标文件规定的投标截止时间前，江苏省政府采购管理交易系统（苏采云）接受到的最后一份投标文件为准。</w:t>
      </w:r>
    </w:p>
    <w:bookmarkEnd w:id="43"/>
    <w:bookmarkEnd w:id="44"/>
    <w:bookmarkEnd w:id="45"/>
    <w:bookmarkEnd w:id="46"/>
    <w:bookmarkEnd w:id="47"/>
    <w:bookmarkEnd w:id="48"/>
    <w:bookmarkEnd w:id="49"/>
    <w:bookmarkEnd w:id="5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14:paraId="57EBCF2B">
      <w:pPr>
        <w:adjustRightInd w:val="0"/>
        <w:snapToGrid w:val="0"/>
        <w:spacing w:line="490" w:lineRule="exac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开标</w:t>
      </w:r>
    </w:p>
    <w:p w14:paraId="2741B96E">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5.1 开标时间和地点</w:t>
      </w:r>
    </w:p>
    <w:p w14:paraId="1774DB5D">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5.1.1开标时间和地点：见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w:t>
      </w:r>
    </w:p>
    <w:p w14:paraId="46D58442">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5.1.2开标活动在江苏政府采购“苏采云”系统“开标大厅”内公开进行，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应当按照《江苏省政府采购管理交易系统（苏采云）供应商操作手册》规定，参加开标活动。</w:t>
      </w:r>
    </w:p>
    <w:p w14:paraId="508CBB2F">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5.2 不见面开标程序</w:t>
      </w:r>
    </w:p>
    <w:p w14:paraId="56E4F7DC">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（1）系统登录。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应在投标截止时间前登录开标大厅。</w:t>
      </w:r>
    </w:p>
    <w:p w14:paraId="22065792">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解密投标文件。按照系统内提示，在规定的时间内完成投标文件的解密。</w:t>
      </w:r>
    </w:p>
    <w:p w14:paraId="6C281C1F">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w:t>
      </w:r>
    </w:p>
    <w:p w14:paraId="39BA6952">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（4）开标记录确认。</w:t>
      </w:r>
    </w:p>
    <w:p w14:paraId="55B76C06">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（5）开标结束。</w:t>
      </w:r>
    </w:p>
    <w:p w14:paraId="1C3653CA">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5.3特殊情况的处置</w:t>
      </w:r>
    </w:p>
    <w:p w14:paraId="0B51044F">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5.3.1在投标截止时间后，开标系统出现下列情况之一时，项目未开标的，暂停开标活动；正在开标的，立即暂停开标，待系统恢复正常后再组织开标。</w:t>
      </w:r>
    </w:p>
    <w:p w14:paraId="3BA8D106">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（1）系统服务器发生故障，无法访问或无法使用系统； </w:t>
      </w:r>
    </w:p>
    <w:p w14:paraId="627E4AF6">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（2）系统的软件或数据库出现错误，不能进行正常操作； </w:t>
      </w:r>
    </w:p>
    <w:p w14:paraId="32F436A6">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（3）系统发现有安全漏洞，有潜在的泄密危险； </w:t>
      </w:r>
    </w:p>
    <w:p w14:paraId="5CB0548C">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（4）其他无法保证招投标过程公平和信息安全的情形。</w:t>
      </w:r>
    </w:p>
    <w:p w14:paraId="21E65260">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5.3.2因供应商自身原因造成投标文件无法解密的，视为撤销投标文件。</w:t>
      </w:r>
    </w:p>
    <w:p w14:paraId="259FF7EA">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5.3.3供应商对开标过程和开标记录有疑义的，可向招标人或者采购代理机构提出。</w:t>
      </w:r>
    </w:p>
    <w:p w14:paraId="005A3AAF">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5.3.4供应商未在开标系统中确认开标结果的，视同认可开标结果。</w:t>
      </w:r>
    </w:p>
    <w:p w14:paraId="7483D9EE">
      <w:pPr>
        <w:adjustRightInd w:val="0"/>
        <w:snapToGrid w:val="0"/>
        <w:spacing w:line="490" w:lineRule="exact"/>
        <w:outlineLvl w:val="1"/>
        <w:rPr>
          <w:rFonts w:hint="eastAsia" w:ascii="宋体" w:hAnsi="宋体" w:eastAsia="宋体" w:cs="宋体"/>
          <w:color w:val="auto"/>
          <w:sz w:val="24"/>
          <w:szCs w:val="24"/>
          <w:highlight w:val="none"/>
        </w:rPr>
      </w:pPr>
      <w:bookmarkStart w:id="223" w:name="_Toc29463"/>
      <w:r>
        <w:rPr>
          <w:rFonts w:hint="eastAsia" w:ascii="宋体" w:hAnsi="宋体" w:eastAsia="宋体" w:cs="宋体"/>
          <w:color w:val="auto"/>
          <w:sz w:val="24"/>
          <w:szCs w:val="24"/>
          <w:highlight w:val="none"/>
        </w:rPr>
        <w:t>6. 评标</w:t>
      </w:r>
      <w:bookmarkEnd w:id="223"/>
    </w:p>
    <w:p w14:paraId="73AA7A1F">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6.1 评标委员会</w:t>
      </w:r>
    </w:p>
    <w:p w14:paraId="22A2AB12">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6.1.1评标由招标人依法组建的评标委员会负责。评标委员会由招标人代表，以及有关技术、经济等方面的专家组成。具体人数见供应商须知前附表。</w:t>
      </w:r>
    </w:p>
    <w:p w14:paraId="6E2361DC">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6.1.2评标委员会成员有下列情形之一的，应当回避：</w:t>
      </w:r>
    </w:p>
    <w:p w14:paraId="75266225">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（1）参加采购活动前三年内,与供应商存在劳动关系,或者担任过供应商的董事、监事,或者是供应商的控股股东或实际控制人；</w:t>
      </w:r>
    </w:p>
    <w:p w14:paraId="3C257DEA">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（2）与供应商的法定代表人或者负责人有夫妻、直系血亲、三代以内旁系血亲或者近姻亲关系；</w:t>
      </w:r>
    </w:p>
    <w:p w14:paraId="7BD05057">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（3）与供应商有其他可能影响政府采购活动公平、公正进行的关系；</w:t>
      </w:r>
    </w:p>
    <w:p w14:paraId="2AB15FE6">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（4）法律、行政法规规定的其他条件。</w:t>
      </w:r>
    </w:p>
    <w:p w14:paraId="14A408BF">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6.2 评标</w:t>
      </w:r>
    </w:p>
    <w:p w14:paraId="3E78B0CC">
      <w:pPr>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评标活动遵循公正、客观、审慎的原则。</w:t>
      </w:r>
      <w:r>
        <w:rPr>
          <w:rFonts w:hint="eastAsia" w:ascii="宋体" w:hAnsi="宋体" w:eastAsia="宋体" w:cs="宋体"/>
          <w:color w:val="auto"/>
          <w:sz w:val="24"/>
          <w:szCs w:val="24"/>
          <w:highlight w:val="none"/>
        </w:rPr>
        <w:t>评标委员会严格按照第三章“评标办法”规定的评标方法、评标程序和评标标准进行独立评审。第三章“评标办法”没有规定的评标标准，不得作为评标依据。</w:t>
      </w:r>
    </w:p>
    <w:p w14:paraId="65F24E6A">
      <w:pPr>
        <w:adjustRightInd w:val="0"/>
        <w:snapToGrid w:val="0"/>
        <w:spacing w:line="490" w:lineRule="exact"/>
        <w:outlineLvl w:val="1"/>
        <w:rPr>
          <w:rFonts w:hint="eastAsia" w:ascii="宋体" w:hAnsi="宋体" w:eastAsia="宋体" w:cs="宋体"/>
          <w:color w:val="auto"/>
          <w:sz w:val="24"/>
          <w:szCs w:val="24"/>
          <w:highlight w:val="none"/>
        </w:rPr>
      </w:pPr>
      <w:bookmarkStart w:id="224" w:name="_Toc28529"/>
      <w:r>
        <w:rPr>
          <w:rFonts w:hint="eastAsia" w:ascii="宋体" w:hAnsi="宋体" w:eastAsia="宋体" w:cs="宋体"/>
          <w:color w:val="auto"/>
          <w:sz w:val="24"/>
          <w:szCs w:val="24"/>
          <w:highlight w:val="none"/>
        </w:rPr>
        <w:t>7.中标</w:t>
      </w:r>
      <w:bookmarkEnd w:id="224"/>
    </w:p>
    <w:p w14:paraId="2C9F8671">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7.1确定中标人</w:t>
      </w:r>
    </w:p>
    <w:p w14:paraId="716C7A9D">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7.1.1自收到评标报告之日起５个工作日内，在评标报告确定的中标候选人名单中按顺序确定中标人。</w:t>
      </w:r>
    </w:p>
    <w:p w14:paraId="1088B1F5">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7.1.2排名第一的中标候选人出现下列情形之一的，除合格供应商的数量不符合法定的要求外，招标人将按照评标委员会提出的中标候选人名单排序依次确定其他中标候选人为中标人。</w:t>
      </w:r>
    </w:p>
    <w:p w14:paraId="0EA82E7F">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（1）因不可抗力或者自身原因不能履行合同的；</w:t>
      </w:r>
    </w:p>
    <w:p w14:paraId="5BA14497">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（2）经过财政部门处理投诉举报、监督检查，认定中标无效的；</w:t>
      </w:r>
    </w:p>
    <w:p w14:paraId="0886C954">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（3）拒绝与招标人签订合同的。</w:t>
      </w:r>
    </w:p>
    <w:p w14:paraId="0018D0A2">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7.2中标公告及中标通知书</w:t>
      </w:r>
    </w:p>
    <w:p w14:paraId="587B5D93">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7.2.1自中标人确定之日起2个工作日内，在供应商须知前附表规定的媒介上公告中标结果，公告期限为1个工作日。</w:t>
      </w:r>
    </w:p>
    <w:p w14:paraId="1987399C">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7.2.2在公告中标结果的同时，向中标人发出中标通知书。中标通知书对招标人和中标人具有同等法律效力。  </w:t>
      </w:r>
    </w:p>
    <w:p w14:paraId="311869ED">
      <w:pPr>
        <w:adjustRightInd w:val="0"/>
        <w:snapToGrid w:val="0"/>
        <w:spacing w:line="490" w:lineRule="exact"/>
        <w:outlineLvl w:val="1"/>
        <w:rPr>
          <w:rFonts w:hint="eastAsia" w:ascii="宋体" w:hAnsi="宋体" w:eastAsia="宋体" w:cs="宋体"/>
          <w:color w:val="auto"/>
          <w:sz w:val="24"/>
          <w:szCs w:val="24"/>
          <w:highlight w:val="none"/>
        </w:rPr>
      </w:pPr>
      <w:bookmarkStart w:id="225" w:name="_Toc23349"/>
      <w:r>
        <w:rPr>
          <w:rFonts w:hint="eastAsia" w:ascii="宋体" w:hAnsi="宋体" w:eastAsia="宋体" w:cs="宋体"/>
          <w:color w:val="auto"/>
          <w:sz w:val="24"/>
          <w:szCs w:val="24"/>
          <w:highlight w:val="none"/>
        </w:rPr>
        <w:t>8.合同</w:t>
      </w:r>
      <w:bookmarkEnd w:id="225"/>
    </w:p>
    <w:p w14:paraId="14D63D99">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8.1 履约保证金</w:t>
      </w:r>
    </w:p>
    <w:p w14:paraId="7AFAFBEE">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8.1.1中标人应按供应商须知前附表规定的履约保证金的形式、金额和提交时间向招标人提交履约保证金。</w:t>
      </w:r>
    </w:p>
    <w:p w14:paraId="1675849B">
      <w:pPr>
        <w:adjustRightInd w:val="0"/>
        <w:snapToGrid w:val="0"/>
        <w:spacing w:line="49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8.1.2中标人不能按本招标文件要求提交履约保证金的，视为放弃中标，给招标人造成损失的，中标人还应当予以赔偿。</w:t>
      </w:r>
    </w:p>
    <w:p w14:paraId="7C7C1D21">
      <w:pPr>
        <w:adjustRightInd w:val="0"/>
        <w:snapToGrid w:val="0"/>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8.2签订合同</w:t>
      </w:r>
    </w:p>
    <w:p w14:paraId="51C64F45">
      <w:pPr>
        <w:adjustRightInd w:val="0"/>
        <w:snapToGrid w:val="0"/>
        <w:spacing w:line="49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3890837F">
      <w:pPr>
        <w:adjustRightInd w:val="0"/>
        <w:snapToGrid w:val="0"/>
        <w:spacing w:line="490" w:lineRule="exact"/>
        <w:outlineLvl w:val="1"/>
        <w:rPr>
          <w:rFonts w:hint="eastAsia" w:ascii="宋体" w:hAnsi="宋体" w:eastAsia="宋体" w:cs="宋体"/>
          <w:color w:val="auto"/>
          <w:sz w:val="24"/>
          <w:szCs w:val="24"/>
          <w:highlight w:val="none"/>
        </w:rPr>
      </w:pPr>
      <w:bookmarkStart w:id="226" w:name="_Toc19745"/>
      <w:r>
        <w:rPr>
          <w:rFonts w:hint="eastAsia" w:ascii="宋体" w:hAnsi="宋体" w:eastAsia="宋体" w:cs="宋体"/>
          <w:color w:val="auto"/>
          <w:sz w:val="24"/>
          <w:szCs w:val="24"/>
          <w:highlight w:val="none"/>
        </w:rPr>
        <w:t>9. 需要补充的其他内容</w:t>
      </w:r>
      <w:bookmarkEnd w:id="226"/>
    </w:p>
    <w:p w14:paraId="5FE45887">
      <w:pPr>
        <w:spacing w:line="49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需要补充的其他内容：见供应商须知前附表。</w:t>
      </w:r>
      <w:bookmarkStart w:id="227" w:name="_Hlt26671372"/>
      <w:bookmarkEnd w:id="227"/>
      <w:bookmarkStart w:id="228" w:name="_Hlt24879081"/>
      <w:bookmarkEnd w:id="228"/>
      <w:bookmarkStart w:id="229" w:name="_Hlt26955056"/>
      <w:bookmarkEnd w:id="229"/>
      <w:bookmarkStart w:id="230" w:name="_Hlt26580838"/>
      <w:bookmarkEnd w:id="230"/>
      <w:bookmarkStart w:id="231" w:name="_Hlt26782999"/>
      <w:bookmarkEnd w:id="231"/>
      <w:bookmarkStart w:id="232" w:name="_Hlt26671343"/>
      <w:bookmarkEnd w:id="232"/>
      <w:bookmarkStart w:id="233" w:name="_Hlt26609391"/>
      <w:bookmarkEnd w:id="233"/>
      <w:bookmarkStart w:id="234" w:name="_Hlt26955064"/>
      <w:bookmarkEnd w:id="234"/>
    </w:p>
    <w:p w14:paraId="124F3780">
      <w:pPr>
        <w:widowControl/>
        <w:jc w:val="left"/>
        <w:rPr>
          <w:rFonts w:hint="eastAsia" w:ascii="宋体" w:hAnsi="宋体" w:eastAsia="宋体" w:cs="宋体"/>
          <w:color w:val="auto"/>
          <w:highlight w:val="none"/>
        </w:rPr>
      </w:pPr>
    </w:p>
    <w:p w14:paraId="7F9DB76F">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7DABBF4C">
      <w:pPr>
        <w:pStyle w:val="40"/>
        <w:spacing w:line="360" w:lineRule="exact"/>
        <w:ind w:left="-2" w:leftChars="-1" w:firstLine="643" w:firstLineChars="200"/>
        <w:jc w:val="center"/>
        <w:outlineLvl w:val="0"/>
        <w:rPr>
          <w:rFonts w:hint="eastAsia" w:ascii="宋体" w:hAnsi="宋体" w:eastAsia="宋体" w:cs="宋体"/>
          <w:b/>
          <w:color w:val="auto"/>
          <w:sz w:val="32"/>
          <w:szCs w:val="32"/>
          <w:highlight w:val="none"/>
        </w:rPr>
      </w:pPr>
      <w:bookmarkStart w:id="235" w:name="_Toc4258"/>
      <w:r>
        <w:rPr>
          <w:rFonts w:hint="eastAsia" w:ascii="宋体" w:hAnsi="宋体" w:eastAsia="宋体" w:cs="宋体"/>
          <w:b/>
          <w:color w:val="auto"/>
          <w:sz w:val="32"/>
          <w:szCs w:val="32"/>
          <w:highlight w:val="none"/>
        </w:rPr>
        <w:t>第三章 资格审查及评标办法</w:t>
      </w:r>
      <w:bookmarkEnd w:id="235"/>
    </w:p>
    <w:p w14:paraId="538F0DF0">
      <w:pPr>
        <w:rPr>
          <w:rFonts w:hint="eastAsia" w:ascii="宋体" w:hAnsi="宋体" w:eastAsia="宋体" w:cs="宋体"/>
          <w:color w:val="auto"/>
          <w:sz w:val="28"/>
          <w:szCs w:val="28"/>
          <w:highlight w:val="none"/>
        </w:rPr>
      </w:pPr>
      <w:bookmarkStart w:id="236" w:name="_Toc343525563"/>
      <w:bookmarkStart w:id="237" w:name="_Toc152042365"/>
      <w:bookmarkStart w:id="238" w:name="_Toc246996974"/>
      <w:bookmarkStart w:id="239" w:name="_Toc426469920"/>
      <w:bookmarkStart w:id="240" w:name="_Toc383438647"/>
      <w:bookmarkStart w:id="241" w:name="_Toc179632606"/>
      <w:bookmarkStart w:id="242" w:name="_Toc152045588"/>
      <w:bookmarkStart w:id="243" w:name="_Toc247085746"/>
      <w:bookmarkStart w:id="244" w:name="_Toc144974555"/>
      <w:bookmarkStart w:id="245" w:name="_Toc246996231"/>
      <w:r>
        <w:rPr>
          <w:rFonts w:hint="eastAsia" w:ascii="宋体" w:hAnsi="宋体" w:eastAsia="宋体" w:cs="宋体"/>
          <w:color w:val="auto"/>
          <w:sz w:val="28"/>
          <w:szCs w:val="28"/>
          <w:highlight w:val="none"/>
        </w:rPr>
        <w:t>资格审查和评标办法前附表</w:t>
      </w:r>
      <w:bookmarkEnd w:id="236"/>
      <w:bookmarkEnd w:id="237"/>
      <w:bookmarkEnd w:id="238"/>
      <w:bookmarkEnd w:id="239"/>
      <w:bookmarkEnd w:id="240"/>
      <w:bookmarkEnd w:id="241"/>
      <w:bookmarkEnd w:id="242"/>
      <w:bookmarkEnd w:id="243"/>
      <w:bookmarkEnd w:id="244"/>
      <w:bookmarkEnd w:id="245"/>
      <w:bookmarkStart w:id="246" w:name="_Toc247085747"/>
      <w:bookmarkStart w:id="247" w:name="_Toc152042366"/>
      <w:bookmarkStart w:id="248" w:name="_Toc179632607"/>
      <w:bookmarkStart w:id="249" w:name="_Toc144974556"/>
      <w:bookmarkStart w:id="250" w:name="_Toc343525564"/>
      <w:bookmarkStart w:id="251" w:name="_Toc246996232"/>
      <w:bookmarkStart w:id="252" w:name="_Toc246996975"/>
      <w:bookmarkStart w:id="253" w:name="_Toc152045589"/>
    </w:p>
    <w:tbl>
      <w:tblPr>
        <w:tblStyle w:val="27"/>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66"/>
        <w:gridCol w:w="2533"/>
        <w:gridCol w:w="4964"/>
      </w:tblGrid>
      <w:tr w14:paraId="4F0156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9" w:hRule="atLeast"/>
          <w:jc w:val="center"/>
        </w:trPr>
        <w:tc>
          <w:tcPr>
            <w:tcW w:w="1212" w:type="dxa"/>
            <w:gridSpan w:val="2"/>
            <w:tcBorders>
              <w:top w:val="outset" w:color="auto" w:sz="6" w:space="0"/>
              <w:left w:val="outset" w:color="auto" w:sz="6" w:space="0"/>
              <w:bottom w:val="outset" w:color="auto" w:sz="6" w:space="0"/>
              <w:right w:val="outset" w:color="auto" w:sz="6" w:space="0"/>
            </w:tcBorders>
            <w:vAlign w:val="center"/>
          </w:tcPr>
          <w:p w14:paraId="15EB91B1">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533" w:type="dxa"/>
            <w:tcBorders>
              <w:top w:val="outset" w:color="auto" w:sz="6" w:space="0"/>
              <w:left w:val="outset" w:color="auto" w:sz="6" w:space="0"/>
              <w:bottom w:val="outset" w:color="auto" w:sz="6" w:space="0"/>
              <w:right w:val="outset" w:color="auto" w:sz="6" w:space="0"/>
            </w:tcBorders>
            <w:vAlign w:val="center"/>
          </w:tcPr>
          <w:p w14:paraId="06E419CB">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00F57261">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评审标准</w:t>
            </w:r>
          </w:p>
        </w:tc>
      </w:tr>
      <w:tr w14:paraId="6B9768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38227043">
            <w:pPr>
              <w:spacing w:line="360" w:lineRule="exact"/>
              <w:jc w:val="center"/>
              <w:rPr>
                <w:rFonts w:hint="eastAsia" w:ascii="宋体" w:hAnsi="宋体" w:eastAsia="宋体" w:cs="宋体"/>
                <w:color w:val="auto"/>
                <w:spacing w:val="-40"/>
                <w:highlight w:val="none"/>
              </w:rPr>
            </w:pPr>
            <w:r>
              <w:rPr>
                <w:rFonts w:hint="eastAsia" w:ascii="宋体" w:hAnsi="宋体" w:eastAsia="宋体" w:cs="宋体"/>
                <w:color w:val="auto"/>
                <w:spacing w:val="-14"/>
                <w:highlight w:val="none"/>
              </w:rPr>
              <w:t>1.2</w:t>
            </w:r>
          </w:p>
        </w:tc>
        <w:tc>
          <w:tcPr>
            <w:tcW w:w="666" w:type="dxa"/>
            <w:vMerge w:val="restart"/>
            <w:tcBorders>
              <w:top w:val="outset" w:color="auto" w:sz="6" w:space="0"/>
              <w:left w:val="outset" w:color="auto" w:sz="6" w:space="0"/>
              <w:right w:val="outset" w:color="auto" w:sz="6" w:space="0"/>
            </w:tcBorders>
            <w:vAlign w:val="center"/>
          </w:tcPr>
          <w:p w14:paraId="087189BE">
            <w:pPr>
              <w:jc w:val="center"/>
              <w:rPr>
                <w:rFonts w:hint="eastAsia" w:ascii="宋体" w:hAnsi="宋体" w:eastAsia="宋体" w:cs="宋体"/>
                <w:color w:val="auto"/>
                <w:highlight w:val="none"/>
              </w:rPr>
            </w:pPr>
            <w:r>
              <w:rPr>
                <w:rFonts w:hint="eastAsia" w:ascii="宋体" w:hAnsi="宋体" w:eastAsia="宋体" w:cs="宋体"/>
                <w:color w:val="auto"/>
                <w:highlight w:val="none"/>
              </w:rPr>
              <w:t>资格审查</w:t>
            </w:r>
          </w:p>
        </w:tc>
        <w:tc>
          <w:tcPr>
            <w:tcW w:w="2533" w:type="dxa"/>
            <w:tcBorders>
              <w:top w:val="outset" w:color="auto" w:sz="6" w:space="0"/>
              <w:left w:val="outset" w:color="auto" w:sz="6" w:space="0"/>
              <w:bottom w:val="outset" w:color="auto" w:sz="6" w:space="0"/>
              <w:right w:val="outset" w:color="auto" w:sz="6" w:space="0"/>
            </w:tcBorders>
            <w:vAlign w:val="center"/>
          </w:tcPr>
          <w:p w14:paraId="6D625763">
            <w:pPr>
              <w:spacing w:line="3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0893E83E">
            <w:pPr>
              <w:spacing w:line="3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根据供应商提供的承诺函。（</w:t>
            </w:r>
            <w:r>
              <w:rPr>
                <w:rFonts w:hint="eastAsia" w:ascii="宋体" w:hAnsi="宋体" w:eastAsia="宋体" w:cs="宋体"/>
                <w:color w:val="auto"/>
                <w:highlight w:val="none"/>
                <w:lang w:eastAsia="zh-CN"/>
              </w:rPr>
              <w:t>内容完整且</w:t>
            </w:r>
            <w:r>
              <w:rPr>
                <w:rFonts w:hint="eastAsia" w:ascii="宋体" w:hAnsi="宋体" w:eastAsia="宋体" w:cs="宋体"/>
                <w:color w:val="auto"/>
                <w:highlight w:val="none"/>
                <w:lang w:val="en-US" w:eastAsia="zh-CN"/>
              </w:rPr>
              <w:t>签章完备，</w:t>
            </w:r>
            <w:r>
              <w:rPr>
                <w:rFonts w:hint="eastAsia" w:ascii="宋体" w:hAnsi="宋体" w:eastAsia="宋体" w:cs="宋体"/>
                <w:color w:val="auto"/>
                <w:highlight w:val="none"/>
              </w:rPr>
              <w:t>格式参照第六章）</w:t>
            </w:r>
          </w:p>
        </w:tc>
      </w:tr>
      <w:tr w14:paraId="0320025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continue"/>
            <w:tcBorders>
              <w:left w:val="outset" w:color="auto" w:sz="6" w:space="0"/>
              <w:right w:val="outset" w:color="auto" w:sz="6" w:space="0"/>
            </w:tcBorders>
            <w:vAlign w:val="center"/>
          </w:tcPr>
          <w:p w14:paraId="0ED47B92">
            <w:pPr>
              <w:spacing w:line="360" w:lineRule="exact"/>
              <w:jc w:val="center"/>
              <w:rPr>
                <w:rFonts w:hint="eastAsia" w:ascii="宋体" w:hAnsi="宋体" w:eastAsia="宋体" w:cs="宋体"/>
                <w:color w:val="auto"/>
                <w:spacing w:val="-14"/>
                <w:highlight w:val="none"/>
              </w:rPr>
            </w:pPr>
          </w:p>
        </w:tc>
        <w:tc>
          <w:tcPr>
            <w:tcW w:w="666" w:type="dxa"/>
            <w:vMerge w:val="continue"/>
            <w:tcBorders>
              <w:left w:val="outset" w:color="auto" w:sz="6" w:space="0"/>
              <w:right w:val="outset" w:color="auto" w:sz="6" w:space="0"/>
            </w:tcBorders>
            <w:vAlign w:val="center"/>
          </w:tcPr>
          <w:p w14:paraId="601A45FA">
            <w:pPr>
              <w:jc w:val="center"/>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0C5F75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4964" w:type="dxa"/>
            <w:tcBorders>
              <w:top w:val="outset" w:color="auto" w:sz="6" w:space="0"/>
              <w:left w:val="outset" w:color="auto" w:sz="6" w:space="0"/>
              <w:bottom w:val="outset" w:color="auto" w:sz="6" w:space="0"/>
              <w:right w:val="outset" w:color="auto" w:sz="6" w:space="0"/>
            </w:tcBorders>
            <w:vAlign w:val="center"/>
          </w:tcPr>
          <w:p w14:paraId="11856EB3">
            <w:pPr>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本项目为</w:t>
            </w:r>
            <w:r>
              <w:rPr>
                <w:rFonts w:hint="eastAsia" w:ascii="宋体" w:hAnsi="宋体" w:cs="宋体"/>
                <w:color w:val="auto"/>
                <w:highlight w:val="none"/>
                <w:lang w:val="en-US" w:eastAsia="zh-CN"/>
              </w:rPr>
              <w:t>专门面向</w:t>
            </w:r>
            <w:r>
              <w:rPr>
                <w:rFonts w:hint="eastAsia" w:ascii="宋体" w:hAnsi="宋体" w:eastAsia="宋体" w:cs="宋体"/>
                <w:color w:val="auto"/>
                <w:highlight w:val="none"/>
              </w:rPr>
              <w:t>中小企业的项目。</w:t>
            </w:r>
            <w:r>
              <w:rPr>
                <w:rFonts w:hint="eastAsia" w:ascii="宋体" w:hAnsi="宋体" w:eastAsia="宋体" w:cs="宋体"/>
                <w:color w:val="auto"/>
                <w:highlight w:val="none"/>
                <w:lang w:eastAsia="zh-CN"/>
              </w:rPr>
              <w:t>（提供中小企业声明函，</w:t>
            </w:r>
            <w:r>
              <w:rPr>
                <w:rFonts w:hint="eastAsia" w:ascii="宋体" w:hAnsi="宋体" w:eastAsia="宋体" w:cs="宋体"/>
                <w:color w:val="auto"/>
                <w:highlight w:val="none"/>
              </w:rPr>
              <w:t>内容及格式参照第六章</w:t>
            </w:r>
            <w:r>
              <w:rPr>
                <w:rFonts w:hint="eastAsia" w:ascii="宋体" w:hAnsi="宋体" w:eastAsia="宋体" w:cs="宋体"/>
                <w:color w:val="auto"/>
                <w:highlight w:val="none"/>
                <w:lang w:eastAsia="zh-CN"/>
              </w:rPr>
              <w:t>）</w:t>
            </w:r>
          </w:p>
        </w:tc>
      </w:tr>
      <w:tr w14:paraId="1F5C986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2949F84A">
            <w:pPr>
              <w:jc w:val="center"/>
              <w:rPr>
                <w:rFonts w:hint="eastAsia" w:ascii="宋体" w:hAnsi="宋体" w:eastAsia="宋体" w:cs="宋体"/>
                <w:color w:val="auto"/>
                <w:highlight w:val="none"/>
              </w:rPr>
            </w:pPr>
          </w:p>
        </w:tc>
        <w:tc>
          <w:tcPr>
            <w:tcW w:w="666" w:type="dxa"/>
            <w:vMerge w:val="continue"/>
            <w:tcBorders>
              <w:left w:val="outset" w:color="auto" w:sz="6" w:space="0"/>
              <w:right w:val="outset" w:color="auto" w:sz="6" w:space="0"/>
            </w:tcBorders>
            <w:vAlign w:val="center"/>
          </w:tcPr>
          <w:p w14:paraId="7FF359FF">
            <w:pPr>
              <w:jc w:val="left"/>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2E67995A">
            <w:pPr>
              <w:spacing w:line="3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招标人根据本项目特点，要求供应商具备的条件</w:t>
            </w:r>
          </w:p>
        </w:tc>
        <w:tc>
          <w:tcPr>
            <w:tcW w:w="4964" w:type="dxa"/>
            <w:tcBorders>
              <w:top w:val="outset" w:color="auto" w:sz="6" w:space="0"/>
              <w:left w:val="outset" w:color="auto" w:sz="6" w:space="0"/>
              <w:bottom w:val="outset" w:color="auto" w:sz="6" w:space="0"/>
              <w:right w:val="outset" w:color="auto" w:sz="6" w:space="0"/>
            </w:tcBorders>
            <w:vAlign w:val="center"/>
          </w:tcPr>
          <w:p w14:paraId="6E1E2C30">
            <w:pPr>
              <w:spacing w:line="380" w:lineRule="exact"/>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无</w:t>
            </w:r>
          </w:p>
        </w:tc>
      </w:tr>
      <w:tr w14:paraId="586C0F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54BBFF7">
            <w:pPr>
              <w:spacing w:line="460" w:lineRule="exact"/>
              <w:jc w:val="center"/>
              <w:rPr>
                <w:rFonts w:hint="eastAsia" w:ascii="宋体" w:hAnsi="宋体" w:eastAsia="宋体" w:cs="宋体"/>
                <w:b/>
                <w:color w:val="auto"/>
                <w:spacing w:val="-14"/>
                <w:highlight w:val="none"/>
              </w:rPr>
            </w:pPr>
            <w:r>
              <w:rPr>
                <w:rFonts w:hint="eastAsia" w:ascii="宋体" w:hAnsi="宋体" w:eastAsia="宋体" w:cs="宋体"/>
                <w:b/>
                <w:color w:val="auto"/>
                <w:spacing w:val="-14"/>
                <w:highlight w:val="none"/>
              </w:rPr>
              <w:t>1.2项评审内容由采购人负责，投标文件不符合1.2项评审标准的，作无效标处理。</w:t>
            </w:r>
          </w:p>
        </w:tc>
      </w:tr>
      <w:tr w14:paraId="6BB6AB6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7C03EC61">
            <w:pPr>
              <w:spacing w:line="360" w:lineRule="exact"/>
              <w:jc w:val="center"/>
              <w:rPr>
                <w:rFonts w:hint="eastAsia" w:ascii="宋体" w:hAnsi="宋体" w:eastAsia="宋体" w:cs="宋体"/>
                <w:color w:val="auto"/>
                <w:highlight w:val="none"/>
              </w:rPr>
            </w:pPr>
            <w:r>
              <w:rPr>
                <w:rFonts w:hint="eastAsia" w:ascii="宋体" w:hAnsi="宋体" w:eastAsia="宋体" w:cs="宋体"/>
                <w:color w:val="auto"/>
                <w:spacing w:val="-14"/>
                <w:highlight w:val="none"/>
              </w:rPr>
              <w:t>2.2.2</w:t>
            </w:r>
          </w:p>
        </w:tc>
        <w:tc>
          <w:tcPr>
            <w:tcW w:w="666" w:type="dxa"/>
            <w:vMerge w:val="restart"/>
            <w:tcBorders>
              <w:top w:val="outset" w:color="auto" w:sz="6" w:space="0"/>
              <w:left w:val="outset" w:color="auto" w:sz="6" w:space="0"/>
              <w:bottom w:val="outset" w:color="auto" w:sz="6" w:space="0"/>
              <w:right w:val="outset" w:color="auto" w:sz="6" w:space="0"/>
            </w:tcBorders>
            <w:vAlign w:val="center"/>
          </w:tcPr>
          <w:p w14:paraId="5C2C1623">
            <w:pPr>
              <w:jc w:val="center"/>
              <w:rPr>
                <w:rFonts w:hint="eastAsia" w:ascii="宋体" w:hAnsi="宋体" w:eastAsia="宋体" w:cs="宋体"/>
                <w:color w:val="auto"/>
                <w:highlight w:val="none"/>
              </w:rPr>
            </w:pPr>
            <w:r>
              <w:rPr>
                <w:rFonts w:hint="eastAsia" w:ascii="宋体" w:hAnsi="宋体" w:eastAsia="宋体" w:cs="宋体"/>
                <w:color w:val="auto"/>
                <w:highlight w:val="none"/>
              </w:rPr>
              <w:t>符</w:t>
            </w:r>
          </w:p>
          <w:p w14:paraId="07C478E7">
            <w:pPr>
              <w:jc w:val="center"/>
              <w:rPr>
                <w:rFonts w:hint="eastAsia" w:ascii="宋体" w:hAnsi="宋体" w:eastAsia="宋体" w:cs="宋体"/>
                <w:color w:val="auto"/>
                <w:highlight w:val="none"/>
              </w:rPr>
            </w:pPr>
            <w:r>
              <w:rPr>
                <w:rFonts w:hint="eastAsia" w:ascii="宋体" w:hAnsi="宋体" w:eastAsia="宋体" w:cs="宋体"/>
                <w:color w:val="auto"/>
                <w:highlight w:val="none"/>
              </w:rPr>
              <w:t>合</w:t>
            </w:r>
          </w:p>
          <w:p w14:paraId="644315B1">
            <w:pPr>
              <w:jc w:val="center"/>
              <w:rPr>
                <w:rFonts w:hint="eastAsia" w:ascii="宋体" w:hAnsi="宋体" w:eastAsia="宋体" w:cs="宋体"/>
                <w:color w:val="auto"/>
                <w:highlight w:val="none"/>
              </w:rPr>
            </w:pPr>
            <w:r>
              <w:rPr>
                <w:rFonts w:hint="eastAsia" w:ascii="宋体" w:hAnsi="宋体" w:eastAsia="宋体" w:cs="宋体"/>
                <w:color w:val="auto"/>
                <w:highlight w:val="none"/>
              </w:rPr>
              <w:t>性</w:t>
            </w:r>
          </w:p>
          <w:p w14:paraId="6B7E5032">
            <w:pPr>
              <w:jc w:val="center"/>
              <w:rPr>
                <w:rFonts w:hint="eastAsia" w:ascii="宋体" w:hAnsi="宋体" w:eastAsia="宋体" w:cs="宋体"/>
                <w:color w:val="auto"/>
                <w:highlight w:val="none"/>
              </w:rPr>
            </w:pPr>
            <w:r>
              <w:rPr>
                <w:rFonts w:hint="eastAsia" w:ascii="宋体" w:hAnsi="宋体" w:eastAsia="宋体" w:cs="宋体"/>
                <w:color w:val="auto"/>
                <w:highlight w:val="none"/>
              </w:rPr>
              <w:t>评</w:t>
            </w:r>
          </w:p>
          <w:p w14:paraId="0A90F86D">
            <w:pPr>
              <w:jc w:val="center"/>
              <w:rPr>
                <w:rFonts w:hint="eastAsia" w:ascii="宋体" w:hAnsi="宋体" w:eastAsia="宋体" w:cs="宋体"/>
                <w:color w:val="auto"/>
                <w:highlight w:val="none"/>
              </w:rPr>
            </w:pPr>
            <w:r>
              <w:rPr>
                <w:rFonts w:hint="eastAsia" w:ascii="宋体" w:hAnsi="宋体" w:eastAsia="宋体" w:cs="宋体"/>
                <w:color w:val="auto"/>
                <w:highlight w:val="none"/>
              </w:rPr>
              <w:t>审</w:t>
            </w:r>
          </w:p>
        </w:tc>
        <w:tc>
          <w:tcPr>
            <w:tcW w:w="2533" w:type="dxa"/>
            <w:tcBorders>
              <w:top w:val="outset" w:color="auto" w:sz="6" w:space="0"/>
              <w:left w:val="outset" w:color="auto" w:sz="6" w:space="0"/>
              <w:bottom w:val="outset" w:color="auto" w:sz="6" w:space="0"/>
              <w:right w:val="outset" w:color="auto" w:sz="6" w:space="0"/>
            </w:tcBorders>
            <w:vAlign w:val="center"/>
          </w:tcPr>
          <w:p w14:paraId="14052A4D">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1624F01C">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符合第二章第3.4.4项规定</w:t>
            </w:r>
          </w:p>
        </w:tc>
      </w:tr>
      <w:tr w14:paraId="01CCC21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776367F">
            <w:pPr>
              <w:jc w:val="center"/>
              <w:rPr>
                <w:rFonts w:hint="eastAsia" w:ascii="宋体" w:hAnsi="宋体" w:eastAsia="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1158E5AE">
            <w:pPr>
              <w:jc w:val="left"/>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3E286F96">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531403D1">
            <w:pPr>
              <w:spacing w:line="3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有且只有一个有效报价；未超过采购预算或最高限价；</w:t>
            </w:r>
          </w:p>
        </w:tc>
      </w:tr>
      <w:tr w14:paraId="5C06155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BB8CDA8">
            <w:pPr>
              <w:jc w:val="center"/>
              <w:rPr>
                <w:rFonts w:hint="eastAsia" w:ascii="宋体" w:hAnsi="宋体" w:eastAsia="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0DE8857E">
            <w:pPr>
              <w:jc w:val="left"/>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74ECA667">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服务期限</w:t>
            </w:r>
          </w:p>
        </w:tc>
        <w:tc>
          <w:tcPr>
            <w:tcW w:w="4964" w:type="dxa"/>
            <w:tcBorders>
              <w:top w:val="outset" w:color="auto" w:sz="6" w:space="0"/>
              <w:left w:val="outset" w:color="auto" w:sz="6" w:space="0"/>
              <w:bottom w:val="outset" w:color="auto" w:sz="6" w:space="0"/>
              <w:right w:val="outset" w:color="auto" w:sz="6" w:space="0"/>
            </w:tcBorders>
            <w:vAlign w:val="center"/>
          </w:tcPr>
          <w:p w14:paraId="72C85FA3">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符合第二章第1.3.2项规定</w:t>
            </w:r>
          </w:p>
        </w:tc>
      </w:tr>
      <w:tr w14:paraId="6503D79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4530D848">
            <w:pPr>
              <w:jc w:val="center"/>
              <w:rPr>
                <w:rFonts w:hint="eastAsia" w:ascii="宋体" w:hAnsi="宋体" w:eastAsia="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70623896">
            <w:pPr>
              <w:jc w:val="left"/>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4377E2F">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079C53D4">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符合第二章第3.3.1项规定</w:t>
            </w:r>
          </w:p>
        </w:tc>
      </w:tr>
      <w:tr w14:paraId="74B792D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5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2AE7F680">
            <w:pPr>
              <w:jc w:val="left"/>
              <w:rPr>
                <w:rFonts w:hint="eastAsia" w:ascii="宋体" w:hAnsi="宋体" w:eastAsia="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4150681A">
            <w:pPr>
              <w:jc w:val="left"/>
              <w:rPr>
                <w:rFonts w:hint="eastAsia" w:ascii="宋体" w:hAnsi="宋体" w:eastAsia="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5824648C">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23F853A9">
            <w:pPr>
              <w:spacing w:line="3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符合第二章“供应商须知”第1.8.2项规定</w:t>
            </w:r>
          </w:p>
        </w:tc>
      </w:tr>
      <w:tr w14:paraId="499BC68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54E73F0">
            <w:pPr>
              <w:spacing w:line="460" w:lineRule="exact"/>
              <w:jc w:val="center"/>
              <w:rPr>
                <w:rFonts w:hint="eastAsia" w:ascii="宋体" w:hAnsi="宋体" w:eastAsia="宋体" w:cs="宋体"/>
                <w:color w:val="auto"/>
                <w:spacing w:val="-18"/>
                <w:highlight w:val="none"/>
              </w:rPr>
            </w:pPr>
            <w:r>
              <w:rPr>
                <w:rFonts w:hint="eastAsia" w:ascii="宋体" w:hAnsi="宋体" w:eastAsia="宋体" w:cs="宋体"/>
                <w:b/>
                <w:color w:val="auto"/>
                <w:spacing w:val="-14"/>
                <w:highlight w:val="none"/>
              </w:rPr>
              <w:t>2.2.2项评审内容由评标委员会负责，投标文件不符合2.2.2项评审标准的，作无效标处理。</w:t>
            </w:r>
          </w:p>
        </w:tc>
      </w:tr>
    </w:tbl>
    <w:p w14:paraId="0C57D679">
      <w:pPr>
        <w:adjustRightInd w:val="0"/>
        <w:snapToGrid w:val="0"/>
        <w:spacing w:line="500" w:lineRule="exact"/>
        <w:jc w:val="left"/>
        <w:outlineLvl w:val="1"/>
        <w:rPr>
          <w:rFonts w:hint="eastAsia" w:ascii="宋体" w:hAnsi="宋体" w:eastAsia="宋体" w:cs="宋体"/>
          <w:b/>
          <w:color w:val="auto"/>
          <w:highlight w:val="none"/>
        </w:rPr>
      </w:pPr>
      <w:bookmarkStart w:id="254" w:name="_Toc3972"/>
      <w:bookmarkStart w:id="255" w:name="_Toc426469921"/>
      <w:r>
        <w:rPr>
          <w:rFonts w:hint="eastAsia" w:ascii="宋体" w:hAnsi="宋体" w:eastAsia="宋体" w:cs="宋体"/>
          <w:b/>
          <w:color w:val="auto"/>
          <w:highlight w:val="none"/>
        </w:rPr>
        <w:t>2.3详细评审</w:t>
      </w:r>
      <w:bookmarkEnd w:id="254"/>
    </w:p>
    <w:tbl>
      <w:tblPr>
        <w:tblStyle w:val="28"/>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153"/>
        <w:gridCol w:w="6602"/>
        <w:gridCol w:w="673"/>
      </w:tblGrid>
      <w:tr w14:paraId="267BC0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215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B3299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66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B018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评分细则</w:t>
            </w:r>
          </w:p>
        </w:tc>
        <w:tc>
          <w:tcPr>
            <w:tcW w:w="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32C0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024440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9428" w:type="dxa"/>
            <w:gridSpan w:val="3"/>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B1648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both"/>
              <w:rPr>
                <w:rFonts w:hint="eastAsia" w:ascii="宋体" w:hAnsi="宋体" w:eastAsia="宋体" w:cs="宋体"/>
                <w:color w:val="auto"/>
                <w:sz w:val="24"/>
                <w:szCs w:val="24"/>
                <w:highlight w:val="none"/>
              </w:rPr>
            </w:pPr>
            <w:bookmarkStart w:id="256" w:name="OLE_LINK34"/>
            <w:r>
              <w:rPr>
                <w:rFonts w:hint="eastAsia" w:ascii="宋体" w:hAnsi="宋体" w:eastAsia="宋体" w:cs="宋体"/>
                <w:b/>
                <w:bCs/>
                <w:i w:val="0"/>
                <w:iCs w:val="0"/>
                <w:color w:val="auto"/>
                <w:kern w:val="0"/>
                <w:sz w:val="24"/>
                <w:szCs w:val="24"/>
                <w:highlight w:val="none"/>
                <w:u w:val="none"/>
                <w:lang w:val="en-US" w:eastAsia="zh-CN" w:bidi="ar"/>
              </w:rPr>
              <w:t>一、报价评审（</w:t>
            </w:r>
            <w:r>
              <w:rPr>
                <w:rFonts w:hint="eastAsia" w:ascii="宋体" w:hAnsi="宋体" w:cs="宋体"/>
                <w:b/>
                <w:bCs/>
                <w:i w:val="0"/>
                <w:iCs w:val="0"/>
                <w:color w:val="auto"/>
                <w:kern w:val="0"/>
                <w:sz w:val="24"/>
                <w:szCs w:val="24"/>
                <w:highlight w:val="none"/>
                <w:u w:val="none"/>
                <w:lang w:val="en-US" w:eastAsia="zh-CN" w:bidi="ar"/>
              </w:rPr>
              <w:t>3</w:t>
            </w:r>
            <w:r>
              <w:rPr>
                <w:rFonts w:hint="eastAsia" w:ascii="宋体" w:hAnsi="宋体" w:eastAsia="宋体" w:cs="宋体"/>
                <w:b/>
                <w:bCs/>
                <w:i w:val="0"/>
                <w:iCs w:val="0"/>
                <w:color w:val="auto"/>
                <w:kern w:val="0"/>
                <w:sz w:val="24"/>
                <w:szCs w:val="24"/>
                <w:highlight w:val="none"/>
                <w:u w:val="none"/>
                <w:lang w:val="en-US" w:eastAsia="zh-CN" w:bidi="ar"/>
              </w:rPr>
              <w:t>0分）</w:t>
            </w:r>
          </w:p>
        </w:tc>
      </w:tr>
      <w:tr w14:paraId="3D9970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62C808">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3"/>
                <w:kern w:val="0"/>
                <w:sz w:val="24"/>
                <w:szCs w:val="24"/>
                <w:highlight w:val="none"/>
                <w:lang w:val="zh-CN" w:eastAsia="zh-CN" w:bidi="zh-CN"/>
              </w:rPr>
              <w:t>报价评审           （</w:t>
            </w:r>
            <w:r>
              <w:rPr>
                <w:rFonts w:hint="eastAsia" w:ascii="宋体" w:hAnsi="宋体" w:cs="宋体"/>
                <w:color w:val="auto"/>
                <w:spacing w:val="-3"/>
                <w:kern w:val="0"/>
                <w:sz w:val="24"/>
                <w:szCs w:val="24"/>
                <w:highlight w:val="none"/>
                <w:lang w:val="en-US" w:eastAsia="zh-CN" w:bidi="zh-CN"/>
              </w:rPr>
              <w:t>3</w:t>
            </w:r>
            <w:r>
              <w:rPr>
                <w:rFonts w:hint="eastAsia" w:ascii="宋体" w:hAnsi="宋体" w:eastAsia="宋体" w:cs="宋体"/>
                <w:color w:val="auto"/>
                <w:spacing w:val="-3"/>
                <w:kern w:val="0"/>
                <w:sz w:val="24"/>
                <w:szCs w:val="24"/>
                <w:highlight w:val="none"/>
                <w:lang w:val="zh-CN" w:eastAsia="zh-CN" w:bidi="zh-CN"/>
              </w:rPr>
              <w:t>0分）</w:t>
            </w:r>
          </w:p>
          <w:bookmarkEnd w:id="256"/>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1DAE86">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1.按满足竞争性磋商文件要求且最终有效报价最低的作为磋商基准价，其价格分为满分；其他供应商的价格分按以下公式计算：磋商报价得分＝（磋商基准价/最终响应报价）×30（分值保留两位小数）。</w:t>
            </w:r>
          </w:p>
          <w:p w14:paraId="0883FA0F">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2.评审过程中出现下列情形之一的，评审委员会应当启动异常低价投标（响应）审查程序：</w:t>
            </w:r>
          </w:p>
          <w:p w14:paraId="204A40FB">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val="zh-CN" w:eastAsia="zh-CN"/>
              </w:rPr>
              <w:t>投标（响应）报价低于全部通过符合性审查供应商投标（响应）报价平均值50%的，即投标（响应）报价&lt;全部通过符合性审查供应商投标（响应）报价平均值×50%；</w:t>
            </w:r>
          </w:p>
          <w:p w14:paraId="4BBDD010">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投标（响应）报价低于通过符合性审查的次低报价供应商投标（响应）报价50%的，即投标（响应）报价&lt;通过符合性审查的次低报价供应商投标（响应）报价×50%；</w:t>
            </w:r>
          </w:p>
          <w:p w14:paraId="49D2A560">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lang w:val="zh-CN" w:eastAsia="zh-CN"/>
              </w:rPr>
              <w:t>投标（响应）报价低于采购项目最高限价45%的，即投标（响应）报价&lt;采购项目最高限价×45%；</w:t>
            </w:r>
          </w:p>
          <w:p w14:paraId="259C67AD">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评审委员会认定的供应商报价过低、有可能影响产品质量或者不能诚信履约的其他情形。</w:t>
            </w:r>
          </w:p>
          <w:p w14:paraId="017649E3">
            <w:pPr>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C7E31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zh-CN"/>
              </w:rPr>
            </w:pPr>
          </w:p>
          <w:p w14:paraId="2A1F3E9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w:t>
            </w:r>
          </w:p>
        </w:tc>
      </w:tr>
      <w:tr w14:paraId="550B8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42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34AEC0">
            <w:pPr>
              <w:pStyle w:val="25"/>
              <w:keepNext w:val="0"/>
              <w:keepLines w:val="0"/>
              <w:pageBreakBefore w:val="0"/>
              <w:kinsoku/>
              <w:wordWrap/>
              <w:overflowPunct/>
              <w:topLinePunct w:val="0"/>
              <w:autoSpaceDE/>
              <w:autoSpaceDN/>
              <w:bidi w:val="0"/>
              <w:adjustRightInd/>
              <w:snapToGrid/>
              <w:spacing w:line="440" w:lineRule="exact"/>
              <w:ind w:left="0" w:lef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
                <w:bCs/>
                <w:i w:val="0"/>
                <w:iCs w:val="0"/>
                <w:color w:val="auto"/>
                <w:kern w:val="0"/>
                <w:sz w:val="24"/>
                <w:szCs w:val="24"/>
                <w:highlight w:val="none"/>
                <w:u w:val="none"/>
                <w:lang w:val="en-US" w:eastAsia="zh-CN" w:bidi="ar"/>
              </w:rPr>
              <w:t>二、商务评审（30分）</w:t>
            </w:r>
          </w:p>
        </w:tc>
      </w:tr>
      <w:tr w14:paraId="7DDAC7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5"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15FFA5">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技术参数</w:t>
            </w:r>
          </w:p>
        </w:tc>
        <w:tc>
          <w:tcPr>
            <w:tcW w:w="6602"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7D219B0">
            <w:pPr>
              <w:keepNext w:val="0"/>
              <w:keepLines w:val="0"/>
              <w:widowControl/>
              <w:suppressLineNumbers w:val="0"/>
              <w:jc w:val="left"/>
              <w:rPr>
                <w:color w:val="auto"/>
                <w:sz w:val="21"/>
                <w:szCs w:val="21"/>
                <w:highlight w:val="none"/>
              </w:rPr>
            </w:pPr>
            <w:r>
              <w:rPr>
                <w:rFonts w:ascii="宋体" w:hAnsi="宋体" w:eastAsia="宋体" w:cs="宋体"/>
                <w:color w:val="auto"/>
                <w:kern w:val="0"/>
                <w:sz w:val="21"/>
                <w:szCs w:val="21"/>
                <w:highlight w:val="none"/>
                <w:lang w:val="en-US" w:eastAsia="zh-CN" w:bidi="ar"/>
              </w:rPr>
              <w:t>本项技术评分满分26分，由评标委员会依据各投标人投标产品的白皮书（产品说明书）</w:t>
            </w:r>
            <w:r>
              <w:rPr>
                <w:rFonts w:hint="eastAsia" w:ascii="宋体" w:hAnsi="宋体" w:cs="宋体"/>
                <w:color w:val="auto"/>
                <w:kern w:val="0"/>
                <w:sz w:val="21"/>
                <w:szCs w:val="21"/>
                <w:highlight w:val="none"/>
                <w:lang w:val="en-US" w:eastAsia="zh-CN" w:bidi="ar"/>
              </w:rPr>
              <w:t>/</w:t>
            </w:r>
            <w:r>
              <w:rPr>
                <w:rFonts w:ascii="宋体" w:hAnsi="宋体" w:eastAsia="宋体" w:cs="宋体"/>
                <w:color w:val="auto"/>
                <w:kern w:val="0"/>
                <w:sz w:val="21"/>
                <w:szCs w:val="21"/>
                <w:highlight w:val="none"/>
                <w:lang w:val="en-US" w:eastAsia="zh-CN" w:bidi="ar"/>
              </w:rPr>
              <w:t>第三方检测报告</w:t>
            </w:r>
            <w:r>
              <w:rPr>
                <w:rFonts w:hint="eastAsia" w:ascii="宋体" w:hAnsi="宋体" w:cs="宋体"/>
                <w:color w:val="auto"/>
                <w:kern w:val="0"/>
                <w:sz w:val="21"/>
                <w:szCs w:val="21"/>
                <w:highlight w:val="none"/>
                <w:lang w:val="en-US" w:eastAsia="zh-CN" w:bidi="ar"/>
              </w:rPr>
              <w:t>和</w:t>
            </w:r>
            <w:r>
              <w:rPr>
                <w:rFonts w:ascii="宋体" w:hAnsi="宋体" w:eastAsia="宋体" w:cs="宋体"/>
                <w:color w:val="auto"/>
                <w:kern w:val="0"/>
                <w:sz w:val="21"/>
                <w:szCs w:val="21"/>
                <w:highlight w:val="none"/>
                <w:lang w:val="en-US" w:eastAsia="zh-CN" w:bidi="ar"/>
              </w:rPr>
              <w:t>技术偏离表等投标佐证材料，对投标产品技术参数响应情况进行综合评审打分。</w:t>
            </w:r>
          </w:p>
          <w:p w14:paraId="5B4566A4">
            <w:pPr>
              <w:keepNext w:val="0"/>
              <w:keepLines w:val="0"/>
              <w:widowControl/>
              <w:suppressLineNumbers w:val="0"/>
              <w:jc w:val="left"/>
              <w:rPr>
                <w:color w:val="auto"/>
                <w:sz w:val="21"/>
                <w:szCs w:val="21"/>
                <w:highlight w:val="none"/>
              </w:rPr>
            </w:pPr>
            <w:r>
              <w:rPr>
                <w:rFonts w:ascii="宋体" w:hAnsi="宋体" w:eastAsia="宋体" w:cs="宋体"/>
                <w:color w:val="auto"/>
                <w:kern w:val="0"/>
                <w:sz w:val="21"/>
                <w:szCs w:val="21"/>
                <w:highlight w:val="none"/>
                <w:lang w:val="en-US" w:eastAsia="zh-CN" w:bidi="ar"/>
              </w:rPr>
              <w:t>1、投标产品技术参数完全响应招标文件全部技术要求的，本项得满分26分。</w:t>
            </w:r>
          </w:p>
          <w:p w14:paraId="255DA62D">
            <w:pPr>
              <w:keepNext w:val="0"/>
              <w:keepLines w:val="0"/>
              <w:widowControl/>
              <w:suppressLineNumbers w:val="0"/>
              <w:jc w:val="left"/>
              <w:rPr>
                <w:color w:val="auto"/>
                <w:sz w:val="21"/>
                <w:szCs w:val="21"/>
                <w:highlight w:val="none"/>
              </w:rPr>
            </w:pPr>
            <w:r>
              <w:rPr>
                <w:rFonts w:ascii="宋体" w:hAnsi="宋体" w:eastAsia="宋体" w:cs="宋体"/>
                <w:color w:val="auto"/>
                <w:kern w:val="0"/>
                <w:sz w:val="21"/>
                <w:szCs w:val="21"/>
                <w:highlight w:val="none"/>
                <w:lang w:val="en-US" w:eastAsia="zh-CN" w:bidi="ar"/>
              </w:rPr>
              <w:t>2、招标文件中带★标识且明确要求提供对应证明材料的关键技术指标，投标产品存在负偏离的，每出现1条负偏离扣2分。</w:t>
            </w:r>
          </w:p>
          <w:p w14:paraId="62F83747">
            <w:pPr>
              <w:keepNext w:val="0"/>
              <w:keepLines w:val="0"/>
              <w:widowControl/>
              <w:suppressLineNumbers w:val="0"/>
              <w:jc w:val="left"/>
              <w:rPr>
                <w:rFonts w:ascii="宋体" w:hAnsi="宋体" w:eastAsia="宋体" w:cs="宋体"/>
                <w:color w:val="auto"/>
                <w:kern w:val="0"/>
                <w:sz w:val="21"/>
                <w:szCs w:val="21"/>
                <w:highlight w:val="none"/>
                <w:lang w:val="en-US" w:eastAsia="zh-CN" w:bidi="ar"/>
              </w:rPr>
            </w:pPr>
            <w:r>
              <w:rPr>
                <w:rFonts w:ascii="宋体" w:hAnsi="宋体" w:eastAsia="宋体" w:cs="宋体"/>
                <w:color w:val="auto"/>
                <w:kern w:val="0"/>
                <w:sz w:val="21"/>
                <w:szCs w:val="21"/>
                <w:highlight w:val="none"/>
                <w:lang w:val="en-US" w:eastAsia="zh-CN" w:bidi="ar"/>
              </w:rPr>
              <w:t>3、招标文件中仅带★标识、未强制要求提供证明材料的技术指标，投标产品存在负偏离的，每出现1条负偏离扣1分。</w:t>
            </w:r>
          </w:p>
          <w:p w14:paraId="0CCFDABC">
            <w:pPr>
              <w:keepNext w:val="0"/>
              <w:keepLines w:val="0"/>
              <w:widowControl/>
              <w:suppressLineNumbers w:val="0"/>
              <w:jc w:val="left"/>
              <w:rPr>
                <w:rFonts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4、</w:t>
            </w:r>
            <w:r>
              <w:rPr>
                <w:rFonts w:ascii="宋体" w:hAnsi="宋体" w:eastAsia="宋体" w:cs="宋体"/>
                <w:color w:val="auto"/>
                <w:kern w:val="0"/>
                <w:sz w:val="21"/>
                <w:szCs w:val="21"/>
                <w:highlight w:val="none"/>
                <w:lang w:val="en-US" w:eastAsia="zh-CN" w:bidi="ar"/>
              </w:rPr>
              <w:t>招标文件中</w:t>
            </w:r>
            <w:r>
              <w:rPr>
                <w:rFonts w:hint="eastAsia" w:ascii="宋体" w:hAnsi="宋体" w:cs="宋体"/>
                <w:color w:val="auto"/>
                <w:kern w:val="0"/>
                <w:sz w:val="21"/>
                <w:szCs w:val="21"/>
                <w:highlight w:val="none"/>
                <w:lang w:val="en-US" w:eastAsia="zh-CN" w:bidi="ar"/>
              </w:rPr>
              <w:t>未</w:t>
            </w:r>
            <w:r>
              <w:rPr>
                <w:rFonts w:ascii="宋体" w:hAnsi="宋体" w:eastAsia="宋体" w:cs="宋体"/>
                <w:color w:val="auto"/>
                <w:kern w:val="0"/>
                <w:sz w:val="21"/>
                <w:szCs w:val="21"/>
                <w:highlight w:val="none"/>
                <w:lang w:val="en-US" w:eastAsia="zh-CN" w:bidi="ar"/>
              </w:rPr>
              <w:t>带标识、未强制要求提供证明材料的技术指标，投标产品存在负偏离的，每出现1条负偏离扣</w:t>
            </w:r>
            <w:r>
              <w:rPr>
                <w:rFonts w:hint="eastAsia" w:ascii="宋体" w:hAnsi="宋体" w:cs="宋体"/>
                <w:color w:val="auto"/>
                <w:kern w:val="0"/>
                <w:sz w:val="21"/>
                <w:szCs w:val="21"/>
                <w:highlight w:val="none"/>
                <w:lang w:val="en-US" w:eastAsia="zh-CN" w:bidi="ar"/>
              </w:rPr>
              <w:t>0.5</w:t>
            </w:r>
            <w:r>
              <w:rPr>
                <w:rFonts w:ascii="宋体" w:hAnsi="宋体" w:eastAsia="宋体" w:cs="宋体"/>
                <w:color w:val="auto"/>
                <w:kern w:val="0"/>
                <w:sz w:val="21"/>
                <w:szCs w:val="21"/>
                <w:highlight w:val="none"/>
                <w:lang w:val="en-US" w:eastAsia="zh-CN" w:bidi="ar"/>
              </w:rPr>
              <w:t>分。</w:t>
            </w:r>
          </w:p>
          <w:p w14:paraId="12952B0C">
            <w:pPr>
              <w:keepNext w:val="0"/>
              <w:keepLines w:val="0"/>
              <w:widowControl/>
              <w:suppressLineNumbers w:val="0"/>
              <w:jc w:val="left"/>
              <w:rPr>
                <w:color w:val="auto"/>
                <w:sz w:val="21"/>
                <w:szCs w:val="21"/>
                <w:highlight w:val="none"/>
              </w:rPr>
            </w:pPr>
            <w:r>
              <w:rPr>
                <w:rFonts w:hint="eastAsia" w:ascii="宋体" w:hAnsi="宋体" w:cs="宋体"/>
                <w:color w:val="auto"/>
                <w:kern w:val="0"/>
                <w:sz w:val="21"/>
                <w:szCs w:val="21"/>
                <w:highlight w:val="none"/>
                <w:lang w:val="en-US" w:eastAsia="zh-CN" w:bidi="ar"/>
              </w:rPr>
              <w:t>5、</w:t>
            </w:r>
            <w:r>
              <w:rPr>
                <w:rFonts w:ascii="宋体" w:hAnsi="宋体" w:eastAsia="宋体" w:cs="宋体"/>
                <w:color w:val="auto"/>
                <w:kern w:val="0"/>
                <w:sz w:val="21"/>
                <w:szCs w:val="21"/>
                <w:highlight w:val="none"/>
                <w:lang w:val="en-US" w:eastAsia="zh-CN" w:bidi="ar"/>
              </w:rPr>
              <w:t>本项评分扣分累计计算，扣完本项满分分值26分为止，不进行负分累加。</w:t>
            </w:r>
          </w:p>
          <w:p w14:paraId="7BED81E2">
            <w:pPr>
              <w:keepNext w:val="0"/>
              <w:keepLines w:val="0"/>
              <w:widowControl/>
              <w:suppressLineNumbers w:val="0"/>
              <w:jc w:val="left"/>
              <w:rPr>
                <w:rFonts w:hint="default" w:ascii="宋体" w:hAnsi="Courier New" w:eastAsia="宋体" w:cs="Times New Roman"/>
                <w:color w:val="auto"/>
                <w:sz w:val="21"/>
                <w:szCs w:val="21"/>
                <w:highlight w:val="none"/>
                <w:lang w:val="en-US" w:eastAsia="zh-CN" w:bidi="ar-SA"/>
              </w:rPr>
            </w:pPr>
            <w:r>
              <w:rPr>
                <w:rStyle w:val="30"/>
                <w:rFonts w:ascii="宋体" w:hAnsi="宋体" w:eastAsia="宋体" w:cs="宋体"/>
                <w:color w:val="auto"/>
                <w:kern w:val="0"/>
                <w:sz w:val="21"/>
                <w:szCs w:val="21"/>
                <w:highlight w:val="none"/>
                <w:lang w:val="en-US" w:eastAsia="zh-CN" w:bidi="ar"/>
              </w:rPr>
              <w:t>注：</w:t>
            </w:r>
            <w:r>
              <w:rPr>
                <w:rFonts w:ascii="宋体" w:hAnsi="宋体" w:eastAsia="宋体" w:cs="宋体"/>
                <w:color w:val="auto"/>
                <w:kern w:val="0"/>
                <w:sz w:val="21"/>
                <w:szCs w:val="21"/>
                <w:highlight w:val="none"/>
                <w:lang w:val="en-US" w:eastAsia="zh-CN" w:bidi="ar"/>
              </w:rPr>
              <w:t>所有技术参数的响应、偏离情况，投标人须在投标文件《技术偏离表》中逐条、清晰、完整据实说明。凡存在参数响应/偏离表述模糊不清、应提供检测报告等证明材料但未提供、招标文件明确要求提供相关材料扫描件但未同步提供的情形，一律认定为</w:t>
            </w:r>
            <w:r>
              <w:rPr>
                <w:rStyle w:val="30"/>
                <w:rFonts w:ascii="宋体" w:hAnsi="宋体" w:eastAsia="宋体" w:cs="宋体"/>
                <w:color w:val="auto"/>
                <w:kern w:val="0"/>
                <w:sz w:val="21"/>
                <w:szCs w:val="21"/>
                <w:highlight w:val="none"/>
                <w:lang w:val="en-US" w:eastAsia="zh-CN" w:bidi="ar"/>
              </w:rPr>
              <w:t>负偏离</w:t>
            </w:r>
            <w:r>
              <w:rPr>
                <w:rFonts w:ascii="宋体" w:hAnsi="宋体" w:eastAsia="宋体" w:cs="宋体"/>
                <w:color w:val="auto"/>
                <w:kern w:val="0"/>
                <w:sz w:val="21"/>
                <w:szCs w:val="21"/>
                <w:highlight w:val="none"/>
                <w:lang w:val="en-US" w:eastAsia="zh-CN" w:bidi="ar"/>
              </w:rPr>
              <w:t>，按对应扣分规则计分。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9F17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p>
        </w:tc>
      </w:tr>
      <w:tr w14:paraId="2F26EC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3FD0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业绩</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6DB25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投标人提供自2023年1月1日至今已完成的类</w:t>
            </w:r>
            <w:r>
              <w:rPr>
                <w:rFonts w:hint="default" w:ascii="宋体" w:hAnsi="宋体" w:cs="宋体"/>
                <w:i w:val="0"/>
                <w:iCs w:val="0"/>
                <w:color w:val="auto"/>
                <w:kern w:val="0"/>
                <w:sz w:val="21"/>
                <w:szCs w:val="21"/>
                <w:highlight w:val="none"/>
                <w:u w:val="none"/>
                <w:lang w:eastAsia="zh-CN" w:bidi="ar"/>
                <w:woUserID w:val="2"/>
              </w:rPr>
              <w:t>似</w:t>
            </w:r>
            <w:r>
              <w:rPr>
                <w:rFonts w:hint="eastAsia" w:ascii="宋体" w:hAnsi="宋体" w:eastAsia="宋体" w:cs="宋体"/>
                <w:i w:val="0"/>
                <w:iCs w:val="0"/>
                <w:color w:val="auto"/>
                <w:kern w:val="0"/>
                <w:sz w:val="21"/>
                <w:szCs w:val="21"/>
                <w:highlight w:val="none"/>
                <w:u w:val="none"/>
                <w:lang w:val="en-US" w:eastAsia="zh-CN" w:bidi="ar"/>
              </w:rPr>
              <w:t>业绩，每提供1个得</w:t>
            </w: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分，最多得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p>
          <w:p w14:paraId="4E54A7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1"/>
                <w:szCs w:val="21"/>
                <w:highlight w:val="none"/>
                <w:u w:val="none"/>
                <w:lang w:val="en-US" w:eastAsia="zh-CN" w:bidi="ar"/>
              </w:rPr>
              <w:t>注：投标文件中须同时提供项目的中标通知书、合同及验收报告原件电子文档，三项原件电子文档缺一项不得分。</w:t>
            </w:r>
            <w:r>
              <w:rPr>
                <w:rFonts w:hint="default" w:ascii="宋体" w:hAnsi="宋体" w:cs="宋体"/>
                <w:i w:val="0"/>
                <w:iCs w:val="0"/>
                <w:color w:val="auto"/>
                <w:kern w:val="0"/>
                <w:sz w:val="21"/>
                <w:szCs w:val="21"/>
                <w:highlight w:val="none"/>
                <w:u w:val="none"/>
                <w:lang w:eastAsia="zh-CN" w:bidi="ar"/>
                <w:woUserID w:val="2"/>
              </w:rPr>
              <w:t>类似业绩</w:t>
            </w:r>
            <w:r>
              <w:rPr>
                <w:rFonts w:hint="eastAsia" w:ascii="宋体" w:hAnsi="宋体" w:eastAsia="宋体" w:cs="宋体"/>
                <w:i w:val="0"/>
                <w:iCs w:val="0"/>
                <w:color w:val="auto"/>
                <w:kern w:val="0"/>
                <w:sz w:val="21"/>
                <w:szCs w:val="21"/>
                <w:highlight w:val="none"/>
                <w:u w:val="none"/>
                <w:lang w:val="en-US" w:eastAsia="zh-CN" w:bidi="ar"/>
              </w:rPr>
              <w:t>完成时间以验收报告签署时间为准。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B71DE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r>
      <w:tr w14:paraId="2B5F5B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 w:hRule="atLeast"/>
        </w:trPr>
        <w:tc>
          <w:tcPr>
            <w:tcW w:w="9428"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5E3BC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三、技术评审（</w:t>
            </w:r>
            <w:r>
              <w:rPr>
                <w:rFonts w:hint="eastAsia" w:ascii="宋体" w:hAnsi="宋体" w:cs="宋体"/>
                <w:b/>
                <w:bCs/>
                <w:i w:val="0"/>
                <w:iCs w:val="0"/>
                <w:color w:val="auto"/>
                <w:kern w:val="0"/>
                <w:sz w:val="24"/>
                <w:szCs w:val="24"/>
                <w:highlight w:val="none"/>
                <w:u w:val="none"/>
                <w:lang w:val="en-US" w:eastAsia="zh-CN" w:bidi="ar"/>
              </w:rPr>
              <w:t>40</w:t>
            </w:r>
            <w:r>
              <w:rPr>
                <w:rFonts w:hint="eastAsia" w:ascii="宋体" w:hAnsi="宋体" w:eastAsia="宋体" w:cs="宋体"/>
                <w:b/>
                <w:bCs/>
                <w:i w:val="0"/>
                <w:iCs w:val="0"/>
                <w:color w:val="auto"/>
                <w:kern w:val="0"/>
                <w:sz w:val="24"/>
                <w:szCs w:val="24"/>
                <w:highlight w:val="none"/>
                <w:u w:val="none"/>
                <w:lang w:val="en-US" w:eastAsia="zh-CN" w:bidi="ar"/>
              </w:rPr>
              <w:t>分）</w:t>
            </w:r>
          </w:p>
        </w:tc>
      </w:tr>
      <w:tr w14:paraId="23EB90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8D81A74">
            <w:pPr>
              <w:pStyle w:val="2"/>
              <w:jc w:val="center"/>
              <w:rPr>
                <w:rFonts w:hint="default"/>
                <w:color w:val="auto"/>
                <w:sz w:val="24"/>
                <w:szCs w:val="24"/>
                <w:highlight w:val="none"/>
                <w:lang w:val="en-US" w:eastAsia="zh-CN"/>
              </w:rPr>
            </w:pPr>
            <w:r>
              <w:rPr>
                <w:rFonts w:hint="eastAsia" w:hAnsi="宋体" w:cs="宋体"/>
                <w:i w:val="0"/>
                <w:iCs w:val="0"/>
                <w:color w:val="auto"/>
                <w:kern w:val="0"/>
                <w:sz w:val="24"/>
                <w:szCs w:val="24"/>
                <w:highlight w:val="none"/>
                <w:u w:val="none"/>
                <w:lang w:val="en-US" w:eastAsia="zh-CN" w:bidi="ar"/>
              </w:rPr>
              <w:t>项目深化方案设计</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F6DAD2">
            <w:pPr>
              <w:widowControl/>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方案设计</w:t>
            </w: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8</w:t>
            </w:r>
            <w:r>
              <w:rPr>
                <w:rFonts w:hint="eastAsia" w:ascii="宋体" w:hAnsi="宋体" w:cs="宋体"/>
                <w:b/>
                <w:bCs/>
                <w:color w:val="auto"/>
                <w:sz w:val="21"/>
                <w:szCs w:val="21"/>
                <w:highlight w:val="none"/>
              </w:rPr>
              <w:t>分）</w:t>
            </w:r>
          </w:p>
          <w:p w14:paraId="7013A35A">
            <w:pPr>
              <w:keepNext w:val="0"/>
              <w:keepLines w:val="0"/>
              <w:widowControl/>
              <w:suppressLineNumbers w:val="0"/>
              <w:jc w:val="left"/>
              <w:rPr>
                <w:rFonts w:ascii="宋体" w:hAnsi="宋体" w:eastAsia="宋体" w:cs="宋体"/>
                <w:color w:val="auto"/>
                <w:kern w:val="0"/>
                <w:sz w:val="21"/>
                <w:szCs w:val="21"/>
                <w:highlight w:val="none"/>
                <w:lang w:val="en-US" w:eastAsia="zh-CN" w:bidi="ar"/>
              </w:rPr>
            </w:pPr>
            <w:r>
              <w:rPr>
                <w:rFonts w:ascii="宋体" w:hAnsi="宋体" w:eastAsia="宋体" w:cs="宋体"/>
                <w:color w:val="auto"/>
                <w:kern w:val="0"/>
                <w:sz w:val="21"/>
                <w:szCs w:val="21"/>
                <w:highlight w:val="none"/>
                <w:lang w:val="en-US" w:eastAsia="zh-CN" w:bidi="ar"/>
              </w:rPr>
              <w:t>投标人须根据招标文件</w:t>
            </w:r>
            <w:r>
              <w:rPr>
                <w:rFonts w:hint="eastAsia" w:ascii="宋体" w:hAnsi="宋体" w:cs="宋体"/>
                <w:color w:val="auto"/>
                <w:kern w:val="0"/>
                <w:sz w:val="21"/>
                <w:szCs w:val="21"/>
                <w:highlight w:val="none"/>
                <w:lang w:val="en-US" w:eastAsia="zh-CN" w:bidi="ar"/>
              </w:rPr>
              <w:t>中的</w:t>
            </w:r>
            <w:r>
              <w:rPr>
                <w:rFonts w:ascii="宋体" w:hAnsi="宋体" w:eastAsia="宋体" w:cs="宋体"/>
                <w:color w:val="auto"/>
                <w:kern w:val="0"/>
                <w:sz w:val="21"/>
                <w:szCs w:val="21"/>
                <w:highlight w:val="none"/>
                <w:lang w:val="en-US" w:eastAsia="zh-CN" w:bidi="ar"/>
              </w:rPr>
              <w:t>采购需求、现场踏勘、</w:t>
            </w:r>
            <w:r>
              <w:rPr>
                <w:rFonts w:hint="eastAsia" w:ascii="宋体" w:hAnsi="宋体" w:cs="宋体"/>
                <w:color w:val="auto"/>
                <w:kern w:val="0"/>
                <w:sz w:val="21"/>
                <w:szCs w:val="21"/>
                <w:highlight w:val="none"/>
                <w:lang w:val="en-US" w:eastAsia="zh-CN" w:bidi="ar"/>
              </w:rPr>
              <w:t>新</w:t>
            </w:r>
            <w:r>
              <w:rPr>
                <w:rFonts w:ascii="宋体" w:hAnsi="宋体" w:eastAsia="宋体" w:cs="宋体"/>
                <w:color w:val="auto"/>
                <w:kern w:val="0"/>
                <w:sz w:val="21"/>
                <w:szCs w:val="21"/>
                <w:highlight w:val="none"/>
                <w:lang w:val="en-US" w:eastAsia="zh-CN" w:bidi="ar"/>
              </w:rPr>
              <w:t>课程标准及现行中小学实验室建设规范，提供完整的项目平面设计图纸及配套说明文件</w:t>
            </w:r>
            <w:r>
              <w:rPr>
                <w:rFonts w:hint="eastAsia" w:ascii="宋体" w:hAnsi="宋体" w:cs="宋体"/>
                <w:color w:val="auto"/>
                <w:kern w:val="0"/>
                <w:sz w:val="21"/>
                <w:szCs w:val="21"/>
                <w:highlight w:val="none"/>
                <w:lang w:val="en-US" w:eastAsia="zh-CN" w:bidi="ar"/>
              </w:rPr>
              <w:t>（包括不限于效果图）</w:t>
            </w:r>
            <w:r>
              <w:rPr>
                <w:rFonts w:ascii="宋体" w:hAnsi="宋体" w:eastAsia="宋体" w:cs="宋体"/>
                <w:color w:val="auto"/>
                <w:kern w:val="0"/>
                <w:sz w:val="21"/>
                <w:szCs w:val="21"/>
                <w:highlight w:val="none"/>
                <w:lang w:val="en-US" w:eastAsia="zh-CN" w:bidi="ar"/>
              </w:rPr>
              <w:t>。评审委员会依据图纸的</w:t>
            </w:r>
            <w:r>
              <w:rPr>
                <w:rStyle w:val="30"/>
                <w:rFonts w:ascii="宋体" w:hAnsi="宋体" w:eastAsia="宋体" w:cs="宋体"/>
                <w:color w:val="auto"/>
                <w:kern w:val="0"/>
                <w:sz w:val="21"/>
                <w:szCs w:val="21"/>
                <w:highlight w:val="none"/>
                <w:lang w:val="en-US" w:eastAsia="zh-CN" w:bidi="ar"/>
              </w:rPr>
              <w:t>功能性、安全性、完整性、创新性</w:t>
            </w:r>
            <w:r>
              <w:rPr>
                <w:rFonts w:hint="eastAsia" w:ascii="宋体" w:hAnsi="宋体" w:cs="宋体"/>
                <w:color w:val="auto"/>
                <w:kern w:val="0"/>
                <w:sz w:val="21"/>
                <w:szCs w:val="21"/>
                <w:highlight w:val="none"/>
                <w:lang w:val="en-US" w:eastAsia="zh-CN" w:bidi="ar"/>
              </w:rPr>
              <w:t>四</w:t>
            </w:r>
            <w:r>
              <w:rPr>
                <w:rFonts w:ascii="宋体" w:hAnsi="宋体" w:eastAsia="宋体" w:cs="宋体"/>
                <w:color w:val="auto"/>
                <w:kern w:val="0"/>
                <w:sz w:val="21"/>
                <w:szCs w:val="21"/>
                <w:highlight w:val="none"/>
                <w:lang w:val="en-US" w:eastAsia="zh-CN" w:bidi="ar"/>
              </w:rPr>
              <w:t>个维度综合评审，</w:t>
            </w:r>
            <w:r>
              <w:rPr>
                <w:rFonts w:hint="eastAsia" w:ascii="宋体" w:hAnsi="宋体" w:cs="宋体"/>
                <w:color w:val="auto"/>
                <w:kern w:val="0"/>
                <w:sz w:val="21"/>
                <w:szCs w:val="21"/>
                <w:highlight w:val="none"/>
                <w:lang w:val="en-US" w:eastAsia="zh-CN" w:bidi="ar"/>
              </w:rPr>
              <w:t>每项最高分值为2分，</w:t>
            </w:r>
            <w:r>
              <w:rPr>
                <w:rFonts w:ascii="宋体" w:hAnsi="宋体" w:eastAsia="宋体" w:cs="宋体"/>
                <w:color w:val="auto"/>
                <w:kern w:val="0"/>
                <w:sz w:val="21"/>
                <w:szCs w:val="21"/>
                <w:highlight w:val="none"/>
                <w:lang w:val="en-US" w:eastAsia="zh-CN" w:bidi="ar"/>
              </w:rPr>
              <w:t>无有效图纸本项计0分。</w:t>
            </w:r>
          </w:p>
          <w:p w14:paraId="0ED4B55A">
            <w:pPr>
              <w:keepNext w:val="0"/>
              <w:keepLines w:val="0"/>
              <w:widowControl/>
              <w:suppressLineNumbers w:val="0"/>
              <w:jc w:val="left"/>
              <w:rPr>
                <w:rStyle w:val="30"/>
                <w:rFonts w:ascii="宋体" w:hAnsi="宋体" w:eastAsia="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一、</w:t>
            </w:r>
            <w:r>
              <w:rPr>
                <w:rStyle w:val="30"/>
                <w:rFonts w:ascii="宋体" w:hAnsi="宋体" w:eastAsia="宋体" w:cs="宋体"/>
                <w:color w:val="auto"/>
                <w:kern w:val="0"/>
                <w:sz w:val="21"/>
                <w:szCs w:val="21"/>
                <w:highlight w:val="none"/>
                <w:lang w:val="en-US" w:eastAsia="zh-CN" w:bidi="ar"/>
              </w:rPr>
              <w:t>功能性</w:t>
            </w:r>
            <w:r>
              <w:rPr>
                <w:rFonts w:ascii="宋体" w:hAnsi="宋体" w:eastAsia="宋体" w:cs="宋体"/>
                <w:b/>
                <w:bCs/>
                <w:color w:val="auto"/>
                <w:kern w:val="0"/>
                <w:sz w:val="21"/>
                <w:szCs w:val="21"/>
                <w:highlight w:val="none"/>
                <w:lang w:val="en-US" w:eastAsia="zh-CN" w:bidi="ar"/>
              </w:rPr>
              <w:t>（2分）</w:t>
            </w:r>
          </w:p>
          <w:p w14:paraId="210D41B2">
            <w:pPr>
              <w:keepNext w:val="0"/>
              <w:keepLines w:val="0"/>
              <w:widowControl/>
              <w:numPr>
                <w:ilvl w:val="0"/>
                <w:numId w:val="2"/>
              </w:numPr>
              <w:suppressLineNumbers w:val="0"/>
              <w:jc w:val="left"/>
              <w:rPr>
                <w:rFonts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设计方案中</w:t>
            </w:r>
            <w:r>
              <w:rPr>
                <w:rFonts w:ascii="宋体" w:hAnsi="宋体" w:eastAsia="宋体" w:cs="宋体"/>
                <w:color w:val="auto"/>
                <w:kern w:val="0"/>
                <w:sz w:val="21"/>
                <w:szCs w:val="21"/>
                <w:highlight w:val="none"/>
                <w:lang w:val="en-US" w:eastAsia="zh-CN" w:bidi="ar"/>
              </w:rPr>
              <w:t>功能分区清晰、布局合理，完全匹配初中各学科课程实验教学需求，充分考虑常规实验、分组实验、演示教学、器材收纳、</w:t>
            </w:r>
            <w:r>
              <w:rPr>
                <w:rFonts w:hint="eastAsia" w:ascii="宋体" w:hAnsi="宋体" w:cs="宋体"/>
                <w:color w:val="auto"/>
                <w:kern w:val="0"/>
                <w:sz w:val="21"/>
                <w:szCs w:val="21"/>
                <w:highlight w:val="none"/>
                <w:lang w:val="en-US" w:eastAsia="zh-CN" w:bidi="ar"/>
              </w:rPr>
              <w:t>社团辅导</w:t>
            </w:r>
            <w:r>
              <w:rPr>
                <w:rFonts w:ascii="宋体" w:hAnsi="宋体" w:eastAsia="宋体" w:cs="宋体"/>
                <w:color w:val="auto"/>
                <w:kern w:val="0"/>
                <w:sz w:val="21"/>
                <w:szCs w:val="21"/>
                <w:highlight w:val="none"/>
                <w:lang w:val="en-US" w:eastAsia="zh-CN" w:bidi="ar"/>
              </w:rPr>
              <w:t>等全场景功能，操作动线流畅、使用便捷，贴合教学实际，实用性、可操作性极强。</w:t>
            </w:r>
            <w:r>
              <w:rPr>
                <w:rFonts w:hint="eastAsia" w:ascii="宋体" w:hAnsi="宋体" w:eastAsia="宋体" w:cs="宋体"/>
                <w:color w:val="auto"/>
                <w:kern w:val="0"/>
                <w:sz w:val="21"/>
                <w:szCs w:val="21"/>
                <w:highlight w:val="none"/>
                <w:lang w:val="en-US" w:eastAsia="zh-CN" w:bidi="ar"/>
              </w:rPr>
              <w:t>得2分。</w:t>
            </w:r>
          </w:p>
          <w:p w14:paraId="12405804">
            <w:pPr>
              <w:keepNext w:val="0"/>
              <w:keepLines w:val="0"/>
              <w:widowControl/>
              <w:suppressLineNumbers w:val="0"/>
              <w:jc w:val="left"/>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w:t>
            </w:r>
            <w:r>
              <w:rPr>
                <w:rFonts w:ascii="宋体" w:hAnsi="宋体" w:eastAsia="宋体" w:cs="宋体"/>
                <w:color w:val="auto"/>
                <w:kern w:val="0"/>
                <w:sz w:val="21"/>
                <w:szCs w:val="21"/>
                <w:highlight w:val="none"/>
                <w:lang w:val="en-US" w:eastAsia="zh-CN" w:bidi="ar"/>
              </w:rPr>
              <w:t>具备基础实验教学功能，可满足基本教学需求，但功能布局合理性一般，部分实验操作场景适配性不足，存在动线繁琐、功能分区模糊等轻微问题。</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分。</w:t>
            </w:r>
          </w:p>
          <w:p w14:paraId="475CE629">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w:t>
            </w:r>
            <w:r>
              <w:rPr>
                <w:rFonts w:ascii="宋体" w:hAnsi="宋体" w:eastAsia="宋体" w:cs="宋体"/>
                <w:color w:val="auto"/>
                <w:kern w:val="0"/>
                <w:sz w:val="21"/>
                <w:szCs w:val="21"/>
                <w:highlight w:val="none"/>
                <w:lang w:val="en-US" w:eastAsia="zh-CN" w:bidi="ar"/>
              </w:rPr>
              <w:t>. 功能设计缺失严重，核心实验教学功能无法保障，布局混乱，无法满足初中常规课程实验教学基本使用需求。</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0.5</w:t>
            </w:r>
            <w:r>
              <w:rPr>
                <w:rFonts w:hint="eastAsia" w:ascii="宋体" w:hAnsi="宋体" w:eastAsia="宋体" w:cs="宋体"/>
                <w:color w:val="auto"/>
                <w:kern w:val="0"/>
                <w:sz w:val="21"/>
                <w:szCs w:val="21"/>
                <w:highlight w:val="none"/>
                <w:lang w:val="en-US" w:eastAsia="zh-CN" w:bidi="ar"/>
              </w:rPr>
              <w:t>分。</w:t>
            </w:r>
          </w:p>
          <w:p w14:paraId="3FF58E69">
            <w:pPr>
              <w:pStyle w:val="2"/>
              <w:jc w:val="left"/>
              <w:rPr>
                <w:color w:val="auto"/>
                <w:highlight w:val="none"/>
                <w:lang w:val="en-US" w:eastAsia="zh-CN"/>
              </w:rPr>
            </w:pPr>
            <w:r>
              <w:rPr>
                <w:rFonts w:hint="eastAsia" w:hAnsi="宋体" w:cs="宋体"/>
                <w:color w:val="auto"/>
                <w:kern w:val="0"/>
                <w:sz w:val="21"/>
                <w:szCs w:val="21"/>
                <w:highlight w:val="none"/>
                <w:lang w:val="en-US" w:eastAsia="zh-CN" w:bidi="ar"/>
              </w:rPr>
              <w:t>4.未提供不得分。</w:t>
            </w:r>
          </w:p>
          <w:p w14:paraId="61B52B44">
            <w:pPr>
              <w:keepNext w:val="0"/>
              <w:keepLines w:val="0"/>
              <w:widowControl/>
              <w:suppressLineNumbers w:val="0"/>
              <w:jc w:val="left"/>
              <w:rPr>
                <w:rStyle w:val="30"/>
                <w:rFonts w:hint="eastAsia" w:ascii="宋体" w:hAnsi="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二、安全性（2分）</w:t>
            </w:r>
          </w:p>
          <w:p w14:paraId="15835571">
            <w:pPr>
              <w:keepNext w:val="0"/>
              <w:keepLines w:val="0"/>
              <w:widowControl/>
              <w:suppressLineNumbers w:val="0"/>
              <w:jc w:val="left"/>
              <w:rPr>
                <w:color w:val="auto"/>
                <w:sz w:val="21"/>
                <w:szCs w:val="21"/>
                <w:highlight w:val="none"/>
              </w:rPr>
            </w:pPr>
            <w:r>
              <w:rPr>
                <w:rStyle w:val="30"/>
                <w:rFonts w:hint="eastAsia" w:ascii="宋体" w:hAnsi="宋体" w:cs="宋体"/>
                <w:color w:val="auto"/>
                <w:kern w:val="0"/>
                <w:sz w:val="21"/>
                <w:szCs w:val="21"/>
                <w:highlight w:val="none"/>
                <w:lang w:val="en-US" w:eastAsia="zh-CN" w:bidi="ar"/>
              </w:rPr>
              <w:t>1.</w:t>
            </w:r>
            <w:r>
              <w:rPr>
                <w:rFonts w:ascii="宋体" w:hAnsi="宋体" w:eastAsia="宋体" w:cs="宋体"/>
                <w:color w:val="auto"/>
                <w:kern w:val="0"/>
                <w:sz w:val="21"/>
                <w:szCs w:val="21"/>
                <w:highlight w:val="none"/>
                <w:lang w:val="en-US" w:eastAsia="zh-CN" w:bidi="ar"/>
              </w:rPr>
              <w:t>设计方案全面覆盖中小学实验室各项安全要求，消防疏散通道、安全距离、水电管线布局、通风排毒、防腐防滑、危险品收纳防护、应急防护设施等设计</w:t>
            </w:r>
            <w:r>
              <w:rPr>
                <w:rStyle w:val="30"/>
                <w:rFonts w:ascii="宋体" w:hAnsi="宋体" w:eastAsia="宋体" w:cs="宋体"/>
                <w:color w:val="auto"/>
                <w:kern w:val="0"/>
                <w:sz w:val="21"/>
                <w:szCs w:val="21"/>
                <w:highlight w:val="none"/>
                <w:lang w:val="en-US" w:eastAsia="zh-CN" w:bidi="ar"/>
              </w:rPr>
              <w:t>完全符合安全规范</w:t>
            </w:r>
            <w:r>
              <w:rPr>
                <w:rFonts w:ascii="宋体" w:hAnsi="宋体" w:eastAsia="宋体" w:cs="宋体"/>
                <w:color w:val="auto"/>
                <w:kern w:val="0"/>
                <w:sz w:val="21"/>
                <w:szCs w:val="21"/>
                <w:highlight w:val="none"/>
                <w:lang w:val="en-US" w:eastAsia="zh-CN" w:bidi="ar"/>
              </w:rPr>
              <w:t>，无任何安全隐患，配套安全说明、风险防控说明完整详实。</w:t>
            </w:r>
            <w:r>
              <w:rPr>
                <w:rFonts w:hint="eastAsia" w:ascii="宋体" w:hAnsi="宋体" w:eastAsia="宋体" w:cs="宋体"/>
                <w:color w:val="auto"/>
                <w:kern w:val="0"/>
                <w:sz w:val="21"/>
                <w:szCs w:val="21"/>
                <w:highlight w:val="none"/>
                <w:lang w:val="en-US" w:eastAsia="zh-CN" w:bidi="ar"/>
              </w:rPr>
              <w:t>得2分。</w:t>
            </w:r>
          </w:p>
          <w:p w14:paraId="475687FF">
            <w:pPr>
              <w:keepNext w:val="0"/>
              <w:keepLines w:val="0"/>
              <w:widowControl/>
              <w:suppressLineNumbers w:val="0"/>
              <w:jc w:val="left"/>
              <w:rPr>
                <w:color w:val="auto"/>
                <w:sz w:val="21"/>
                <w:szCs w:val="21"/>
                <w:highlight w:val="none"/>
              </w:rPr>
            </w:pPr>
            <w:r>
              <w:rPr>
                <w:rStyle w:val="30"/>
                <w:rFonts w:hint="eastAsia" w:ascii="宋体" w:hAnsi="宋体" w:cs="宋体"/>
                <w:color w:val="auto"/>
                <w:kern w:val="0"/>
                <w:sz w:val="21"/>
                <w:szCs w:val="21"/>
                <w:highlight w:val="none"/>
                <w:lang w:val="en-US" w:eastAsia="zh-CN" w:bidi="ar"/>
              </w:rPr>
              <w:t>2.</w:t>
            </w:r>
            <w:r>
              <w:rPr>
                <w:rFonts w:ascii="宋体" w:hAnsi="宋体" w:eastAsia="宋体" w:cs="宋体"/>
                <w:color w:val="auto"/>
                <w:kern w:val="0"/>
                <w:sz w:val="21"/>
                <w:szCs w:val="21"/>
                <w:highlight w:val="none"/>
                <w:lang w:val="en-US" w:eastAsia="zh-CN" w:bidi="ar"/>
              </w:rPr>
              <w:t>基础安全设计符合强制性安全标准，保障基本使用安全，但安全防护细节缺失较多，整体安全体系完整性一般，需针对性优化整改。</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分。</w:t>
            </w:r>
          </w:p>
          <w:p w14:paraId="4122F94C">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3.</w:t>
            </w:r>
            <w:r>
              <w:rPr>
                <w:rFonts w:ascii="宋体" w:hAnsi="宋体" w:eastAsia="宋体" w:cs="宋体"/>
                <w:color w:val="auto"/>
                <w:kern w:val="0"/>
                <w:sz w:val="21"/>
                <w:szCs w:val="21"/>
                <w:highlight w:val="none"/>
                <w:lang w:val="en-US" w:eastAsia="zh-CN" w:bidi="ar"/>
              </w:rPr>
              <w:t>存在</w:t>
            </w:r>
            <w:r>
              <w:rPr>
                <w:rStyle w:val="30"/>
                <w:rFonts w:ascii="宋体" w:hAnsi="宋体" w:eastAsia="宋体" w:cs="宋体"/>
                <w:color w:val="auto"/>
                <w:kern w:val="0"/>
                <w:sz w:val="21"/>
                <w:szCs w:val="21"/>
                <w:highlight w:val="none"/>
                <w:lang w:val="en-US" w:eastAsia="zh-CN" w:bidi="ar"/>
              </w:rPr>
              <w:t>重大安全设计缺陷</w:t>
            </w:r>
            <w:r>
              <w:rPr>
                <w:rFonts w:ascii="宋体" w:hAnsi="宋体" w:eastAsia="宋体" w:cs="宋体"/>
                <w:color w:val="auto"/>
                <w:kern w:val="0"/>
                <w:sz w:val="21"/>
                <w:szCs w:val="21"/>
                <w:highlight w:val="none"/>
                <w:lang w:val="en-US" w:eastAsia="zh-CN" w:bidi="ar"/>
              </w:rPr>
              <w:t>，消防、水电、通风、操作防护等关键安全点位不符合规范，存在明显安全隐患，无法满足校园实验室安全使用要求。</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0.5</w:t>
            </w:r>
            <w:r>
              <w:rPr>
                <w:rFonts w:hint="eastAsia" w:ascii="宋体" w:hAnsi="宋体" w:eastAsia="宋体" w:cs="宋体"/>
                <w:color w:val="auto"/>
                <w:kern w:val="0"/>
                <w:sz w:val="21"/>
                <w:szCs w:val="21"/>
                <w:highlight w:val="none"/>
                <w:lang w:val="en-US" w:eastAsia="zh-CN" w:bidi="ar"/>
              </w:rPr>
              <w:t>分。</w:t>
            </w:r>
          </w:p>
          <w:p w14:paraId="3FB34A8F">
            <w:pPr>
              <w:pStyle w:val="2"/>
              <w:jc w:val="left"/>
              <w:rPr>
                <w:color w:val="auto"/>
                <w:highlight w:val="none"/>
              </w:rPr>
            </w:pPr>
            <w:r>
              <w:rPr>
                <w:rFonts w:hint="eastAsia" w:hAnsi="宋体" w:cs="宋体"/>
                <w:color w:val="auto"/>
                <w:kern w:val="0"/>
                <w:sz w:val="21"/>
                <w:szCs w:val="21"/>
                <w:highlight w:val="none"/>
                <w:lang w:val="en-US" w:eastAsia="zh-CN" w:bidi="ar"/>
              </w:rPr>
              <w:t>4.未提供不得分。</w:t>
            </w:r>
          </w:p>
          <w:p w14:paraId="03254496">
            <w:pPr>
              <w:keepNext w:val="0"/>
              <w:keepLines w:val="0"/>
              <w:widowControl/>
              <w:suppressLineNumbers w:val="0"/>
              <w:jc w:val="left"/>
              <w:rPr>
                <w:rStyle w:val="30"/>
                <w:rFonts w:hint="eastAsia" w:ascii="宋体" w:hAnsi="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三、完整性（2分）</w:t>
            </w:r>
          </w:p>
          <w:p w14:paraId="1D0036C9">
            <w:pPr>
              <w:keepNext w:val="0"/>
              <w:keepLines w:val="0"/>
              <w:widowControl/>
              <w:suppressLineNumbers w:val="0"/>
              <w:jc w:val="left"/>
              <w:rPr>
                <w:color w:val="auto"/>
                <w:sz w:val="21"/>
                <w:szCs w:val="21"/>
                <w:highlight w:val="none"/>
              </w:rPr>
            </w:pPr>
            <w:r>
              <w:rPr>
                <w:rStyle w:val="30"/>
                <w:rFonts w:hint="eastAsia" w:ascii="宋体" w:hAnsi="宋体" w:cs="宋体"/>
                <w:color w:val="auto"/>
                <w:kern w:val="0"/>
                <w:sz w:val="21"/>
                <w:szCs w:val="21"/>
                <w:highlight w:val="none"/>
                <w:lang w:val="en-US" w:eastAsia="zh-CN" w:bidi="ar"/>
              </w:rPr>
              <w:t>1.</w:t>
            </w:r>
            <w:r>
              <w:rPr>
                <w:rFonts w:ascii="宋体" w:hAnsi="宋体" w:eastAsia="宋体" w:cs="宋体"/>
                <w:color w:val="auto"/>
                <w:kern w:val="0"/>
                <w:sz w:val="21"/>
                <w:szCs w:val="21"/>
                <w:highlight w:val="none"/>
                <w:lang w:val="en-US" w:eastAsia="zh-CN" w:bidi="ar"/>
              </w:rPr>
              <w:t>提交的平面设计图纸完整规范，包含总平面图、分区布局图、设施布置图、管线分布图等全套核心图纸，标注清晰、尺寸精准、图例规范；配套说明文件齐全，涵盖设计思路、施工要点、参数说明、落地保障等全部内容，资料完整系统、逻辑清晰、内容详实。</w:t>
            </w:r>
            <w:r>
              <w:rPr>
                <w:rFonts w:hint="eastAsia" w:ascii="宋体" w:hAnsi="宋体" w:eastAsia="宋体" w:cs="宋体"/>
                <w:color w:val="auto"/>
                <w:kern w:val="0"/>
                <w:sz w:val="21"/>
                <w:szCs w:val="21"/>
                <w:highlight w:val="none"/>
                <w:lang w:val="en-US" w:eastAsia="zh-CN" w:bidi="ar"/>
              </w:rPr>
              <w:t>得2分。</w:t>
            </w:r>
          </w:p>
          <w:p w14:paraId="0088AA06">
            <w:pPr>
              <w:keepNext w:val="0"/>
              <w:keepLines w:val="0"/>
              <w:widowControl/>
              <w:suppressLineNumbers w:val="0"/>
              <w:jc w:val="left"/>
              <w:rPr>
                <w:color w:val="auto"/>
                <w:sz w:val="21"/>
                <w:szCs w:val="21"/>
                <w:highlight w:val="none"/>
              </w:rPr>
            </w:pPr>
            <w:r>
              <w:rPr>
                <w:rStyle w:val="30"/>
                <w:rFonts w:hint="eastAsia" w:ascii="宋体" w:hAnsi="宋体" w:cs="宋体"/>
                <w:color w:val="auto"/>
                <w:kern w:val="0"/>
                <w:sz w:val="21"/>
                <w:szCs w:val="21"/>
                <w:highlight w:val="none"/>
                <w:lang w:val="en-US" w:eastAsia="zh-CN" w:bidi="ar"/>
              </w:rPr>
              <w:t>2.</w:t>
            </w:r>
            <w:r>
              <w:rPr>
                <w:rFonts w:ascii="宋体" w:hAnsi="宋体" w:eastAsia="宋体" w:cs="宋体"/>
                <w:color w:val="auto"/>
                <w:kern w:val="0"/>
                <w:sz w:val="21"/>
                <w:szCs w:val="21"/>
                <w:highlight w:val="none"/>
                <w:lang w:val="en-US" w:eastAsia="zh-CN" w:bidi="ar"/>
              </w:rPr>
              <w:t>主要图纸及核心说明文件基本齐全，但图纸细节标注、配套佐证资料、专项说明存在较多缺失，文件系统性、规范性不足。</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分。</w:t>
            </w:r>
          </w:p>
          <w:p w14:paraId="239A7185">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3.</w:t>
            </w:r>
            <w:r>
              <w:rPr>
                <w:rFonts w:ascii="宋体" w:hAnsi="宋体" w:eastAsia="宋体" w:cs="宋体"/>
                <w:color w:val="auto"/>
                <w:kern w:val="0"/>
                <w:sz w:val="21"/>
                <w:szCs w:val="21"/>
                <w:highlight w:val="none"/>
                <w:lang w:val="en-US" w:eastAsia="zh-CN" w:bidi="ar"/>
              </w:rPr>
              <w:t>核心平面图纸缺失、关键配套说明文件未提供，提交资料残缺严重，无法支撑项目设计及落地实施。</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0.5</w:t>
            </w:r>
            <w:r>
              <w:rPr>
                <w:rFonts w:hint="eastAsia" w:ascii="宋体" w:hAnsi="宋体" w:eastAsia="宋体" w:cs="宋体"/>
                <w:color w:val="auto"/>
                <w:kern w:val="0"/>
                <w:sz w:val="21"/>
                <w:szCs w:val="21"/>
                <w:highlight w:val="none"/>
                <w:lang w:val="en-US" w:eastAsia="zh-CN" w:bidi="ar"/>
              </w:rPr>
              <w:t>分。</w:t>
            </w:r>
          </w:p>
          <w:p w14:paraId="60182F7E">
            <w:pPr>
              <w:pStyle w:val="2"/>
              <w:jc w:val="left"/>
              <w:rPr>
                <w:color w:val="auto"/>
                <w:highlight w:val="none"/>
              </w:rPr>
            </w:pPr>
            <w:r>
              <w:rPr>
                <w:rFonts w:hint="eastAsia" w:hAnsi="宋体" w:cs="宋体"/>
                <w:color w:val="auto"/>
                <w:kern w:val="0"/>
                <w:sz w:val="21"/>
                <w:szCs w:val="21"/>
                <w:highlight w:val="none"/>
                <w:lang w:val="en-US" w:eastAsia="zh-CN" w:bidi="ar"/>
              </w:rPr>
              <w:t>4.未提供不得分。</w:t>
            </w:r>
          </w:p>
          <w:p w14:paraId="236F16BD">
            <w:pPr>
              <w:keepNext w:val="0"/>
              <w:keepLines w:val="0"/>
              <w:widowControl/>
              <w:suppressLineNumbers w:val="0"/>
              <w:jc w:val="left"/>
              <w:rPr>
                <w:rStyle w:val="30"/>
                <w:rFonts w:hint="eastAsia" w:ascii="宋体" w:hAnsi="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四、创新性（2分）</w:t>
            </w:r>
          </w:p>
          <w:p w14:paraId="629E0171">
            <w:pPr>
              <w:keepNext w:val="0"/>
              <w:keepLines w:val="0"/>
              <w:widowControl/>
              <w:suppressLineNumbers w:val="0"/>
              <w:jc w:val="left"/>
              <w:rPr>
                <w:rFonts w:hint="default"/>
                <w:color w:val="auto"/>
                <w:sz w:val="21"/>
                <w:szCs w:val="21"/>
                <w:highlight w:val="none"/>
                <w:lang w:val="en-US"/>
              </w:rPr>
            </w:pPr>
            <w:r>
              <w:rPr>
                <w:rStyle w:val="30"/>
                <w:rFonts w:hint="eastAsia" w:ascii="宋体" w:hAnsi="宋体" w:cs="宋体"/>
                <w:color w:val="auto"/>
                <w:kern w:val="0"/>
                <w:sz w:val="21"/>
                <w:szCs w:val="21"/>
                <w:highlight w:val="none"/>
                <w:lang w:val="en-US" w:eastAsia="zh-CN" w:bidi="ar"/>
              </w:rPr>
              <w:t>1.</w:t>
            </w:r>
            <w:r>
              <w:rPr>
                <w:rFonts w:ascii="宋体" w:hAnsi="宋体" w:eastAsia="宋体" w:cs="宋体"/>
                <w:color w:val="auto"/>
                <w:kern w:val="0"/>
                <w:sz w:val="21"/>
                <w:szCs w:val="21"/>
                <w:highlight w:val="none"/>
                <w:lang w:val="en-US" w:eastAsia="zh-CN" w:bidi="ar"/>
              </w:rPr>
              <w:t>设计方案具备</w:t>
            </w:r>
            <w:r>
              <w:rPr>
                <w:rStyle w:val="30"/>
                <w:rFonts w:ascii="宋体" w:hAnsi="宋体" w:eastAsia="宋体" w:cs="宋体"/>
                <w:color w:val="auto"/>
                <w:kern w:val="0"/>
                <w:sz w:val="21"/>
                <w:szCs w:val="21"/>
                <w:highlight w:val="none"/>
                <w:lang w:val="en-US" w:eastAsia="zh-CN" w:bidi="ar"/>
              </w:rPr>
              <w:t>明显创新亮点</w:t>
            </w:r>
            <w:r>
              <w:rPr>
                <w:rFonts w:ascii="宋体" w:hAnsi="宋体" w:eastAsia="宋体" w:cs="宋体"/>
                <w:color w:val="auto"/>
                <w:kern w:val="0"/>
                <w:sz w:val="21"/>
                <w:szCs w:val="21"/>
                <w:highlight w:val="none"/>
                <w:lang w:val="en-US" w:eastAsia="zh-CN" w:bidi="ar"/>
              </w:rPr>
              <w:t>，在空间高效利用、、智能化实验配套、节能环保设计、多功能场景拓展等方面有2项及以上创新设计，贴合现代化初中实验室建设需求。</w:t>
            </w:r>
            <w:r>
              <w:rPr>
                <w:rFonts w:hint="eastAsia" w:ascii="宋体" w:hAnsi="宋体" w:eastAsia="宋体" w:cs="宋体"/>
                <w:color w:val="auto"/>
                <w:kern w:val="0"/>
                <w:sz w:val="21"/>
                <w:szCs w:val="21"/>
                <w:highlight w:val="none"/>
                <w:lang w:val="en-US" w:eastAsia="zh-CN" w:bidi="ar"/>
              </w:rPr>
              <w:t>得2分。</w:t>
            </w:r>
          </w:p>
          <w:p w14:paraId="3EC274F6">
            <w:pPr>
              <w:keepNext w:val="0"/>
              <w:keepLines w:val="0"/>
              <w:widowControl/>
              <w:suppressLineNumbers w:val="0"/>
              <w:jc w:val="left"/>
              <w:rPr>
                <w:color w:val="auto"/>
                <w:sz w:val="21"/>
                <w:szCs w:val="21"/>
                <w:highlight w:val="none"/>
              </w:rPr>
            </w:pPr>
            <w:r>
              <w:rPr>
                <w:rStyle w:val="30"/>
                <w:rFonts w:hint="eastAsia" w:ascii="宋体" w:hAnsi="宋体" w:cs="宋体"/>
                <w:color w:val="auto"/>
                <w:kern w:val="0"/>
                <w:sz w:val="21"/>
                <w:szCs w:val="21"/>
                <w:highlight w:val="none"/>
                <w:lang w:val="en-US" w:eastAsia="zh-CN" w:bidi="ar"/>
              </w:rPr>
              <w:t>2.</w:t>
            </w:r>
            <w:r>
              <w:rPr>
                <w:rFonts w:ascii="宋体" w:hAnsi="宋体" w:eastAsia="宋体" w:cs="宋体"/>
                <w:color w:val="auto"/>
                <w:kern w:val="0"/>
                <w:sz w:val="21"/>
                <w:szCs w:val="21"/>
                <w:highlight w:val="none"/>
                <w:lang w:val="en-US" w:eastAsia="zh-CN" w:bidi="ar"/>
              </w:rPr>
              <w:t>设计方案有1项明确的创新优化设计，创新点贴合教学及场地使用需求，具备实际应用价值，可小幅提升实验室使用体验及建设品质。</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分。</w:t>
            </w:r>
          </w:p>
          <w:p w14:paraId="533D8C69">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Style w:val="30"/>
                <w:rFonts w:hint="eastAsia" w:ascii="宋体" w:hAnsi="宋体" w:cs="宋体"/>
                <w:color w:val="auto"/>
                <w:kern w:val="0"/>
                <w:sz w:val="21"/>
                <w:szCs w:val="21"/>
                <w:highlight w:val="none"/>
                <w:lang w:val="en-US" w:eastAsia="zh-CN" w:bidi="ar"/>
              </w:rPr>
              <w:t>3.</w:t>
            </w:r>
            <w:r>
              <w:rPr>
                <w:rFonts w:ascii="宋体" w:hAnsi="宋体" w:eastAsia="宋体" w:cs="宋体"/>
                <w:color w:val="auto"/>
                <w:kern w:val="0"/>
                <w:sz w:val="21"/>
                <w:szCs w:val="21"/>
                <w:highlight w:val="none"/>
                <w:lang w:val="en-US" w:eastAsia="zh-CN" w:bidi="ar"/>
              </w:rPr>
              <w:t>设计方案老旧、固化，存在设计冗余、不合理堆砌等问题，无任何优化创新，且不符合现代化实验室建设发展趋势。</w:t>
            </w:r>
            <w:r>
              <w:rPr>
                <w:rFonts w:hint="eastAsia" w:ascii="宋体" w:hAnsi="宋体" w:eastAsia="宋体" w:cs="宋体"/>
                <w:color w:val="auto"/>
                <w:kern w:val="0"/>
                <w:sz w:val="21"/>
                <w:szCs w:val="21"/>
                <w:highlight w:val="none"/>
                <w:lang w:val="en-US" w:eastAsia="zh-CN" w:bidi="ar"/>
              </w:rPr>
              <w:t>得</w:t>
            </w:r>
            <w:r>
              <w:rPr>
                <w:rFonts w:hint="eastAsia" w:ascii="宋体" w:hAnsi="宋体" w:cs="宋体"/>
                <w:color w:val="auto"/>
                <w:kern w:val="0"/>
                <w:sz w:val="21"/>
                <w:szCs w:val="21"/>
                <w:highlight w:val="none"/>
                <w:lang w:val="en-US" w:eastAsia="zh-CN" w:bidi="ar"/>
              </w:rPr>
              <w:t>0.5</w:t>
            </w:r>
            <w:r>
              <w:rPr>
                <w:rFonts w:hint="eastAsia" w:ascii="宋体" w:hAnsi="宋体" w:eastAsia="宋体" w:cs="宋体"/>
                <w:color w:val="auto"/>
                <w:kern w:val="0"/>
                <w:sz w:val="21"/>
                <w:szCs w:val="21"/>
                <w:highlight w:val="none"/>
                <w:lang w:val="en-US" w:eastAsia="zh-CN" w:bidi="ar"/>
              </w:rPr>
              <w:t>分。</w:t>
            </w:r>
          </w:p>
          <w:p w14:paraId="744193A7">
            <w:pPr>
              <w:pStyle w:val="2"/>
              <w:jc w:val="left"/>
              <w:rPr>
                <w:rFonts w:hint="eastAsia"/>
                <w:color w:val="auto"/>
                <w:highlight w:val="none"/>
                <w:lang w:val="en-US" w:eastAsia="zh-CN"/>
              </w:rPr>
            </w:pPr>
            <w:r>
              <w:rPr>
                <w:rFonts w:hint="eastAsia" w:hAnsi="宋体" w:cs="宋体"/>
                <w:color w:val="auto"/>
                <w:kern w:val="0"/>
                <w:sz w:val="21"/>
                <w:szCs w:val="21"/>
                <w:highlight w:val="none"/>
                <w:lang w:val="en-US" w:eastAsia="zh-CN" w:bidi="ar"/>
              </w:rPr>
              <w:t>4.未提供不得分。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7415D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F43E3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A63DB2B">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实施方案</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816493">
            <w:pPr>
              <w:widowControl/>
              <w:ind w:firstLine="422" w:firstLineChars="200"/>
              <w:jc w:val="left"/>
              <w:rPr>
                <w:rFonts w:hint="eastAsia" w:ascii="宋体" w:hAnsi="宋体" w:cs="宋体"/>
                <w:b/>
                <w:bCs/>
                <w:color w:val="auto"/>
                <w:sz w:val="21"/>
                <w:szCs w:val="21"/>
              </w:rPr>
            </w:pPr>
            <w:r>
              <w:rPr>
                <w:rFonts w:hint="eastAsia" w:ascii="宋体" w:hAnsi="宋体" w:cs="宋体"/>
                <w:b/>
                <w:bCs/>
                <w:color w:val="auto"/>
                <w:sz w:val="21"/>
                <w:szCs w:val="21"/>
              </w:rPr>
              <w:t>施工质量保障措施方案（</w:t>
            </w:r>
            <w:r>
              <w:rPr>
                <w:rFonts w:hint="eastAsia" w:ascii="宋体" w:hAnsi="宋体" w:cs="宋体"/>
                <w:b/>
                <w:bCs/>
                <w:color w:val="auto"/>
                <w:sz w:val="21"/>
                <w:szCs w:val="21"/>
                <w:lang w:val="en-US" w:eastAsia="zh-CN"/>
              </w:rPr>
              <w:t>8</w:t>
            </w:r>
            <w:r>
              <w:rPr>
                <w:rFonts w:hint="eastAsia" w:ascii="宋体" w:hAnsi="宋体" w:cs="宋体"/>
                <w:b/>
                <w:bCs/>
                <w:color w:val="auto"/>
                <w:sz w:val="21"/>
                <w:szCs w:val="21"/>
              </w:rPr>
              <w:t>分）</w:t>
            </w:r>
          </w:p>
          <w:p w14:paraId="6AFC3DDB">
            <w:pPr>
              <w:widowControl/>
              <w:ind w:firstLine="420" w:firstLineChars="200"/>
              <w:jc w:val="left"/>
              <w:rPr>
                <w:rFonts w:hint="eastAsia" w:ascii="宋体" w:hAnsi="宋体" w:cs="宋体"/>
                <w:color w:val="auto"/>
                <w:sz w:val="21"/>
                <w:szCs w:val="21"/>
              </w:rPr>
            </w:pPr>
            <w:r>
              <w:rPr>
                <w:rFonts w:hint="eastAsia" w:ascii="宋体" w:hAnsi="宋体" w:cs="宋体"/>
                <w:color w:val="auto"/>
                <w:sz w:val="21"/>
                <w:szCs w:val="21"/>
              </w:rPr>
              <w:t>根据供应商提供的针对本项目的施工质量控制保证方案，内容包括但不限于项目管理及人员、施工</w:t>
            </w:r>
            <w:r>
              <w:rPr>
                <w:rFonts w:hint="eastAsia" w:ascii="宋体" w:hAnsi="宋体" w:cs="宋体"/>
                <w:color w:val="auto"/>
                <w:sz w:val="21"/>
                <w:szCs w:val="21"/>
                <w:lang w:val="en-US" w:eastAsia="zh-CN"/>
              </w:rPr>
              <w:t>质量</w:t>
            </w:r>
            <w:r>
              <w:rPr>
                <w:rFonts w:hint="eastAsia" w:ascii="宋体" w:hAnsi="宋体" w:cs="宋体"/>
                <w:color w:val="auto"/>
                <w:sz w:val="21"/>
                <w:szCs w:val="21"/>
              </w:rPr>
              <w:t>过程、安全文明施工、环保措施等进行评分：</w:t>
            </w:r>
          </w:p>
          <w:p w14:paraId="10A68A2A">
            <w:pPr>
              <w:widowControl/>
              <w:jc w:val="left"/>
              <w:rPr>
                <w:rFonts w:hint="eastAsia" w:ascii="宋体" w:hAnsi="宋体" w:cs="宋体"/>
                <w:color w:val="auto"/>
                <w:sz w:val="21"/>
                <w:szCs w:val="21"/>
              </w:rPr>
            </w:pPr>
            <w:r>
              <w:rPr>
                <w:rFonts w:hint="eastAsia" w:ascii="宋体" w:hAnsi="宋体" w:cs="宋体"/>
                <w:color w:val="auto"/>
                <w:sz w:val="21"/>
                <w:szCs w:val="21"/>
              </w:rPr>
              <w:t>1、项目管理及施工人员水平等内容且符合本项目实际需求的得</w:t>
            </w:r>
            <w:r>
              <w:rPr>
                <w:rFonts w:hint="eastAsia" w:ascii="宋体" w:hAnsi="宋体" w:cs="宋体"/>
                <w:color w:val="auto"/>
                <w:sz w:val="21"/>
                <w:szCs w:val="21"/>
                <w:lang w:val="en-US" w:eastAsia="zh-CN"/>
              </w:rPr>
              <w:t>2</w:t>
            </w:r>
            <w:r>
              <w:rPr>
                <w:rFonts w:hint="eastAsia" w:ascii="宋体" w:hAnsi="宋体" w:cs="宋体"/>
                <w:color w:val="auto"/>
                <w:sz w:val="21"/>
                <w:szCs w:val="21"/>
              </w:rPr>
              <w:t>分，基本符合要求的得</w:t>
            </w:r>
            <w:r>
              <w:rPr>
                <w:rFonts w:hint="eastAsia" w:ascii="宋体" w:hAnsi="宋体" w:cs="宋体"/>
                <w:color w:val="auto"/>
                <w:sz w:val="21"/>
                <w:szCs w:val="21"/>
                <w:lang w:val="en-US" w:eastAsia="zh-CN"/>
              </w:rPr>
              <w:t>1</w:t>
            </w:r>
            <w:r>
              <w:rPr>
                <w:rFonts w:hint="eastAsia" w:ascii="宋体" w:hAnsi="宋体" w:cs="宋体"/>
                <w:color w:val="auto"/>
                <w:sz w:val="21"/>
                <w:szCs w:val="21"/>
              </w:rPr>
              <w:t>分，不能满足项目实际需求的得</w:t>
            </w:r>
            <w:r>
              <w:rPr>
                <w:rFonts w:hint="eastAsia" w:ascii="宋体" w:hAnsi="宋体" w:cs="宋体"/>
                <w:color w:val="auto"/>
                <w:sz w:val="21"/>
                <w:szCs w:val="21"/>
                <w:lang w:val="en-US" w:eastAsia="zh-CN"/>
              </w:rPr>
              <w:t>0</w:t>
            </w:r>
            <w:r>
              <w:rPr>
                <w:rFonts w:hint="eastAsia" w:ascii="宋体" w:hAnsi="宋体" w:cs="宋体"/>
                <w:color w:val="auto"/>
                <w:sz w:val="21"/>
                <w:szCs w:val="21"/>
              </w:rPr>
              <w:t>分；</w:t>
            </w:r>
          </w:p>
          <w:p w14:paraId="42221E8B">
            <w:pPr>
              <w:pStyle w:val="2"/>
              <w:jc w:val="left"/>
              <w:rPr>
                <w:color w:val="auto"/>
                <w:sz w:val="21"/>
                <w:szCs w:val="21"/>
              </w:rPr>
            </w:pPr>
            <w:r>
              <w:rPr>
                <w:rFonts w:hint="eastAsia"/>
                <w:color w:val="auto"/>
                <w:sz w:val="21"/>
                <w:szCs w:val="21"/>
              </w:rPr>
              <w:t>2、</w:t>
            </w:r>
            <w:r>
              <w:rPr>
                <w:rFonts w:hint="eastAsia" w:hAnsi="宋体" w:cs="宋体"/>
                <w:color w:val="auto"/>
                <w:sz w:val="21"/>
                <w:szCs w:val="21"/>
              </w:rPr>
              <w:t>施工过程质量控制措施且符合本项目实际需求的得</w:t>
            </w:r>
            <w:r>
              <w:rPr>
                <w:rFonts w:hint="eastAsia" w:hAnsi="宋体" w:cs="宋体"/>
                <w:color w:val="auto"/>
                <w:sz w:val="21"/>
                <w:szCs w:val="21"/>
                <w:lang w:val="en-US" w:eastAsia="zh-CN"/>
              </w:rPr>
              <w:t>2</w:t>
            </w:r>
            <w:r>
              <w:rPr>
                <w:rFonts w:hint="eastAsia" w:hAnsi="宋体" w:cs="宋体"/>
                <w:color w:val="auto"/>
                <w:sz w:val="21"/>
                <w:szCs w:val="21"/>
              </w:rPr>
              <w:t>分，基本符合本项目需求的得</w:t>
            </w:r>
            <w:r>
              <w:rPr>
                <w:rFonts w:hint="eastAsia" w:hAnsi="宋体" w:cs="宋体"/>
                <w:color w:val="auto"/>
                <w:sz w:val="21"/>
                <w:szCs w:val="21"/>
                <w:lang w:val="en-US" w:eastAsia="zh-CN"/>
              </w:rPr>
              <w:t>1</w:t>
            </w:r>
            <w:r>
              <w:rPr>
                <w:rFonts w:hint="eastAsia" w:hAnsi="宋体" w:cs="宋体"/>
                <w:color w:val="auto"/>
                <w:sz w:val="21"/>
                <w:szCs w:val="21"/>
              </w:rPr>
              <w:t>分，不能满足本项目实际需求的得</w:t>
            </w:r>
            <w:r>
              <w:rPr>
                <w:rFonts w:hint="eastAsia" w:hAnsi="宋体" w:cs="宋体"/>
                <w:color w:val="auto"/>
                <w:sz w:val="21"/>
                <w:szCs w:val="21"/>
                <w:lang w:val="en-US" w:eastAsia="zh-CN"/>
              </w:rPr>
              <w:t>0</w:t>
            </w:r>
            <w:r>
              <w:rPr>
                <w:rFonts w:hint="eastAsia" w:hAnsi="宋体" w:cs="宋体"/>
                <w:color w:val="auto"/>
                <w:sz w:val="21"/>
                <w:szCs w:val="21"/>
              </w:rPr>
              <w:t>分；</w:t>
            </w:r>
          </w:p>
          <w:p w14:paraId="7CB5EFEC">
            <w:pPr>
              <w:widowControl/>
              <w:jc w:val="left"/>
              <w:rPr>
                <w:rFonts w:hint="eastAsia" w:ascii="宋体" w:hAnsi="宋体" w:cs="宋体"/>
                <w:color w:val="auto"/>
                <w:sz w:val="21"/>
                <w:szCs w:val="21"/>
              </w:rPr>
            </w:pPr>
            <w:r>
              <w:rPr>
                <w:rFonts w:hint="eastAsia" w:ascii="宋体" w:hAnsi="宋体" w:cs="宋体"/>
                <w:color w:val="auto"/>
                <w:sz w:val="21"/>
                <w:szCs w:val="21"/>
              </w:rPr>
              <w:t>3、安全文明保障措施且符合本项目实际需求的得</w:t>
            </w:r>
            <w:r>
              <w:rPr>
                <w:rFonts w:hint="eastAsia" w:ascii="宋体" w:hAnsi="宋体" w:cs="宋体"/>
                <w:color w:val="auto"/>
                <w:sz w:val="21"/>
                <w:szCs w:val="21"/>
                <w:lang w:val="en-US" w:eastAsia="zh-CN"/>
              </w:rPr>
              <w:t>2</w:t>
            </w:r>
            <w:r>
              <w:rPr>
                <w:rFonts w:hint="eastAsia" w:ascii="宋体" w:hAnsi="宋体" w:cs="宋体"/>
                <w:color w:val="auto"/>
                <w:sz w:val="21"/>
                <w:szCs w:val="21"/>
              </w:rPr>
              <w:t>分，基本符合本项目需求的得</w:t>
            </w:r>
            <w:r>
              <w:rPr>
                <w:rFonts w:hint="eastAsia" w:ascii="宋体" w:hAnsi="宋体" w:cs="宋体"/>
                <w:color w:val="auto"/>
                <w:sz w:val="21"/>
                <w:szCs w:val="21"/>
                <w:lang w:val="en-US" w:eastAsia="zh-CN"/>
              </w:rPr>
              <w:t>1</w:t>
            </w:r>
            <w:r>
              <w:rPr>
                <w:rFonts w:hint="eastAsia" w:ascii="宋体" w:hAnsi="宋体" w:cs="宋体"/>
                <w:color w:val="auto"/>
                <w:sz w:val="21"/>
                <w:szCs w:val="21"/>
              </w:rPr>
              <w:t>分，不能满足本项目需求的得</w:t>
            </w:r>
            <w:r>
              <w:rPr>
                <w:rFonts w:hint="eastAsia" w:ascii="宋体" w:hAnsi="宋体" w:cs="宋体"/>
                <w:color w:val="auto"/>
                <w:sz w:val="21"/>
                <w:szCs w:val="21"/>
                <w:lang w:val="en-US" w:eastAsia="zh-CN"/>
              </w:rPr>
              <w:t>0</w:t>
            </w:r>
            <w:r>
              <w:rPr>
                <w:rFonts w:hint="eastAsia" w:ascii="宋体" w:hAnsi="宋体" w:cs="宋体"/>
                <w:color w:val="auto"/>
                <w:sz w:val="21"/>
                <w:szCs w:val="21"/>
              </w:rPr>
              <w:t>分；</w:t>
            </w:r>
          </w:p>
          <w:p w14:paraId="7050EA89">
            <w:pPr>
              <w:widowControl/>
              <w:jc w:val="left"/>
              <w:rPr>
                <w:rFonts w:hint="eastAsia" w:ascii="宋体" w:hAnsi="宋体" w:eastAsia="宋体" w:cs="宋体"/>
                <w:color w:val="auto"/>
                <w:sz w:val="21"/>
                <w:szCs w:val="21"/>
              </w:rPr>
            </w:pPr>
            <w:r>
              <w:rPr>
                <w:rFonts w:hint="eastAsia" w:ascii="宋体" w:hAnsi="宋体" w:cs="宋体"/>
                <w:color w:val="auto"/>
                <w:sz w:val="21"/>
                <w:szCs w:val="21"/>
              </w:rPr>
              <w:t>4、环保措施且符合本项目实际需求的得</w:t>
            </w:r>
            <w:r>
              <w:rPr>
                <w:rFonts w:hint="eastAsia" w:ascii="宋体" w:hAnsi="宋体" w:cs="宋体"/>
                <w:color w:val="auto"/>
                <w:sz w:val="21"/>
                <w:szCs w:val="21"/>
                <w:lang w:val="en-US" w:eastAsia="zh-CN"/>
              </w:rPr>
              <w:t>2</w:t>
            </w:r>
            <w:r>
              <w:rPr>
                <w:rFonts w:hint="eastAsia" w:ascii="宋体" w:hAnsi="宋体" w:cs="宋体"/>
                <w:color w:val="auto"/>
                <w:sz w:val="21"/>
                <w:szCs w:val="21"/>
              </w:rPr>
              <w:t>分，基本符合本项目实际需求的得</w:t>
            </w:r>
            <w:r>
              <w:rPr>
                <w:rFonts w:hint="eastAsia" w:ascii="宋体" w:hAnsi="宋体" w:cs="宋体"/>
                <w:color w:val="auto"/>
                <w:sz w:val="21"/>
                <w:szCs w:val="21"/>
                <w:lang w:val="en-US" w:eastAsia="zh-CN"/>
              </w:rPr>
              <w:t>1</w:t>
            </w:r>
            <w:r>
              <w:rPr>
                <w:rFonts w:hint="eastAsia" w:ascii="宋体" w:hAnsi="宋体" w:cs="宋体"/>
                <w:color w:val="auto"/>
                <w:sz w:val="21"/>
                <w:szCs w:val="21"/>
              </w:rPr>
              <w:t>分，不能满足本项目需求的得</w:t>
            </w:r>
            <w:r>
              <w:rPr>
                <w:rFonts w:hint="eastAsia" w:ascii="宋体" w:hAnsi="宋体" w:cs="宋体"/>
                <w:color w:val="auto"/>
                <w:sz w:val="21"/>
                <w:szCs w:val="21"/>
                <w:lang w:val="en-US" w:eastAsia="zh-CN"/>
              </w:rPr>
              <w:t>0</w:t>
            </w:r>
            <w:r>
              <w:rPr>
                <w:rFonts w:hint="eastAsia" w:ascii="宋体" w:hAnsi="宋体" w:cs="宋体"/>
                <w:color w:val="auto"/>
                <w:sz w:val="21"/>
                <w:szCs w:val="21"/>
              </w:rPr>
              <w:t>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4AA52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r>
      <w:tr w14:paraId="734260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63FE18">
            <w:pPr>
              <w:pStyle w:val="5"/>
              <w:rPr>
                <w:rFonts w:hint="default" w:hAnsi="宋体" w:cs="宋体"/>
                <w:b w:val="0"/>
                <w:bCs w:val="0"/>
                <w:i w:val="0"/>
                <w:iCs w:val="0"/>
                <w:color w:val="auto"/>
                <w:kern w:val="0"/>
                <w:sz w:val="24"/>
                <w:szCs w:val="24"/>
                <w:highlight w:val="none"/>
                <w:u w:val="none"/>
                <w:lang w:val="en-US" w:eastAsia="zh-CN" w:bidi="ar"/>
              </w:rPr>
            </w:pPr>
            <w:r>
              <w:rPr>
                <w:rFonts w:hint="eastAsia" w:hAnsi="宋体" w:cs="宋体"/>
                <w:b w:val="0"/>
                <w:bCs w:val="0"/>
                <w:i w:val="0"/>
                <w:iCs w:val="0"/>
                <w:color w:val="auto"/>
                <w:kern w:val="0"/>
                <w:sz w:val="24"/>
                <w:szCs w:val="24"/>
                <w:highlight w:val="none"/>
                <w:u w:val="none"/>
                <w:lang w:val="en-US" w:eastAsia="zh-CN" w:bidi="ar"/>
              </w:rPr>
              <w:t>实验桌凳</w:t>
            </w:r>
          </w:p>
          <w:p w14:paraId="7E255B09">
            <w:pPr>
              <w:pStyle w:val="5"/>
              <w:ind w:firstLine="420" w:firstLineChars="0"/>
              <w:rPr>
                <w:rFonts w:hint="eastAsia" w:hAnsi="宋体" w:cs="宋体"/>
                <w:b w:val="0"/>
                <w:bCs w:val="0"/>
                <w:i w:val="0"/>
                <w:iCs w:val="0"/>
                <w:color w:val="auto"/>
                <w:kern w:val="0"/>
                <w:sz w:val="24"/>
                <w:szCs w:val="24"/>
                <w:highlight w:val="none"/>
                <w:u w:val="none"/>
                <w:lang w:val="en-US" w:eastAsia="zh-CN" w:bidi="ar"/>
              </w:rPr>
            </w:pPr>
            <w:r>
              <w:rPr>
                <w:rFonts w:hint="eastAsia" w:hAnsi="宋体" w:cs="宋体"/>
                <w:b w:val="0"/>
                <w:bCs w:val="0"/>
                <w:i w:val="0"/>
                <w:iCs w:val="0"/>
                <w:color w:val="auto"/>
                <w:kern w:val="0"/>
                <w:sz w:val="24"/>
                <w:szCs w:val="24"/>
                <w:highlight w:val="none"/>
                <w:u w:val="none"/>
                <w:lang w:val="en-US" w:eastAsia="zh-CN" w:bidi="ar"/>
              </w:rPr>
              <w:t>视频演示</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C646C9">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对实验桌凳所</w:t>
            </w:r>
            <w:r>
              <w:rPr>
                <w:rFonts w:hint="eastAsia" w:ascii="宋体" w:hAnsi="宋体" w:eastAsia="宋体" w:cs="宋体"/>
                <w:i w:val="0"/>
                <w:iCs w:val="0"/>
                <w:color w:val="auto"/>
                <w:kern w:val="0"/>
                <w:sz w:val="21"/>
                <w:szCs w:val="21"/>
                <w:u w:val="none"/>
                <w:lang w:val="en-US" w:eastAsia="zh-CN" w:bidi="ar"/>
              </w:rPr>
              <w:t>用主要部件（包括但不限于台面、铰链、横梁、挡板、立柱、支脚、师生电源等）视频演示（8分）：</w:t>
            </w:r>
          </w:p>
          <w:p w14:paraId="3B7D57FA">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视频演示1：本项目</w:t>
            </w:r>
            <w:r>
              <w:rPr>
                <w:rFonts w:hint="eastAsia" w:ascii="宋体" w:hAnsi="宋体" w:cs="宋体"/>
                <w:i w:val="0"/>
                <w:iCs w:val="0"/>
                <w:color w:val="auto"/>
                <w:kern w:val="0"/>
                <w:sz w:val="21"/>
                <w:szCs w:val="21"/>
                <w:u w:val="none"/>
                <w:lang w:val="en-US" w:eastAsia="zh-CN" w:bidi="ar"/>
              </w:rPr>
              <w:t>要求投标人提供演示视频，对投标人参投本项目的教师演示桌及学生实验桌椅设计及</w:t>
            </w:r>
            <w:r>
              <w:rPr>
                <w:rFonts w:hint="eastAsia" w:ascii="宋体" w:hAnsi="宋体" w:eastAsia="宋体" w:cs="宋体"/>
                <w:i w:val="0"/>
                <w:iCs w:val="0"/>
                <w:color w:val="auto"/>
                <w:kern w:val="0"/>
                <w:sz w:val="21"/>
                <w:szCs w:val="21"/>
                <w:u w:val="none"/>
                <w:lang w:val="en-US" w:eastAsia="zh-CN" w:bidi="ar"/>
              </w:rPr>
              <w:t>主要部件</w:t>
            </w:r>
            <w:r>
              <w:rPr>
                <w:rFonts w:hint="eastAsia" w:ascii="宋体" w:hAnsi="宋体" w:cs="宋体"/>
                <w:i w:val="0"/>
                <w:iCs w:val="0"/>
                <w:color w:val="auto"/>
                <w:kern w:val="0"/>
                <w:sz w:val="21"/>
                <w:szCs w:val="21"/>
                <w:u w:val="none"/>
                <w:lang w:val="en-US" w:eastAsia="zh-CN" w:bidi="ar"/>
              </w:rPr>
              <w:t>进行介绍，配文字或语音旁白，</w:t>
            </w:r>
            <w:r>
              <w:rPr>
                <w:rFonts w:hint="eastAsia" w:ascii="宋体" w:hAnsi="宋体" w:eastAsia="宋体" w:cs="宋体"/>
                <w:i w:val="0"/>
                <w:iCs w:val="0"/>
                <w:color w:val="auto"/>
                <w:kern w:val="0"/>
                <w:sz w:val="21"/>
                <w:szCs w:val="21"/>
                <w:u w:val="none"/>
                <w:lang w:val="en-US" w:eastAsia="zh-CN" w:bidi="ar"/>
              </w:rPr>
              <w:t>视频总时长不超过</w:t>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min，大小不超过500MB，视频演示要求连续播放，否则无效。</w:t>
            </w:r>
          </w:p>
          <w:p w14:paraId="7C236DA2">
            <w:pPr>
              <w:keepNext w:val="0"/>
              <w:keepLines w:val="0"/>
              <w:widowControl/>
              <w:numPr>
                <w:ilvl w:val="0"/>
                <w:numId w:val="3"/>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视频</w:t>
            </w:r>
            <w:r>
              <w:rPr>
                <w:rFonts w:hint="eastAsia" w:ascii="宋体" w:hAnsi="宋体" w:cs="宋体"/>
                <w:i w:val="0"/>
                <w:iCs w:val="0"/>
                <w:color w:val="auto"/>
                <w:kern w:val="0"/>
                <w:sz w:val="21"/>
                <w:szCs w:val="21"/>
                <w:u w:val="none"/>
                <w:lang w:val="en-US" w:eastAsia="zh-CN" w:bidi="ar"/>
              </w:rPr>
              <w:t>内容</w:t>
            </w:r>
            <w:r>
              <w:rPr>
                <w:rFonts w:hint="eastAsia" w:ascii="宋体" w:hAnsi="宋体" w:eastAsia="宋体" w:cs="宋体"/>
                <w:i w:val="0"/>
                <w:iCs w:val="0"/>
                <w:color w:val="auto"/>
                <w:kern w:val="0"/>
                <w:sz w:val="21"/>
                <w:szCs w:val="21"/>
                <w:u w:val="none"/>
                <w:lang w:val="en-US" w:eastAsia="zh-CN" w:bidi="ar"/>
              </w:rPr>
              <w:t>清晰、视角完整，全面展示实验桌凳整体外观、主材、框架结构、连接工艺、承重稳定性、防护设计及各项使用功能，细节呈现到位，演示内容详实规范</w:t>
            </w:r>
            <w:r>
              <w:rPr>
                <w:rFonts w:hint="eastAsia" w:ascii="宋体" w:hAnsi="宋体" w:cs="宋体"/>
                <w:i w:val="0"/>
                <w:iCs w:val="0"/>
                <w:color w:val="auto"/>
                <w:kern w:val="0"/>
                <w:sz w:val="21"/>
                <w:szCs w:val="21"/>
                <w:u w:val="none"/>
                <w:lang w:val="en-US" w:eastAsia="zh-CN" w:bidi="ar"/>
              </w:rPr>
              <w:t>，完全符合采购需求中技术参数</w:t>
            </w:r>
            <w:r>
              <w:rPr>
                <w:rFonts w:hint="eastAsia" w:hAnsi="宋体" w:cs="宋体"/>
                <w:i w:val="0"/>
                <w:iCs w:val="0"/>
                <w:color w:val="auto"/>
                <w:kern w:val="0"/>
                <w:sz w:val="21"/>
                <w:szCs w:val="21"/>
                <w:u w:val="none"/>
                <w:lang w:val="en-US" w:eastAsia="zh-CN" w:bidi="ar"/>
              </w:rPr>
              <w:t>质量工艺最好的</w:t>
            </w:r>
            <w:r>
              <w:rPr>
                <w:rFonts w:hint="eastAsia" w:ascii="宋体" w:hAnsi="宋体" w:cs="宋体"/>
                <w:i w:val="0"/>
                <w:iCs w:val="0"/>
                <w:color w:val="auto"/>
                <w:kern w:val="0"/>
                <w:sz w:val="21"/>
                <w:szCs w:val="21"/>
                <w:u w:val="none"/>
                <w:lang w:val="en-US" w:eastAsia="zh-CN" w:bidi="ar"/>
              </w:rPr>
              <w:t>得8分。</w:t>
            </w:r>
          </w:p>
          <w:p w14:paraId="11AF3D35">
            <w:pPr>
              <w:pStyle w:val="2"/>
              <w:numPr>
                <w:ilvl w:val="0"/>
                <w:numId w:val="3"/>
              </w:numPr>
              <w:jc w:val="left"/>
              <w:rPr>
                <w:rFonts w:hint="default"/>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视频画面基本清晰，可展示产品主体样貌与基础结构、常规使用功能，核心材质、工艺细节</w:t>
            </w:r>
            <w:r>
              <w:rPr>
                <w:rFonts w:hint="eastAsia"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基本</w:t>
            </w:r>
            <w:r>
              <w:rPr>
                <w:rFonts w:hint="eastAsia" w:hAnsi="宋体" w:cs="宋体"/>
                <w:i w:val="0"/>
                <w:iCs w:val="0"/>
                <w:color w:val="auto"/>
                <w:kern w:val="0"/>
                <w:sz w:val="21"/>
                <w:szCs w:val="21"/>
                <w:u w:val="none"/>
                <w:lang w:val="en-US" w:eastAsia="zh-CN" w:bidi="ar"/>
              </w:rPr>
              <w:t>符合本次</w:t>
            </w:r>
            <w:r>
              <w:rPr>
                <w:rFonts w:hint="eastAsia" w:ascii="宋体" w:hAnsi="宋体" w:cs="宋体"/>
                <w:i w:val="0"/>
                <w:iCs w:val="0"/>
                <w:color w:val="auto"/>
                <w:kern w:val="0"/>
                <w:sz w:val="21"/>
                <w:szCs w:val="21"/>
                <w:u w:val="none"/>
                <w:lang w:val="en-US" w:eastAsia="zh-CN" w:bidi="ar"/>
              </w:rPr>
              <w:t>采购需求</w:t>
            </w:r>
            <w:r>
              <w:rPr>
                <w:rFonts w:hint="eastAsia" w:hAnsi="宋体" w:cs="宋体"/>
                <w:i w:val="0"/>
                <w:iCs w:val="0"/>
                <w:color w:val="auto"/>
                <w:kern w:val="0"/>
                <w:sz w:val="21"/>
                <w:szCs w:val="21"/>
                <w:u w:val="none"/>
                <w:lang w:val="en-US" w:eastAsia="zh-CN" w:bidi="ar"/>
              </w:rPr>
              <w:t>质量工艺较好的</w:t>
            </w:r>
            <w:r>
              <w:rPr>
                <w:rFonts w:hint="eastAsia" w:ascii="宋体" w:hAnsi="宋体" w:cs="宋体"/>
                <w:i w:val="0"/>
                <w:iCs w:val="0"/>
                <w:color w:val="auto"/>
                <w:kern w:val="0"/>
                <w:sz w:val="21"/>
                <w:szCs w:val="21"/>
                <w:u w:val="none"/>
                <w:lang w:val="en-US" w:eastAsia="zh-CN" w:bidi="ar"/>
              </w:rPr>
              <w:t>得</w:t>
            </w:r>
            <w:r>
              <w:rPr>
                <w:rFonts w:hint="eastAsia" w:hAnsi="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分。</w:t>
            </w:r>
          </w:p>
          <w:p w14:paraId="75E528AC">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视频</w:t>
            </w:r>
            <w:r>
              <w:rPr>
                <w:rFonts w:hint="eastAsia" w:ascii="宋体" w:hAnsi="宋体" w:cs="宋体"/>
                <w:i w:val="0"/>
                <w:iCs w:val="0"/>
                <w:color w:val="auto"/>
                <w:kern w:val="0"/>
                <w:sz w:val="21"/>
                <w:szCs w:val="21"/>
                <w:u w:val="none"/>
                <w:lang w:val="en-US" w:eastAsia="zh-CN" w:bidi="ar"/>
              </w:rPr>
              <w:t>内容简单</w:t>
            </w:r>
            <w:r>
              <w:rPr>
                <w:rFonts w:hint="eastAsia" w:ascii="宋体" w:hAnsi="宋体" w:eastAsia="宋体" w:cs="宋体"/>
                <w:i w:val="0"/>
                <w:iCs w:val="0"/>
                <w:color w:val="auto"/>
                <w:kern w:val="0"/>
                <w:sz w:val="21"/>
                <w:szCs w:val="21"/>
                <w:u w:val="none"/>
                <w:lang w:val="en-US" w:eastAsia="zh-CN" w:bidi="ar"/>
              </w:rPr>
              <w:t>，展示产品基础结构、常规使用功能，</w:t>
            </w:r>
            <w:r>
              <w:rPr>
                <w:rFonts w:hint="eastAsia" w:ascii="宋体" w:hAnsi="宋体" w:cs="宋体"/>
                <w:i w:val="0"/>
                <w:iCs w:val="0"/>
                <w:color w:val="auto"/>
                <w:kern w:val="0"/>
                <w:sz w:val="21"/>
                <w:szCs w:val="21"/>
                <w:u w:val="none"/>
                <w:lang w:val="en-US" w:eastAsia="zh-CN" w:bidi="ar"/>
              </w:rPr>
              <w:t>部分</w:t>
            </w:r>
            <w:r>
              <w:rPr>
                <w:rFonts w:hint="eastAsia" w:hAnsi="宋体" w:cs="宋体"/>
                <w:i w:val="0"/>
                <w:iCs w:val="0"/>
                <w:color w:val="auto"/>
                <w:kern w:val="0"/>
                <w:sz w:val="21"/>
                <w:szCs w:val="21"/>
                <w:u w:val="none"/>
                <w:lang w:val="en-US" w:eastAsia="zh-CN" w:bidi="ar"/>
              </w:rPr>
              <w:t>符合本次</w:t>
            </w:r>
            <w:r>
              <w:rPr>
                <w:rFonts w:hint="eastAsia" w:ascii="宋体" w:hAnsi="宋体" w:cs="宋体"/>
                <w:i w:val="0"/>
                <w:iCs w:val="0"/>
                <w:color w:val="auto"/>
                <w:kern w:val="0"/>
                <w:sz w:val="21"/>
                <w:szCs w:val="21"/>
                <w:u w:val="none"/>
                <w:lang w:val="en-US" w:eastAsia="zh-CN" w:bidi="ar"/>
              </w:rPr>
              <w:t>采购需求</w:t>
            </w:r>
            <w:r>
              <w:rPr>
                <w:rFonts w:hint="eastAsia" w:hAnsi="宋体" w:cs="宋体"/>
                <w:i w:val="0"/>
                <w:iCs w:val="0"/>
                <w:color w:val="auto"/>
                <w:kern w:val="0"/>
                <w:sz w:val="21"/>
                <w:szCs w:val="21"/>
                <w:u w:val="none"/>
                <w:lang w:val="en-US" w:eastAsia="zh-CN" w:bidi="ar"/>
              </w:rPr>
              <w:t>质量工艺的</w:t>
            </w:r>
            <w:r>
              <w:rPr>
                <w:rFonts w:hint="eastAsia" w:ascii="宋体" w:hAnsi="宋体" w:cs="宋体"/>
                <w:i w:val="0"/>
                <w:iCs w:val="0"/>
                <w:color w:val="auto"/>
                <w:kern w:val="0"/>
                <w:sz w:val="21"/>
                <w:szCs w:val="21"/>
                <w:u w:val="none"/>
                <w:lang w:val="en-US" w:eastAsia="zh-CN" w:bidi="ar"/>
              </w:rPr>
              <w:t>得</w:t>
            </w:r>
            <w:r>
              <w:rPr>
                <w:rFonts w:hint="eastAsia" w:hAnsi="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分。</w:t>
            </w:r>
          </w:p>
          <w:p w14:paraId="13EB699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视频画面模糊、拍摄视角单一，仅简单摆放拍摄，未演示结构、工艺及实际使用功能，产品关键信息展示严重缺失，无法有效体现产品品质与使用性能。得1分。</w:t>
            </w:r>
          </w:p>
          <w:p w14:paraId="7C4AE82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未提供视频得0分。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5065A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r>
      <w:tr w14:paraId="0CE733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DF666A">
            <w:pPr>
              <w:pStyle w:val="5"/>
              <w:rPr>
                <w:rFonts w:hint="eastAsia" w:hAnsi="宋体" w:cs="宋体"/>
                <w:b w:val="0"/>
                <w:bCs w:val="0"/>
                <w:i w:val="0"/>
                <w:iCs w:val="0"/>
                <w:color w:val="auto"/>
                <w:kern w:val="0"/>
                <w:sz w:val="24"/>
                <w:szCs w:val="24"/>
                <w:highlight w:val="none"/>
                <w:u w:val="none"/>
                <w:lang w:val="en-US" w:eastAsia="zh-CN" w:bidi="ar"/>
              </w:rPr>
            </w:pPr>
            <w:r>
              <w:rPr>
                <w:rFonts w:hint="eastAsia" w:hAnsi="宋体" w:cs="宋体"/>
                <w:b w:val="0"/>
                <w:bCs w:val="0"/>
                <w:i w:val="0"/>
                <w:iCs w:val="0"/>
                <w:color w:val="auto"/>
                <w:kern w:val="0"/>
                <w:sz w:val="24"/>
                <w:szCs w:val="24"/>
                <w:highlight w:val="none"/>
                <w:u w:val="none"/>
                <w:lang w:val="en-US" w:eastAsia="zh-CN" w:bidi="ar"/>
              </w:rPr>
              <w:t>传感器</w:t>
            </w:r>
          </w:p>
          <w:p w14:paraId="1D40E69C">
            <w:pPr>
              <w:pStyle w:val="5"/>
              <w:ind w:firstLine="420" w:firstLineChars="0"/>
              <w:rPr>
                <w:rFonts w:hint="default" w:hAnsi="宋体" w:cs="宋体"/>
                <w:b w:val="0"/>
                <w:bCs w:val="0"/>
                <w:i w:val="0"/>
                <w:iCs w:val="0"/>
                <w:color w:val="auto"/>
                <w:kern w:val="0"/>
                <w:sz w:val="24"/>
                <w:szCs w:val="24"/>
                <w:highlight w:val="none"/>
                <w:u w:val="none"/>
                <w:lang w:val="en-US" w:eastAsia="zh-CN" w:bidi="ar"/>
              </w:rPr>
            </w:pPr>
            <w:r>
              <w:rPr>
                <w:rFonts w:hint="eastAsia" w:hAnsi="宋体" w:cs="宋体"/>
                <w:b w:val="0"/>
                <w:bCs w:val="0"/>
                <w:i w:val="0"/>
                <w:iCs w:val="0"/>
                <w:color w:val="auto"/>
                <w:kern w:val="0"/>
                <w:sz w:val="24"/>
                <w:szCs w:val="24"/>
                <w:highlight w:val="none"/>
                <w:u w:val="none"/>
                <w:lang w:val="en-US" w:eastAsia="zh-CN" w:bidi="ar"/>
              </w:rPr>
              <w:t>视频演示</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431171">
            <w:pPr>
              <w:tabs>
                <w:tab w:val="left" w:pos="945"/>
                <w:tab w:val="left" w:pos="1155"/>
              </w:tabs>
              <w:spacing w:line="360" w:lineRule="auto"/>
              <w:ind w:firstLine="480"/>
              <w:jc w:val="left"/>
              <w:rPr>
                <w:rFonts w:hint="eastAsia" w:ascii="宋体" w:hAnsi="宋体" w:eastAsia="宋体" w:cs="宋体"/>
                <w:color w:val="auto"/>
                <w:sz w:val="21"/>
                <w:szCs w:val="21"/>
                <w:highlight w:val="none"/>
              </w:rPr>
            </w:pPr>
            <w:r>
              <w:rPr>
                <w:rFonts w:hint="eastAsia" w:ascii="宋体" w:hAnsi="宋体" w:cs="宋体"/>
                <w:b/>
                <w:bCs w:val="0"/>
                <w:color w:val="auto"/>
                <w:sz w:val="21"/>
                <w:szCs w:val="21"/>
                <w:highlight w:val="none"/>
                <w:lang w:val="en-US" w:eastAsia="zh-CN"/>
              </w:rPr>
              <w:t>传感器</w:t>
            </w:r>
            <w:r>
              <w:rPr>
                <w:rFonts w:hint="eastAsia" w:ascii="宋体" w:hAnsi="宋体" w:eastAsia="宋体" w:cs="宋体"/>
                <w:b/>
                <w:bCs w:val="0"/>
                <w:color w:val="auto"/>
                <w:sz w:val="21"/>
                <w:szCs w:val="21"/>
                <w:highlight w:val="none"/>
                <w:lang w:val="en-US" w:eastAsia="zh-CN"/>
              </w:rPr>
              <w:t>视频演示</w:t>
            </w:r>
            <w:r>
              <w:rPr>
                <w:rFonts w:hint="eastAsia" w:ascii="宋体" w:hAnsi="宋体" w:eastAsia="宋体" w:cs="宋体"/>
                <w:b/>
                <w:bCs w:val="0"/>
                <w:color w:val="auto"/>
                <w:sz w:val="21"/>
                <w:szCs w:val="21"/>
                <w:highlight w:val="none"/>
              </w:rPr>
              <w:t>（</w:t>
            </w:r>
            <w:r>
              <w:rPr>
                <w:rFonts w:hint="eastAsia" w:ascii="宋体" w:hAnsi="宋体" w:cs="宋体"/>
                <w:b/>
                <w:bCs w:val="0"/>
                <w:color w:val="auto"/>
                <w:sz w:val="21"/>
                <w:szCs w:val="21"/>
                <w:highlight w:val="none"/>
                <w:lang w:val="en-US" w:eastAsia="zh-CN"/>
              </w:rPr>
              <w:t>8</w:t>
            </w:r>
            <w:r>
              <w:rPr>
                <w:rFonts w:hint="eastAsia" w:ascii="宋体" w:hAnsi="宋体" w:eastAsia="宋体" w:cs="宋体"/>
                <w:b/>
                <w:bCs w:val="0"/>
                <w:color w:val="auto"/>
                <w:sz w:val="21"/>
                <w:szCs w:val="21"/>
                <w:highlight w:val="none"/>
              </w:rPr>
              <w:t>分）：</w:t>
            </w:r>
          </w:p>
          <w:p w14:paraId="62CBD72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视频演示</w:t>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zh-CN" w:eastAsia="zh-CN" w:bidi="ar"/>
              </w:rPr>
              <w:t>本项目要求</w:t>
            </w:r>
            <w:r>
              <w:rPr>
                <w:rFonts w:hint="eastAsia" w:ascii="宋体" w:hAnsi="宋体" w:eastAsia="宋体" w:cs="宋体"/>
                <w:i w:val="0"/>
                <w:iCs w:val="0"/>
                <w:color w:val="auto"/>
                <w:kern w:val="0"/>
                <w:sz w:val="21"/>
                <w:szCs w:val="21"/>
                <w:u w:val="none"/>
                <w:lang w:val="en-US" w:eastAsia="zh-CN" w:bidi="ar"/>
              </w:rPr>
              <w:t>投标人提供演示视频文件，内容为初中物化生数字化传感器实验演示，由评审专家进行综合评分。视频总时长不超过1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min，大小不超过500MB，视频演示要求连续播放，否则无效。</w:t>
            </w:r>
          </w:p>
          <w:p w14:paraId="3B40852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数字化实验演示：</w:t>
            </w:r>
          </w:p>
          <w:p w14:paraId="6EB36938">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实验用品：以本次采购文件中的传感器为实验工具，否则无效</w:t>
            </w:r>
          </w:p>
          <w:p w14:paraId="6C87F780">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要求：</w:t>
            </w:r>
            <w:r>
              <w:rPr>
                <w:rFonts w:hint="eastAsia" w:ascii="宋体" w:hAnsi="宋体" w:eastAsia="宋体" w:cs="宋体"/>
                <w:i w:val="0"/>
                <w:iCs w:val="0"/>
                <w:color w:val="auto"/>
                <w:kern w:val="0"/>
                <w:sz w:val="21"/>
                <w:szCs w:val="21"/>
                <w:u w:val="none"/>
                <w:lang w:val="en-US" w:eastAsia="zh-CN" w:bidi="ar"/>
              </w:rPr>
              <w:t>完成初中物理、化学、生物课标实验至少各一个</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实验过程配文字或语音旁白，介绍实验过程及设备性能；实验通过无线方式与分析终端实时数据传输</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软件支持多组数据对比分析，可以将实时数据以多种形式图表显示，能够通过参数调整改变图表大小</w:t>
            </w:r>
            <w:r>
              <w:rPr>
                <w:rFonts w:hint="eastAsia" w:ascii="宋体" w:hAnsi="宋体" w:cs="宋体"/>
                <w:i w:val="0"/>
                <w:iCs w:val="0"/>
                <w:color w:val="auto"/>
                <w:kern w:val="0"/>
                <w:sz w:val="21"/>
                <w:szCs w:val="21"/>
                <w:u w:val="none"/>
                <w:lang w:val="en-US" w:eastAsia="zh-CN" w:bidi="ar"/>
              </w:rPr>
              <w:t>，对其他未提供视频演示的传感器，进行功能介绍。</w:t>
            </w:r>
          </w:p>
          <w:p w14:paraId="32C704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演示视频</w:t>
            </w:r>
            <w:r>
              <w:rPr>
                <w:rFonts w:hint="eastAsia" w:ascii="宋体" w:hAnsi="宋体" w:eastAsia="宋体" w:cs="宋体"/>
                <w:i w:val="0"/>
                <w:iCs w:val="0"/>
                <w:color w:val="auto"/>
                <w:kern w:val="0"/>
                <w:sz w:val="21"/>
                <w:szCs w:val="21"/>
                <w:u w:val="none"/>
                <w:lang w:val="en-US" w:eastAsia="zh-CN" w:bidi="ar"/>
              </w:rPr>
              <w:t>完整详细、</w:t>
            </w:r>
            <w:r>
              <w:rPr>
                <w:rFonts w:hint="eastAsia" w:ascii="宋体" w:hAnsi="宋体" w:cs="宋体"/>
                <w:i w:val="0"/>
                <w:iCs w:val="0"/>
                <w:color w:val="auto"/>
                <w:kern w:val="0"/>
                <w:sz w:val="21"/>
                <w:szCs w:val="21"/>
                <w:u w:val="none"/>
                <w:lang w:val="en-US" w:eastAsia="zh-CN" w:bidi="ar"/>
              </w:rPr>
              <w:t>所供器材最好且满足需求</w:t>
            </w:r>
            <w:r>
              <w:rPr>
                <w:rFonts w:hint="eastAsia" w:ascii="宋体" w:hAnsi="宋体" w:eastAsia="宋体" w:cs="宋体"/>
                <w:i w:val="0"/>
                <w:iCs w:val="0"/>
                <w:color w:val="auto"/>
                <w:kern w:val="0"/>
                <w:sz w:val="21"/>
                <w:szCs w:val="21"/>
                <w:u w:val="none"/>
                <w:lang w:val="en-US" w:eastAsia="zh-CN" w:bidi="ar"/>
              </w:rPr>
              <w:t>的，得</w:t>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 xml:space="preserve">分； </w:t>
            </w:r>
          </w:p>
          <w:p w14:paraId="15052DF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演示视频</w:t>
            </w:r>
            <w:r>
              <w:rPr>
                <w:rFonts w:hint="eastAsia" w:ascii="宋体" w:hAnsi="宋体" w:eastAsia="宋体" w:cs="宋体"/>
                <w:i w:val="0"/>
                <w:iCs w:val="0"/>
                <w:color w:val="auto"/>
                <w:kern w:val="0"/>
                <w:sz w:val="21"/>
                <w:szCs w:val="21"/>
                <w:u w:val="none"/>
                <w:lang w:val="en-US" w:eastAsia="zh-CN" w:bidi="ar"/>
              </w:rPr>
              <w:t>比较完整详细、</w:t>
            </w:r>
            <w:r>
              <w:rPr>
                <w:rFonts w:hint="eastAsia" w:ascii="宋体" w:hAnsi="宋体" w:cs="宋体"/>
                <w:i w:val="0"/>
                <w:iCs w:val="0"/>
                <w:color w:val="auto"/>
                <w:kern w:val="0"/>
                <w:sz w:val="21"/>
                <w:szCs w:val="21"/>
                <w:u w:val="none"/>
                <w:lang w:val="en-US" w:eastAsia="zh-CN" w:bidi="ar"/>
              </w:rPr>
              <w:t>所供器材全部满足需求</w:t>
            </w:r>
            <w:r>
              <w:rPr>
                <w:rFonts w:hint="eastAsia" w:ascii="宋体" w:hAnsi="宋体" w:eastAsia="宋体" w:cs="宋体"/>
                <w:i w:val="0"/>
                <w:iCs w:val="0"/>
                <w:color w:val="auto"/>
                <w:kern w:val="0"/>
                <w:sz w:val="21"/>
                <w:szCs w:val="21"/>
                <w:u w:val="none"/>
                <w:lang w:val="en-US" w:eastAsia="zh-CN" w:bidi="ar"/>
              </w:rPr>
              <w:t>的，得</w:t>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 xml:space="preserve">分； </w:t>
            </w:r>
          </w:p>
          <w:p w14:paraId="070A62E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演示视频</w:t>
            </w:r>
            <w:r>
              <w:rPr>
                <w:rFonts w:hint="eastAsia" w:ascii="宋体" w:hAnsi="宋体" w:eastAsia="宋体" w:cs="宋体"/>
                <w:i w:val="0"/>
                <w:iCs w:val="0"/>
                <w:color w:val="auto"/>
                <w:kern w:val="0"/>
                <w:sz w:val="21"/>
                <w:szCs w:val="21"/>
                <w:u w:val="none"/>
                <w:lang w:val="en-US" w:eastAsia="zh-CN" w:bidi="ar"/>
              </w:rPr>
              <w:t>基本满足采购需求的、</w:t>
            </w:r>
            <w:r>
              <w:rPr>
                <w:rFonts w:hint="eastAsia" w:ascii="宋体" w:hAnsi="宋体" w:cs="宋体"/>
                <w:i w:val="0"/>
                <w:iCs w:val="0"/>
                <w:color w:val="auto"/>
                <w:kern w:val="0"/>
                <w:sz w:val="21"/>
                <w:szCs w:val="21"/>
                <w:u w:val="none"/>
                <w:lang w:val="en-US" w:eastAsia="zh-CN" w:bidi="ar"/>
              </w:rPr>
              <w:t>所供器材</w:t>
            </w:r>
            <w:r>
              <w:rPr>
                <w:rFonts w:hint="eastAsia" w:ascii="宋体" w:hAnsi="宋体" w:eastAsia="宋体" w:cs="宋体"/>
                <w:i w:val="0"/>
                <w:iCs w:val="0"/>
                <w:color w:val="auto"/>
                <w:kern w:val="0"/>
                <w:sz w:val="21"/>
                <w:szCs w:val="21"/>
                <w:u w:val="none"/>
                <w:lang w:val="en-US" w:eastAsia="zh-CN" w:bidi="ar"/>
              </w:rPr>
              <w:t>一般的，得</w:t>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 xml:space="preserve">分； </w:t>
            </w:r>
          </w:p>
          <w:p w14:paraId="08EBFDEA">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演示视频</w:t>
            </w:r>
            <w:r>
              <w:rPr>
                <w:rFonts w:hint="eastAsia" w:ascii="宋体" w:hAnsi="宋体" w:eastAsia="宋体" w:cs="宋体"/>
                <w:i w:val="0"/>
                <w:iCs w:val="0"/>
                <w:color w:val="auto"/>
                <w:kern w:val="0"/>
                <w:sz w:val="21"/>
                <w:szCs w:val="21"/>
                <w:u w:val="none"/>
                <w:lang w:val="en-US" w:eastAsia="zh-CN" w:bidi="ar"/>
              </w:rPr>
              <w:t>没有针对性或</w:t>
            </w:r>
            <w:r>
              <w:rPr>
                <w:rFonts w:hint="eastAsia" w:ascii="宋体" w:hAnsi="宋体" w:cs="宋体"/>
                <w:i w:val="0"/>
                <w:iCs w:val="0"/>
                <w:color w:val="auto"/>
                <w:kern w:val="0"/>
                <w:sz w:val="21"/>
                <w:szCs w:val="21"/>
                <w:u w:val="none"/>
                <w:lang w:val="en-US" w:eastAsia="zh-CN" w:bidi="ar"/>
              </w:rPr>
              <w:t>有所缺陷的，得1分；</w:t>
            </w:r>
          </w:p>
          <w:p w14:paraId="3FE2D17F">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w:t>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)未提供方案的不得分。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B4BDA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r>
      <w:tr w14:paraId="0982C7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1A81F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售后服务方案</w:t>
            </w:r>
          </w:p>
          <w:p w14:paraId="3AE19391">
            <w:pPr>
              <w:pStyle w:val="5"/>
              <w:rPr>
                <w:rFonts w:hint="default"/>
                <w:color w:val="auto"/>
                <w:sz w:val="24"/>
                <w:szCs w:val="24"/>
                <w:lang w:val="en-US" w:eastAsia="zh-CN"/>
              </w:rPr>
            </w:pP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18E5C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投标人根据对本项目需求的理解，编制售后服务方案。（包含但不限于服务体系、服务内容、故障解决方案、配件储备情况以及其它优惠的售后服务措施，培训计划等）进行综合评分： </w:t>
            </w:r>
          </w:p>
          <w:p w14:paraId="7D5B18E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(1)方案完整详细、针对性强的、响应时间迅速的，得</w:t>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 xml:space="preserve">分； </w:t>
            </w:r>
          </w:p>
          <w:p w14:paraId="6CEF085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(2)方案比较完整详细、针对性较强的、响应时间比较迅速的，得</w:t>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 xml:space="preserve">分； </w:t>
            </w:r>
          </w:p>
          <w:p w14:paraId="1F6E75A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(3)方案基本满足采购需求的、响应时间一般的，得</w:t>
            </w: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 xml:space="preserve">分； </w:t>
            </w:r>
          </w:p>
          <w:p w14:paraId="3DEC6CB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(4)方案没有针对性或未提供方案的不得分。</w:t>
            </w: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AEFF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r>
      <w:tr w14:paraId="4F99B8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98D1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服务团队人员配置方案</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84D169">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综合比较投标人针对本项目的服务团队人员配置方案进行综合评分：</w:t>
            </w:r>
          </w:p>
          <w:p w14:paraId="2FEC3E8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(1)服务团队人员组建架构健全、人员配置科学合理，得</w:t>
            </w:r>
            <w:r>
              <w:rPr>
                <w:rFonts w:hint="eastAsia" w:ascii="宋体" w:hAnsi="宋体" w:cs="宋体"/>
                <w:b w:val="0"/>
                <w:bCs w:val="0"/>
                <w:i w:val="0"/>
                <w:iCs w:val="0"/>
                <w:color w:val="auto"/>
                <w:kern w:val="0"/>
                <w:sz w:val="21"/>
                <w:szCs w:val="21"/>
                <w:u w:val="none"/>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分；</w:t>
            </w:r>
          </w:p>
          <w:p w14:paraId="3791B6D9">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(2)服务团队人员组建架构健全、人员配置较科学合理，得</w:t>
            </w:r>
            <w:r>
              <w:rPr>
                <w:rFonts w:hint="eastAsia" w:ascii="宋体" w:hAnsi="宋体" w:cs="宋体"/>
                <w:b w:val="0"/>
                <w:bCs w:val="0"/>
                <w:i w:val="0"/>
                <w:iCs w:val="0"/>
                <w:color w:val="auto"/>
                <w:kern w:val="0"/>
                <w:sz w:val="21"/>
                <w:szCs w:val="21"/>
                <w:u w:val="none"/>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 xml:space="preserve"> 分；</w:t>
            </w:r>
          </w:p>
          <w:p w14:paraId="0174D91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(3)服务团队人员组建架构基本健全、人员配置基本合理，得</w:t>
            </w:r>
            <w:r>
              <w:rPr>
                <w:rFonts w:hint="eastAsia" w:ascii="宋体" w:hAnsi="宋体" w:cs="宋体"/>
                <w:b w:val="0"/>
                <w:bCs w:val="0"/>
                <w:i w:val="0"/>
                <w:iCs w:val="0"/>
                <w:color w:val="auto"/>
                <w:kern w:val="0"/>
                <w:sz w:val="21"/>
                <w:szCs w:val="21"/>
                <w:u w:val="none"/>
                <w:lang w:val="en-US" w:eastAsia="zh-CN" w:bidi="ar"/>
              </w:rPr>
              <w:t>1</w:t>
            </w:r>
            <w:r>
              <w:rPr>
                <w:rFonts w:hint="eastAsia" w:ascii="宋体" w:hAnsi="宋体" w:eastAsia="宋体" w:cs="宋体"/>
                <w:b w:val="0"/>
                <w:bCs w:val="0"/>
                <w:i w:val="0"/>
                <w:iCs w:val="0"/>
                <w:color w:val="auto"/>
                <w:kern w:val="0"/>
                <w:sz w:val="21"/>
                <w:szCs w:val="21"/>
                <w:u w:val="none"/>
                <w:lang w:val="en-US" w:eastAsia="zh-CN" w:bidi="ar"/>
              </w:rPr>
              <w:t>分；</w:t>
            </w:r>
          </w:p>
          <w:p w14:paraId="019D868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(4)服务团队人员不完善或未提供的不得分。</w:t>
            </w:r>
          </w:p>
          <w:p w14:paraId="3F2BC4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21"/>
                <w:szCs w:val="21"/>
                <w:u w:val="none"/>
                <w:lang w:val="en-US" w:eastAsia="zh-CN" w:bidi="ar"/>
              </w:rPr>
            </w:pP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796BE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115A27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6" w:hRule="atLeast"/>
        </w:trPr>
        <w:tc>
          <w:tcPr>
            <w:tcW w:w="21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B2D0E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    分</w:t>
            </w:r>
          </w:p>
        </w:tc>
        <w:tc>
          <w:tcPr>
            <w:tcW w:w="66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8663C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rPr>
                <w:rFonts w:hint="eastAsia" w:ascii="宋体" w:hAnsi="宋体" w:eastAsia="宋体" w:cs="宋体"/>
                <w:color w:val="auto"/>
                <w:sz w:val="24"/>
                <w:szCs w:val="24"/>
                <w:highlight w:val="none"/>
              </w:rPr>
            </w:pPr>
          </w:p>
        </w:tc>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9B270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bl>
    <w:p w14:paraId="16F13EE0">
      <w:pPr>
        <w:adjustRightInd w:val="0"/>
        <w:snapToGrid w:val="0"/>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1.资格审查</w:t>
      </w:r>
    </w:p>
    <w:p w14:paraId="5147F9CC">
      <w:pPr>
        <w:pStyle w:val="11"/>
        <w:adjustRightInd w:val="0"/>
        <w:snapToGrid w:val="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1.1项目开标结束后，招标人对供应商的资格进行审查。</w:t>
      </w:r>
    </w:p>
    <w:p w14:paraId="0B100686">
      <w:pPr>
        <w:pStyle w:val="11"/>
        <w:adjustRightInd w:val="0"/>
        <w:snapToGrid w:val="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1.2资格审查的内容和标准：见资格审查和评标办法前附表。</w:t>
      </w:r>
    </w:p>
    <w:p w14:paraId="404B1FBC">
      <w:pPr>
        <w:adjustRightInd w:val="0"/>
        <w:snapToGrid w:val="0"/>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2.评标</w:t>
      </w:r>
    </w:p>
    <w:bookmarkEnd w:id="255"/>
    <w:p w14:paraId="021C91A1">
      <w:pPr>
        <w:adjustRightInd w:val="0"/>
        <w:snapToGrid w:val="0"/>
        <w:spacing w:line="500" w:lineRule="exact"/>
        <w:outlineLvl w:val="1"/>
        <w:rPr>
          <w:rFonts w:hint="eastAsia" w:ascii="宋体" w:hAnsi="宋体" w:eastAsia="宋体" w:cs="宋体"/>
          <w:b/>
          <w:color w:val="auto"/>
          <w:highlight w:val="none"/>
        </w:rPr>
      </w:pPr>
      <w:bookmarkStart w:id="257" w:name="_Toc14109"/>
      <w:r>
        <w:rPr>
          <w:rFonts w:hint="eastAsia" w:ascii="宋体" w:hAnsi="宋体" w:eastAsia="宋体" w:cs="宋体"/>
          <w:b/>
          <w:color w:val="auto"/>
          <w:highlight w:val="none"/>
        </w:rPr>
        <w:t>2.1评标方法</w:t>
      </w:r>
      <w:bookmarkEnd w:id="257"/>
    </w:p>
    <w:p w14:paraId="5715D44F">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评标采用综合评分法，评标委员会对满足招标文件实质要求的投标文件</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w:t>
      </w:r>
    </w:p>
    <w:p w14:paraId="0F895861">
      <w:pPr>
        <w:adjustRightInd w:val="0"/>
        <w:snapToGrid w:val="0"/>
        <w:spacing w:line="500" w:lineRule="exact"/>
        <w:outlineLvl w:val="1"/>
        <w:rPr>
          <w:rFonts w:hint="eastAsia" w:ascii="宋体" w:hAnsi="宋体" w:eastAsia="宋体" w:cs="宋体"/>
          <w:b/>
          <w:color w:val="auto"/>
          <w:highlight w:val="none"/>
        </w:rPr>
      </w:pPr>
      <w:bookmarkStart w:id="258" w:name="_Toc4675"/>
      <w:r>
        <w:rPr>
          <w:rFonts w:hint="eastAsia" w:ascii="宋体" w:hAnsi="宋体" w:eastAsia="宋体" w:cs="宋体"/>
          <w:b/>
          <w:color w:val="auto"/>
          <w:highlight w:val="none"/>
        </w:rPr>
        <w:t>2.2初步评审</w:t>
      </w:r>
      <w:bookmarkEnd w:id="258"/>
    </w:p>
    <w:p w14:paraId="2655AD45">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2.2.1评标委员会对通过资格审查的供应商进行初步评审。</w:t>
      </w:r>
    </w:p>
    <w:p w14:paraId="2C4D0D7E">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2.2.2初步评审的内容为投标文件的符合性评审。符合性评审的内容及标准：见资格审查和评标办法前附表。</w:t>
      </w:r>
    </w:p>
    <w:p w14:paraId="63C65D34">
      <w:pPr>
        <w:pStyle w:val="11"/>
        <w:adjustRightInd w:val="0"/>
        <w:snapToGrid w:val="0"/>
        <w:spacing w:line="500" w:lineRule="exact"/>
        <w:outlineLvl w:val="1"/>
        <w:rPr>
          <w:rFonts w:hint="eastAsia" w:ascii="宋体" w:hAnsi="宋体" w:eastAsia="宋体" w:cs="宋体"/>
          <w:b/>
          <w:color w:val="auto"/>
          <w:highlight w:val="none"/>
        </w:rPr>
      </w:pPr>
      <w:bookmarkStart w:id="259" w:name="_Toc3825"/>
      <w:r>
        <w:rPr>
          <w:rFonts w:hint="eastAsia" w:ascii="宋体" w:hAnsi="宋体" w:eastAsia="宋体" w:cs="宋体"/>
          <w:b/>
          <w:color w:val="auto"/>
          <w:highlight w:val="none"/>
        </w:rPr>
        <w:t>2.3详细评审</w:t>
      </w:r>
      <w:bookmarkEnd w:id="259"/>
    </w:p>
    <w:p w14:paraId="71AFE8F3">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2.3.1评标委员会对通过初步评审的供应商进行详细评审。</w:t>
      </w:r>
    </w:p>
    <w:p w14:paraId="5015E4E1">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2.3.2详细评审的内容及标准：见资格审查和评标办法前附表。</w:t>
      </w:r>
    </w:p>
    <w:p w14:paraId="4E67770F">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2.3.3因落实政府采购政策进行价格调整的，以调整后的价格计算评标基准价和投标报价。</w:t>
      </w:r>
    </w:p>
    <w:p w14:paraId="6373CC01">
      <w:pPr>
        <w:adjustRightInd w:val="0"/>
        <w:snapToGrid w:val="0"/>
        <w:spacing w:line="500" w:lineRule="exact"/>
        <w:outlineLvl w:val="1"/>
        <w:rPr>
          <w:rFonts w:hint="eastAsia" w:ascii="宋体" w:hAnsi="宋体" w:eastAsia="宋体" w:cs="宋体"/>
          <w:b/>
          <w:color w:val="auto"/>
          <w:highlight w:val="none"/>
        </w:rPr>
      </w:pPr>
      <w:bookmarkStart w:id="260" w:name="_Toc8887"/>
      <w:bookmarkStart w:id="261" w:name="_Toc426469924"/>
      <w:r>
        <w:rPr>
          <w:rFonts w:hint="eastAsia" w:ascii="宋体" w:hAnsi="宋体" w:eastAsia="宋体" w:cs="宋体"/>
          <w:b/>
          <w:color w:val="auto"/>
          <w:highlight w:val="none"/>
        </w:rPr>
        <w:t>2.4评标报告</w:t>
      </w:r>
      <w:bookmarkEnd w:id="260"/>
    </w:p>
    <w:p w14:paraId="785D9BA5">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2.4.1详细评审结束后，评标委员会负责编写评标报告。</w:t>
      </w:r>
    </w:p>
    <w:p w14:paraId="052AB8B6">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2.4.2采购代理机构自评审结束之日起2个工作日内将评标报告送交招标人。</w:t>
      </w:r>
    </w:p>
    <w:p w14:paraId="17775B38">
      <w:pPr>
        <w:adjustRightInd w:val="0"/>
        <w:snapToGrid w:val="0"/>
        <w:spacing w:line="500" w:lineRule="exact"/>
        <w:outlineLvl w:val="1"/>
        <w:rPr>
          <w:rFonts w:hint="eastAsia" w:ascii="宋体" w:hAnsi="宋体" w:eastAsia="宋体" w:cs="宋体"/>
          <w:b/>
          <w:color w:val="auto"/>
          <w:highlight w:val="none"/>
        </w:rPr>
      </w:pPr>
      <w:bookmarkStart w:id="262" w:name="_Toc27999"/>
      <w:r>
        <w:rPr>
          <w:rFonts w:hint="eastAsia" w:ascii="宋体" w:hAnsi="宋体" w:eastAsia="宋体" w:cs="宋体"/>
          <w:b/>
          <w:color w:val="auto"/>
          <w:highlight w:val="none"/>
        </w:rPr>
        <w:t>2.5澄清、说明或补正</w:t>
      </w:r>
      <w:bookmarkEnd w:id="262"/>
    </w:p>
    <w:p w14:paraId="7420408B">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2.5.1评标委员会在评审过程中，可以要求供应商对投标文件中含义不明确、同类问题表述不一致或者有明显文字和计算错误的内容等作出必要的澄清、说明或者更正。</w:t>
      </w:r>
    </w:p>
    <w:p w14:paraId="6660EFCA">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2.5.2评标委员会要求供应商澄清、说明或者更正投标文件应当以书面形式作出。</w:t>
      </w:r>
    </w:p>
    <w:p w14:paraId="1F4C3DC3">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2.5.3供应商的澄清、说明或者更正应当由法定代表人或其授权代表签字或者加盖公章。由授权代表签字的，应当附法定代表人授权书。供应商的书面澄清材料作为投标文件的补充。</w:t>
      </w:r>
    </w:p>
    <w:p w14:paraId="18B98A9F">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2.5.4供应商的澄清、说明或者更正不得超出投标文件的范围或者改变投标文件的实质性内容。</w:t>
      </w:r>
    </w:p>
    <w:p w14:paraId="063945FB">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2.5.5评标委员会不得接受供应商主动提出的澄清、说明或补正。</w:t>
      </w:r>
    </w:p>
    <w:p w14:paraId="48AF4766">
      <w:pPr>
        <w:adjustRightInd w:val="0"/>
        <w:snapToGrid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3.评标过程中特殊情况的处理规定</w:t>
      </w:r>
    </w:p>
    <w:p w14:paraId="343B87E6">
      <w:pPr>
        <w:pStyle w:val="11"/>
        <w:adjustRightInd w:val="0"/>
        <w:snapToGrid w:val="0"/>
        <w:spacing w:line="500" w:lineRule="exact"/>
        <w:outlineLvl w:val="1"/>
        <w:rPr>
          <w:rFonts w:hint="eastAsia" w:ascii="宋体" w:hAnsi="宋体" w:eastAsia="宋体" w:cs="宋体"/>
          <w:b/>
          <w:color w:val="auto"/>
          <w:highlight w:val="none"/>
        </w:rPr>
      </w:pPr>
      <w:bookmarkStart w:id="263" w:name="_Toc20779"/>
      <w:r>
        <w:rPr>
          <w:rFonts w:hint="eastAsia" w:ascii="宋体" w:hAnsi="宋体" w:eastAsia="宋体" w:cs="宋体"/>
          <w:b/>
          <w:color w:val="auto"/>
          <w:highlight w:val="none"/>
        </w:rPr>
        <w:t>3.1投标报价的修正</w:t>
      </w:r>
      <w:bookmarkEnd w:id="263"/>
    </w:p>
    <w:p w14:paraId="0F60696B">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投标文件报价出现前后不一致的，按照下列规定修正： </w:t>
      </w:r>
    </w:p>
    <w:p w14:paraId="513FC714">
      <w:pPr>
        <w:pStyle w:val="11"/>
        <w:adjustRightInd w:val="0"/>
        <w:snapToGrid w:val="0"/>
        <w:spacing w:line="440" w:lineRule="exact"/>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 </w:t>
      </w:r>
    </w:p>
    <w:p w14:paraId="5FE65AE6">
      <w:pPr>
        <w:pStyle w:val="11"/>
        <w:adjustRightInd w:val="0"/>
        <w:snapToGrid w:val="0"/>
        <w:spacing w:line="440" w:lineRule="exact"/>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 </w:t>
      </w:r>
    </w:p>
    <w:p w14:paraId="7A952542">
      <w:pPr>
        <w:pStyle w:val="11"/>
        <w:adjustRightInd w:val="0"/>
        <w:snapToGrid w:val="0"/>
        <w:spacing w:line="440" w:lineRule="exact"/>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 </w:t>
      </w:r>
    </w:p>
    <w:p w14:paraId="7F3AD150">
      <w:pPr>
        <w:pStyle w:val="11"/>
        <w:adjustRightInd w:val="0"/>
        <w:snapToGrid w:val="0"/>
        <w:spacing w:line="440" w:lineRule="exact"/>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 </w:t>
      </w:r>
    </w:p>
    <w:p w14:paraId="01602C2C">
      <w:pPr>
        <w:pStyle w:val="11"/>
        <w:adjustRightInd w:val="0"/>
        <w:snapToGrid w:val="0"/>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同时出现两种以上不一致的，按照前款规定的顺序修正。修正后的报价按照本章第2.5条的规定经供应商确认后产生约束力，供应商不确认的，其投标无效。</w:t>
      </w:r>
    </w:p>
    <w:p w14:paraId="5EDED5DC">
      <w:pPr>
        <w:pStyle w:val="11"/>
        <w:adjustRightInd w:val="0"/>
        <w:snapToGrid w:val="0"/>
        <w:spacing w:line="500" w:lineRule="exact"/>
        <w:outlineLvl w:val="1"/>
        <w:rPr>
          <w:rFonts w:hint="eastAsia" w:ascii="宋体" w:hAnsi="宋体" w:eastAsia="宋体" w:cs="宋体"/>
          <w:b/>
          <w:color w:val="auto"/>
          <w:highlight w:val="none"/>
        </w:rPr>
      </w:pPr>
      <w:bookmarkStart w:id="264" w:name="_Toc6511"/>
      <w:r>
        <w:rPr>
          <w:rFonts w:hint="eastAsia" w:ascii="宋体" w:hAnsi="宋体" w:eastAsia="宋体" w:cs="宋体"/>
          <w:b/>
          <w:color w:val="auto"/>
          <w:highlight w:val="none"/>
        </w:rPr>
        <w:t>3.2评标委员会成员的更换</w:t>
      </w:r>
      <w:bookmarkEnd w:id="264"/>
    </w:p>
    <w:p w14:paraId="4651FAD8">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3.2.1评标过程中，因评标委员会成员缺席、回避或者健康等特殊原因导致评标委员会组成不符合规定的，招标人将依法补足后继续评标。被更换的评标委员会成员所作出的评标意见无效。 </w:t>
      </w:r>
    </w:p>
    <w:p w14:paraId="3294BCF4">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3.2.2无法及时补足评标委员会成员的，招标人将停止评标活动，封存所有投标文件和开标、评标资料，依法重新组建评标委员会进行评标。原评标委员会所作出的评标意见无效。</w:t>
      </w:r>
    </w:p>
    <w:p w14:paraId="786672B0">
      <w:pPr>
        <w:pStyle w:val="11"/>
        <w:adjustRightInd w:val="0"/>
        <w:snapToGrid w:val="0"/>
        <w:spacing w:line="500" w:lineRule="exact"/>
        <w:outlineLvl w:val="1"/>
        <w:rPr>
          <w:rFonts w:hint="eastAsia" w:ascii="宋体" w:hAnsi="宋体" w:eastAsia="宋体" w:cs="宋体"/>
          <w:b/>
          <w:color w:val="auto"/>
          <w:highlight w:val="none"/>
        </w:rPr>
      </w:pPr>
      <w:bookmarkStart w:id="265" w:name="_Toc26846"/>
      <w:r>
        <w:rPr>
          <w:rFonts w:hint="eastAsia" w:ascii="宋体" w:hAnsi="宋体" w:eastAsia="宋体" w:cs="宋体"/>
          <w:b/>
          <w:color w:val="auto"/>
          <w:highlight w:val="none"/>
        </w:rPr>
        <w:t>3.3异常低价的处理</w:t>
      </w:r>
      <w:bookmarkEnd w:id="265"/>
    </w:p>
    <w:p w14:paraId="33B3705B">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31ABB03">
      <w:pPr>
        <w:pStyle w:val="11"/>
        <w:adjustRightInd w:val="0"/>
        <w:snapToGrid w:val="0"/>
        <w:spacing w:line="500" w:lineRule="exact"/>
        <w:outlineLvl w:val="1"/>
        <w:rPr>
          <w:rFonts w:hint="eastAsia" w:ascii="宋体" w:hAnsi="宋体" w:eastAsia="宋体" w:cs="宋体"/>
          <w:b/>
          <w:color w:val="auto"/>
          <w:highlight w:val="none"/>
        </w:rPr>
      </w:pPr>
      <w:bookmarkStart w:id="266" w:name="_Toc14415"/>
      <w:r>
        <w:rPr>
          <w:rFonts w:hint="eastAsia" w:ascii="宋体" w:hAnsi="宋体" w:eastAsia="宋体" w:cs="宋体"/>
          <w:b/>
          <w:color w:val="auto"/>
          <w:highlight w:val="none"/>
        </w:rPr>
        <w:t>3.4争议解决</w:t>
      </w:r>
      <w:bookmarkEnd w:id="266"/>
    </w:p>
    <w:p w14:paraId="455CED3E">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评标委员会成员对需要共同认定的事项存在争议的，按照少数服从多数的原则作出结论。持不同意见的评标委员会成员须在评标报告上签署不同意见及理由。</w:t>
      </w:r>
    </w:p>
    <w:p w14:paraId="1E105D15">
      <w:pPr>
        <w:adjustRightInd w:val="0"/>
        <w:snapToGrid w:val="0"/>
        <w:spacing w:line="500" w:lineRule="exact"/>
        <w:outlineLvl w:val="1"/>
        <w:rPr>
          <w:rFonts w:hint="eastAsia" w:ascii="宋体" w:hAnsi="宋体" w:eastAsia="宋体" w:cs="宋体"/>
          <w:b/>
          <w:color w:val="auto"/>
          <w:highlight w:val="none"/>
        </w:rPr>
      </w:pPr>
      <w:bookmarkStart w:id="267" w:name="_Toc11631"/>
      <w:r>
        <w:rPr>
          <w:rFonts w:hint="eastAsia" w:ascii="宋体" w:hAnsi="宋体" w:eastAsia="宋体" w:cs="宋体"/>
          <w:b/>
          <w:color w:val="auto"/>
          <w:highlight w:val="none"/>
        </w:rPr>
        <w:t>3.5评标终止</w:t>
      </w:r>
      <w:bookmarkEnd w:id="267"/>
    </w:p>
    <w:p w14:paraId="2390BD04">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34AB5AA8">
      <w:pPr>
        <w:adjustRightInd w:val="0"/>
        <w:snapToGrid w:val="0"/>
        <w:spacing w:line="500" w:lineRule="exact"/>
        <w:outlineLvl w:val="1"/>
        <w:rPr>
          <w:rFonts w:hint="eastAsia" w:ascii="宋体" w:hAnsi="宋体" w:eastAsia="宋体" w:cs="宋体"/>
          <w:b/>
          <w:color w:val="auto"/>
          <w:highlight w:val="none"/>
        </w:rPr>
      </w:pPr>
      <w:bookmarkStart w:id="268" w:name="_Toc3496"/>
      <w:r>
        <w:rPr>
          <w:rFonts w:hint="eastAsia" w:ascii="宋体" w:hAnsi="宋体" w:eastAsia="宋体" w:cs="宋体"/>
          <w:b/>
          <w:color w:val="auto"/>
          <w:highlight w:val="none"/>
        </w:rPr>
        <w:t>3.6修改评标结果</w:t>
      </w:r>
      <w:bookmarkEnd w:id="268"/>
    </w:p>
    <w:p w14:paraId="08DA9ECC">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评审组长负责汇总和核对各评标委员会成员的评审结果。在评标报告签署前，出现下列情形之一的，可以要求其当场修改评审结果：</w:t>
      </w:r>
    </w:p>
    <w:p w14:paraId="5B93B7BD">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（1）分值汇总计算错误；</w:t>
      </w:r>
    </w:p>
    <w:p w14:paraId="060C266E">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（2）分项评分超出评分标准范围；</w:t>
      </w:r>
    </w:p>
    <w:p w14:paraId="0D829D04">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（3）评标委员会成员对客观评审因素评分不一致；</w:t>
      </w:r>
    </w:p>
    <w:p w14:paraId="7D05B071">
      <w:pPr>
        <w:pStyle w:val="11"/>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（4）经评标委员会认定评分畸高或畸低。</w:t>
      </w:r>
    </w:p>
    <w:p w14:paraId="34B696C4">
      <w:pPr>
        <w:pStyle w:val="11"/>
        <w:adjustRightInd w:val="0"/>
        <w:snapToGrid w:val="0"/>
        <w:spacing w:line="500" w:lineRule="exact"/>
        <w:outlineLvl w:val="1"/>
        <w:rPr>
          <w:rFonts w:hint="eastAsia" w:ascii="宋体" w:hAnsi="宋体" w:eastAsia="宋体" w:cs="宋体"/>
          <w:b/>
          <w:color w:val="auto"/>
          <w:highlight w:val="none"/>
        </w:rPr>
      </w:pPr>
      <w:bookmarkStart w:id="269" w:name="_Toc12381"/>
      <w:r>
        <w:rPr>
          <w:rFonts w:hint="eastAsia" w:ascii="宋体" w:hAnsi="宋体" w:eastAsia="宋体" w:cs="宋体"/>
          <w:b/>
          <w:color w:val="auto"/>
          <w:highlight w:val="none"/>
        </w:rPr>
        <w:t>3.7 供应商总分相同</w:t>
      </w:r>
      <w:bookmarkEnd w:id="269"/>
    </w:p>
    <w:p w14:paraId="53035E0E">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供应商总分相同时，投标报价低的排名优先；如投标报价也相同，由招标人抽签确定排序。</w:t>
      </w:r>
    </w:p>
    <w:p w14:paraId="4CDBB41C">
      <w:pPr>
        <w:pStyle w:val="11"/>
        <w:adjustRightInd w:val="0"/>
        <w:snapToGrid w:val="0"/>
        <w:spacing w:line="500" w:lineRule="exact"/>
        <w:outlineLvl w:val="1"/>
        <w:rPr>
          <w:rFonts w:hint="eastAsia" w:ascii="宋体" w:hAnsi="宋体" w:eastAsia="宋体" w:cs="宋体"/>
          <w:b/>
          <w:color w:val="auto"/>
          <w:highlight w:val="none"/>
        </w:rPr>
      </w:pPr>
      <w:bookmarkStart w:id="270" w:name="_Toc14222"/>
      <w:r>
        <w:rPr>
          <w:rFonts w:hint="eastAsia" w:ascii="宋体" w:hAnsi="宋体" w:eastAsia="宋体" w:cs="宋体"/>
          <w:b/>
          <w:color w:val="auto"/>
          <w:highlight w:val="none"/>
        </w:rPr>
        <w:t>3.8评标报告签署</w:t>
      </w:r>
      <w:bookmarkEnd w:id="270"/>
    </w:p>
    <w:p w14:paraId="34ACC05E">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0C6D5516">
      <w:pPr>
        <w:pStyle w:val="11"/>
        <w:adjustRightInd w:val="0"/>
        <w:snapToGrid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4.判定无效投标的规定</w:t>
      </w:r>
    </w:p>
    <w:p w14:paraId="41BE8A1E">
      <w:pPr>
        <w:pStyle w:val="11"/>
        <w:adjustRightInd w:val="0"/>
        <w:snapToGrid w:val="0"/>
        <w:spacing w:after="0" w:line="500" w:lineRule="exact"/>
        <w:rPr>
          <w:rFonts w:hint="eastAsia" w:ascii="宋体" w:hAnsi="宋体" w:eastAsia="宋体" w:cs="宋体"/>
          <w:b/>
          <w:color w:val="auto"/>
          <w:spacing w:val="-14"/>
          <w:highlight w:val="none"/>
        </w:rPr>
      </w:pPr>
      <w:r>
        <w:rPr>
          <w:rFonts w:hint="eastAsia" w:ascii="宋体" w:hAnsi="宋体" w:eastAsia="宋体" w:cs="宋体"/>
          <w:b/>
          <w:color w:val="auto"/>
          <w:highlight w:val="none"/>
        </w:rPr>
        <w:t>4.1资格审查过程中，</w:t>
      </w:r>
      <w:r>
        <w:rPr>
          <w:rFonts w:hint="eastAsia" w:ascii="宋体" w:hAnsi="宋体" w:eastAsia="宋体" w:cs="宋体"/>
          <w:b/>
          <w:color w:val="auto"/>
          <w:spacing w:val="-14"/>
          <w:highlight w:val="none"/>
        </w:rPr>
        <w:t>投标文件出现不符合1.2项评审标准之一的，作无效标处理。</w:t>
      </w:r>
    </w:p>
    <w:p w14:paraId="79E1885A">
      <w:pPr>
        <w:pStyle w:val="11"/>
        <w:adjustRightInd w:val="0"/>
        <w:snapToGrid w:val="0"/>
        <w:spacing w:after="0" w:line="500" w:lineRule="exact"/>
        <w:outlineLvl w:val="1"/>
        <w:rPr>
          <w:rFonts w:hint="eastAsia" w:ascii="宋体" w:hAnsi="宋体" w:eastAsia="宋体" w:cs="宋体"/>
          <w:b/>
          <w:color w:val="auto"/>
          <w:spacing w:val="-14"/>
          <w:highlight w:val="none"/>
        </w:rPr>
      </w:pPr>
      <w:bookmarkStart w:id="271" w:name="_Toc2805"/>
      <w:r>
        <w:rPr>
          <w:rFonts w:hint="eastAsia" w:ascii="宋体" w:hAnsi="宋体" w:eastAsia="宋体" w:cs="宋体"/>
          <w:b/>
          <w:color w:val="auto"/>
          <w:spacing w:val="-14"/>
          <w:highlight w:val="none"/>
        </w:rPr>
        <w:t>4.2</w:t>
      </w:r>
      <w:r>
        <w:rPr>
          <w:rFonts w:hint="eastAsia" w:ascii="宋体" w:hAnsi="宋体" w:eastAsia="宋体" w:cs="宋体"/>
          <w:b/>
          <w:color w:val="auto"/>
          <w:highlight w:val="none"/>
        </w:rPr>
        <w:t>评标过程中，有下列情形之一的，作无效投标处理。</w:t>
      </w:r>
      <w:bookmarkEnd w:id="271"/>
    </w:p>
    <w:p w14:paraId="570047DF">
      <w:pPr>
        <w:pStyle w:val="11"/>
        <w:adjustRightInd w:val="0"/>
        <w:snapToGrid w:val="0"/>
        <w:spacing w:after="0"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（1）符合性评审时，投标文件出现不符合2.2.2项评审标准之一的；</w:t>
      </w:r>
    </w:p>
    <w:p w14:paraId="766EE4D4">
      <w:pPr>
        <w:pStyle w:val="11"/>
        <w:adjustRightInd w:val="0"/>
        <w:snapToGrid w:val="0"/>
        <w:spacing w:after="0"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（2）供应商不确认评标委员会提出的投标报价修正意见的；</w:t>
      </w:r>
    </w:p>
    <w:p w14:paraId="596091BF">
      <w:pPr>
        <w:pStyle w:val="11"/>
        <w:adjustRightInd w:val="0"/>
        <w:snapToGrid w:val="0"/>
        <w:spacing w:after="0"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（3）未按照评标委员会要求提供书面说明及相关证明材料证明其报价合理性的；</w:t>
      </w:r>
    </w:p>
    <w:p w14:paraId="342FBC9B">
      <w:pPr>
        <w:pStyle w:val="11"/>
        <w:adjustRightInd w:val="0"/>
        <w:snapToGrid w:val="0"/>
        <w:spacing w:after="0"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（4）投标文件含有采购人不能接受的附加条件的。</w:t>
      </w:r>
    </w:p>
    <w:p w14:paraId="0DB13C0E">
      <w:pPr>
        <w:pStyle w:val="11"/>
        <w:adjustRightInd w:val="0"/>
        <w:snapToGrid w:val="0"/>
        <w:spacing w:after="0" w:line="500" w:lineRule="exact"/>
        <w:outlineLvl w:val="1"/>
        <w:rPr>
          <w:rFonts w:hint="eastAsia" w:ascii="宋体" w:hAnsi="宋体" w:eastAsia="宋体" w:cs="宋体"/>
          <w:b/>
          <w:color w:val="auto"/>
          <w:highlight w:val="none"/>
        </w:rPr>
      </w:pPr>
      <w:bookmarkStart w:id="272" w:name="_Toc14142"/>
      <w:r>
        <w:rPr>
          <w:rFonts w:hint="eastAsia" w:ascii="宋体" w:hAnsi="宋体" w:eastAsia="宋体" w:cs="宋体"/>
          <w:b/>
          <w:color w:val="auto"/>
          <w:highlight w:val="none"/>
        </w:rPr>
        <w:t>4.3法律、法规规定的其他投标无效情形。</w:t>
      </w:r>
      <w:bookmarkEnd w:id="246"/>
      <w:bookmarkEnd w:id="247"/>
      <w:bookmarkEnd w:id="248"/>
      <w:bookmarkEnd w:id="249"/>
      <w:bookmarkEnd w:id="250"/>
      <w:bookmarkEnd w:id="251"/>
      <w:bookmarkEnd w:id="252"/>
      <w:bookmarkEnd w:id="253"/>
      <w:bookmarkEnd w:id="261"/>
      <w:bookmarkEnd w:id="272"/>
    </w:p>
    <w:p w14:paraId="429A2D64">
      <w:pPr>
        <w:pStyle w:val="11"/>
        <w:rPr>
          <w:rFonts w:hint="eastAsia" w:ascii="宋体" w:hAnsi="宋体" w:eastAsia="宋体" w:cs="宋体"/>
          <w:color w:val="auto"/>
          <w:highlight w:val="none"/>
        </w:rPr>
      </w:pPr>
    </w:p>
    <w:p w14:paraId="7503AF63">
      <w:pPr>
        <w:adjustRightInd w:val="0"/>
        <w:snapToGrid w:val="0"/>
        <w:spacing w:line="500" w:lineRule="exact"/>
        <w:jc w:val="center"/>
        <w:outlineLvl w:val="0"/>
        <w:rPr>
          <w:rFonts w:hint="eastAsia" w:ascii="宋体" w:hAnsi="宋体" w:eastAsia="宋体" w:cs="宋体"/>
          <w:b/>
          <w:color w:val="auto"/>
          <w:highlight w:val="none"/>
        </w:rPr>
      </w:pPr>
      <w:bookmarkStart w:id="273" w:name="_Toc7380"/>
      <w:bookmarkStart w:id="274" w:name="_Toc425871381"/>
      <w:bookmarkStart w:id="275" w:name="_Toc383698715"/>
      <w:bookmarkStart w:id="276" w:name="_Toc390099086"/>
      <w:bookmarkStart w:id="277" w:name="_Toc383626062"/>
      <w:bookmarkStart w:id="278" w:name="_Toc383624013"/>
      <w:bookmarkStart w:id="279" w:name="_Toc383679815"/>
      <w:bookmarkStart w:id="280" w:name="_Toc390098908"/>
      <w:bookmarkStart w:id="281" w:name="_Toc390246973"/>
      <w:bookmarkStart w:id="282" w:name="_Toc383623741"/>
      <w:r>
        <w:rPr>
          <w:rFonts w:hint="eastAsia" w:ascii="宋体" w:hAnsi="宋体" w:eastAsia="宋体" w:cs="宋体"/>
          <w:b/>
          <w:color w:val="auto"/>
          <w:highlight w:val="none"/>
        </w:rPr>
        <w:br w:type="page"/>
      </w:r>
    </w:p>
    <w:bookmarkEnd w:id="273"/>
    <w:p w14:paraId="5E268FBE">
      <w:pPr>
        <w:pStyle w:val="20"/>
        <w:numPr>
          <w:ilvl w:val="0"/>
          <w:numId w:val="4"/>
        </w:numPr>
        <w:adjustRightInd w:val="0"/>
        <w:snapToGrid w:val="0"/>
        <w:spacing w:line="500" w:lineRule="exact"/>
        <w:ind w:left="0" w:firstLine="0"/>
        <w:jc w:val="center"/>
        <w:outlineLvl w:val="0"/>
        <w:rPr>
          <w:rFonts w:hint="eastAsia" w:asciiTheme="majorEastAsia" w:hAnsiTheme="majorEastAsia" w:eastAsiaTheme="majorEastAsia" w:cstheme="majorEastAsia"/>
          <w:b/>
          <w:color w:val="auto"/>
          <w:lang w:eastAsia="zh-CN"/>
        </w:rPr>
      </w:pPr>
      <w:bookmarkStart w:id="283" w:name="OLE_LINK19"/>
      <w:bookmarkStart w:id="284" w:name="_Toc20823315"/>
      <w:bookmarkStart w:id="285" w:name="_Toc383623720"/>
      <w:bookmarkStart w:id="286" w:name="_Toc16938559"/>
      <w:bookmarkStart w:id="287" w:name="_Toc382811586"/>
      <w:bookmarkStart w:id="288" w:name="_Toc382813933"/>
      <w:bookmarkStart w:id="289" w:name="_Toc382814014"/>
      <w:bookmarkStart w:id="290" w:name="_Toc383623992"/>
      <w:bookmarkStart w:id="291" w:name="_Toc513029243"/>
      <w:bookmarkStart w:id="292" w:name="_Toc390098887"/>
      <w:bookmarkStart w:id="293" w:name="_Toc382812484"/>
      <w:bookmarkStart w:id="294" w:name="_Toc390099065"/>
      <w:bookmarkStart w:id="295" w:name="_Toc383679794"/>
      <w:bookmarkStart w:id="296" w:name="_Toc382811181"/>
      <w:bookmarkStart w:id="297" w:name="_Toc383698694"/>
      <w:bookmarkStart w:id="298" w:name="_Toc383626041"/>
      <w:bookmarkStart w:id="299" w:name="_Toc382812295"/>
      <w:bookmarkStart w:id="300" w:name="_Toc390246952"/>
      <w:bookmarkStart w:id="301" w:name="_Toc383587505"/>
      <w:bookmarkStart w:id="302" w:name="_Toc425871366"/>
      <w:bookmarkStart w:id="303" w:name="_Toc288030332"/>
      <w:bookmarkStart w:id="304" w:name="_Toc282446296"/>
      <w:bookmarkStart w:id="305" w:name="_Toc120614222"/>
      <w:r>
        <w:rPr>
          <w:rFonts w:hint="eastAsia" w:asciiTheme="majorEastAsia" w:hAnsiTheme="majorEastAsia" w:eastAsiaTheme="majorEastAsia" w:cstheme="majorEastAsia"/>
          <w:b/>
          <w:color w:val="auto"/>
        </w:rPr>
        <w:t>合同条款</w:t>
      </w:r>
      <w:r>
        <w:rPr>
          <w:rFonts w:hint="eastAsia" w:asciiTheme="majorEastAsia" w:hAnsiTheme="majorEastAsia" w:eastAsiaTheme="majorEastAsia" w:cstheme="majorEastAsia"/>
          <w:b/>
          <w:color w:val="auto"/>
          <w:lang w:eastAsia="zh-CN"/>
        </w:rPr>
        <w:t>（仅供参考）</w:t>
      </w:r>
    </w:p>
    <w:p w14:paraId="3DCCA2AE">
      <w:pPr>
        <w:widowControl/>
        <w:shd w:val="clear" w:color="auto" w:fill="FFFFFF"/>
        <w:spacing w:line="360" w:lineRule="auto"/>
        <w:jc w:val="center"/>
        <w:outlineLvl w:val="1"/>
        <w:rPr>
          <w:rFonts w:hint="eastAsia" w:asciiTheme="majorEastAsia" w:hAnsiTheme="majorEastAsia" w:eastAsiaTheme="majorEastAsia" w:cstheme="majorEastAsia"/>
          <w:b/>
          <w:bCs/>
          <w:color w:val="auto"/>
          <w:kern w:val="0"/>
          <w:sz w:val="24"/>
          <w:szCs w:val="24"/>
        </w:rPr>
      </w:pPr>
      <w:bookmarkStart w:id="306" w:name="_Toc26484"/>
      <w:r>
        <w:rPr>
          <w:rFonts w:hint="eastAsia" w:asciiTheme="majorEastAsia" w:hAnsiTheme="majorEastAsia" w:eastAsiaTheme="majorEastAsia" w:cstheme="majorEastAsia"/>
          <w:b/>
          <w:bCs/>
          <w:color w:val="auto"/>
          <w:kern w:val="0"/>
          <w:sz w:val="24"/>
          <w:szCs w:val="24"/>
        </w:rPr>
        <w:t>（本项目最终签</w:t>
      </w:r>
      <w:bookmarkEnd w:id="283"/>
      <w:r>
        <w:rPr>
          <w:rFonts w:hint="eastAsia" w:asciiTheme="majorEastAsia" w:hAnsiTheme="majorEastAsia" w:eastAsiaTheme="majorEastAsia" w:cstheme="majorEastAsia"/>
          <w:b/>
          <w:bCs/>
          <w:color w:val="auto"/>
          <w:kern w:val="0"/>
          <w:sz w:val="24"/>
          <w:szCs w:val="24"/>
        </w:rPr>
        <w:t>订的合同由合同双方协商后确定）</w:t>
      </w:r>
      <w:bookmarkEnd w:id="306"/>
    </w:p>
    <w:p w14:paraId="2A38418D">
      <w:pPr>
        <w:widowControl/>
        <w:shd w:val="clear" w:color="auto" w:fill="FFFFFF"/>
        <w:spacing w:line="360" w:lineRule="auto"/>
        <w:ind w:firstLine="315"/>
        <w:rPr>
          <w:rFonts w:hint="eastAsia" w:asciiTheme="majorEastAsia" w:hAnsiTheme="majorEastAsia" w:eastAsiaTheme="majorEastAsia" w:cstheme="majorEastAsia"/>
          <w:color w:val="auto"/>
          <w:kern w:val="0"/>
          <w:szCs w:val="24"/>
        </w:rPr>
      </w:pPr>
      <w:r>
        <w:rPr>
          <w:rFonts w:hint="eastAsia" w:asciiTheme="majorEastAsia" w:hAnsiTheme="majorEastAsia" w:eastAsiaTheme="majorEastAsia" w:cstheme="majorEastAsia"/>
          <w:b/>
          <w:bCs/>
          <w:color w:val="auto"/>
          <w:kern w:val="0"/>
          <w:sz w:val="24"/>
          <w:szCs w:val="24"/>
        </w:rPr>
        <w:t> </w:t>
      </w:r>
    </w:p>
    <w:p w14:paraId="490D2D33">
      <w:pPr>
        <w:widowControl/>
        <w:shd w:val="clear" w:color="auto" w:fill="FFFFFF"/>
        <w:spacing w:line="360" w:lineRule="auto"/>
        <w:rPr>
          <w:rFonts w:hint="eastAsia" w:asciiTheme="majorEastAsia" w:hAnsiTheme="majorEastAsia" w:eastAsiaTheme="majorEastAsia" w:cstheme="majorEastAsia"/>
          <w:b/>
          <w:bCs/>
          <w:color w:val="auto"/>
          <w:kern w:val="0"/>
          <w:sz w:val="24"/>
          <w:szCs w:val="24"/>
        </w:rPr>
      </w:pPr>
    </w:p>
    <w:p w14:paraId="4691C831">
      <w:pPr>
        <w:widowControl/>
        <w:shd w:val="clear" w:color="auto" w:fill="FFFFFF"/>
        <w:spacing w:line="360" w:lineRule="auto"/>
        <w:rPr>
          <w:rFonts w:hint="eastAsia" w:asciiTheme="majorEastAsia" w:hAnsiTheme="majorEastAsia" w:eastAsiaTheme="majorEastAsia" w:cstheme="majorEastAsia"/>
          <w:color w:val="auto"/>
          <w:kern w:val="0"/>
          <w:sz w:val="24"/>
          <w:szCs w:val="24"/>
        </w:rPr>
      </w:pPr>
    </w:p>
    <w:p w14:paraId="0E5DD217">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合同编号 ：</w:t>
      </w:r>
      <w:r>
        <w:rPr>
          <w:rFonts w:hint="eastAsia" w:asciiTheme="majorEastAsia" w:hAnsiTheme="majorEastAsia" w:eastAsiaTheme="majorEastAsia" w:cstheme="majorEastAsia"/>
          <w:b/>
          <w:bCs/>
          <w:color w:val="auto"/>
          <w:kern w:val="0"/>
          <w:sz w:val="24"/>
          <w:szCs w:val="24"/>
          <w:u w:val="single"/>
        </w:rPr>
        <w:t>          </w:t>
      </w:r>
    </w:p>
    <w:p w14:paraId="2D8CCB7C">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项目名称 ：</w:t>
      </w:r>
      <w:r>
        <w:rPr>
          <w:rFonts w:hint="eastAsia" w:asciiTheme="majorEastAsia" w:hAnsiTheme="majorEastAsia" w:eastAsiaTheme="majorEastAsia" w:cstheme="majorEastAsia"/>
          <w:b/>
          <w:bCs/>
          <w:color w:val="auto"/>
          <w:kern w:val="0"/>
          <w:sz w:val="24"/>
          <w:szCs w:val="24"/>
          <w:u w:val="single"/>
        </w:rPr>
        <w:t>          </w:t>
      </w:r>
    </w:p>
    <w:p w14:paraId="10C8D8CF">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甲  方 ：</w:t>
      </w:r>
      <w:r>
        <w:rPr>
          <w:rFonts w:hint="eastAsia" w:asciiTheme="majorEastAsia" w:hAnsiTheme="majorEastAsia" w:eastAsiaTheme="majorEastAsia" w:cstheme="majorEastAsia"/>
          <w:b/>
          <w:bCs/>
          <w:color w:val="auto"/>
          <w:kern w:val="0"/>
          <w:sz w:val="24"/>
          <w:szCs w:val="24"/>
          <w:u w:val="single"/>
        </w:rPr>
        <w:t>          </w:t>
      </w:r>
    </w:p>
    <w:p w14:paraId="74299214">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乙  方 ：</w:t>
      </w:r>
      <w:r>
        <w:rPr>
          <w:rFonts w:hint="eastAsia" w:asciiTheme="majorEastAsia" w:hAnsiTheme="majorEastAsia" w:eastAsiaTheme="majorEastAsia" w:cstheme="majorEastAsia"/>
          <w:b/>
          <w:bCs/>
          <w:color w:val="auto"/>
          <w:kern w:val="0"/>
          <w:sz w:val="24"/>
          <w:szCs w:val="24"/>
          <w:u w:val="single"/>
        </w:rPr>
        <w:t>          </w:t>
      </w:r>
    </w:p>
    <w:p w14:paraId="2098B9D3">
      <w:pPr>
        <w:widowControl/>
        <w:shd w:val="clear" w:color="auto" w:fill="FFFFFF"/>
        <w:spacing w:line="420" w:lineRule="auto"/>
        <w:ind w:firstLine="1916"/>
        <w:rPr>
          <w:rFonts w:hint="eastAsia" w:asciiTheme="majorEastAsia" w:hAnsiTheme="majorEastAsia" w:eastAsiaTheme="majorEastAsia" w:cstheme="majorEastAsia"/>
          <w:b/>
          <w:bCs/>
          <w:color w:val="auto"/>
          <w:kern w:val="0"/>
          <w:sz w:val="24"/>
          <w:szCs w:val="24"/>
          <w:u w:val="single"/>
        </w:rPr>
      </w:pPr>
      <w:r>
        <w:rPr>
          <w:rFonts w:hint="eastAsia" w:asciiTheme="majorEastAsia" w:hAnsiTheme="majorEastAsia" w:eastAsiaTheme="majorEastAsia" w:cstheme="majorEastAsia"/>
          <w:b/>
          <w:bCs/>
          <w:color w:val="auto"/>
          <w:kern w:val="0"/>
          <w:sz w:val="24"/>
          <w:szCs w:val="24"/>
        </w:rPr>
        <w:t>签订日期 ：</w:t>
      </w:r>
      <w:r>
        <w:rPr>
          <w:rFonts w:hint="eastAsia" w:asciiTheme="majorEastAsia" w:hAnsiTheme="majorEastAsia" w:eastAsiaTheme="majorEastAsia" w:cstheme="majorEastAsia"/>
          <w:b/>
          <w:bCs/>
          <w:color w:val="auto"/>
          <w:kern w:val="0"/>
          <w:sz w:val="24"/>
          <w:szCs w:val="24"/>
          <w:u w:val="single"/>
        </w:rPr>
        <w:t>          </w:t>
      </w:r>
    </w:p>
    <w:p w14:paraId="6883CA1D">
      <w:pPr>
        <w:widowControl/>
        <w:shd w:val="clear"/>
        <w:spacing w:line="240" w:lineRule="auto"/>
        <w:ind w:firstLine="0"/>
        <w:rPr>
          <w:rFonts w:hint="eastAsia" w:asciiTheme="majorEastAsia" w:hAnsiTheme="majorEastAsia" w:eastAsiaTheme="majorEastAsia" w:cstheme="majorEastAsia"/>
          <w:b/>
          <w:bCs/>
          <w:color w:val="auto"/>
          <w:kern w:val="0"/>
          <w:sz w:val="24"/>
          <w:szCs w:val="24"/>
          <w:u w:val="single"/>
        </w:rPr>
      </w:pPr>
      <w:r>
        <w:rPr>
          <w:rFonts w:hint="eastAsia" w:asciiTheme="majorEastAsia" w:hAnsiTheme="majorEastAsia" w:eastAsiaTheme="majorEastAsia" w:cstheme="majorEastAsia"/>
          <w:b/>
          <w:bCs/>
          <w:color w:val="auto"/>
          <w:kern w:val="0"/>
          <w:sz w:val="24"/>
          <w:szCs w:val="24"/>
          <w:u w:val="single"/>
        </w:rPr>
        <w:br w:type="page"/>
      </w:r>
    </w:p>
    <w:p w14:paraId="0A7E67F2">
      <w:pPr>
        <w:rPr>
          <w:rStyle w:val="66"/>
          <w:rFonts w:hint="eastAsia" w:ascii="宋体" w:hAnsi="宋体" w:eastAsia="宋体" w:cs="宋体"/>
          <w:color w:val="auto"/>
          <w:sz w:val="24"/>
          <w:szCs w:val="24"/>
        </w:rPr>
      </w:pPr>
    </w:p>
    <w:tbl>
      <w:tblPr>
        <w:tblStyle w:val="27"/>
        <w:tblW w:w="9286" w:type="dxa"/>
        <w:tblInd w:w="-108" w:type="dxa"/>
        <w:tblLayout w:type="fixed"/>
        <w:tblCellMar>
          <w:top w:w="0" w:type="dxa"/>
          <w:left w:w="0" w:type="dxa"/>
          <w:bottom w:w="0" w:type="dxa"/>
          <w:right w:w="0" w:type="dxa"/>
        </w:tblCellMar>
      </w:tblPr>
      <w:tblGrid>
        <w:gridCol w:w="4643"/>
        <w:gridCol w:w="4643"/>
      </w:tblGrid>
      <w:tr w14:paraId="4DDF8A1F">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42026B8">
            <w:pPr>
              <w:rPr>
                <w:rStyle w:val="66"/>
                <w:rFonts w:hint="eastAsia" w:ascii="宋体" w:hAnsi="宋体" w:eastAsia="宋体" w:cs="宋体"/>
                <w:color w:val="auto"/>
                <w:sz w:val="24"/>
                <w:szCs w:val="24"/>
                <w:lang w:val="zh-CN"/>
              </w:rPr>
            </w:pPr>
            <w:r>
              <w:rPr>
                <w:rStyle w:val="66"/>
                <w:rFonts w:hint="eastAsia" w:ascii="宋体" w:hAnsi="宋体" w:eastAsia="宋体" w:cs="宋体"/>
                <w:color w:val="auto"/>
                <w:sz w:val="24"/>
                <w:szCs w:val="24"/>
                <w:lang w:val="zh-CN"/>
              </w:rPr>
              <w:t>采购人（以下称甲方）</w:t>
            </w:r>
          </w:p>
        </w:tc>
        <w:tc>
          <w:tcPr>
            <w:tcW w:w="4643" w:type="dxa"/>
            <w:tcBorders>
              <w:top w:val="nil"/>
              <w:left w:val="nil"/>
              <w:bottom w:val="nil"/>
              <w:right w:val="nil"/>
            </w:tcBorders>
            <w:noWrap w:val="0"/>
            <w:vAlign w:val="top"/>
          </w:tcPr>
          <w:p w14:paraId="6143E87A">
            <w:pPr>
              <w:rPr>
                <w:rStyle w:val="66"/>
                <w:rFonts w:hint="eastAsia" w:ascii="宋体" w:hAnsi="宋体" w:eastAsia="宋体" w:cs="宋体"/>
                <w:color w:val="auto"/>
                <w:sz w:val="24"/>
                <w:szCs w:val="24"/>
                <w:lang w:val="zh-CN"/>
              </w:rPr>
            </w:pPr>
            <w:r>
              <w:rPr>
                <w:rStyle w:val="66"/>
                <w:rFonts w:hint="eastAsia" w:ascii="宋体" w:hAnsi="宋体" w:eastAsia="宋体" w:cs="宋体"/>
                <w:color w:val="auto"/>
                <w:sz w:val="24"/>
                <w:szCs w:val="24"/>
                <w:lang w:val="zh-CN"/>
              </w:rPr>
              <w:t>供应商：（以下称乙方）</w:t>
            </w:r>
          </w:p>
        </w:tc>
      </w:tr>
      <w:tr w14:paraId="04A8DDD2">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932065B">
            <w:pPr>
              <w:rPr>
                <w:rStyle w:val="66"/>
                <w:rFonts w:hint="eastAsia" w:ascii="宋体" w:hAnsi="宋体" w:eastAsia="宋体" w:cs="宋体"/>
                <w:color w:val="auto"/>
                <w:sz w:val="24"/>
                <w:szCs w:val="24"/>
                <w:lang w:val="zh-CN"/>
              </w:rPr>
            </w:pPr>
            <w:r>
              <w:rPr>
                <w:rStyle w:val="66"/>
                <w:rFonts w:hint="eastAsia" w:ascii="宋体" w:hAnsi="宋体" w:eastAsia="宋体" w:cs="宋体"/>
                <w:color w:val="auto"/>
                <w:sz w:val="24"/>
                <w:szCs w:val="24"/>
                <w:lang w:val="zh-CN"/>
              </w:rPr>
              <w:t>住所地：</w:t>
            </w:r>
          </w:p>
        </w:tc>
        <w:tc>
          <w:tcPr>
            <w:tcW w:w="4643" w:type="dxa"/>
            <w:tcBorders>
              <w:top w:val="nil"/>
              <w:left w:val="nil"/>
              <w:bottom w:val="nil"/>
              <w:right w:val="nil"/>
            </w:tcBorders>
            <w:noWrap w:val="0"/>
            <w:vAlign w:val="top"/>
          </w:tcPr>
          <w:p w14:paraId="3729B069">
            <w:pPr>
              <w:rPr>
                <w:rStyle w:val="66"/>
                <w:rFonts w:hint="eastAsia" w:ascii="宋体" w:hAnsi="宋体" w:eastAsia="宋体" w:cs="宋体"/>
                <w:color w:val="auto"/>
                <w:sz w:val="24"/>
                <w:szCs w:val="24"/>
                <w:lang w:val="zh-CN"/>
              </w:rPr>
            </w:pPr>
            <w:r>
              <w:rPr>
                <w:rStyle w:val="66"/>
                <w:rFonts w:hint="eastAsia" w:ascii="宋体" w:hAnsi="宋体" w:eastAsia="宋体" w:cs="宋体"/>
                <w:color w:val="auto"/>
                <w:sz w:val="24"/>
                <w:szCs w:val="24"/>
                <w:lang w:val="zh-CN"/>
              </w:rPr>
              <w:t>住所地：</w:t>
            </w:r>
          </w:p>
          <w:p w14:paraId="300043A8">
            <w:pPr>
              <w:rPr>
                <w:rStyle w:val="66"/>
                <w:rFonts w:hint="eastAsia" w:ascii="宋体" w:hAnsi="宋体" w:eastAsia="宋体" w:cs="宋体"/>
                <w:color w:val="auto"/>
                <w:sz w:val="24"/>
                <w:szCs w:val="24"/>
                <w:lang w:val="zh-CN"/>
              </w:rPr>
            </w:pPr>
          </w:p>
          <w:p w14:paraId="03353A6D">
            <w:pPr>
              <w:rPr>
                <w:rStyle w:val="66"/>
                <w:rFonts w:hint="eastAsia" w:ascii="宋体" w:hAnsi="宋体" w:eastAsia="宋体" w:cs="宋体"/>
                <w:color w:val="auto"/>
                <w:sz w:val="24"/>
                <w:szCs w:val="24"/>
                <w:lang w:val="zh-CN"/>
              </w:rPr>
            </w:pPr>
          </w:p>
        </w:tc>
      </w:tr>
    </w:tbl>
    <w:p w14:paraId="502A2ADD">
      <w:pPr>
        <w:snapToGrid w:val="0"/>
        <w:spacing w:line="340" w:lineRule="exact"/>
        <w:ind w:firstLine="480" w:firstLineChars="200"/>
        <w:rPr>
          <w:rStyle w:val="66"/>
          <w:rFonts w:hint="eastAsia" w:ascii="宋体" w:hAnsi="宋体" w:eastAsia="宋体" w:cs="宋体"/>
          <w:color w:val="auto"/>
          <w:sz w:val="24"/>
          <w:szCs w:val="24"/>
        </w:rPr>
      </w:pPr>
      <w:r>
        <w:rPr>
          <w:rStyle w:val="66"/>
          <w:rFonts w:hint="eastAsia" w:ascii="宋体" w:hAnsi="宋体" w:eastAsia="宋体" w:cs="宋体"/>
          <w:color w:val="auto"/>
          <w:sz w:val="24"/>
          <w:szCs w:val="24"/>
        </w:rPr>
        <w:t>甲乙</w:t>
      </w:r>
      <w:r>
        <w:rPr>
          <w:rStyle w:val="66"/>
          <w:rFonts w:hint="eastAsia" w:ascii="宋体" w:hAnsi="宋体" w:eastAsia="宋体" w:cs="宋体"/>
          <w:color w:val="auto"/>
          <w:sz w:val="24"/>
          <w:szCs w:val="24"/>
          <w:lang w:val="en-US" w:eastAsia="zh-CN"/>
        </w:rPr>
        <w:t>双</w:t>
      </w:r>
      <w:r>
        <w:rPr>
          <w:rStyle w:val="66"/>
          <w:rFonts w:hint="eastAsia" w:ascii="宋体" w:hAnsi="宋体" w:eastAsia="宋体" w:cs="宋体"/>
          <w:color w:val="auto"/>
          <w:sz w:val="24"/>
          <w:szCs w:val="24"/>
        </w:rPr>
        <w:t>方根据</w:t>
      </w:r>
      <w:r>
        <w:rPr>
          <w:rFonts w:hint="eastAsia" w:ascii="宋体" w:hAnsi="宋体" w:eastAsia="宋体" w:cs="宋体"/>
          <w:color w:val="auto"/>
          <w:sz w:val="24"/>
          <w:szCs w:val="24"/>
          <w:lang w:val="zh-CN"/>
        </w:rPr>
        <w:t>______</w:t>
      </w:r>
      <w:r>
        <w:rPr>
          <w:rStyle w:val="66"/>
          <w:rFonts w:hint="eastAsia" w:ascii="宋体" w:hAnsi="宋体" w:eastAsia="宋体" w:cs="宋体"/>
          <w:color w:val="auto"/>
          <w:sz w:val="24"/>
          <w:szCs w:val="24"/>
        </w:rPr>
        <w:t>年</w:t>
      </w:r>
      <w:r>
        <w:rPr>
          <w:rFonts w:hint="eastAsia" w:ascii="宋体" w:hAnsi="宋体" w:eastAsia="宋体" w:cs="宋体"/>
          <w:color w:val="auto"/>
          <w:sz w:val="24"/>
          <w:szCs w:val="24"/>
          <w:lang w:val="zh-CN"/>
        </w:rPr>
        <w:t>______</w:t>
      </w:r>
      <w:r>
        <w:rPr>
          <w:rStyle w:val="66"/>
          <w:rFonts w:hint="eastAsia" w:ascii="宋体" w:hAnsi="宋体" w:eastAsia="宋体" w:cs="宋体"/>
          <w:color w:val="auto"/>
          <w:sz w:val="24"/>
          <w:szCs w:val="24"/>
        </w:rPr>
        <w:t>月</w:t>
      </w:r>
      <w:r>
        <w:rPr>
          <w:rFonts w:hint="eastAsia" w:ascii="宋体" w:hAnsi="宋体" w:eastAsia="宋体" w:cs="宋体"/>
          <w:color w:val="auto"/>
          <w:sz w:val="24"/>
          <w:szCs w:val="24"/>
          <w:lang w:val="zh-CN"/>
        </w:rPr>
        <w:t>______</w:t>
      </w:r>
      <w:r>
        <w:rPr>
          <w:rStyle w:val="66"/>
          <w:rFonts w:hint="eastAsia" w:ascii="宋体" w:hAnsi="宋体" w:eastAsia="宋体" w:cs="宋体"/>
          <w:color w:val="auto"/>
          <w:sz w:val="24"/>
          <w:szCs w:val="24"/>
        </w:rPr>
        <w:t>日采购编号</w:t>
      </w:r>
      <w:r>
        <w:rPr>
          <w:rStyle w:val="66"/>
          <w:rFonts w:hint="eastAsia" w:ascii="宋体" w:hAnsi="宋体" w:eastAsia="宋体" w:cs="宋体"/>
          <w:color w:val="auto"/>
          <w:sz w:val="24"/>
          <w:szCs w:val="24"/>
          <w:u w:val="single"/>
        </w:rPr>
        <w:t>（采购编号）</w:t>
      </w:r>
      <w:r>
        <w:rPr>
          <w:rStyle w:val="66"/>
          <w:rFonts w:hint="eastAsia" w:ascii="宋体" w:hAnsi="宋体" w:eastAsia="宋体" w:cs="宋体"/>
          <w:color w:val="auto"/>
          <w:sz w:val="24"/>
          <w:szCs w:val="24"/>
        </w:rPr>
        <w:t>的公开招标采购结果及采购文件的要求,经协商一致,达成如下采购合同：</w:t>
      </w:r>
    </w:p>
    <w:p w14:paraId="5E707108">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第一条合同标的</w:t>
      </w:r>
    </w:p>
    <w:p w14:paraId="66F8E584">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乙方根据甲方需求提供下列货物：</w:t>
      </w:r>
      <w:r>
        <w:rPr>
          <w:rFonts w:hint="eastAsia" w:ascii="宋体" w:hAnsi="宋体" w:eastAsia="宋体" w:cs="宋体"/>
          <w:color w:val="auto"/>
          <w:sz w:val="24"/>
          <w:szCs w:val="24"/>
          <w:u w:val="single"/>
          <w:lang w:val="zh-CN"/>
        </w:rPr>
        <w:t>（货物名称）</w:t>
      </w:r>
      <w:r>
        <w:rPr>
          <w:rFonts w:hint="eastAsia" w:ascii="宋体" w:hAnsi="宋体" w:eastAsia="宋体" w:cs="宋体"/>
          <w:color w:val="auto"/>
          <w:sz w:val="24"/>
          <w:szCs w:val="24"/>
          <w:lang w:val="zh-CN"/>
        </w:rPr>
        <w:t>，货物名称、规格及数量详见乙方投标文件。</w:t>
      </w:r>
    </w:p>
    <w:p w14:paraId="738F29F6">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第二条合同总价款</w:t>
      </w:r>
    </w:p>
    <w:p w14:paraId="5245A6EE">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本合同项下人民币总价款为___________（大写）人民币</w:t>
      </w:r>
      <w:r>
        <w:rPr>
          <w:rFonts w:hint="eastAsia" w:ascii="宋体" w:hAnsi="宋体" w:eastAsia="宋体" w:cs="宋体"/>
          <w:b/>
          <w:i/>
          <w:color w:val="auto"/>
          <w:sz w:val="24"/>
          <w:szCs w:val="24"/>
        </w:rPr>
        <w:t>（泰兴交付价）</w:t>
      </w:r>
      <w:r>
        <w:rPr>
          <w:rFonts w:hint="eastAsia" w:ascii="宋体" w:hAnsi="宋体" w:eastAsia="宋体" w:cs="宋体"/>
          <w:color w:val="auto"/>
          <w:sz w:val="24"/>
          <w:szCs w:val="24"/>
          <w:lang w:val="zh-CN"/>
        </w:rPr>
        <w:t>，分项价款在“投标报价表”中有明确规定。</w:t>
      </w:r>
    </w:p>
    <w:p w14:paraId="75474299">
      <w:pPr>
        <w:autoSpaceDE w:val="0"/>
        <w:autoSpaceDN w:val="0"/>
        <w:adjustRightInd w:val="0"/>
        <w:spacing w:line="340" w:lineRule="exact"/>
        <w:ind w:firstLine="420"/>
        <w:rPr>
          <w:rFonts w:hint="eastAsia" w:ascii="宋体" w:hAnsi="宋体" w:eastAsia="宋体" w:cs="宋体"/>
          <w:b/>
          <w:bCs/>
          <w:color w:val="auto"/>
          <w:sz w:val="24"/>
          <w:szCs w:val="24"/>
          <w:lang w:val="zh-TW"/>
        </w:rPr>
      </w:pPr>
      <w:r>
        <w:rPr>
          <w:rFonts w:hint="eastAsia" w:ascii="宋体" w:hAnsi="宋体" w:eastAsia="宋体" w:cs="宋体"/>
          <w:color w:val="auto"/>
          <w:sz w:val="24"/>
          <w:szCs w:val="24"/>
          <w:lang w:val="zh-TW"/>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6F11EF1A">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本合同总价款还包含乙方应当提供的伴随服务/售后服务费用。</w:t>
      </w:r>
    </w:p>
    <w:p w14:paraId="7ECEA4E1">
      <w:pPr>
        <w:autoSpaceDE w:val="0"/>
        <w:autoSpaceDN w:val="0"/>
        <w:adjustRightInd w:val="0"/>
        <w:spacing w:line="340" w:lineRule="exact"/>
        <w:ind w:firstLine="472" w:firstLineChars="196"/>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第三条组成本合同的有关文件</w:t>
      </w:r>
    </w:p>
    <w:p w14:paraId="26975EEE">
      <w:pPr>
        <w:autoSpaceDE w:val="0"/>
        <w:autoSpaceDN w:val="0"/>
        <w:adjustRightInd w:val="0"/>
        <w:spacing w:line="340" w:lineRule="exact"/>
        <w:ind w:firstLine="420"/>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eastAsia="zh-TW"/>
        </w:rPr>
        <w:t>下列关于</w:t>
      </w:r>
      <w:r>
        <w:rPr>
          <w:rStyle w:val="66"/>
          <w:rFonts w:hint="eastAsia" w:ascii="宋体" w:hAnsi="宋体" w:eastAsia="宋体" w:cs="宋体"/>
          <w:color w:val="auto"/>
          <w:sz w:val="24"/>
          <w:szCs w:val="24"/>
          <w:u w:val="single"/>
        </w:rPr>
        <w:t>（采购编号）</w:t>
      </w:r>
      <w:r>
        <w:rPr>
          <w:rFonts w:hint="eastAsia" w:ascii="宋体" w:hAnsi="宋体" w:eastAsia="宋体" w:cs="宋体"/>
          <w:color w:val="auto"/>
          <w:sz w:val="24"/>
          <w:szCs w:val="24"/>
          <w:lang w:val="zh-TW" w:eastAsia="zh-TW"/>
        </w:rPr>
        <w:t>号</w:t>
      </w:r>
      <w:r>
        <w:rPr>
          <w:rFonts w:hint="eastAsia" w:ascii="宋体" w:hAnsi="宋体" w:eastAsia="宋体" w:cs="宋体"/>
          <w:color w:val="auto"/>
          <w:sz w:val="24"/>
          <w:szCs w:val="24"/>
          <w:lang w:val="zh-TW"/>
        </w:rPr>
        <w:t>采购文件</w:t>
      </w:r>
      <w:r>
        <w:rPr>
          <w:rFonts w:hint="eastAsia" w:ascii="宋体" w:hAnsi="宋体" w:eastAsia="宋体" w:cs="宋体"/>
          <w:color w:val="auto"/>
          <w:sz w:val="24"/>
          <w:szCs w:val="24"/>
          <w:lang w:val="zh-TW" w:eastAsia="zh-TW"/>
        </w:rPr>
        <w:t>、供应商响应文件或与本次采购活动方式相适应的文件及有关附件是本合同不可分割的组成部分，与本合同具有同等法律效力，这些文件包括但不限于：</w:t>
      </w:r>
    </w:p>
    <w:p w14:paraId="10976C8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（1）乙方提供的投标文件和投标报价表；（2）供货一览表；</w:t>
      </w:r>
    </w:p>
    <w:p w14:paraId="6D3D2AB1">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（3）交货一览表；                    （4）技术规格响应表；</w:t>
      </w:r>
    </w:p>
    <w:p w14:paraId="3D7A2233">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（5）投标承诺；                      （6）服务承诺；</w:t>
      </w:r>
    </w:p>
    <w:p w14:paraId="45C4A244">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（7）中标通知书；                    （8）甲乙</w:t>
      </w:r>
      <w:r>
        <w:rPr>
          <w:rFonts w:hint="eastAsia" w:ascii="宋体" w:hAnsi="宋体" w:eastAsia="宋体" w:cs="宋体"/>
          <w:color w:val="auto"/>
          <w:sz w:val="24"/>
          <w:szCs w:val="24"/>
          <w:lang w:val="en-US" w:eastAsia="zh-CN"/>
        </w:rPr>
        <w:t>双</w:t>
      </w:r>
      <w:r>
        <w:rPr>
          <w:rFonts w:hint="eastAsia" w:ascii="宋体" w:hAnsi="宋体" w:eastAsia="宋体" w:cs="宋体"/>
          <w:color w:val="auto"/>
          <w:sz w:val="24"/>
          <w:szCs w:val="24"/>
          <w:lang w:val="zh-CN"/>
        </w:rPr>
        <w:t>方商定的其他文件等。</w:t>
      </w:r>
    </w:p>
    <w:p w14:paraId="268CDDFD">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第四条权利保证</w:t>
      </w:r>
    </w:p>
    <w:p w14:paraId="7CF582AB">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乙方应保证甲方在使用该货物或其任何一部分时不受第三方提出侵犯其专利权、版权、商标权或其他权利的起诉。一旦出现侵权，乙方应承担全部责任。</w:t>
      </w:r>
    </w:p>
    <w:p w14:paraId="65C93BE8">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第五条质量保证</w:t>
      </w:r>
    </w:p>
    <w:p w14:paraId="7BAF6F89">
      <w:pPr>
        <w:autoSpaceDE w:val="0"/>
        <w:autoSpaceDN w:val="0"/>
        <w:adjustRightInd w:val="0"/>
        <w:spacing w:line="340" w:lineRule="exact"/>
        <w:ind w:firstLine="420"/>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1.乙方所提供的货物的技术规格应与采购文件规定的技术规格及所附的“技术规格响应表”相一致；若技术性能无特殊说明，则按国家有关部门最新颁布的标准及规范为准。</w:t>
      </w:r>
    </w:p>
    <w:p w14:paraId="34825E96">
      <w:pPr>
        <w:autoSpaceDE w:val="0"/>
        <w:autoSpaceDN w:val="0"/>
        <w:adjustRightInd w:val="0"/>
        <w:spacing w:line="340" w:lineRule="exact"/>
        <w:ind w:firstLine="420"/>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lang w:val="zh-TW"/>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w:t>
      </w:r>
      <w:r>
        <w:rPr>
          <w:rFonts w:hint="eastAsia" w:ascii="宋体" w:hAnsi="宋体" w:eastAsia="宋体" w:cs="宋体"/>
          <w:color w:val="auto"/>
          <w:sz w:val="24"/>
          <w:szCs w:val="24"/>
          <w:highlight w:val="none"/>
          <w:lang w:val="zh-TW"/>
        </w:rPr>
        <w:t>担。</w:t>
      </w:r>
    </w:p>
    <w:p w14:paraId="0D3256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highlight w:val="none"/>
        </w:rPr>
      </w:pPr>
      <w:r>
        <w:rPr>
          <w:rFonts w:hint="eastAsia" w:ascii="宋体" w:hAnsi="宋体" w:eastAsia="宋体" w:cs="宋体"/>
          <w:color w:val="auto"/>
          <w:sz w:val="24"/>
          <w:szCs w:val="24"/>
          <w:highlight w:val="none"/>
          <w:lang w:val="en-US" w:eastAsia="zh-CN"/>
        </w:rPr>
        <w:t>3.</w:t>
      </w:r>
      <w:r>
        <w:rPr>
          <w:rFonts w:ascii="宋体" w:hAnsi="宋体" w:eastAsia="宋体" w:cs="宋体"/>
          <w:color w:val="000000"/>
          <w:kern w:val="0"/>
          <w:sz w:val="24"/>
          <w:szCs w:val="24"/>
          <w:highlight w:val="none"/>
          <w:lang w:val="en-US" w:eastAsia="zh-CN" w:bidi="ar"/>
        </w:rPr>
        <w:t>本项目整体运维服务期限为 5 年</w:t>
      </w:r>
      <w:r>
        <w:rPr>
          <w:rFonts w:hint="eastAsia" w:ascii="宋体" w:hAnsi="宋体" w:cs="宋体"/>
          <w:color w:val="000000"/>
          <w:kern w:val="0"/>
          <w:sz w:val="24"/>
          <w:szCs w:val="24"/>
          <w:highlight w:val="none"/>
          <w:lang w:val="en-US" w:eastAsia="zh-CN" w:bidi="ar"/>
        </w:rPr>
        <w:t>（</w:t>
      </w:r>
      <w:r>
        <w:rPr>
          <w:color w:val="000000"/>
          <w:sz w:val="24"/>
          <w:szCs w:val="24"/>
          <w:highlight w:val="none"/>
        </w:rPr>
        <w:t>配套电池1年</w:t>
      </w:r>
      <w:r>
        <w:rPr>
          <w:rFonts w:hint="eastAsia"/>
          <w:color w:val="000000"/>
          <w:sz w:val="24"/>
          <w:szCs w:val="24"/>
          <w:highlight w:val="none"/>
          <w:lang w:eastAsia="zh-CN"/>
        </w:rPr>
        <w:t>）</w:t>
      </w:r>
      <w:r>
        <w:rPr>
          <w:rFonts w:ascii="宋体" w:hAnsi="宋体" w:eastAsia="宋体" w:cs="宋体"/>
          <w:color w:val="000000"/>
          <w:kern w:val="0"/>
          <w:sz w:val="24"/>
          <w:szCs w:val="24"/>
          <w:highlight w:val="none"/>
          <w:lang w:val="en-US" w:eastAsia="zh-CN" w:bidi="ar"/>
        </w:rPr>
        <w:t>，</w:t>
      </w:r>
      <w:r>
        <w:rPr>
          <w:color w:val="000000"/>
          <w:sz w:val="24"/>
          <w:szCs w:val="24"/>
          <w:highlight w:val="none"/>
        </w:rPr>
        <w:t>自项目竣工验收合格之日起，</w:t>
      </w:r>
      <w:r>
        <w:rPr>
          <w:rFonts w:ascii="宋体" w:hAnsi="宋体" w:eastAsia="宋体" w:cs="宋体"/>
          <w:color w:val="000000"/>
          <w:kern w:val="0"/>
          <w:sz w:val="24"/>
          <w:szCs w:val="24"/>
          <w:highlight w:val="none"/>
          <w:lang w:val="en-US" w:eastAsia="zh-CN" w:bidi="ar"/>
        </w:rPr>
        <w:t>各类硬件产品免费质保期限划分如下，</w:t>
      </w:r>
      <w:r>
        <w:rPr>
          <w:rStyle w:val="30"/>
          <w:rFonts w:ascii="宋体" w:hAnsi="宋体" w:eastAsia="宋体" w:cs="宋体"/>
          <w:color w:val="000000"/>
          <w:kern w:val="0"/>
          <w:sz w:val="24"/>
          <w:szCs w:val="24"/>
          <w:highlight w:val="none"/>
          <w:lang w:val="en-US" w:eastAsia="zh-CN" w:bidi="ar"/>
        </w:rPr>
        <w:t>质保期内免费维修、免费更换非损耗故障配件；对应产品质保期满后，运维期内仅提供上门检修服务，设备及配件更换产生的材料、人工费用由甲方承担</w:t>
      </w:r>
      <w:r>
        <w:rPr>
          <w:rFonts w:ascii="宋体" w:hAnsi="宋体" w:eastAsia="宋体" w:cs="宋体"/>
          <w:color w:val="000000"/>
          <w:kern w:val="0"/>
          <w:sz w:val="24"/>
          <w:szCs w:val="24"/>
          <w:highlight w:val="none"/>
          <w:lang w:val="en-US" w:eastAsia="zh-CN" w:bidi="ar"/>
        </w:rPr>
        <w:t>：</w:t>
      </w:r>
    </w:p>
    <w:p w14:paraId="354D5757">
      <w:pPr>
        <w:autoSpaceDE w:val="0"/>
        <w:autoSpaceDN w:val="0"/>
        <w:adjustRightInd w:val="0"/>
        <w:spacing w:line="340" w:lineRule="exact"/>
        <w:ind w:firstLine="420"/>
        <w:rPr>
          <w:rFonts w:hint="default" w:ascii="宋体" w:hAnsi="宋体" w:eastAsia="宋体" w:cs="宋体"/>
          <w:color w:val="auto"/>
          <w:sz w:val="24"/>
          <w:szCs w:val="24"/>
          <w:highlight w:val="none"/>
          <w:lang w:val="en-US" w:eastAsia="zh-CN"/>
        </w:rPr>
      </w:pPr>
      <w:r>
        <w:rPr>
          <w:color w:val="000000"/>
          <w:sz w:val="24"/>
          <w:szCs w:val="24"/>
          <w:highlight w:val="none"/>
        </w:rPr>
        <w:t xml:space="preserve"> 注：1. 电池属于损耗类配件，超出质保期后更换需另行计费；2. 人为损坏、私自拆卸、进水、外力破坏、不可抗力导致的设备故障，不在免费质保范围内；3. 本条款所指基础设备范围详见本合同附件《设备清单》。</w:t>
      </w:r>
    </w:p>
    <w:p w14:paraId="7C64E64C">
      <w:pPr>
        <w:autoSpaceDE w:val="0"/>
        <w:autoSpaceDN w:val="0"/>
        <w:adjustRightInd w:val="0"/>
        <w:spacing w:line="340" w:lineRule="exact"/>
        <w:ind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第六条包装要求</w:t>
      </w:r>
    </w:p>
    <w:p w14:paraId="0112272E">
      <w:pPr>
        <w:autoSpaceDE w:val="0"/>
        <w:autoSpaceDN w:val="0"/>
        <w:adjustRightInd w:val="0"/>
        <w:spacing w:line="340" w:lineRule="exact"/>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02FB0A53">
      <w:pPr>
        <w:autoSpaceDE w:val="0"/>
        <w:autoSpaceDN w:val="0"/>
        <w:adjustRightInd w:val="0"/>
        <w:spacing w:line="340" w:lineRule="exact"/>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2.每一包装单元内应附详细的装箱单和质量合格凭证。</w:t>
      </w:r>
    </w:p>
    <w:p w14:paraId="2490BE0A">
      <w:pPr>
        <w:autoSpaceDE w:val="0"/>
        <w:autoSpaceDN w:val="0"/>
        <w:adjustRightInd w:val="0"/>
        <w:spacing w:line="340" w:lineRule="exact"/>
        <w:ind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第七条交货和验收</w:t>
      </w:r>
    </w:p>
    <w:p w14:paraId="4A87C81D">
      <w:pPr>
        <w:autoSpaceDE w:val="0"/>
        <w:autoSpaceDN w:val="0"/>
        <w:adjustRightInd w:val="0"/>
        <w:spacing w:line="340" w:lineRule="exact"/>
        <w:ind w:firstLine="42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zh-TW" w:eastAsia="zh-TW"/>
        </w:rPr>
        <w:t>乙方应当在</w:t>
      </w:r>
      <w:r>
        <w:rPr>
          <w:rFonts w:hint="eastAsia" w:ascii="宋体" w:hAnsi="宋体" w:eastAsia="宋体" w:cs="宋体"/>
          <w:b/>
          <w:bCs/>
          <w:color w:val="auto"/>
          <w:sz w:val="24"/>
          <w:szCs w:val="24"/>
          <w:highlight w:val="none"/>
          <w:lang w:val="zh-TW" w:eastAsia="zh-TW"/>
        </w:rPr>
        <w:t>甲方规定的时间内</w:t>
      </w:r>
      <w:r>
        <w:rPr>
          <w:rFonts w:hint="eastAsia" w:ascii="宋体" w:hAnsi="宋体" w:eastAsia="宋体" w:cs="宋体"/>
          <w:color w:val="auto"/>
          <w:sz w:val="24"/>
          <w:szCs w:val="24"/>
          <w:highlight w:val="none"/>
          <w:lang w:val="zh-TW" w:eastAsia="zh-TW"/>
        </w:rPr>
        <w:t>将货物送达并安装调试完毕交付甲方正常使用，</w:t>
      </w:r>
      <w:r>
        <w:rPr>
          <w:rFonts w:hint="eastAsia" w:ascii="宋体" w:hAnsi="宋体" w:eastAsia="宋体" w:cs="宋体"/>
          <w:color w:val="auto"/>
          <w:sz w:val="24"/>
          <w:szCs w:val="24"/>
          <w:lang w:val="zh-TW" w:eastAsia="zh-TW"/>
        </w:rPr>
        <w:t>地点由甲方指定。</w:t>
      </w:r>
      <w:r>
        <w:rPr>
          <w:rFonts w:hint="eastAsia" w:ascii="宋体" w:hAnsi="宋体" w:eastAsia="宋体" w:cs="宋体"/>
          <w:color w:val="auto"/>
          <w:sz w:val="24"/>
          <w:szCs w:val="24"/>
          <w:lang w:val="zh-TW"/>
        </w:rPr>
        <w:t>采购文件</w:t>
      </w:r>
      <w:r>
        <w:rPr>
          <w:rFonts w:hint="eastAsia" w:ascii="宋体" w:hAnsi="宋体" w:eastAsia="宋体" w:cs="宋体"/>
          <w:color w:val="auto"/>
          <w:sz w:val="24"/>
          <w:szCs w:val="24"/>
          <w:lang w:val="zh-TW" w:eastAsia="zh-TW"/>
        </w:rPr>
        <w:t>有约定的，从其约定。</w:t>
      </w:r>
    </w:p>
    <w:p w14:paraId="075EEC0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2.乙方交付的货物应当完全符合本合同或者招投标文件所规定的货物、数量和规格要求。乙方提供的货物不符合招投标文件和合同规定的，甲方有权拒收货物，由此引起的风险，由乙方承担。</w:t>
      </w:r>
    </w:p>
    <w:p w14:paraId="18A55B2C">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3.货物的到货验收包括：型号、规格、数量、外观质量、及货物包装是否完好。</w:t>
      </w:r>
    </w:p>
    <w:p w14:paraId="7D8E4111">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6956CE01">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5.甲方应当在到货后对货物</w:t>
      </w:r>
      <w:r>
        <w:rPr>
          <w:rFonts w:hint="eastAsia" w:ascii="宋体" w:hAnsi="宋体" w:eastAsia="宋体" w:cs="宋体"/>
          <w:color w:val="auto"/>
          <w:sz w:val="24"/>
          <w:szCs w:val="24"/>
          <w:lang w:val="en-US" w:eastAsia="zh-CN"/>
        </w:rPr>
        <w:t>数量和外观等</w:t>
      </w:r>
      <w:r>
        <w:rPr>
          <w:rFonts w:hint="eastAsia" w:ascii="宋体" w:hAnsi="宋体" w:eastAsia="宋体" w:cs="宋体"/>
          <w:color w:val="auto"/>
          <w:sz w:val="24"/>
          <w:szCs w:val="24"/>
          <w:lang w:val="zh-CN"/>
        </w:rPr>
        <w:t>进行验收；需要乙方对货物或系统进行安装调试的，应在规定的时间内完成安装调试。甲方应在货物安装调试完毕后</w:t>
      </w:r>
      <w:r>
        <w:rPr>
          <w:rFonts w:hint="eastAsia" w:ascii="宋体" w:hAnsi="宋体" w:cs="宋体"/>
          <w:color w:val="auto"/>
          <w:sz w:val="24"/>
          <w:szCs w:val="24"/>
          <w:lang w:val="en-US" w:eastAsia="zh-CN"/>
        </w:rPr>
        <w:t>及时</w:t>
      </w:r>
      <w:r>
        <w:rPr>
          <w:rFonts w:hint="eastAsia" w:ascii="宋体" w:hAnsi="宋体" w:eastAsia="宋体" w:cs="宋体"/>
          <w:color w:val="auto"/>
          <w:sz w:val="24"/>
          <w:szCs w:val="24"/>
          <w:lang w:val="zh-CN"/>
        </w:rPr>
        <w:t>进行质量验收。验收合格的，由甲方签署验收单并加盖单位公章。招标文件对检验期限另有规定的，从其规定。</w:t>
      </w:r>
    </w:p>
    <w:p w14:paraId="2C18A473">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6.货物和系统调试验收的标准：按行业通行标准、厂方出厂标准和乙方投标文件的承诺（详见合同附件载明的标准，并不低于国家相关标准）。</w:t>
      </w:r>
    </w:p>
    <w:p w14:paraId="22400792">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第八条伴随服务／售后服务</w:t>
      </w:r>
    </w:p>
    <w:p w14:paraId="0DE3590E">
      <w:pPr>
        <w:tabs>
          <w:tab w:val="left" w:pos="1620"/>
        </w:tabs>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1.乙方应按照国家有关法律法规规章和“三包”规定以及合同所附的“服务承诺”提供服务。</w:t>
      </w:r>
    </w:p>
    <w:p w14:paraId="6151E6D5">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2.除前款规定外，乙方还应提供下列服务：</w:t>
      </w:r>
    </w:p>
    <w:p w14:paraId="78566BF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（1）货物的现场安装、调试和</w:t>
      </w:r>
      <w:r>
        <w:rPr>
          <w:rFonts w:hint="eastAsia" w:ascii="宋体" w:hAnsi="宋体" w:eastAsia="宋体" w:cs="宋体"/>
          <w:color w:val="auto"/>
          <w:sz w:val="24"/>
          <w:szCs w:val="24"/>
          <w:u w:val="single"/>
          <w:lang w:val="zh-CN"/>
        </w:rPr>
        <w:t>/</w:t>
      </w:r>
      <w:r>
        <w:rPr>
          <w:rFonts w:hint="eastAsia" w:ascii="宋体" w:hAnsi="宋体" w:eastAsia="宋体" w:cs="宋体"/>
          <w:color w:val="auto"/>
          <w:sz w:val="24"/>
          <w:szCs w:val="24"/>
          <w:lang w:val="zh-CN"/>
        </w:rPr>
        <w:t>或启动监督；</w:t>
      </w:r>
    </w:p>
    <w:p w14:paraId="17AE841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（2）就货物的安装、启动、运行及维护等对甲方人员进行免费培训。</w:t>
      </w:r>
    </w:p>
    <w:p w14:paraId="2C53482E">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3.若招标文件中不包含有关伴随服务或售后服务的承诺，双方作如下约定：</w:t>
      </w:r>
    </w:p>
    <w:p w14:paraId="75F802E6">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45E5E3F">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3.2 所购货物按乙方投标承诺提供免费维护和质量保证，保修费用计入总价。</w:t>
      </w:r>
    </w:p>
    <w:p w14:paraId="7F360851">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3.3 保修期内，乙方负责对其提供的货物进行维修和系统维护，不再收取任何费用，但不可抗力（如火灾、雷击等）造成的故障除外。</w:t>
      </w:r>
    </w:p>
    <w:p w14:paraId="43D618DE">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3.4 货物故障报修的响应时间按乙方投标承诺执行。</w:t>
      </w:r>
    </w:p>
    <w:p w14:paraId="5DCA318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3.5 若货物故障在检修8工作小时后仍无法排除，乙方应在48小时内免费提供不低于故障货物规格型号档次的备用货物供甲方使用，直至故障货物修复。</w:t>
      </w:r>
    </w:p>
    <w:p w14:paraId="045AE9FC">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3.6 所有货物保修服务方式均为乙方上门保修，即由乙方派员到货物使用现场维修，由此产生的一切费用均由乙方承担。</w:t>
      </w:r>
    </w:p>
    <w:p w14:paraId="12E59633">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3.7 保修期后的货物维护由双方协商再定。</w:t>
      </w:r>
    </w:p>
    <w:p w14:paraId="1F5AA000">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第九条履约保证金</w:t>
      </w:r>
    </w:p>
    <w:p w14:paraId="074ED949">
      <w:pPr>
        <w:pStyle w:val="71"/>
        <w:spacing w:line="34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无需缴纳履约保证金；</w:t>
      </w:r>
    </w:p>
    <w:p w14:paraId="3A24F592">
      <w:pPr>
        <w:autoSpaceDE w:val="0"/>
        <w:autoSpaceDN w:val="0"/>
        <w:adjustRightInd w:val="0"/>
        <w:spacing w:line="340" w:lineRule="exact"/>
        <w:ind w:firstLine="420"/>
        <w:rPr>
          <w:rFonts w:hint="eastAsia" w:ascii="宋体" w:hAnsi="宋体" w:eastAsia="宋体" w:cs="宋体"/>
          <w:b/>
          <w:bCs/>
          <w:iCs/>
          <w:color w:val="auto"/>
          <w:sz w:val="24"/>
          <w:szCs w:val="24"/>
          <w:lang w:val="zh-CN"/>
        </w:rPr>
      </w:pPr>
      <w:r>
        <w:rPr>
          <w:rFonts w:hint="eastAsia" w:ascii="宋体" w:hAnsi="宋体" w:eastAsia="宋体" w:cs="宋体"/>
          <w:b/>
          <w:bCs/>
          <w:color w:val="auto"/>
          <w:sz w:val="24"/>
          <w:szCs w:val="24"/>
          <w:lang w:val="zh-CN"/>
        </w:rPr>
        <w:t>第十条合同款支付</w:t>
      </w:r>
    </w:p>
    <w:p w14:paraId="0E6E6A1B">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1.本合同项下所有款项均以人民币支付。</w:t>
      </w:r>
    </w:p>
    <w:p w14:paraId="4413AB7A">
      <w:pPr>
        <w:autoSpaceDE w:val="0"/>
        <w:autoSpaceDN w:val="0"/>
        <w:adjustRightInd w:val="0"/>
        <w:spacing w:line="340" w:lineRule="exact"/>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2.本合同项下的采购资金由甲方支付，乙方向甲方开具发票。</w:t>
      </w:r>
    </w:p>
    <w:p w14:paraId="4C82A242">
      <w:pPr>
        <w:autoSpaceDE w:val="0"/>
        <w:autoSpaceDN w:val="0"/>
        <w:adjustRightInd w:val="0"/>
        <w:spacing w:line="3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3.付款方式：</w:t>
      </w:r>
      <w:r>
        <w:rPr>
          <w:rFonts w:hint="eastAsia" w:ascii="宋体" w:hAnsi="宋体" w:eastAsia="宋体" w:cs="宋体"/>
          <w:color w:val="auto"/>
          <w:sz w:val="24"/>
          <w:highlight w:val="none"/>
        </w:rPr>
        <w:t>合同签订后，30个工作日内支付合同总价的30%作为预付款；项目完成供货及安装后，经项目采购人验收合格后一次性付清余款。</w:t>
      </w:r>
    </w:p>
    <w:p w14:paraId="7613D7FC">
      <w:pPr>
        <w:autoSpaceDE w:val="0"/>
        <w:autoSpaceDN w:val="0"/>
        <w:adjustRightInd w:val="0"/>
        <w:spacing w:line="340" w:lineRule="exact"/>
        <w:ind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第十一条违约责任</w:t>
      </w:r>
    </w:p>
    <w:p w14:paraId="5EAEAE76">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1.甲方无正当理由拒收货物的，由甲方向乙方偿付合同总价的5%违约金。</w:t>
      </w:r>
    </w:p>
    <w:p w14:paraId="70086984">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2.甲方未按合同规定的期限向乙方支付货款的，每逾期1天甲方向乙方偿付欠款总额的5‰</w:t>
      </w:r>
      <w:r>
        <w:rPr>
          <w:rFonts w:hint="eastAsia" w:ascii="宋体" w:hAnsi="宋体" w:eastAsia="宋体" w:cs="宋体"/>
          <w:color w:val="auto"/>
          <w:sz w:val="24"/>
          <w:szCs w:val="24"/>
          <w:lang w:val="en-US" w:eastAsia="zh-CN"/>
        </w:rPr>
        <w:t>违约</w:t>
      </w:r>
      <w:r>
        <w:rPr>
          <w:rFonts w:hint="eastAsia" w:ascii="宋体" w:hAnsi="宋体" w:eastAsia="宋体" w:cs="宋体"/>
          <w:color w:val="auto"/>
          <w:sz w:val="24"/>
          <w:szCs w:val="24"/>
          <w:lang w:val="zh-CN"/>
        </w:rPr>
        <w:t>金，但累计</w:t>
      </w:r>
      <w:r>
        <w:rPr>
          <w:rFonts w:hint="eastAsia" w:ascii="宋体" w:hAnsi="宋体" w:eastAsia="宋体" w:cs="宋体"/>
          <w:color w:val="auto"/>
          <w:sz w:val="24"/>
          <w:szCs w:val="24"/>
          <w:lang w:val="en-US" w:eastAsia="zh-CN"/>
        </w:rPr>
        <w:t>违约</w:t>
      </w:r>
      <w:r>
        <w:rPr>
          <w:rFonts w:hint="eastAsia" w:ascii="宋体" w:hAnsi="宋体" w:eastAsia="宋体" w:cs="宋体"/>
          <w:color w:val="auto"/>
          <w:sz w:val="24"/>
          <w:szCs w:val="24"/>
          <w:lang w:val="zh-CN"/>
        </w:rPr>
        <w:t>金总额不超过欠款总额的5%。</w:t>
      </w:r>
    </w:p>
    <w:p w14:paraId="134891CB">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如乙方不能交付货物、完成安装调试的，同时乙方应向甲方支付合同总价5%的违约金，</w:t>
      </w:r>
      <w:r>
        <w:rPr>
          <w:rFonts w:hint="eastAsia" w:ascii="宋体" w:hAnsi="宋体" w:eastAsia="宋体" w:cs="宋体"/>
          <w:color w:val="auto"/>
          <w:sz w:val="24"/>
          <w:szCs w:val="24"/>
          <w:lang w:val="en-US" w:eastAsia="zh-CN"/>
        </w:rPr>
        <w:t>赔偿甲方因此遭受的所有损失</w:t>
      </w:r>
      <w:r>
        <w:rPr>
          <w:rFonts w:hint="eastAsia" w:ascii="宋体" w:hAnsi="宋体" w:eastAsia="宋体" w:cs="宋体"/>
          <w:color w:val="auto"/>
          <w:sz w:val="24"/>
          <w:szCs w:val="24"/>
          <w:lang w:val="zh-CN"/>
        </w:rPr>
        <w:t>。</w:t>
      </w:r>
    </w:p>
    <w:p w14:paraId="0C73F7A2">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4.乙方逾期交付的，每逾期1天，乙方向甲方偿付合同总额的5‰的</w:t>
      </w:r>
      <w:r>
        <w:rPr>
          <w:rFonts w:hint="eastAsia" w:ascii="宋体" w:hAnsi="宋体" w:eastAsia="宋体" w:cs="宋体"/>
          <w:color w:val="auto"/>
          <w:sz w:val="24"/>
          <w:szCs w:val="24"/>
          <w:lang w:val="en-US" w:eastAsia="zh-CN"/>
        </w:rPr>
        <w:t>违约</w:t>
      </w:r>
      <w:r>
        <w:rPr>
          <w:rFonts w:hint="eastAsia" w:ascii="宋体" w:hAnsi="宋体" w:eastAsia="宋体" w:cs="宋体"/>
          <w:color w:val="auto"/>
          <w:sz w:val="24"/>
          <w:szCs w:val="24"/>
          <w:lang w:val="zh-CN"/>
        </w:rPr>
        <w:t>金。如乙方逾期交付达10天，甲方有权解除合同，解除合同的通知自到达乙方时生效；同时乙方应向甲方支付合同总价5%的违约金，</w:t>
      </w:r>
      <w:r>
        <w:rPr>
          <w:rFonts w:hint="eastAsia" w:ascii="宋体" w:hAnsi="宋体" w:eastAsia="宋体" w:cs="宋体"/>
          <w:color w:val="auto"/>
          <w:sz w:val="24"/>
          <w:szCs w:val="24"/>
          <w:lang w:val="en-US" w:eastAsia="zh-CN"/>
        </w:rPr>
        <w:t>赔偿甲方因此遭受的所有损失</w:t>
      </w:r>
      <w:r>
        <w:rPr>
          <w:rFonts w:hint="eastAsia" w:ascii="宋体" w:hAnsi="宋体" w:eastAsia="宋体" w:cs="宋体"/>
          <w:color w:val="auto"/>
          <w:sz w:val="24"/>
          <w:szCs w:val="24"/>
          <w:lang w:val="zh-CN"/>
        </w:rPr>
        <w:t>。</w:t>
      </w:r>
    </w:p>
    <w:p w14:paraId="0D12934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5.乙方所交付的货物品种、型号、规格不符合合同规定的，甲方有权拒收。甲方拒收的，乙方应向甲方支付货款总额5%的违约金，</w:t>
      </w:r>
      <w:r>
        <w:rPr>
          <w:rFonts w:hint="eastAsia" w:ascii="宋体" w:hAnsi="宋体" w:eastAsia="宋体" w:cs="宋体"/>
          <w:color w:val="auto"/>
          <w:sz w:val="24"/>
          <w:szCs w:val="24"/>
          <w:lang w:val="en-US" w:eastAsia="zh-CN"/>
        </w:rPr>
        <w:t>赔偿甲方因此遭受的所有损失</w:t>
      </w:r>
      <w:r>
        <w:rPr>
          <w:rFonts w:hint="eastAsia" w:ascii="宋体" w:hAnsi="宋体" w:eastAsia="宋体" w:cs="宋体"/>
          <w:color w:val="auto"/>
          <w:sz w:val="24"/>
          <w:szCs w:val="24"/>
          <w:lang w:val="zh-CN"/>
        </w:rPr>
        <w:t>。</w:t>
      </w:r>
    </w:p>
    <w:p w14:paraId="3184AB16">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6.在乙方承诺的或国家规定的质量保证期内（取两者中最长的期限），如经乙方两次维修或更换，货物仍不能达到合同约定的质量标准，甲方有权退货，乙方应退回全部货款，并按</w:t>
      </w:r>
      <w:r>
        <w:rPr>
          <w:rFonts w:hint="eastAsia" w:ascii="宋体" w:hAnsi="宋体" w:eastAsia="宋体" w:cs="宋体"/>
          <w:color w:val="auto"/>
          <w:sz w:val="24"/>
          <w:szCs w:val="24"/>
          <w:lang w:val="en-US" w:eastAsia="zh-CN"/>
        </w:rPr>
        <w:t>本条</w:t>
      </w:r>
      <w:r>
        <w:rPr>
          <w:rFonts w:hint="eastAsia" w:ascii="宋体" w:hAnsi="宋体" w:eastAsia="宋体" w:cs="宋体"/>
          <w:color w:val="auto"/>
          <w:sz w:val="24"/>
          <w:szCs w:val="24"/>
          <w:lang w:val="zh-CN"/>
        </w:rPr>
        <w:t>第3款处理，同时，乙方还须赔偿甲方因此遭受的损失。</w:t>
      </w:r>
    </w:p>
    <w:p w14:paraId="24FB8299">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zh-CN"/>
        </w:rPr>
        <w:t>.乙方未按本合同的规定和“服务承诺”提供伴随服务/售后服务的，应按合同总价款的5 %向甲方承担违约责任。</w:t>
      </w:r>
    </w:p>
    <w:p w14:paraId="48A0FD32">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rPr>
        <w:t>.乙方在承担上述一项或多项违约责任后，仍应继续履行合同规定的义务（甲方解除合同的除外）。甲方未能及时追究乙方的任何一项违约责任并不表明甲方放弃追究乙方该项或其他违约责任。</w:t>
      </w:r>
    </w:p>
    <w:p w14:paraId="10D8189A">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rPr>
        <w:t>.乙方投标属虚假承诺，或经权威部门监测提供的货物不能满足招标文件要求，或是由于乙方的过错造成合同无法继续履行的，应向甲方支付不少于合同总价30%赔偿金。</w:t>
      </w:r>
    </w:p>
    <w:p w14:paraId="29C81144">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第十二条合同的变更和终止</w:t>
      </w:r>
    </w:p>
    <w:p w14:paraId="3062E087">
      <w:pPr>
        <w:autoSpaceDE w:val="0"/>
        <w:autoSpaceDN w:val="0"/>
        <w:adjustRightInd w:val="0"/>
        <w:spacing w:line="34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1.除《政府采购法》第50条第二款规定的情形外，本合同一经签订，甲乙</w:t>
      </w:r>
      <w:r>
        <w:rPr>
          <w:rFonts w:hint="eastAsia" w:ascii="宋体" w:hAnsi="宋体" w:eastAsia="宋体" w:cs="宋体"/>
          <w:color w:val="auto"/>
          <w:sz w:val="24"/>
          <w:szCs w:val="24"/>
          <w:lang w:val="en-US" w:eastAsia="zh-CN"/>
        </w:rPr>
        <w:t>双</w:t>
      </w:r>
      <w:r>
        <w:rPr>
          <w:rFonts w:hint="eastAsia" w:ascii="宋体" w:hAnsi="宋体" w:eastAsia="宋体" w:cs="宋体"/>
          <w:color w:val="auto"/>
          <w:sz w:val="24"/>
          <w:szCs w:val="24"/>
          <w:lang w:val="zh-CN"/>
        </w:rPr>
        <w:t>方不得擅自变更、中止或终止合同。</w:t>
      </w:r>
    </w:p>
    <w:p w14:paraId="020DF4F0">
      <w:pPr>
        <w:autoSpaceDE w:val="0"/>
        <w:autoSpaceDN w:val="0"/>
        <w:adjustRightInd w:val="0"/>
        <w:spacing w:line="34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除发生法律规定的不能预见、不能避免并不能克服的客观情况外，甲乙</w:t>
      </w:r>
      <w:r>
        <w:rPr>
          <w:rFonts w:hint="eastAsia" w:ascii="宋体" w:hAnsi="宋体" w:eastAsia="宋体" w:cs="宋体"/>
          <w:color w:val="auto"/>
          <w:sz w:val="24"/>
          <w:szCs w:val="24"/>
          <w:lang w:val="en-US" w:eastAsia="zh-CN"/>
        </w:rPr>
        <w:t>双</w:t>
      </w:r>
      <w:r>
        <w:rPr>
          <w:rFonts w:hint="eastAsia" w:ascii="宋体" w:hAnsi="宋体" w:eastAsia="宋体" w:cs="宋体"/>
          <w:color w:val="auto"/>
          <w:sz w:val="24"/>
          <w:szCs w:val="24"/>
          <w:lang w:val="zh-CN"/>
        </w:rPr>
        <w:t>方</w:t>
      </w:r>
      <w:r>
        <w:rPr>
          <w:rFonts w:hint="eastAsia" w:ascii="宋体" w:hAnsi="宋体" w:eastAsia="宋体" w:cs="宋体"/>
          <w:color w:val="auto"/>
          <w:sz w:val="24"/>
          <w:szCs w:val="24"/>
        </w:rPr>
        <w:t>方不得放弃或拒绝履行合同。乙方放弃或拒绝履行合同，保证金不予退还，在三年内不得参加甲方组织的采购活动。</w:t>
      </w:r>
    </w:p>
    <w:p w14:paraId="5ECFBAD4">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第十三条合同的转让</w:t>
      </w:r>
    </w:p>
    <w:p w14:paraId="1844254E">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乙方不得擅自部分或全部转让其应履行的合同义务。</w:t>
      </w:r>
    </w:p>
    <w:p w14:paraId="76C0948F">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第十四条争议的解决</w:t>
      </w:r>
    </w:p>
    <w:p w14:paraId="0D71CC8C">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1.因货物的质量问题发生争议的，应当邀请国家认可的质量检测机构对货物质量进行鉴定。货物符合标准的，鉴定费由甲方承担；货物不符合质量标准的，鉴定费由乙方承担。</w:t>
      </w:r>
    </w:p>
    <w:p w14:paraId="15A59A0D">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2.因履行本合同引起的或与本合同有关的争议，甲、乙</w:t>
      </w:r>
      <w:r>
        <w:rPr>
          <w:rFonts w:hint="eastAsia" w:ascii="宋体" w:hAnsi="宋体" w:eastAsia="宋体" w:cs="宋体"/>
          <w:color w:val="auto"/>
          <w:sz w:val="24"/>
          <w:szCs w:val="24"/>
          <w:lang w:val="en-US" w:eastAsia="zh-CN"/>
        </w:rPr>
        <w:t>双</w:t>
      </w:r>
      <w:r>
        <w:rPr>
          <w:rFonts w:hint="eastAsia" w:ascii="宋体" w:hAnsi="宋体" w:eastAsia="宋体" w:cs="宋体"/>
          <w:color w:val="auto"/>
          <w:sz w:val="24"/>
          <w:szCs w:val="24"/>
          <w:lang w:val="zh-CN"/>
        </w:rPr>
        <w:t>方应首先通过友好协商解决，如果协商不能解决争议，则采取以下第（1）种方式解决争议：</w:t>
      </w:r>
    </w:p>
    <w:p w14:paraId="27DF0BC0">
      <w:pPr>
        <w:autoSpaceDE w:val="0"/>
        <w:autoSpaceDN w:val="0"/>
        <w:adjustRightInd w:val="0"/>
        <w:spacing w:line="340" w:lineRule="exact"/>
        <w:ind w:firstLine="56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（1）向甲方所在地有管辖权的人民法院提起诉讼；</w:t>
      </w:r>
    </w:p>
    <w:p w14:paraId="49CE0EAF">
      <w:pPr>
        <w:autoSpaceDE w:val="0"/>
        <w:autoSpaceDN w:val="0"/>
        <w:adjustRightInd w:val="0"/>
        <w:spacing w:line="340" w:lineRule="exact"/>
        <w:ind w:firstLine="56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（2）向泰州仲裁委员会按其仲裁规则申请仲裁。</w:t>
      </w:r>
    </w:p>
    <w:p w14:paraId="5B0D30F5">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第十五条诚实信用</w:t>
      </w:r>
    </w:p>
    <w:p w14:paraId="4DF30D96">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乙方应诚实信用，严格按照招标文件要求和投标承诺履行合同，不向甲方进行商业贿赂或者提供不正当利益。</w:t>
      </w:r>
    </w:p>
    <w:p w14:paraId="6C998E42">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第十六条补充条款</w:t>
      </w:r>
    </w:p>
    <w:p w14:paraId="3EE10C37">
      <w:pPr>
        <w:spacing w:line="340" w:lineRule="exact"/>
        <w:ind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安装及系统集成要求：</w:t>
      </w:r>
    </w:p>
    <w:p w14:paraId="05B13046">
      <w:pPr>
        <w:spacing w:line="3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（1）乙方必须服从甲方指挥，积极主动与甲方要求的相关单位合作。如不配合，经甲方书面警告无效后，甲方每次处以1000元的</w:t>
      </w:r>
      <w:r>
        <w:rPr>
          <w:rFonts w:hint="eastAsia" w:ascii="宋体" w:hAnsi="宋体" w:eastAsia="宋体" w:cs="宋体"/>
          <w:color w:val="auto"/>
          <w:sz w:val="24"/>
          <w:szCs w:val="24"/>
          <w:highlight w:val="none"/>
          <w:lang w:val="en-US" w:eastAsia="zh-CN"/>
        </w:rPr>
        <w:t>违约金</w:t>
      </w:r>
      <w:r>
        <w:rPr>
          <w:rFonts w:hint="eastAsia" w:ascii="宋体" w:hAnsi="宋体" w:eastAsia="宋体" w:cs="宋体"/>
          <w:color w:val="auto"/>
          <w:sz w:val="24"/>
          <w:szCs w:val="24"/>
          <w:highlight w:val="none"/>
        </w:rPr>
        <w:t>，在货款中扣除。</w:t>
      </w:r>
    </w:p>
    <w:p w14:paraId="3122D28E">
      <w:pPr>
        <w:spacing w:line="3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（2）乙方所有安装施工材料质量及施工质量必须严格按照国家规范及江苏省相应规范、招标文件、材料厂家的技术规范的有关要求执行。如不执行，经甲方书面警告无效后，甲方每次处以1000元的</w:t>
      </w:r>
      <w:r>
        <w:rPr>
          <w:rFonts w:hint="eastAsia" w:ascii="宋体" w:hAnsi="宋体" w:eastAsia="宋体" w:cs="宋体"/>
          <w:color w:val="auto"/>
          <w:sz w:val="24"/>
          <w:szCs w:val="24"/>
          <w:highlight w:val="none"/>
          <w:lang w:val="en-US" w:eastAsia="zh-CN"/>
        </w:rPr>
        <w:t>违约金</w:t>
      </w:r>
      <w:r>
        <w:rPr>
          <w:rFonts w:hint="eastAsia" w:ascii="宋体" w:hAnsi="宋体" w:eastAsia="宋体" w:cs="宋体"/>
          <w:color w:val="auto"/>
          <w:sz w:val="24"/>
          <w:szCs w:val="24"/>
          <w:highlight w:val="none"/>
        </w:rPr>
        <w:t>，在货款中扣除。</w:t>
      </w:r>
    </w:p>
    <w:p w14:paraId="742EDAB7">
      <w:pPr>
        <w:spacing w:line="3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保证其所投整套软件、硬件设备相互兼容并应确保其技术建议以及所提供的软、硬件设备的完整性、实用性，保证系统集成后，按招标要求及时投入正常运行；乙方应对安装调试、质量安全全面负责，如因设备不兼容或其他乙方原因造成质量、安全事故，乙方须承担一切经济及法律责任。</w:t>
      </w:r>
    </w:p>
    <w:p w14:paraId="4AE1A696">
      <w:pPr>
        <w:spacing w:line="3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（4）乙方必须按照投标文件约定，在每个设备的醒目位置处，贴有售后服务热线电话，并对所供设备进行</w:t>
      </w:r>
      <w:r>
        <w:rPr>
          <w:rFonts w:hint="eastAsia" w:ascii="宋体" w:hAnsi="宋体" w:cs="宋体"/>
          <w:color w:val="auto"/>
          <w:sz w:val="24"/>
          <w:szCs w:val="24"/>
          <w:highlight w:val="none"/>
          <w:lang w:val="en-US" w:eastAsia="zh-CN"/>
        </w:rPr>
        <w:t>免费</w:t>
      </w:r>
      <w:r>
        <w:rPr>
          <w:rFonts w:hint="eastAsia" w:ascii="宋体" w:hAnsi="宋体" w:eastAsia="宋体" w:cs="宋体"/>
          <w:color w:val="auto"/>
          <w:sz w:val="24"/>
          <w:szCs w:val="24"/>
          <w:highlight w:val="none"/>
        </w:rPr>
        <w:t>维保巡检。如不按投标文件执行或执行不到位，经甲方书面警告无效后，甲方处以1000元每次的</w:t>
      </w:r>
      <w:r>
        <w:rPr>
          <w:rFonts w:hint="eastAsia" w:ascii="宋体" w:hAnsi="宋体" w:eastAsia="宋体" w:cs="宋体"/>
          <w:color w:val="auto"/>
          <w:sz w:val="24"/>
          <w:szCs w:val="24"/>
          <w:highlight w:val="none"/>
          <w:lang w:val="en-US" w:eastAsia="zh-CN"/>
        </w:rPr>
        <w:t>违约金</w:t>
      </w:r>
      <w:r>
        <w:rPr>
          <w:rFonts w:hint="eastAsia" w:ascii="宋体" w:hAnsi="宋体" w:eastAsia="宋体" w:cs="宋体"/>
          <w:color w:val="auto"/>
          <w:sz w:val="24"/>
          <w:szCs w:val="24"/>
          <w:highlight w:val="none"/>
        </w:rPr>
        <w:t>，在货款中扣除。</w:t>
      </w:r>
    </w:p>
    <w:p w14:paraId="455348E0">
      <w:pPr>
        <w:spacing w:line="340" w:lineRule="exact"/>
        <w:ind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售后服务要求：</w:t>
      </w:r>
    </w:p>
    <w:p w14:paraId="0BA23B52">
      <w:pPr>
        <w:spacing w:line="340" w:lineRule="exact"/>
        <w:ind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乙方</w:t>
      </w:r>
      <w:r>
        <w:rPr>
          <w:rFonts w:hint="eastAsia" w:ascii="宋体" w:hAnsi="宋体" w:cs="宋体"/>
          <w:color w:val="auto"/>
          <w:sz w:val="24"/>
          <w:szCs w:val="24"/>
          <w:highlight w:val="none"/>
          <w:lang w:val="en-US" w:eastAsia="zh-CN"/>
        </w:rPr>
        <w:t>要</w:t>
      </w:r>
      <w:r>
        <w:rPr>
          <w:rFonts w:hint="eastAsia" w:ascii="宋体" w:hAnsi="宋体" w:eastAsia="宋体" w:cs="宋体"/>
          <w:color w:val="auto"/>
          <w:sz w:val="24"/>
          <w:szCs w:val="24"/>
          <w:highlight w:val="none"/>
        </w:rPr>
        <w:t>做到“接到报修后，24小时内响应，保证7天内修复完成；7天内无法修复的，必须提供备用设备</w:t>
      </w:r>
      <w:r>
        <w:rPr>
          <w:rFonts w:hint="eastAsia" w:ascii="宋体" w:hAnsi="宋体" w:cs="宋体"/>
          <w:color w:val="auto"/>
          <w:sz w:val="24"/>
          <w:szCs w:val="24"/>
          <w:highlight w:val="none"/>
          <w:lang w:eastAsia="zh-CN"/>
        </w:rPr>
        <w:t>。</w:t>
      </w:r>
    </w:p>
    <w:p w14:paraId="62E81B20">
      <w:pPr>
        <w:spacing w:line="3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（2）因产品质量或使用中正常损坏，甲方按照正常流程报修，乙方未能及时响应、未能及时排除故障，甲方出具书面投诉材料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予以</w:t>
      </w:r>
      <w:r>
        <w:rPr>
          <w:rFonts w:hint="eastAsia" w:ascii="宋体" w:hAnsi="宋体" w:eastAsia="宋体" w:cs="宋体"/>
          <w:color w:val="auto"/>
          <w:sz w:val="24"/>
          <w:szCs w:val="24"/>
          <w:highlight w:val="none"/>
        </w:rPr>
        <w:t>警告。</w:t>
      </w:r>
    </w:p>
    <w:p w14:paraId="55896587">
      <w:pPr>
        <w:spacing w:line="340" w:lineRule="exact"/>
        <w:ind w:firstLine="561"/>
        <w:rPr>
          <w:rFonts w:hint="eastAsia" w:ascii="宋体" w:hAnsi="宋体" w:eastAsia="宋体" w:cs="宋体"/>
          <w:color w:val="auto"/>
          <w:sz w:val="24"/>
          <w:szCs w:val="24"/>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rPr>
        <w:t>产品质量要求：</w:t>
      </w:r>
    </w:p>
    <w:p w14:paraId="01CFBF7C">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宋体" w:hAnsi="宋体" w:eastAsia="宋体" w:cs="宋体"/>
          <w:color w:val="auto"/>
          <w:sz w:val="24"/>
          <w:szCs w:val="24"/>
          <w:lang w:val="zh-CN"/>
        </w:rPr>
        <w:t>。</w:t>
      </w:r>
    </w:p>
    <w:p w14:paraId="6E40751D">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p>
    <w:p w14:paraId="4EA42255">
      <w:pPr>
        <w:spacing w:line="340" w:lineRule="exact"/>
        <w:ind w:firstLine="561"/>
        <w:rPr>
          <w:rFonts w:hint="eastAsia" w:ascii="宋体" w:hAnsi="宋体" w:eastAsia="宋体" w:cs="宋体"/>
          <w:color w:val="auto"/>
          <w:sz w:val="24"/>
          <w:szCs w:val="24"/>
        </w:rPr>
      </w:pPr>
      <w:r>
        <w:rPr>
          <w:rFonts w:hint="eastAsia" w:ascii="宋体" w:hAnsi="宋体" w:eastAsia="宋体" w:cs="宋体"/>
          <w:color w:val="auto"/>
          <w:sz w:val="24"/>
          <w:szCs w:val="24"/>
          <w:lang w:val="zh-CN"/>
        </w:rPr>
        <w:t>4.</w:t>
      </w:r>
      <w:r>
        <w:rPr>
          <w:rFonts w:hint="eastAsia" w:ascii="宋体" w:hAnsi="宋体" w:eastAsia="宋体" w:cs="宋体"/>
          <w:color w:val="auto"/>
          <w:sz w:val="24"/>
          <w:szCs w:val="24"/>
        </w:rPr>
        <w:t>其他：</w:t>
      </w:r>
    </w:p>
    <w:p w14:paraId="5F321761">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1）乙方保证所提供设备涉及到的知识产权和所提供的软件、技术资料是合法取得，并享有完整的知识产权，不会因为甲方的使用而被责令停止使用、追偿或要求赔偿损失，如出现此情况，一切经济和法律责任均由乙方承担。</w:t>
      </w:r>
    </w:p>
    <w:p w14:paraId="47C52913">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2）所有设备和附配件名称均应符合其规定的性能、无瑕疵和缺陷，必须有质量检验合格证、装箱单、产品安装使用说明书等相关资料，在交货时必须原包装现场拆封验收，否则甲方有权拒收，由此引发的一切责任由乙方自负。乙方对质量问题负责包退、包换、包修，由此发生的费用由乙方负责。</w:t>
      </w:r>
    </w:p>
    <w:p w14:paraId="0E1D8F20">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（3）甲方在安装调试运行后的1个月内有对有关配置要求、所供产品的技术性能及技术参数等方面的问题提出异议的权利。</w:t>
      </w:r>
    </w:p>
    <w:p w14:paraId="60A47A4B">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其它验收标准：设备的技术指标必须达到标书的技术要求，当乙方承诺的技术条件优于标书要求时，验收按乙方承诺的技术指标为依据。验收时需提供全部的技术资料（产品中文说明书、中文操作手册和维修手册、测试报告、各项测试数据、产品合格证书）；提供特殊件及配套件的清单、技术参数及生产单位名录；乙方在投标文件中须提供设备质保期满后正常运行中所需的详细的易损备品备件清单；进口原装产品的报关单。</w:t>
      </w:r>
    </w:p>
    <w:p w14:paraId="5EFF7BDE">
      <w:pPr>
        <w:pStyle w:val="25"/>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（5）承包人应严格按照安全生产的相关规定，规范做好各种施工安全警示标志及安全措施，确保施工安全、一旦发生任何安全事故，承包人负责处理并承担一切责任及经济损失。</w:t>
      </w:r>
    </w:p>
    <w:p w14:paraId="5CF6D3BC">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（6）投标总价、单价一次性报定，包括所有设备、辅助材料、人工、机械、运输、仓储、安装、保险、劳保、配合费、检测费、验收费、各种税费、专利技术、培训及质保期间等一切费用。</w:t>
      </w:r>
    </w:p>
    <w:p w14:paraId="38B0AD5E">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（7）各类设备数量按照现场量算，按实结算。</w:t>
      </w:r>
    </w:p>
    <w:p w14:paraId="47E8BE1A">
      <w:pPr>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（8）项目实施时不因产品升级等因素做任何价格调整。</w:t>
      </w:r>
    </w:p>
    <w:p w14:paraId="7AAF0171">
      <w:pPr>
        <w:autoSpaceDE w:val="0"/>
        <w:autoSpaceDN w:val="0"/>
        <w:adjustRightInd w:val="0"/>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（9）乙方须提供生产厂家针对本项目的授权和质保原件，若不按要求提供，甲方有权取消其中标资格，上报其不良行为，一切后果由乙方承担。</w:t>
      </w:r>
    </w:p>
    <w:p w14:paraId="3AA93C5B">
      <w:pPr>
        <w:autoSpaceDE w:val="0"/>
        <w:autoSpaceDN w:val="0"/>
        <w:adjustRightInd w:val="0"/>
        <w:spacing w:line="34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（10）乙方应根据甲方的要求，跟随土建和装饰单位的施工进度。如因乙方原因影响土建和装饰单位的施工进度，由乙方承担全部责任。</w:t>
      </w:r>
    </w:p>
    <w:p w14:paraId="3C6F4801">
      <w:pPr>
        <w:autoSpaceDE w:val="0"/>
        <w:autoSpaceDN w:val="0"/>
        <w:adjustRightInd w:val="0"/>
        <w:spacing w:line="340" w:lineRule="exact"/>
        <w:ind w:firstLine="42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第十七条合同生效及其他</w:t>
      </w:r>
    </w:p>
    <w:p w14:paraId="61E756C8">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1.本合同自签订之日起生效。</w:t>
      </w:r>
    </w:p>
    <w:p w14:paraId="7A4C641D">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2.本合同一式伍份，甲乙</w:t>
      </w:r>
      <w:r>
        <w:rPr>
          <w:rFonts w:hint="eastAsia" w:ascii="宋体" w:hAnsi="宋体" w:eastAsia="宋体" w:cs="宋体"/>
          <w:color w:val="auto"/>
          <w:sz w:val="24"/>
          <w:szCs w:val="24"/>
          <w:lang w:val="en-US" w:eastAsia="zh-CN"/>
        </w:rPr>
        <w:t>双</w:t>
      </w:r>
      <w:r>
        <w:rPr>
          <w:rFonts w:hint="eastAsia" w:ascii="宋体" w:hAnsi="宋体" w:eastAsia="宋体" w:cs="宋体"/>
          <w:color w:val="auto"/>
          <w:sz w:val="24"/>
          <w:szCs w:val="24"/>
          <w:lang w:val="zh-CN"/>
        </w:rPr>
        <w:t>方各执</w:t>
      </w:r>
      <w:r>
        <w:rPr>
          <w:rFonts w:hint="eastAsia" w:ascii="宋体" w:hAnsi="宋体" w:eastAsia="宋体" w:cs="宋体"/>
          <w:color w:val="auto"/>
          <w:sz w:val="24"/>
          <w:szCs w:val="24"/>
          <w:lang w:val="en-US" w:eastAsia="zh-CN"/>
        </w:rPr>
        <w:t>贰</w:t>
      </w:r>
      <w:r>
        <w:rPr>
          <w:rFonts w:hint="eastAsia" w:ascii="宋体" w:hAnsi="宋体" w:eastAsia="宋体" w:cs="宋体"/>
          <w:color w:val="auto"/>
          <w:sz w:val="24"/>
          <w:szCs w:val="24"/>
          <w:lang w:val="zh-CN"/>
        </w:rPr>
        <w:t>份，一份交代理公司存档。</w:t>
      </w:r>
    </w:p>
    <w:p w14:paraId="0981B20F">
      <w:pPr>
        <w:autoSpaceDE w:val="0"/>
        <w:autoSpaceDN w:val="0"/>
        <w:adjustRightInd w:val="0"/>
        <w:spacing w:line="340" w:lineRule="exact"/>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3.本合同应按照中华人民共和国的现行法律进行解释。</w:t>
      </w:r>
    </w:p>
    <w:p w14:paraId="33E447E5">
      <w:pPr>
        <w:jc w:val="left"/>
        <w:rPr>
          <w:rFonts w:hint="eastAsia" w:ascii="宋体" w:hAnsi="宋体" w:eastAsia="宋体" w:cs="宋体"/>
          <w:color w:val="auto"/>
          <w:sz w:val="24"/>
          <w:szCs w:val="24"/>
        </w:rPr>
      </w:pPr>
    </w:p>
    <w:tbl>
      <w:tblPr>
        <w:tblStyle w:val="27"/>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4643"/>
        <w:gridCol w:w="4643"/>
      </w:tblGrid>
      <w:tr w14:paraId="7DFA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4C7C9C93">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甲方（采购人）：（盖章）</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6E01DEF4">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乙方（供应商）：（盖章）</w:t>
            </w:r>
          </w:p>
        </w:tc>
      </w:tr>
      <w:tr w14:paraId="45A1FD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6589D219">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代表人：</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5706F4DB">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代表人：</w:t>
            </w:r>
          </w:p>
        </w:tc>
      </w:tr>
      <w:tr w14:paraId="7F1A87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5FEE75FD">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电话：</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42E0CD62">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电话：</w:t>
            </w:r>
          </w:p>
        </w:tc>
      </w:tr>
      <w:tr w14:paraId="11A8B7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4C87A099">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开户银行：</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5107E92B">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开户银行：</w:t>
            </w:r>
          </w:p>
        </w:tc>
      </w:tr>
      <w:tr w14:paraId="348644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55"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0AA34F48">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帐号：</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37505C9E">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帐号：</w:t>
            </w:r>
          </w:p>
        </w:tc>
      </w:tr>
      <w:tr w14:paraId="150983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3709B10C">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年    月    日</w:t>
            </w:r>
          </w:p>
        </w:tc>
        <w:tc>
          <w:tcPr>
            <w:tcW w:w="4643" w:type="dxa"/>
            <w:tcBorders>
              <w:top w:val="nil"/>
              <w:left w:val="nil"/>
              <w:bottom w:val="nil"/>
              <w:right w:val="nil"/>
            </w:tcBorders>
            <w:shd w:val="clear" w:color="auto" w:fill="auto"/>
            <w:noWrap w:val="0"/>
            <w:tcMar>
              <w:top w:w="80" w:type="dxa"/>
              <w:left w:w="80" w:type="dxa"/>
              <w:bottom w:w="80" w:type="dxa"/>
              <w:right w:w="80" w:type="dxa"/>
            </w:tcMar>
            <w:vAlign w:val="top"/>
          </w:tcPr>
          <w:p w14:paraId="0CA57ECF">
            <w:pPr>
              <w:pStyle w:val="71"/>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zh-TW" w:eastAsia="zh-TW"/>
              </w:rPr>
              <w:t>年    月    日</w:t>
            </w:r>
          </w:p>
        </w:tc>
      </w:tr>
    </w:tbl>
    <w:p w14:paraId="78F0EE59">
      <w:pPr>
        <w:widowControl/>
        <w:shd w:val="clear" w:color="auto" w:fill="FFFFFF"/>
        <w:spacing w:line="360" w:lineRule="auto"/>
        <w:rPr>
          <w:rFonts w:hint="eastAsia" w:ascii="宋体" w:hAnsi="宋体" w:eastAsia="宋体" w:cs="宋体"/>
          <w:b/>
          <w:bCs/>
          <w:color w:val="auto"/>
          <w:highlight w:val="none"/>
        </w:rPr>
      </w:pPr>
    </w:p>
    <w:p w14:paraId="759BE2AE">
      <w:pPr>
        <w:pBdr>
          <w:top w:val="none" w:color="000000" w:sz="0" w:space="0"/>
          <w:left w:val="none" w:color="000000" w:sz="0" w:space="0"/>
          <w:bottom w:val="none" w:color="000000" w:sz="0" w:space="0"/>
          <w:right w:val="none" w:color="000000" w:sz="0" w:space="0"/>
        </w:pBdr>
        <w:spacing w:before="240" w:after="240" w:line="85" w:lineRule="atLeast"/>
        <w:ind w:firstLine="422"/>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bookmarkEnd w:id="274"/>
    <w:bookmarkEnd w:id="275"/>
    <w:bookmarkEnd w:id="276"/>
    <w:bookmarkEnd w:id="277"/>
    <w:bookmarkEnd w:id="278"/>
    <w:bookmarkEnd w:id="279"/>
    <w:bookmarkEnd w:id="280"/>
    <w:bookmarkEnd w:id="281"/>
    <w:bookmarkEnd w:id="282"/>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6174D5CC">
      <w:pPr>
        <w:numPr>
          <w:ilvl w:val="0"/>
          <w:numId w:val="5"/>
        </w:numPr>
        <w:jc w:val="center"/>
        <w:outlineLvl w:val="0"/>
        <w:rPr>
          <w:rFonts w:hint="eastAsia" w:ascii="宋体" w:hAnsi="宋体" w:eastAsia="宋体" w:cs="宋体"/>
          <w:color w:val="auto"/>
          <w:sz w:val="32"/>
          <w:szCs w:val="32"/>
          <w:highlight w:val="none"/>
        </w:rPr>
      </w:pPr>
      <w:bookmarkStart w:id="307" w:name="_Toc25333"/>
      <w:r>
        <w:rPr>
          <w:rFonts w:hint="eastAsia" w:ascii="宋体" w:hAnsi="宋体" w:eastAsia="宋体" w:cs="宋体"/>
          <w:color w:val="auto"/>
          <w:sz w:val="32"/>
          <w:szCs w:val="32"/>
          <w:highlight w:val="none"/>
        </w:rPr>
        <w:t>采购需求</w:t>
      </w:r>
      <w:bookmarkEnd w:id="307"/>
    </w:p>
    <w:p w14:paraId="620C8FF7">
      <w:pPr>
        <w:keepNext w:val="0"/>
        <w:keepLines w:val="0"/>
        <w:widowControl/>
        <w:suppressLineNumbers w:val="0"/>
        <w:jc w:val="left"/>
        <w:rPr>
          <w:rFonts w:hint="eastAsia" w:ascii="宋体" w:hAnsi="宋体" w:cs="宋体"/>
        </w:rPr>
      </w:pPr>
      <w:bookmarkStart w:id="308" w:name="OLE_LINK23"/>
      <w:bookmarkStart w:id="309" w:name="OLE_LINK20"/>
      <w:bookmarkStart w:id="310" w:name="_Toc19231"/>
      <w:r>
        <w:rPr>
          <w:rFonts w:hint="eastAsia" w:ascii="宋体" w:hAnsi="宋体" w:cs="宋体"/>
          <w:color w:val="000000"/>
          <w:kern w:val="0"/>
          <w:sz w:val="28"/>
          <w:szCs w:val="28"/>
          <w:lang w:val="en-US" w:eastAsia="zh-CN" w:bidi="ar"/>
        </w:rPr>
        <w:t>一</w:t>
      </w:r>
      <w:r>
        <w:rPr>
          <w:rFonts w:hint="eastAsia" w:ascii="宋体" w:hAnsi="宋体" w:eastAsia="宋体" w:cs="宋体"/>
          <w:color w:val="000000"/>
          <w:kern w:val="0"/>
          <w:sz w:val="28"/>
          <w:szCs w:val="28"/>
          <w:lang w:val="en-US" w:eastAsia="zh-CN" w:bidi="ar"/>
        </w:rPr>
        <w:t xml:space="preserve">.项目说明 </w:t>
      </w:r>
    </w:p>
    <w:bookmarkEnd w:id="308"/>
    <w:p w14:paraId="7C37571C">
      <w:pPr>
        <w:keepNext w:val="0"/>
        <w:keepLines w:val="0"/>
        <w:widowControl/>
        <w:suppressLineNumbers w:val="0"/>
        <w:jc w:val="left"/>
        <w:rPr>
          <w:rFonts w:hint="eastAsia" w:ascii="宋体" w:hAnsi="宋体" w:cs="宋体"/>
          <w:highlight w:val="none"/>
        </w:rPr>
      </w:pPr>
      <w:r>
        <w:rPr>
          <w:rFonts w:hint="eastAsia" w:ascii="宋体" w:hAnsi="宋体" w:eastAsia="宋体" w:cs="宋体"/>
          <w:color w:val="000000"/>
          <w:kern w:val="0"/>
          <w:sz w:val="24"/>
          <w:szCs w:val="24"/>
          <w:highlight w:val="none"/>
          <w:lang w:val="en-US" w:eastAsia="zh-CN" w:bidi="ar"/>
        </w:rPr>
        <w:t xml:space="preserve">1.1 本章内容是根据采购项目的实际需求制定的。 </w:t>
      </w:r>
    </w:p>
    <w:bookmarkEnd w:id="309"/>
    <w:p w14:paraId="2D73F943">
      <w:pPr>
        <w:jc w:val="left"/>
        <w:outlineLvl w:val="0"/>
        <w:rPr>
          <w:rFonts w:hint="eastAsia" w:ascii="宋体" w:hAnsi="宋体" w:cs="宋体"/>
          <w:b/>
          <w:bCs/>
          <w:sz w:val="22"/>
          <w:highlight w:val="none"/>
        </w:rPr>
      </w:pPr>
      <w:r>
        <w:rPr>
          <w:rFonts w:hint="eastAsia" w:ascii="宋体" w:hAnsi="宋体" w:eastAsia="宋体" w:cs="宋体"/>
          <w:color w:val="000000"/>
          <w:kern w:val="0"/>
          <w:sz w:val="24"/>
          <w:szCs w:val="24"/>
          <w:highlight w:val="none"/>
          <w:lang w:val="en-US" w:eastAsia="zh-CN" w:bidi="ar"/>
        </w:rPr>
        <w:t xml:space="preserve">1.2 </w:t>
      </w:r>
      <w:r>
        <w:rPr>
          <w:rFonts w:hint="eastAsia" w:ascii="宋体" w:hAnsi="宋体" w:cs="宋体"/>
          <w:b/>
          <w:bCs/>
          <w:sz w:val="22"/>
          <w:highlight w:val="none"/>
        </w:rPr>
        <w:t>所有</w:t>
      </w:r>
      <w:r>
        <w:rPr>
          <w:rFonts w:hint="eastAsia" w:ascii="宋体" w:hAnsi="宋体" w:cs="宋体"/>
          <w:b/>
          <w:bCs/>
          <w:sz w:val="22"/>
          <w:highlight w:val="none"/>
          <w:lang w:val="en-US" w:eastAsia="zh-CN"/>
        </w:rPr>
        <w:t>加“★”且需提供证明材料（</w:t>
      </w:r>
      <w:r>
        <w:rPr>
          <w:rFonts w:hint="eastAsia" w:ascii="宋体" w:hAnsi="宋体" w:cs="宋体"/>
          <w:b/>
          <w:bCs/>
          <w:sz w:val="22"/>
          <w:highlight w:val="none"/>
        </w:rPr>
        <w:t>具有国家认证</w:t>
      </w:r>
      <w:r>
        <w:rPr>
          <w:rFonts w:hint="eastAsia" w:ascii="宋体" w:hAnsi="宋体" w:cs="宋体"/>
          <w:b/>
          <w:bCs/>
          <w:sz w:val="22"/>
          <w:highlight w:val="none"/>
          <w:lang w:val="en-US" w:eastAsia="zh-CN"/>
        </w:rPr>
        <w:t>委员会认可</w:t>
      </w:r>
      <w:r>
        <w:rPr>
          <w:rFonts w:hint="eastAsia" w:ascii="宋体" w:hAnsi="宋体" w:cs="宋体"/>
          <w:b/>
          <w:bCs/>
          <w:sz w:val="22"/>
          <w:highlight w:val="none"/>
        </w:rPr>
        <w:t>的第三方权威质量检测认证机构出具的检验报告</w:t>
      </w:r>
      <w:r>
        <w:rPr>
          <w:rFonts w:hint="eastAsia" w:ascii="宋体" w:hAnsi="宋体" w:cs="宋体"/>
          <w:b/>
          <w:bCs/>
          <w:sz w:val="22"/>
          <w:highlight w:val="none"/>
          <w:lang w:val="en-US" w:eastAsia="zh-CN"/>
        </w:rPr>
        <w:t>或投标单位产品说明书）的</w:t>
      </w:r>
      <w:r>
        <w:rPr>
          <w:rFonts w:hint="eastAsia" w:ascii="宋体" w:hAnsi="宋体" w:cs="宋体"/>
          <w:b/>
          <w:bCs/>
          <w:sz w:val="22"/>
          <w:highlight w:val="none"/>
        </w:rPr>
        <w:t>投标产品</w:t>
      </w:r>
      <w:r>
        <w:rPr>
          <w:rFonts w:hint="eastAsia" w:ascii="宋体" w:hAnsi="宋体" w:cs="宋体"/>
          <w:b/>
          <w:bCs/>
          <w:sz w:val="22"/>
          <w:highlight w:val="none"/>
          <w:lang w:val="en-US" w:eastAsia="zh-CN"/>
        </w:rPr>
        <w:t>，一律按要求提供，缺一不可；加“★”但未注明需提供证明材料的，仅需在偏离表内做出响应，</w:t>
      </w:r>
      <w:r>
        <w:rPr>
          <w:rFonts w:hint="eastAsia" w:ascii="宋体" w:hAnsi="宋体" w:cs="宋体"/>
          <w:b/>
          <w:bCs/>
          <w:sz w:val="22"/>
          <w:highlight w:val="none"/>
        </w:rPr>
        <w:t>否则视为未实质性响应招标文件要求</w:t>
      </w:r>
      <w:r>
        <w:rPr>
          <w:rFonts w:hint="eastAsia" w:ascii="宋体" w:hAnsi="宋体" w:cs="宋体"/>
          <w:b/>
          <w:bCs/>
          <w:sz w:val="22"/>
          <w:highlight w:val="none"/>
          <w:lang w:eastAsia="zh-CN"/>
        </w:rPr>
        <w:t>，做负偏离处理</w:t>
      </w:r>
      <w:r>
        <w:rPr>
          <w:rFonts w:hint="eastAsia" w:ascii="宋体" w:hAnsi="宋体" w:cs="宋体"/>
          <w:b/>
          <w:bCs/>
          <w:sz w:val="22"/>
          <w:highlight w:val="none"/>
        </w:rPr>
        <w:t>。</w:t>
      </w:r>
    </w:p>
    <w:p w14:paraId="63D82FBF">
      <w:pPr>
        <w:pStyle w:val="2"/>
        <w:rPr>
          <w:rFonts w:hint="eastAsia" w:ascii="宋体" w:hAnsi="宋体" w:eastAsia="宋体" w:cs="宋体"/>
          <w:b/>
          <w:bCs/>
          <w:sz w:val="22"/>
          <w:szCs w:val="24"/>
          <w:highlight w:val="none"/>
          <w:lang w:val="en-US" w:eastAsia="zh-CN" w:bidi="ar-SA"/>
        </w:rPr>
      </w:pPr>
      <w:r>
        <w:rPr>
          <w:rFonts w:hint="eastAsia" w:ascii="宋体" w:hAnsi="宋体" w:eastAsia="宋体" w:cs="宋体"/>
          <w:b/>
          <w:bCs/>
          <w:sz w:val="22"/>
          <w:szCs w:val="24"/>
          <w:highlight w:val="none"/>
          <w:lang w:val="en-US" w:eastAsia="zh-CN" w:bidi="ar-SA"/>
        </w:rPr>
        <w:t>1.3采购清单内名称一致</w:t>
      </w:r>
      <w:r>
        <w:rPr>
          <w:rFonts w:hint="eastAsia" w:hAnsi="宋体" w:cs="宋体"/>
          <w:b/>
          <w:bCs/>
          <w:sz w:val="22"/>
          <w:szCs w:val="24"/>
          <w:highlight w:val="none"/>
          <w:lang w:val="en-US" w:eastAsia="zh-CN" w:bidi="ar-SA"/>
        </w:rPr>
        <w:t>（即不同实验室购买相同产品，文件内阴影部分为重复采购产品）</w:t>
      </w:r>
      <w:r>
        <w:rPr>
          <w:rFonts w:hint="eastAsia" w:ascii="宋体" w:hAnsi="宋体" w:eastAsia="宋体" w:cs="宋体"/>
          <w:b/>
          <w:bCs/>
          <w:sz w:val="22"/>
          <w:szCs w:val="24"/>
          <w:highlight w:val="none"/>
          <w:lang w:val="en-US" w:eastAsia="zh-CN" w:bidi="ar-SA"/>
        </w:rPr>
        <w:t>的，加“★”的投标产品，仅需提供一次</w:t>
      </w:r>
      <w:r>
        <w:rPr>
          <w:rFonts w:hint="eastAsia" w:hAnsi="宋体" w:cs="宋体"/>
          <w:b/>
          <w:bCs/>
          <w:sz w:val="22"/>
          <w:szCs w:val="24"/>
          <w:highlight w:val="none"/>
          <w:lang w:val="en-US" w:eastAsia="zh-CN" w:bidi="ar-SA"/>
        </w:rPr>
        <w:t>证明材料</w:t>
      </w:r>
      <w:r>
        <w:rPr>
          <w:rFonts w:hint="eastAsia" w:ascii="宋体" w:hAnsi="宋体" w:eastAsia="宋体" w:cs="宋体"/>
          <w:b/>
          <w:bCs/>
          <w:sz w:val="22"/>
          <w:szCs w:val="24"/>
          <w:highlight w:val="none"/>
          <w:lang w:val="en-US" w:eastAsia="zh-CN" w:bidi="ar-SA"/>
        </w:rPr>
        <w:t>，</w:t>
      </w:r>
      <w:r>
        <w:rPr>
          <w:rFonts w:hint="eastAsia" w:hAnsi="宋体" w:cs="宋体"/>
          <w:b/>
          <w:bCs/>
          <w:sz w:val="22"/>
          <w:szCs w:val="24"/>
          <w:highlight w:val="none"/>
          <w:lang w:val="en-US" w:eastAsia="zh-CN" w:bidi="ar-SA"/>
        </w:rPr>
        <w:t>若出现负偏离，仅扣分一次，不重复扣分</w:t>
      </w:r>
      <w:r>
        <w:rPr>
          <w:rFonts w:hint="eastAsia" w:ascii="宋体" w:hAnsi="宋体" w:eastAsia="宋体" w:cs="宋体"/>
          <w:b/>
          <w:bCs/>
          <w:sz w:val="22"/>
          <w:szCs w:val="24"/>
          <w:highlight w:val="none"/>
          <w:lang w:val="en-US" w:eastAsia="zh-CN" w:bidi="ar-SA"/>
        </w:rPr>
        <w:t>。（所有检测报告为近 3 年内国家认可第三方检测机构出具、依据现行国标 / 行标，同型号产品，报告全项目通用，不重复核验、不重复扣分）</w:t>
      </w:r>
    </w:p>
    <w:p w14:paraId="791B4198">
      <w:pPr>
        <w:pStyle w:val="2"/>
        <w:rPr>
          <w:rFonts w:hint="eastAsia" w:ascii="宋体" w:hAnsi="宋体" w:cs="宋体"/>
          <w:highlight w:val="none"/>
        </w:rPr>
      </w:pPr>
      <w:r>
        <w:rPr>
          <w:rFonts w:hint="eastAsia" w:ascii="宋体" w:hAnsi="宋体" w:eastAsia="宋体" w:cs="宋体"/>
          <w:color w:val="000000"/>
          <w:kern w:val="0"/>
          <w:sz w:val="24"/>
          <w:szCs w:val="24"/>
          <w:highlight w:val="none"/>
          <w:lang w:val="en-US" w:eastAsia="zh-CN" w:bidi="ar"/>
        </w:rPr>
        <w:t>1.</w:t>
      </w:r>
      <w:r>
        <w:rPr>
          <w:rFonts w:hint="eastAsia" w:hAnsi="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 xml:space="preserve"> 投标人应保证货物是全新、未使用过的合格产品。并完全符合合同规定的质量、 </w:t>
      </w:r>
    </w:p>
    <w:p w14:paraId="49A0C15C">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规格和性能的要求。中标人应保证所提供的货物经正确安装、正常运转和保养后，在其使用寿命期内应具有满意的性能。在货物质量保证期内卖方应对由于设计、工艺或者材料的缺陷而发生的任何不足或者故障负责。</w:t>
      </w:r>
    </w:p>
    <w:p w14:paraId="0A2BC659">
      <w:pPr>
        <w:pStyle w:val="2"/>
        <w:rPr>
          <w:rFonts w:hint="default"/>
          <w:highlight w:val="none"/>
          <w:lang w:val="en-US" w:eastAsia="zh-CN"/>
        </w:rPr>
      </w:pPr>
      <w:r>
        <w:rPr>
          <w:rFonts w:hint="eastAsia" w:hAnsi="宋体" w:cs="宋体"/>
          <w:color w:val="000000"/>
          <w:kern w:val="0"/>
          <w:sz w:val="24"/>
          <w:szCs w:val="24"/>
          <w:highlight w:val="none"/>
          <w:lang w:val="en-US" w:eastAsia="zh-CN" w:bidi="ar"/>
        </w:rPr>
        <w:t>1.5</w:t>
      </w:r>
      <w:r>
        <w:rPr>
          <w:rFonts w:ascii="宋体" w:hAnsi="宋体" w:eastAsia="宋体" w:cs="宋体"/>
          <w:color w:val="000000"/>
          <w:kern w:val="0"/>
          <w:sz w:val="24"/>
          <w:szCs w:val="24"/>
          <w:highlight w:val="none"/>
          <w:lang w:val="en-US" w:eastAsia="zh-CN" w:bidi="ar"/>
        </w:rPr>
        <w:t>本项目</w:t>
      </w:r>
      <w:r>
        <w:rPr>
          <w:rFonts w:hint="eastAsia" w:hAnsi="宋体" w:cs="宋体"/>
          <w:color w:val="000000"/>
          <w:kern w:val="0"/>
          <w:sz w:val="24"/>
          <w:szCs w:val="24"/>
          <w:highlight w:val="none"/>
          <w:lang w:val="en-US" w:eastAsia="zh-CN" w:bidi="ar"/>
        </w:rPr>
        <w:t>所采产品尺寸为参考尺寸，允许在不影响产品质量和使用的情况下做适当调整及有合理误差，但供应商需说明调整理供评委评定并认可。</w:t>
      </w:r>
    </w:p>
    <w:p w14:paraId="4FC12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highlight w:val="none"/>
        </w:rPr>
      </w:pPr>
      <w:r>
        <w:rPr>
          <w:rFonts w:hint="eastAsia" w:ascii="宋体" w:hAnsi="宋体" w:eastAsia="宋体" w:cs="宋体"/>
          <w:b/>
          <w:bCs/>
          <w:sz w:val="22"/>
          <w:szCs w:val="24"/>
          <w:highlight w:val="none"/>
          <w:lang w:val="en-US" w:eastAsia="zh-CN" w:bidi="ar-SA"/>
        </w:rPr>
        <w:t>1.</w:t>
      </w:r>
      <w:r>
        <w:rPr>
          <w:rFonts w:hint="eastAsia" w:ascii="宋体" w:hAnsi="宋体" w:cs="宋体"/>
          <w:b/>
          <w:bCs/>
          <w:sz w:val="22"/>
          <w:szCs w:val="24"/>
          <w:highlight w:val="none"/>
          <w:lang w:val="en-US" w:eastAsia="zh-CN" w:bidi="ar-SA"/>
        </w:rPr>
        <w:t>6</w:t>
      </w:r>
      <w:r>
        <w:rPr>
          <w:rFonts w:hint="eastAsia" w:ascii="宋体" w:hAnsi="宋体" w:eastAsia="宋体" w:cs="宋体"/>
          <w:b/>
          <w:bCs/>
          <w:sz w:val="22"/>
          <w:szCs w:val="24"/>
          <w:highlight w:val="none"/>
          <w:lang w:val="en-US" w:eastAsia="zh-CN" w:bidi="ar-SA"/>
        </w:rPr>
        <w:t>★</w:t>
      </w:r>
      <w:r>
        <w:rPr>
          <w:rFonts w:ascii="宋体" w:hAnsi="宋体" w:eastAsia="宋体" w:cs="宋体"/>
          <w:color w:val="000000"/>
          <w:kern w:val="0"/>
          <w:sz w:val="24"/>
          <w:szCs w:val="24"/>
          <w:highlight w:val="none"/>
          <w:lang w:val="en-US" w:eastAsia="zh-CN" w:bidi="ar"/>
        </w:rPr>
        <w:t>本项目整体运维服务期限为 5 年，各类硬件产品免费质保期限划分如下，</w:t>
      </w:r>
      <w:r>
        <w:rPr>
          <w:rStyle w:val="30"/>
          <w:rFonts w:ascii="宋体" w:hAnsi="宋体" w:eastAsia="宋体" w:cs="宋体"/>
          <w:color w:val="000000"/>
          <w:kern w:val="0"/>
          <w:sz w:val="24"/>
          <w:szCs w:val="24"/>
          <w:highlight w:val="none"/>
          <w:lang w:val="en-US" w:eastAsia="zh-CN" w:bidi="ar"/>
        </w:rPr>
        <w:t>质保期内免费维修、免费更换非损耗故障配件；对应产品质保期满后，运维期内仅提供上门检修服务，设备及配件更换产生的材料、人工费用由甲方承担</w:t>
      </w:r>
      <w:r>
        <w:rPr>
          <w:rFonts w:ascii="宋体" w:hAnsi="宋体" w:eastAsia="宋体" w:cs="宋体"/>
          <w:color w:val="000000"/>
          <w:kern w:val="0"/>
          <w:sz w:val="24"/>
          <w:szCs w:val="24"/>
          <w:highlight w:val="none"/>
          <w:lang w:val="en-US" w:eastAsia="zh-CN" w:bidi="ar"/>
        </w:rPr>
        <w:t>：</w:t>
      </w:r>
    </w:p>
    <w:p w14:paraId="3BF6BAC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left"/>
        <w:rPr>
          <w:color w:val="000000"/>
          <w:sz w:val="24"/>
          <w:szCs w:val="24"/>
          <w:highlight w:val="none"/>
        </w:rPr>
      </w:pPr>
      <w:r>
        <w:rPr>
          <w:color w:val="000000"/>
          <w:sz w:val="24"/>
          <w:szCs w:val="24"/>
          <w:highlight w:val="none"/>
        </w:rPr>
        <w:t xml:space="preserve"> 注：1. 电池属于损耗类配件，超出质保期</w:t>
      </w:r>
      <w:r>
        <w:rPr>
          <w:rFonts w:hint="eastAsia"/>
          <w:color w:val="000000"/>
          <w:sz w:val="24"/>
          <w:szCs w:val="24"/>
          <w:highlight w:val="none"/>
          <w:lang w:eastAsia="zh-CN"/>
        </w:rPr>
        <w:t>（</w:t>
      </w:r>
      <w:r>
        <w:rPr>
          <w:rFonts w:hint="eastAsia"/>
          <w:color w:val="000000"/>
          <w:sz w:val="24"/>
          <w:szCs w:val="24"/>
          <w:highlight w:val="none"/>
          <w:lang w:val="en-US" w:eastAsia="zh-CN"/>
        </w:rPr>
        <w:t>1年）</w:t>
      </w:r>
      <w:r>
        <w:rPr>
          <w:color w:val="000000"/>
          <w:sz w:val="24"/>
          <w:szCs w:val="24"/>
          <w:highlight w:val="none"/>
        </w:rPr>
        <w:t>后更换需另行计费；2. 人为损坏、私自拆卸、进水、外力破坏、不可抗力导致的设备故障，不在免费质保范围内；3. 本条款所指基础设备范围详见本合同附件《</w:t>
      </w:r>
      <w:r>
        <w:rPr>
          <w:rFonts w:hint="eastAsia"/>
          <w:color w:val="000000"/>
          <w:sz w:val="24"/>
          <w:szCs w:val="24"/>
          <w:highlight w:val="none"/>
          <w:lang w:eastAsia="zh-CN"/>
        </w:rPr>
        <w:t>采购</w:t>
      </w:r>
      <w:r>
        <w:rPr>
          <w:color w:val="000000"/>
          <w:sz w:val="24"/>
          <w:szCs w:val="24"/>
          <w:highlight w:val="none"/>
        </w:rPr>
        <w:t>清单》。</w:t>
      </w:r>
    </w:p>
    <w:p w14:paraId="07E6165F">
      <w:pPr>
        <w:pStyle w:val="72"/>
        <w:numPr>
          <w:ilvl w:val="0"/>
          <w:numId w:val="0"/>
        </w:numPr>
        <w:spacing w:line="360" w:lineRule="auto"/>
        <w:ind w:leftChars="0"/>
        <w:rPr>
          <w:rFonts w:hint="eastAsia" w:ascii="宋体" w:hAnsi="宋体" w:eastAsia="宋体" w:cs="宋体"/>
          <w:b/>
          <w:strike w:val="0"/>
          <w:color w:val="000000"/>
          <w:sz w:val="24"/>
          <w:highlight w:val="none"/>
        </w:rPr>
      </w:pPr>
      <w:r>
        <w:rPr>
          <w:rFonts w:hint="eastAsia" w:hAnsi="宋体" w:eastAsia="宋体" w:cs="宋体"/>
          <w:b/>
          <w:bCs w:val="0"/>
          <w:strike w:val="0"/>
          <w:color w:val="000000"/>
          <w:sz w:val="24"/>
          <w:highlight w:val="none"/>
          <w:lang w:eastAsia="zh-CN"/>
        </w:rPr>
        <w:t>二、</w:t>
      </w:r>
      <w:r>
        <w:rPr>
          <w:rFonts w:hint="eastAsia" w:ascii="宋体" w:hAnsi="宋体" w:eastAsia="宋体" w:cs="宋体"/>
          <w:b/>
          <w:bCs w:val="0"/>
          <w:strike w:val="0"/>
          <w:color w:val="000000"/>
          <w:sz w:val="24"/>
          <w:highlight w:val="none"/>
        </w:rPr>
        <w:t>项目概况</w:t>
      </w:r>
    </w:p>
    <w:p w14:paraId="10E37E97">
      <w:pPr>
        <w:pStyle w:val="72"/>
        <w:numPr>
          <w:ilvl w:val="0"/>
          <w:numId w:val="0"/>
        </w:numPr>
        <w:spacing w:line="360" w:lineRule="auto"/>
        <w:ind w:left="0" w:firstLine="420"/>
        <w:rPr>
          <w:rFonts w:ascii="宋体" w:hAnsi="宋体"/>
          <w:b/>
          <w:bCs/>
          <w:color w:val="000000"/>
          <w:sz w:val="24"/>
          <w:szCs w:val="24"/>
          <w:highlight w:val="none"/>
        </w:rPr>
      </w:pPr>
      <w:r>
        <w:rPr>
          <w:rFonts w:hint="eastAsia" w:hAnsi="宋体"/>
          <w:bCs/>
          <w:strike w:val="0"/>
          <w:color w:val="000000"/>
          <w:highlight w:val="none"/>
        </w:rPr>
        <w:t>本项目是</w:t>
      </w:r>
      <w:r>
        <w:rPr>
          <w:rFonts w:hint="eastAsia" w:hAnsi="宋体"/>
          <w:bCs/>
          <w:strike w:val="0"/>
          <w:color w:val="000000"/>
          <w:highlight w:val="none"/>
          <w:lang w:val="en-US" w:eastAsia="zh-CN"/>
        </w:rPr>
        <w:t>泰兴市城区初中实验室升级改造项目</w:t>
      </w:r>
      <w:r>
        <w:rPr>
          <w:rFonts w:hint="eastAsia" w:hAnsi="宋体"/>
          <w:bCs/>
          <w:strike w:val="0"/>
          <w:color w:val="000000"/>
          <w:highlight w:val="none"/>
        </w:rPr>
        <w:t>。包括但不限于：</w:t>
      </w:r>
      <w:r>
        <w:rPr>
          <w:rFonts w:hint="eastAsia" w:hAnsi="宋体"/>
          <w:bCs/>
          <w:strike w:val="0"/>
          <w:color w:val="000000"/>
          <w:highlight w:val="none"/>
          <w:lang w:val="en-US" w:eastAsia="zh-CN"/>
        </w:rPr>
        <w:t>旧设备拆除、</w:t>
      </w:r>
      <w:r>
        <w:rPr>
          <w:rFonts w:hint="eastAsia" w:hAnsi="宋体"/>
          <w:bCs/>
          <w:strike w:val="0"/>
          <w:color w:val="000000"/>
          <w:highlight w:val="none"/>
        </w:rPr>
        <w:t>设备的制造（采购）、运输、装卸、安装、调试、测试、售后服务、技术培训等，直至通过采购单位及其他相关部门的验收以及质量保修、免费维保等全部工作。</w:t>
      </w:r>
    </w:p>
    <w:p w14:paraId="189F450D">
      <w:pPr>
        <w:pStyle w:val="73"/>
        <w:numPr>
          <w:ilvl w:val="0"/>
          <w:numId w:val="6"/>
        </w:numPr>
        <w:spacing w:line="360" w:lineRule="auto"/>
        <w:ind w:leftChars="0"/>
        <w:contextualSpacing/>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采购清单</w:t>
      </w:r>
    </w:p>
    <w:tbl>
      <w:tblPr>
        <w:tblStyle w:val="27"/>
        <w:tblW w:w="98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5"/>
        <w:gridCol w:w="634"/>
        <w:gridCol w:w="995"/>
        <w:gridCol w:w="11"/>
        <w:gridCol w:w="2720"/>
        <w:gridCol w:w="770"/>
        <w:gridCol w:w="720"/>
        <w:gridCol w:w="1530"/>
        <w:gridCol w:w="1014"/>
        <w:gridCol w:w="638"/>
        <w:gridCol w:w="43"/>
        <w:gridCol w:w="699"/>
      </w:tblGrid>
      <w:tr w14:paraId="5A834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8D797">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学校</w:t>
            </w: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8D65A">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实验室名称</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4ACE">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数量</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602E7">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单位</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F991B">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长*宽（m）</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8CA5">
            <w:pPr>
              <w:keepNext w:val="0"/>
              <w:keepLines w:val="0"/>
              <w:widowControl/>
              <w:suppressLineNumbers w:val="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面积（m</w:t>
            </w:r>
            <w:r>
              <w:rPr>
                <w:rFonts w:hint="eastAsia" w:ascii="宋体" w:hAnsi="宋体" w:eastAsia="宋体" w:cs="宋体"/>
                <w:b/>
                <w:bCs/>
                <w:i w:val="0"/>
                <w:iCs w:val="0"/>
                <w:color w:val="000000"/>
                <w:sz w:val="22"/>
                <w:szCs w:val="22"/>
                <w:highlight w:val="none"/>
                <w:u w:val="none"/>
                <w:vertAlign w:val="superscript"/>
                <w:lang w:val="en-US" w:eastAsia="zh-CN" w:bidi="ar"/>
              </w:rPr>
              <w:t>2</w:t>
            </w:r>
            <w:r>
              <w:rPr>
                <w:rFonts w:hint="eastAsia" w:ascii="宋体" w:hAnsi="宋体" w:eastAsia="宋体" w:cs="宋体"/>
                <w:b/>
                <w:bCs/>
                <w:i w:val="0"/>
                <w:iCs w:val="0"/>
                <w:color w:val="000000"/>
                <w:sz w:val="22"/>
                <w:szCs w:val="22"/>
                <w:highlight w:val="none"/>
                <w:u w:val="none"/>
                <w:lang w:val="en-US" w:eastAsia="zh-CN" w:bidi="ar"/>
              </w:rPr>
              <w:t>）</w:t>
            </w:r>
          </w:p>
        </w:tc>
      </w:tr>
      <w:tr w14:paraId="54D7E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D03FF">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济川初级中学</w:t>
            </w: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4E94">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物理电学实验室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438E">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DB09D">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B85C">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11.9*6.8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F9AC4">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80.92</w:t>
            </w:r>
          </w:p>
        </w:tc>
      </w:tr>
      <w:tr w14:paraId="0233B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48F3">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2DE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物理常规实验室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DE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A8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9AF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11.9*6.8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25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80.92</w:t>
            </w:r>
          </w:p>
        </w:tc>
      </w:tr>
      <w:tr w14:paraId="3B39E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9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9F71">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33E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1D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62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57D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11.9*6.8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90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80.92</w:t>
            </w:r>
          </w:p>
        </w:tc>
      </w:tr>
      <w:tr w14:paraId="71CD9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7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0B95">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1B71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化学综合实验室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614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4C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41B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11.9*6.8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EE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80.92</w:t>
            </w:r>
          </w:p>
        </w:tc>
      </w:tr>
      <w:tr w14:paraId="46CC2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5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FBBA">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31F0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生物实验室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1B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558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9B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9.8*8.8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97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86.24</w:t>
            </w:r>
          </w:p>
        </w:tc>
      </w:tr>
      <w:tr w14:paraId="3EB32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B3D66">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45A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DE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8F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B4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14*6.8</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F89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95.2</w:t>
            </w:r>
          </w:p>
        </w:tc>
      </w:tr>
      <w:tr w14:paraId="36F82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BABF">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西城初级中学</w:t>
            </w: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47DC">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物理电学实验室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87F9">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6EE4">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B102F">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11.7*6.3</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C870D">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73.71</w:t>
            </w:r>
          </w:p>
        </w:tc>
      </w:tr>
      <w:tr w14:paraId="442CE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8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D96CB">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B73A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28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AA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73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11.7*6.3</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195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74.71</w:t>
            </w:r>
          </w:p>
        </w:tc>
      </w:tr>
      <w:tr w14:paraId="68E55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7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6D339">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36E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生物实验室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E4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3C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8A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11.7*6.3</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E8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75.71</w:t>
            </w:r>
          </w:p>
        </w:tc>
      </w:tr>
      <w:tr w14:paraId="18E64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A02C2">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8BB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DB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BC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A7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11.7*6.3</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AE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76.71</w:t>
            </w:r>
          </w:p>
        </w:tc>
      </w:tr>
      <w:tr w14:paraId="41D9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1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B0EA9">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洋思中学</w:t>
            </w: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B722">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物理电学实验室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C2ED">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8514">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5861">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11.7*7.9</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B4B2">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92.43</w:t>
            </w:r>
          </w:p>
        </w:tc>
      </w:tr>
      <w:tr w14:paraId="626F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9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2C27">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924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物理常规实验室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A07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D4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80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11.7*7.9m</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0E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92.43</w:t>
            </w:r>
          </w:p>
        </w:tc>
      </w:tr>
      <w:tr w14:paraId="1C4AD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A8EF4">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0699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28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6F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8D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15.75*7.9</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E45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124.425</w:t>
            </w:r>
          </w:p>
        </w:tc>
      </w:tr>
      <w:tr w14:paraId="7BAF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1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7D26">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A40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化学综合实验室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E7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9F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57E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11.7*7.9</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E0D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92.43</w:t>
            </w:r>
          </w:p>
        </w:tc>
      </w:tr>
      <w:tr w14:paraId="07E90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1AE2">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D70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生物实验室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BD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AB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56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11.7*7.9</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E1B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92.43</w:t>
            </w:r>
          </w:p>
        </w:tc>
      </w:tr>
      <w:tr w14:paraId="2214C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1FAA">
            <w:pPr>
              <w:jc w:val="center"/>
              <w:rPr>
                <w:rFonts w:hint="eastAsia" w:ascii="宋体" w:hAnsi="宋体" w:eastAsia="宋体" w:cs="宋体"/>
                <w:i w:val="0"/>
                <w:iCs w:val="0"/>
                <w:color w:val="000000"/>
                <w:sz w:val="22"/>
                <w:szCs w:val="22"/>
                <w:highlight w:val="none"/>
                <w:u w:val="none"/>
                <w:lang w:val="en-US" w:eastAsia="zh-CN" w:bidi="ar"/>
              </w:rPr>
            </w:pP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520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CF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A6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110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15.75*7.9</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83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124.425</w:t>
            </w:r>
          </w:p>
        </w:tc>
      </w:tr>
      <w:tr w14:paraId="18B3C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282" w:hRule="atLeast"/>
        </w:trPr>
        <w:tc>
          <w:tcPr>
            <w:tcW w:w="164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07C3">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实验初级中学</w:t>
            </w:r>
          </w:p>
        </w:tc>
        <w:tc>
          <w:tcPr>
            <w:tcW w:w="2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02B7">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4692">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B0871">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间</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6F23">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8.8*7.3</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798C">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64.24</w:t>
            </w:r>
          </w:p>
        </w:tc>
      </w:tr>
      <w:tr w14:paraId="257DA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35" w:type="dxa"/>
          <w:wAfter w:w="742" w:type="dxa"/>
          <w:trHeight w:val="330" w:hRule="atLeast"/>
        </w:trPr>
        <w:tc>
          <w:tcPr>
            <w:tcW w:w="43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155D">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合计</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15F6">
            <w:pPr>
              <w:keepNext w:val="0"/>
              <w:keepLines w:val="0"/>
              <w:widowControl/>
              <w:suppressLineNumbers w:val="0"/>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20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C00D">
            <w:pPr>
              <w:keepNext w:val="0"/>
              <w:keepLines w:val="0"/>
              <w:widowControl/>
              <w:suppressLineNumbers w:val="0"/>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间</w:t>
            </w:r>
          </w:p>
        </w:tc>
        <w:tc>
          <w:tcPr>
            <w:tcW w:w="318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661F3">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sz w:val="20"/>
                <w:szCs w:val="20"/>
                <w:lang w:val="en-US" w:eastAsia="zh-CN"/>
              </w:rPr>
              <w:t>具体长宽及面积以实际勘测为准</w:t>
            </w:r>
          </w:p>
        </w:tc>
      </w:tr>
      <w:tr w14:paraId="1224D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7CF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物理电学实验室（共 3 间）</w:t>
            </w:r>
          </w:p>
        </w:tc>
      </w:tr>
      <w:tr w14:paraId="44DA1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2C0B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5AC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1E3D68">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规格尺寸，材质说明</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5F15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09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4D1F9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EE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EC0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D03521">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参考尺寸：2400*700*850㎜</w:t>
            </w:r>
          </w:p>
          <w:p w14:paraId="2D9467B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一、台面：厚度≥20mm高能硅晶板，双釉工艺，耐腐蚀耐高温不变形；为防止台面边角碰撞和实验人员安全考虑，台面四边采用安全倒圆角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3BD7CD8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6061BE0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2B5E12EE">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70CE5EE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0F3B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D6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28A57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7B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2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481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★单机符合JY 0361-1999《教学电源》，整套系统符合JY/T 0374-2004《教学实验室设备电源系统》，提供全覆盖第三方检测报告；具备全班一键断电、分组控制、远程锁机、统一限压；强弱电分槽布线，单台学生独立供电回路，禁止串接。</w:t>
            </w:r>
          </w:p>
          <w:p w14:paraId="2D5F115A">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须提供第三方检测报告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8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1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59E1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6D7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7B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C9573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参考尺寸1200*600*780</w:t>
            </w:r>
          </w:p>
          <w:p w14:paraId="5DD8D21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★整体铝合金型材压铸成型，无人造板材；台面≥20mm高能硅晶板，双釉耐腐，为防止台面边角碰撞和实验人员安全考虑，台面四边采用安全倒圆角</w:t>
            </w:r>
            <w:r>
              <w:rPr>
                <w:rFonts w:hint="eastAsia" w:ascii="宋体" w:hAnsi="宋体" w:cs="宋体"/>
                <w:i w:val="0"/>
                <w:iCs w:val="0"/>
                <w:color w:val="000000"/>
                <w:kern w:val="0"/>
                <w:sz w:val="20"/>
                <w:szCs w:val="20"/>
                <w:u w:val="none"/>
                <w:lang w:val="en-US" w:eastAsia="zh-CN" w:bidi="ar"/>
              </w:rPr>
              <w:t>处理</w:t>
            </w:r>
            <w:r>
              <w:rPr>
                <w:rFonts w:hint="eastAsia" w:ascii="宋体" w:hAnsi="宋体" w:eastAsia="宋体" w:cs="宋体"/>
                <w:i w:val="0"/>
                <w:iCs w:val="0"/>
                <w:color w:val="000000"/>
                <w:kern w:val="0"/>
                <w:sz w:val="20"/>
                <w:szCs w:val="20"/>
                <w:u w:val="none"/>
                <w:lang w:val="en-US" w:eastAsia="zh-CN" w:bidi="ar"/>
              </w:rPr>
              <w:t>。可选：黑色、墨绿色、蓝色。</w:t>
            </w:r>
          </w:p>
          <w:p w14:paraId="7B614E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前/中横梁、横支撑、后挡板型材壁厚≥1.2mm；立柱壁厚≥1.5mm，上下腿壁厚≥3mm；压铸铝支脚≥3mm；配套ABS防滑脚套、450*300*150mm加厚书包斗（≥5mm）。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A111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7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55F2F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60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0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8A19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4451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B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9AB4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54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AF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16F4F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★符合JY 0361-1999《教学电源》；钢制台式45°倾角面板，数显电压电流；1.25V～24V连续可调，最大3A，6V输出≥500mA；带短路/过载自动复位；配套0.6/3A电流表、3/15V电压表、±300μA灵敏电流计；工位独立漏电220V插座。</w:t>
            </w:r>
          </w:p>
          <w:p w14:paraId="7C57B2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须提供第三方检测报告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73A36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5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0AE8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A0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9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71AD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E538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1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092D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3E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8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21B5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D3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A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596F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8B6C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F2F0">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网络</w:t>
            </w:r>
          </w:p>
          <w:p w14:paraId="543418AD">
            <w:pPr>
              <w:keepNext w:val="0"/>
              <w:keepLines w:val="0"/>
              <w:widowControl/>
              <w:suppressLineNumbers w:val="0"/>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7E1E94">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32942">
            <w:pPr>
              <w:keepNext w:val="0"/>
              <w:keepLines w:val="0"/>
              <w:widowControl/>
              <w:suppressLineNumbers w:val="0"/>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496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个</w:t>
            </w:r>
          </w:p>
        </w:tc>
      </w:tr>
      <w:tr w14:paraId="764C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33F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A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8F63C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51FF5B">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248</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A95C">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平方</w:t>
            </w:r>
          </w:p>
        </w:tc>
      </w:tr>
      <w:tr w14:paraId="4E222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82DF1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AE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F7F69D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72543">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5679">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17DBC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6EE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DC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CBD06B">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F27D53">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79A1">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32E25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7D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物理常规实验室（共 3 间）</w:t>
            </w:r>
          </w:p>
        </w:tc>
      </w:tr>
      <w:tr w14:paraId="5A769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AEF8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16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8896D1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规格尺寸，材质说明</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16E1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FC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4C755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E61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25E7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061301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参考尺寸：2400*700*850㎜</w:t>
            </w:r>
          </w:p>
          <w:p w14:paraId="4662D4B2">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一、台面：厚度≥20mm高能硅晶板，双釉工艺，耐腐蚀耐高温不变形；为防止台面</w:t>
            </w:r>
            <w:r>
              <w:rPr>
                <w:rFonts w:hint="eastAsia" w:ascii="宋体" w:hAnsi="宋体" w:eastAsia="宋体" w:cs="宋体"/>
                <w:i w:val="0"/>
                <w:iCs w:val="0"/>
                <w:color w:val="000000"/>
                <w:kern w:val="0"/>
                <w:sz w:val="20"/>
                <w:szCs w:val="20"/>
                <w:highlight w:val="none"/>
                <w:u w:val="none"/>
                <w:lang w:val="en-US" w:eastAsia="zh-CN" w:bidi="ar"/>
              </w:rPr>
              <w:t>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7BB6A3B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4EC1D243">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7F65DF5D">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63F7A0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全套国内优质</w:t>
            </w:r>
            <w:r>
              <w:rPr>
                <w:rFonts w:hint="eastAsia" w:ascii="宋体" w:hAnsi="宋体" w:eastAsia="宋体" w:cs="宋体"/>
                <w:i w:val="0"/>
                <w:iCs w:val="0"/>
                <w:color w:val="000000"/>
                <w:kern w:val="0"/>
                <w:sz w:val="18"/>
                <w:szCs w:val="18"/>
                <w:highlight w:val="none"/>
                <w:u w:val="none"/>
                <w:lang w:val="en-US" w:eastAsia="zh-CN" w:bidi="ar"/>
              </w:rPr>
              <w:t>静</w:t>
            </w:r>
            <w:r>
              <w:rPr>
                <w:rFonts w:hint="eastAsia" w:ascii="宋体" w:hAnsi="宋体" w:eastAsia="宋体" w:cs="宋体"/>
                <w:i w:val="0"/>
                <w:iCs w:val="0"/>
                <w:color w:val="000000"/>
                <w:kern w:val="0"/>
                <w:sz w:val="18"/>
                <w:szCs w:val="18"/>
                <w:u w:val="none"/>
                <w:lang w:val="en-US" w:eastAsia="zh-CN" w:bidi="ar"/>
              </w:rPr>
              <w:t>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24A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E6AD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20B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0D8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3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0A34019">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符合JY/T0374-2004《教学实验室设备电源系统》，子母机分组管控，短路过载自动复位，交直流输出，提供产品说明书。</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0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F2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1FD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F1828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21F1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26917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参考尺寸1200*600*780</w:t>
            </w:r>
          </w:p>
          <w:p w14:paraId="59B75C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★整体铝合金型材压铸成型，无人造板材；台面≥20mm高能硅晶板，双釉耐腐，为防止台面边角碰撞和实验人员安全考虑，台面四边采用安全倒圆角</w:t>
            </w:r>
            <w:r>
              <w:rPr>
                <w:rFonts w:hint="eastAsia" w:ascii="宋体" w:hAnsi="宋体" w:cs="宋体"/>
                <w:i w:val="0"/>
                <w:iCs w:val="0"/>
                <w:color w:val="000000"/>
                <w:kern w:val="0"/>
                <w:sz w:val="20"/>
                <w:szCs w:val="20"/>
                <w:u w:val="none"/>
                <w:lang w:val="en-US" w:eastAsia="zh-CN" w:bidi="ar"/>
              </w:rPr>
              <w:t>处理</w:t>
            </w:r>
            <w:r>
              <w:rPr>
                <w:rFonts w:hint="eastAsia" w:ascii="宋体" w:hAnsi="宋体" w:eastAsia="宋体" w:cs="宋体"/>
                <w:i w:val="0"/>
                <w:iCs w:val="0"/>
                <w:color w:val="000000"/>
                <w:kern w:val="0"/>
                <w:sz w:val="20"/>
                <w:szCs w:val="20"/>
                <w:u w:val="none"/>
                <w:lang w:val="en-US" w:eastAsia="zh-CN" w:bidi="ar"/>
              </w:rPr>
              <w:t>。可选：黑色、墨绿色、蓝色。</w:t>
            </w:r>
          </w:p>
          <w:p w14:paraId="5B615D9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前/中横梁、横支撑、后挡板型材壁厚≥1.2mm；立柱壁厚≥1.5mm，上下腿壁厚≥3mm；压铸铝支脚≥3mm；配套ABS防滑脚套、450*300*150mm加厚书包斗（≥5mm）。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2D092B">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48ED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r>
      <w:tr w14:paraId="3B4FF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8BE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B63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68280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374329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D65C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F595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556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B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B91B57">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AD6E3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8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5F88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5D83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2C0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F3820E">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FE5FE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D3C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3C78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2BE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9C05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FA77909">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917EAEF">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D8ED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22C8D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6D25F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2BF2993">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网络</w:t>
            </w:r>
          </w:p>
          <w:p w14:paraId="699CA5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F188E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D9C663B">
            <w:pPr>
              <w:keepNext w:val="0"/>
              <w:keepLines w:val="0"/>
              <w:widowControl/>
              <w:suppressLineNumbers w:val="0"/>
              <w:jc w:val="center"/>
              <w:textAlignment w:val="center"/>
              <w:rPr>
                <w:rFonts w:hint="eastAsia" w:ascii="宋体" w:hAnsi="宋体" w:cs="宋体"/>
                <w:i w:val="0"/>
                <w:iCs w:val="0"/>
                <w:color w:val="000000"/>
                <w:sz w:val="20"/>
                <w:szCs w:val="20"/>
                <w:u w:val="none"/>
                <w:lang w:val="en-US" w:eastAsia="zh-CN"/>
              </w:rPr>
            </w:pPr>
            <w:r>
              <w:rPr>
                <w:rFonts w:hint="eastAsia" w:ascii="宋体" w:hAnsi="宋体" w:cs="宋体"/>
                <w:i w:val="0"/>
                <w:iCs w:val="0"/>
                <w:color w:val="000000"/>
                <w:kern w:val="0"/>
                <w:sz w:val="20"/>
                <w:szCs w:val="20"/>
                <w:u w:val="none"/>
                <w:lang w:val="en-US" w:eastAsia="zh-CN"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0532B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个</w:t>
            </w:r>
          </w:p>
        </w:tc>
      </w:tr>
      <w:tr w14:paraId="1B597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1F7C2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ABC8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EC36AA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9969552">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248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CA2B5E8">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平方</w:t>
            </w:r>
          </w:p>
        </w:tc>
      </w:tr>
      <w:tr w14:paraId="4F8D9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B205E26">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5CF0A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C245585">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D6BC3D7">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05FB0FC">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5F2E5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CF1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941B8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0DEF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C72C4E">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FCF632">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6D94D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09" w:type="dxa"/>
            <w:gridSpan w:val="12"/>
            <w:tcBorders>
              <w:top w:val="nil"/>
              <w:left w:val="nil"/>
              <w:bottom w:val="nil"/>
              <w:right w:val="nil"/>
            </w:tcBorders>
            <w:shd w:val="clear" w:color="auto" w:fill="auto"/>
            <w:noWrap/>
            <w:vAlign w:val="center"/>
          </w:tcPr>
          <w:p w14:paraId="32E94A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化学吊装通风实验室（共 3 间）</w:t>
            </w:r>
          </w:p>
        </w:tc>
      </w:tr>
      <w:tr w14:paraId="1E27E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B1A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C7E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2ED50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参数</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40818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566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5C4BE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D55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674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56D4710">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参考尺寸：2400*700*850㎜</w:t>
            </w:r>
          </w:p>
          <w:p w14:paraId="4B1637C3">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一、台面：厚度≥20mm高能硅晶板，双釉工艺，耐腐蚀耐高温不变形；为防止台面边角碰撞和实验人员安全考虑，台面四边采用安全倒圆角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1733B286">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677FA556">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5471842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325349A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C97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94B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5BC5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CE8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EB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F17FE9">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台面移动式；防尘低压喷头；★黄铜环氧树脂控水阀，自动密封；配套2m不锈钢波纹管、三通接头。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CD0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4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CE0A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AB0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9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6A1817">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总控系统，全屋、工位双重漏电过载保护。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62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E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EC77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A8A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4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6A28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500*600*820mm加厚ABS工型柜体，壁厚</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0"/>
                <w:szCs w:val="20"/>
                <w:u w:val="none"/>
                <w:lang w:val="en-US" w:eastAsia="zh-CN"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756D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45</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1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C5CF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68D90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5124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1760CC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参考尺寸1200*600*780</w:t>
            </w:r>
          </w:p>
          <w:p w14:paraId="654AEFB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★整体铝合金型材压铸成型，无人造板材；台面≥20mm高能硅晶板，双釉耐腐，为防止台面边角碰撞和实验人员安全考虑，台面四边采用安全倒圆角</w:t>
            </w:r>
            <w:r>
              <w:rPr>
                <w:rFonts w:hint="eastAsia" w:ascii="宋体" w:hAnsi="宋体" w:cs="宋体"/>
                <w:i w:val="0"/>
                <w:iCs w:val="0"/>
                <w:color w:val="000000"/>
                <w:kern w:val="0"/>
                <w:sz w:val="20"/>
                <w:szCs w:val="20"/>
                <w:u w:val="none"/>
                <w:lang w:val="en-US" w:eastAsia="zh-CN" w:bidi="ar"/>
              </w:rPr>
              <w:t>处理</w:t>
            </w:r>
            <w:r>
              <w:rPr>
                <w:rFonts w:hint="eastAsia" w:ascii="宋体" w:hAnsi="宋体" w:eastAsia="宋体" w:cs="宋体"/>
                <w:i w:val="0"/>
                <w:iCs w:val="0"/>
                <w:color w:val="000000"/>
                <w:kern w:val="0"/>
                <w:sz w:val="20"/>
                <w:szCs w:val="20"/>
                <w:u w:val="none"/>
                <w:lang w:val="en-US" w:eastAsia="zh-CN" w:bidi="ar"/>
              </w:rPr>
              <w:t>。可选：黑色、墨绿色、蓝色。</w:t>
            </w:r>
          </w:p>
          <w:p w14:paraId="6251A9C1">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前/中横梁、横支撑、后挡板型材壁厚≥1.2mm；立柱壁厚≥1.5mm，上下腿壁厚≥3mm；压铸铝支脚≥3mm；配套ABS防滑脚套、450*300*150mm加厚书包斗（≥5mm）。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4262D9">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4F015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r>
      <w:tr w14:paraId="31AEC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6A7A6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7E3B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C43FDFF">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1C7738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38DD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F669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681D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06CE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4A21E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D79192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79C5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182D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26D4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E7DB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DD1A4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1E82B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FC62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840D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F9B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B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9E84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PP-R DN25进水管，PVC-U DN50排水管；★供水不锈钢波纹管≥75cm，配套全套管件、进水总阀，配截止阀1个。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96C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E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44E5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3E24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46BE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CEBE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7E9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93764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31572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FC2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E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万向吸风罩</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C1F8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PP360°旋转关节+304不锈钢连杆，φ75伸缩风管，带风量调节。</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60DE1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87</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B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2319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544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E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PP离心风机</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33C8E2">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5.5KW/380V，风量≥7100-13500m³/h，1440r/min</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CC6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7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CA6E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AF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8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变频器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0A53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1、5.5KVA三相重载矢量，数码无极调速，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2、控制功能：数码显示、移位、编程、运行、正传切换、数值加减无极调速、停止复位。</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A0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E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8868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CB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5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846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20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E7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F1DA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A5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E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消音器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047B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AD3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E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2A8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54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6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防震垫</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6D66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橡胶软垫（配螺丝）</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78B6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7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C920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9B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FA7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风管</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93BF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PVC材质,Φ400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E50D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72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6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60DFE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8E8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AA0B2">
            <w:pPr>
              <w:jc w:val="center"/>
              <w:rPr>
                <w:rFonts w:hint="eastAsia" w:ascii="宋体" w:hAnsi="宋体" w:eastAsia="宋体" w:cs="宋体"/>
                <w:i w:val="0"/>
                <w:iCs w:val="0"/>
                <w:color w:val="000000"/>
                <w:sz w:val="20"/>
                <w:szCs w:val="20"/>
                <w:u w:val="none"/>
              </w:rPr>
            </w:pP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97AA5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PVC材质,Φ160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9B17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96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ED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5BFD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76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A7F74">
            <w:pPr>
              <w:jc w:val="center"/>
              <w:rPr>
                <w:rFonts w:hint="eastAsia" w:ascii="宋体" w:hAnsi="宋体" w:eastAsia="宋体" w:cs="宋体"/>
                <w:i w:val="0"/>
                <w:iCs w:val="0"/>
                <w:color w:val="000000"/>
                <w:sz w:val="20"/>
                <w:szCs w:val="20"/>
                <w:u w:val="none"/>
              </w:rPr>
            </w:pP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055F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PVC材质,Φ110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F29A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72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7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73E5C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48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CF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弯头</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778A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PVC材质,Φ400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329AF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8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6BA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AD0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0EE88">
            <w:pPr>
              <w:jc w:val="center"/>
              <w:rPr>
                <w:rFonts w:hint="eastAsia" w:ascii="宋体" w:hAnsi="宋体" w:eastAsia="宋体" w:cs="宋体"/>
                <w:i w:val="0"/>
                <w:iCs w:val="0"/>
                <w:color w:val="000000"/>
                <w:sz w:val="20"/>
                <w:szCs w:val="20"/>
                <w:u w:val="none"/>
              </w:rPr>
            </w:pP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D7E7F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PVC材质,Φ160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1C247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54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16E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D65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08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D3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PP变径</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024F4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PVC材质,Φ160变Φ110</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7D8A4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42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D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804B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9E9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ED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风机电缆线</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B5537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★≥6㎡三相优质国标铜芯电缆，满足设备功率、安全载流及长期运行要求</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48C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9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式</w:t>
            </w:r>
          </w:p>
        </w:tc>
      </w:tr>
      <w:tr w14:paraId="38D61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7A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0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风管支架及吊杆</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CE6BB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08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1A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式</w:t>
            </w:r>
          </w:p>
        </w:tc>
      </w:tr>
      <w:tr w14:paraId="62FC9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42D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6E6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室外管道</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DC3A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规格尺寸：Ø400mm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1AE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15</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E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层</w:t>
            </w:r>
          </w:p>
        </w:tc>
      </w:tr>
      <w:tr w14:paraId="71B68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779121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DABFD0D">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网络</w:t>
            </w:r>
          </w:p>
          <w:p w14:paraId="4BCD63F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4CBD34A">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90B8318">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149A4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个</w:t>
            </w:r>
          </w:p>
        </w:tc>
      </w:tr>
      <w:tr w14:paraId="311C6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04FB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D52C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5A84EB8">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8176BBA">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281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A89BE84">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平方</w:t>
            </w:r>
          </w:p>
        </w:tc>
      </w:tr>
      <w:tr w14:paraId="23C39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2E4D0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F4946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7316C0">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FB7296">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F1E797">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42BF9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A457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r>
              <w:rPr>
                <w:rFonts w:hint="eastAsia" w:ascii="宋体" w:hAnsi="宋体" w:cs="宋体"/>
                <w:i w:val="0"/>
                <w:iCs w:val="0"/>
                <w:color w:val="000000"/>
                <w:kern w:val="0"/>
                <w:sz w:val="20"/>
                <w:szCs w:val="20"/>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0EF2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24AEBC">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1CA9482">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E61E3F">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49569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02A97F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化学综合实验室（共 3 间）</w:t>
            </w:r>
          </w:p>
        </w:tc>
      </w:tr>
      <w:tr w14:paraId="0F43C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FFE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30D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A4668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技术规格及要求</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F90AE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E30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123C9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156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B03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3BB994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参考尺寸：2400*700*850㎜</w:t>
            </w:r>
          </w:p>
          <w:p w14:paraId="3C6BD99A">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一、台面：厚度≥20mm高能硅晶板，双釉工艺，耐腐蚀耐高温不变形；为防止台面边角碰撞和实验人员安全考虑，台面四边采用安全倒圆角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3B933B8A">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23972E9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1210310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038E162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A2B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FA57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B415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37600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1CEEB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1512CC">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移动式黄铜阀体洗眼装置，配套不锈钢软管</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6793A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BC695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58BFE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C03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14B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A9B3F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5C2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90F7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6EED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E63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9C30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C8A7AFD">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500*600*820mm加厚ABS工型柜体，壁厚</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0"/>
                <w:szCs w:val="20"/>
                <w:u w:val="none"/>
                <w:lang w:val="en-US" w:eastAsia="zh-CN"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593A5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45</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A5B8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F1B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DC275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E610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44ACE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参考尺寸1200*600*780</w:t>
            </w:r>
          </w:p>
          <w:p w14:paraId="13EAA61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★整体铝合金型材压铸成型，无人造板材；台面≥20mm高能硅晶板，双釉耐腐，为防止台面边角碰撞和实验人员安全考虑，台面四边采用安全倒圆角</w:t>
            </w:r>
            <w:r>
              <w:rPr>
                <w:rFonts w:hint="eastAsia" w:ascii="宋体" w:hAnsi="宋体" w:cs="宋体"/>
                <w:i w:val="0"/>
                <w:iCs w:val="0"/>
                <w:color w:val="000000"/>
                <w:kern w:val="0"/>
                <w:sz w:val="20"/>
                <w:szCs w:val="20"/>
                <w:u w:val="none"/>
                <w:lang w:val="en-US" w:eastAsia="zh-CN" w:bidi="ar"/>
              </w:rPr>
              <w:t>处理</w:t>
            </w:r>
            <w:r>
              <w:rPr>
                <w:rFonts w:hint="eastAsia" w:ascii="宋体" w:hAnsi="宋体" w:eastAsia="宋体" w:cs="宋体"/>
                <w:i w:val="0"/>
                <w:iCs w:val="0"/>
                <w:color w:val="000000"/>
                <w:kern w:val="0"/>
                <w:sz w:val="20"/>
                <w:szCs w:val="20"/>
                <w:u w:val="none"/>
                <w:lang w:val="en-US" w:eastAsia="zh-CN" w:bidi="ar"/>
              </w:rPr>
              <w:t>。可选：黑色、墨绿色、蓝色。</w:t>
            </w:r>
          </w:p>
          <w:p w14:paraId="56E11FE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前/中横梁、横支撑、后挡板型材壁厚≥1.2mm；立柱壁厚≥1.5mm，上下腿壁厚≥3mm；压铸铝支脚≥3mm；配套ABS防滑脚套、450*300*150mm加厚书包斗（≥5mm）。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FEC61B">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45D4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r>
      <w:tr w14:paraId="2DA07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C52A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0614F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ADDF79F">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0E4C8A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028C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0056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403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B6BB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75B1EB">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E1617A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65BAC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5B71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76F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DE06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DACCFF1">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6831FE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D815E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1031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5DA1C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895D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8FF0A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PP-R DN25进水管，PVC-U DN50排水管；★供水不锈钢波纹管≥75cm，配套全套管件、进水总阀，配截止阀1个。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1EBCC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BF041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室</w:t>
            </w:r>
          </w:p>
        </w:tc>
      </w:tr>
      <w:tr w14:paraId="3E413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D229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15B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0952AE5">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D17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A63C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185E6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360E40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F751EF7">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网络</w:t>
            </w:r>
          </w:p>
          <w:p w14:paraId="404601C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AFA4B56">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0052891">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BFDE4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个</w:t>
            </w:r>
          </w:p>
        </w:tc>
      </w:tr>
      <w:tr w14:paraId="3C563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8E6F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5054A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83F3EE3">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94389D">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266</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FB783C9">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平方</w:t>
            </w:r>
          </w:p>
        </w:tc>
      </w:tr>
      <w:tr w14:paraId="0D892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61D6E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1912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A658BE">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8A61395">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8BDBA50">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0A207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E797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08E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453D1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F88FE2">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375D80">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28A96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81445F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生物实验室（共 4 间）</w:t>
            </w:r>
          </w:p>
        </w:tc>
      </w:tr>
      <w:tr w14:paraId="0C162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8CA05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11F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3BDB7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技术规格及要求</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1BAD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4B7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1843E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F790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12C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52ADCE4">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参考尺寸：2400*700*850㎜</w:t>
            </w:r>
          </w:p>
          <w:p w14:paraId="1CEC15B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一、台面：厚度≥20mm高能硅晶板，双釉工艺，耐腐蚀耐高温不变形；为防止台面边角碰撞和实验人员安全考虑，台面四边采用安全倒圆角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41D6925C">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7ADC66B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1F38936E">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60457C6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F10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F57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556AE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3F90C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E131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2654C9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移动式黄铜阀体洗眼装置，配套不锈钢软管</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3B17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06532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74746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D571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0C5C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7529C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F21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A6DA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7079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B001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3CDA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8E5F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500*600*820mm加厚ABS工型柜体，壁厚</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0"/>
                <w:szCs w:val="20"/>
                <w:u w:val="none"/>
                <w:lang w:val="en-US" w:eastAsia="zh-CN"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153F3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60</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8A4F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21DD7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8897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9D22B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3EA50A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参考尺寸1200*600*780</w:t>
            </w:r>
          </w:p>
          <w:p w14:paraId="1D6705D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★整体铝合金型材压铸成型，无人造板材；台面≥20mm高能硅晶板，双釉耐腐，为防止台面边角碰撞和实验人员安全考虑，台面四边采用安全倒圆角</w:t>
            </w:r>
            <w:r>
              <w:rPr>
                <w:rFonts w:hint="eastAsia" w:ascii="宋体" w:hAnsi="宋体" w:cs="宋体"/>
                <w:i w:val="0"/>
                <w:iCs w:val="0"/>
                <w:color w:val="000000"/>
                <w:kern w:val="0"/>
                <w:sz w:val="20"/>
                <w:szCs w:val="20"/>
                <w:u w:val="none"/>
                <w:lang w:val="en-US" w:eastAsia="zh-CN" w:bidi="ar"/>
              </w:rPr>
              <w:t>处理</w:t>
            </w:r>
            <w:r>
              <w:rPr>
                <w:rFonts w:hint="eastAsia" w:ascii="宋体" w:hAnsi="宋体" w:eastAsia="宋体" w:cs="宋体"/>
                <w:i w:val="0"/>
                <w:iCs w:val="0"/>
                <w:color w:val="000000"/>
                <w:kern w:val="0"/>
                <w:sz w:val="20"/>
                <w:szCs w:val="20"/>
                <w:u w:val="none"/>
                <w:lang w:val="en-US" w:eastAsia="zh-CN" w:bidi="ar"/>
              </w:rPr>
              <w:t>。可选：黑色、墨绿色、蓝色。</w:t>
            </w:r>
          </w:p>
          <w:p w14:paraId="53E4E78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前/中横梁、横支撑、后挡板型材壁厚≥1.2mm；立柱壁厚≥1.5mm，上下腿壁厚≥3mm；压铸铝支脚≥3mm；配套ABS防滑脚套、450*300*150mm加厚书包斗（≥5mm）。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43D7D61">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DE2F3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r>
      <w:tr w14:paraId="2F6A4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B5EB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3BF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0F35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EA24C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19E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C5F0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B1B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31DB2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E2640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4D9579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052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5360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F9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2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台灯</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BA4D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400mm不锈钢LED灯，独立开关，多角度可调</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589B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116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8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6F6F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CE7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B616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E9FF37">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376B9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224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D47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DDD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0286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00F3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9492FD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PP-R DN25进水管，PVC-U DN50排水管；★供水不锈钢波纹管≥75cm，配套全套管件、进水总阀，配截止阀1个。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9066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FE70C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室</w:t>
            </w:r>
          </w:p>
        </w:tc>
      </w:tr>
      <w:tr w14:paraId="278E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BE6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BE6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6A44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411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0536B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48000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B9E3A2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7BB34DD">
            <w:pPr>
              <w:keepNext w:val="0"/>
              <w:keepLines w:val="0"/>
              <w:widowControl/>
              <w:suppressLineNumbers w:val="0"/>
              <w:jc w:val="center"/>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网络</w:t>
            </w:r>
          </w:p>
          <w:p w14:paraId="713F77A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19078D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D01977C">
            <w:pPr>
              <w:keepNext w:val="0"/>
              <w:keepLines w:val="0"/>
              <w:widowControl/>
              <w:suppressLineNumbers w:val="0"/>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228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23C92D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个</w:t>
            </w:r>
          </w:p>
        </w:tc>
      </w:tr>
      <w:tr w14:paraId="61F73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A70EE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CE4C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508FF7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7DE1E79">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347</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A78521B">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平方</w:t>
            </w:r>
          </w:p>
        </w:tc>
      </w:tr>
      <w:tr w14:paraId="3BF64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501E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110F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AF7717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22CB1C8">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9CF901D">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55A52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CE53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B626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39D0E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4E2CAA">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D4F1D29">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3939B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8429"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9EA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物化生数字化综合实验室（共4间）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B5D6">
            <w:pPr>
              <w:jc w:val="center"/>
              <w:rPr>
                <w:rFonts w:hint="eastAsia" w:ascii="宋体" w:hAnsi="宋体" w:eastAsia="宋体" w:cs="宋体"/>
                <w:b/>
                <w:bCs/>
                <w:i w:val="0"/>
                <w:iCs w:val="0"/>
                <w:color w:val="000000"/>
                <w:sz w:val="20"/>
                <w:szCs w:val="20"/>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14A78">
            <w:pPr>
              <w:jc w:val="center"/>
              <w:rPr>
                <w:rFonts w:hint="eastAsia" w:ascii="宋体" w:hAnsi="宋体" w:eastAsia="宋体" w:cs="宋体"/>
                <w:b/>
                <w:bCs/>
                <w:i w:val="0"/>
                <w:iCs w:val="0"/>
                <w:color w:val="000000"/>
                <w:sz w:val="20"/>
                <w:szCs w:val="20"/>
                <w:u w:val="none"/>
              </w:rPr>
            </w:pPr>
          </w:p>
        </w:tc>
      </w:tr>
      <w:tr w14:paraId="02497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0B1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6F7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07ECC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B43F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1CB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45D9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03FE645">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141E01">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BC5DB3D">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参考尺寸：2400*700*850㎜</w:t>
            </w:r>
          </w:p>
          <w:p w14:paraId="645B02D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一、台面：厚度≥20mm高能硅晶板，双釉工艺，耐腐蚀耐高温不变形；为防止台面边角碰撞和实验人员安全考虑，台面四边采用安全倒圆角</w:t>
            </w:r>
            <w:r>
              <w:rPr>
                <w:rFonts w:hint="eastAsia" w:ascii="宋体" w:hAnsi="宋体" w:cs="宋体"/>
                <w:i w:val="0"/>
                <w:iCs w:val="0"/>
                <w:color w:val="000000"/>
                <w:kern w:val="0"/>
                <w:sz w:val="20"/>
                <w:szCs w:val="20"/>
                <w:highlight w:val="none"/>
                <w:u w:val="none"/>
                <w:lang w:val="en-US" w:eastAsia="zh-CN" w:bidi="ar"/>
              </w:rPr>
              <w:t>处理</w:t>
            </w:r>
            <w:r>
              <w:rPr>
                <w:rFonts w:hint="eastAsia" w:ascii="宋体" w:hAnsi="宋体" w:eastAsia="宋体" w:cs="宋体"/>
                <w:i w:val="0"/>
                <w:iCs w:val="0"/>
                <w:color w:val="000000"/>
                <w:kern w:val="0"/>
                <w:sz w:val="20"/>
                <w:szCs w:val="20"/>
                <w:highlight w:val="none"/>
                <w:u w:val="none"/>
                <w:lang w:val="en-US" w:eastAsia="zh-CN" w:bidi="ar"/>
              </w:rPr>
              <w:t>。可选：黑色、墨绿色、蓝色。</w:t>
            </w:r>
          </w:p>
          <w:p w14:paraId="0FD3A39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二、桌身：≥1.0mm优质冷轧钢板全钢框架，酸洗磷化静电喷塑防锈；内置储物柜，预留电源主控、多媒体主机/显示器/中控/功放/交换机安装位。</w:t>
            </w:r>
          </w:p>
          <w:p w14:paraId="2A298327">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三、抽屉三节承重静音滚珠滑轨，开合≥8万次不变形；</w:t>
            </w:r>
          </w:p>
          <w:p w14:paraId="5FD4E403">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★铰链开合寿命≥8万次，须提供第三方检测报告；</w:t>
            </w:r>
          </w:p>
          <w:p w14:paraId="263BD5EB">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DED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AF3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AF66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01D4">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09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03F19F3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规格：550*450*290mm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台下盆，壁厚≥5mm实验室专用高密度PP一体化成型水槽，耐酸碱、耐有机溶剂、耐紫外线、防溢水。网状漏水口与下水口用ABS塑料链条连接。</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75592">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BF5A">
            <w:pPr>
              <w:jc w:val="center"/>
              <w:rPr>
                <w:rFonts w:hint="eastAsia" w:ascii="宋体" w:hAnsi="宋体" w:eastAsia="宋体" w:cs="宋体"/>
                <w:i w:val="0"/>
                <w:iCs w:val="0"/>
                <w:color w:val="000000"/>
                <w:sz w:val="20"/>
                <w:szCs w:val="20"/>
                <w:u w:val="none"/>
              </w:rPr>
            </w:pPr>
          </w:p>
        </w:tc>
      </w:tr>
      <w:tr w14:paraId="5BE66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695BE">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5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三联水嘴</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C541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★三联(一高二低），采用实验室专用三联水嘴，陶瓷阀芯90°旋转，铜质表面烤漆处理，增强耐酸碱防腐蚀以及防锈性能，特制鹅颈管可360度旋转。</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16BDD7">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2FC">
            <w:pPr>
              <w:jc w:val="center"/>
              <w:rPr>
                <w:rFonts w:hint="eastAsia" w:ascii="宋体" w:hAnsi="宋体" w:eastAsia="宋体" w:cs="宋体"/>
                <w:i w:val="0"/>
                <w:iCs w:val="0"/>
                <w:color w:val="000000"/>
                <w:sz w:val="20"/>
                <w:szCs w:val="20"/>
                <w:u w:val="none"/>
              </w:rPr>
            </w:pPr>
          </w:p>
        </w:tc>
      </w:tr>
      <w:tr w14:paraId="11CF4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6E3718F">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BEC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A1E4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A60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032B5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9F6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8895">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8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六边形实验桌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DDEBA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正六边形,角度误差 ≤0.5°,对角距</w:t>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400±2 mm,对边距</w:t>
            </w:r>
            <w:r>
              <w:rPr>
                <w:rFonts w:hint="eastAsia" w:ascii="宋体" w:hAnsi="宋体" w:cs="宋体"/>
                <w:i w:val="0"/>
                <w:iCs w:val="0"/>
                <w:color w:val="000000"/>
                <w:kern w:val="0"/>
                <w:sz w:val="20"/>
                <w:szCs w:val="20"/>
                <w:u w:val="none"/>
                <w:lang w:val="en-US" w:eastAsia="zh-CN" w:bidi="ar"/>
              </w:rPr>
              <w:t>208</w:t>
            </w:r>
            <w:r>
              <w:rPr>
                <w:rFonts w:hint="eastAsia" w:ascii="宋体" w:hAnsi="宋体" w:eastAsia="宋体" w:cs="宋体"/>
                <w:i w:val="0"/>
                <w:iCs w:val="0"/>
                <w:color w:val="000000"/>
                <w:kern w:val="0"/>
                <w:sz w:val="20"/>
                <w:szCs w:val="20"/>
                <w:u w:val="none"/>
                <w:lang w:val="en-US" w:eastAsia="zh-CN" w:bidi="ar"/>
              </w:rPr>
              <w:t>0±2 mm，高度750±</w:t>
            </w:r>
            <w:r>
              <w:rPr>
                <w:rFonts w:hint="eastAsia" w:ascii="宋体"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 xml:space="preserve">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★采用≥12.7mm厚</w:t>
            </w:r>
            <w:r>
              <w:rPr>
                <w:rFonts w:hint="eastAsia" w:ascii="宋体" w:hAnsi="宋体" w:cs="宋体"/>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≥e0级实芯理化板，具有抗污染、防水、防火特性，台面立面倒角、打磨，各处光滑。桌身整体采用≥1.0mm厚优质冷轧钢板，防锈处理。可选：黑色、墨绿色、蓝色。</w:t>
            </w:r>
          </w:p>
          <w:p w14:paraId="3FCF843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储物柜抽屉三节承重静音滚珠滑轨，开合≥8万次不变形；</w:t>
            </w:r>
          </w:p>
          <w:p w14:paraId="65F0513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铰链开合寿命≥8万次，须提供第三方检测报告；</w:t>
            </w:r>
          </w:p>
          <w:p w14:paraId="192723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9DED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32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2D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36F6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3E5F0">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6</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B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916C31">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220V交流输出，桌下嵌入式安装</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ACD02A">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322</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FB051">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210D9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4ACD7F3">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E5F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FB7C0A5">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F295E6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144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DB3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9963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DA15EEB">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9EE7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6B032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PP-R DN25进水管，PVC-U DN50排水管；★供水不锈钢波纹管≥75cm，配套全套管件、进水总阀，配截止阀1个。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F1C82A2">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8825491">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37E12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96159DD">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942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1095C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D1E6348">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714EE12">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19C6A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EA781A7">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60512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59EAED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★地面找平+2.0mm环保PVC地胶，6cm不锈钢踢脚线，附地胶检测报告。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0925F63">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2A2DA3">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室</w:t>
            </w:r>
          </w:p>
        </w:tc>
      </w:tr>
      <w:tr w14:paraId="650B7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ADA6C7E">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16E55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0CADC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★环保内墙涂料，游离甲醛≤50mg/kg，提供涂料检测报告。</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D436816">
            <w:pPr>
              <w:jc w:val="center"/>
              <w:rPr>
                <w:rFonts w:hint="eastAsia" w:ascii="宋体" w:hAnsi="宋体" w:eastAsia="宋体" w:cs="宋体"/>
                <w:i w:val="0"/>
                <w:iCs w:val="0"/>
                <w:color w:val="000000"/>
                <w:sz w:val="20"/>
                <w:szCs w:val="20"/>
                <w:highlight w:val="none"/>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B68CC5A">
            <w:pPr>
              <w:jc w:val="center"/>
              <w:rPr>
                <w:rFonts w:hint="eastAsia" w:ascii="宋体" w:hAnsi="宋体" w:eastAsia="宋体" w:cs="宋体"/>
                <w:i w:val="0"/>
                <w:iCs w:val="0"/>
                <w:color w:val="000000"/>
                <w:sz w:val="20"/>
                <w:szCs w:val="20"/>
                <w:highlight w:val="none"/>
                <w:u w:val="none"/>
              </w:rPr>
            </w:pPr>
          </w:p>
        </w:tc>
      </w:tr>
      <w:tr w14:paraId="6B4A4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8264304">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40DF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2A22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F6C89D">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8CFC07">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室</w:t>
            </w:r>
          </w:p>
        </w:tc>
      </w:tr>
      <w:tr w14:paraId="7DA57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66ED">
            <w:pPr>
              <w:rPr>
                <w:rFonts w:hint="eastAsia" w:ascii="宋体" w:hAnsi="宋体" w:eastAsia="宋体" w:cs="宋体"/>
                <w:i w:val="0"/>
                <w:iCs w:val="0"/>
                <w:color w:val="000000"/>
                <w:sz w:val="20"/>
                <w:szCs w:val="20"/>
                <w:u w:val="none"/>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E72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数字化传感器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772D1D">
            <w:pPr>
              <w:jc w:val="left"/>
              <w:rPr>
                <w:rFonts w:hint="eastAsia" w:ascii="宋体" w:hAnsi="宋体" w:eastAsia="宋体" w:cs="宋体"/>
                <w:i w:val="0"/>
                <w:iCs w:val="0"/>
                <w:color w:val="000000"/>
                <w:sz w:val="20"/>
                <w:szCs w:val="20"/>
                <w:u w:val="none"/>
              </w:rPr>
            </w:pP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A984A">
            <w:pPr>
              <w:jc w:val="center"/>
              <w:rPr>
                <w:rFonts w:hint="eastAsia" w:ascii="宋体" w:hAnsi="宋体" w:eastAsia="宋体" w:cs="宋体"/>
                <w:i w:val="0"/>
                <w:iCs w:val="0"/>
                <w:color w:val="000000"/>
                <w:sz w:val="20"/>
                <w:szCs w:val="20"/>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2F11">
            <w:pPr>
              <w:jc w:val="center"/>
              <w:rPr>
                <w:rFonts w:hint="eastAsia" w:ascii="宋体" w:hAnsi="宋体" w:eastAsia="宋体" w:cs="宋体"/>
                <w:i w:val="0"/>
                <w:iCs w:val="0"/>
                <w:color w:val="000000"/>
                <w:sz w:val="20"/>
                <w:szCs w:val="20"/>
                <w:u w:val="none"/>
              </w:rPr>
            </w:pPr>
          </w:p>
        </w:tc>
      </w:tr>
      <w:tr w14:paraId="0D6E9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ADA2">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2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无线光强传感器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05189AE">
            <w:pPr>
              <w:jc w:val="left"/>
              <w:rPr>
                <w:rFonts w:hint="eastAsia" w:ascii="宋体" w:hAnsi="宋体" w:eastAsia="宋体" w:cs="宋体"/>
                <w:sz w:val="20"/>
                <w:szCs w:val="20"/>
              </w:rPr>
            </w:pPr>
            <w:r>
              <w:rPr>
                <w:rFonts w:hint="eastAsia" w:ascii="宋体" w:hAnsi="宋体" w:eastAsia="宋体" w:cs="宋体"/>
                <w:sz w:val="20"/>
                <w:szCs w:val="20"/>
              </w:rPr>
              <w:t>1、性能指标</w:t>
            </w:r>
          </w:p>
          <w:p w14:paraId="331BAEFB">
            <w:pPr>
              <w:jc w:val="left"/>
              <w:rPr>
                <w:rFonts w:hint="eastAsia" w:ascii="宋体" w:hAnsi="宋体" w:eastAsia="宋体" w:cs="宋体"/>
                <w:sz w:val="20"/>
                <w:szCs w:val="20"/>
              </w:rPr>
            </w:pPr>
            <w:r>
              <w:rPr>
                <w:rFonts w:hint="eastAsia" w:ascii="宋体" w:hAnsi="宋体" w:eastAsia="宋体" w:cs="宋体"/>
                <w:sz w:val="20"/>
                <w:szCs w:val="20"/>
              </w:rPr>
              <w:t xml:space="preserve">测量范围：0Lx～5000LX~150000Lx；自动量程 ；分辨率 ：≤1Lx。 </w:t>
            </w:r>
          </w:p>
          <w:p w14:paraId="2CAEF77D">
            <w:pPr>
              <w:keepNext w:val="0"/>
              <w:keepLines w:val="0"/>
              <w:widowControl/>
              <w:numPr>
                <w:ilvl w:val="0"/>
                <w:numId w:val="7"/>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sz w:val="20"/>
                <w:szCs w:val="20"/>
              </w:rPr>
              <w:t>支持有线通讯、无线通讯和屏幕数据显示三种工作方式；</w:t>
            </w:r>
            <w:r>
              <w:rPr>
                <w:rFonts w:hint="eastAsia" w:ascii="宋体" w:hAnsi="宋体" w:eastAsia="宋体" w:cs="宋体"/>
                <w:sz w:val="20"/>
                <w:szCs w:val="20"/>
              </w:rPr>
              <w:br w:type="textWrapping"/>
            </w:r>
            <w:r>
              <w:rPr>
                <w:rFonts w:hint="eastAsia" w:ascii="宋体" w:hAnsi="宋体" w:eastAsia="宋体" w:cs="宋体"/>
                <w:sz w:val="20"/>
                <w:szCs w:val="20"/>
              </w:rPr>
              <w:t>3、采用TYPE-C接口，支持热插拔；</w:t>
            </w:r>
            <w:r>
              <w:rPr>
                <w:rFonts w:hint="eastAsia" w:ascii="宋体" w:hAnsi="宋体" w:eastAsia="宋体" w:cs="宋体"/>
                <w:sz w:val="20"/>
                <w:szCs w:val="20"/>
              </w:rPr>
              <w:br w:type="textWrapping"/>
            </w:r>
            <w:r>
              <w:rPr>
                <w:rFonts w:hint="eastAsia" w:ascii="宋体" w:hAnsi="宋体" w:eastAsia="宋体" w:cs="宋体"/>
                <w:sz w:val="20"/>
                <w:szCs w:val="20"/>
              </w:rPr>
              <w:t>4、可在windows和安卓系统下进行实验；</w:t>
            </w:r>
            <w:r>
              <w:rPr>
                <w:rFonts w:hint="eastAsia" w:ascii="宋体" w:hAnsi="宋体" w:eastAsia="宋体" w:cs="宋体"/>
                <w:sz w:val="20"/>
                <w:szCs w:val="20"/>
              </w:rPr>
              <w:br w:type="textWrapping"/>
            </w:r>
            <w:r>
              <w:rPr>
                <w:rFonts w:hint="eastAsia" w:ascii="宋体" w:hAnsi="宋体" w:eastAsia="宋体" w:cs="宋体"/>
                <w:sz w:val="20"/>
                <w:szCs w:val="20"/>
              </w:rPr>
              <w:t>5、支持软件调零和切换量程；</w:t>
            </w:r>
            <w:r>
              <w:rPr>
                <w:rFonts w:hint="eastAsia" w:ascii="宋体" w:hAnsi="宋体" w:eastAsia="宋体" w:cs="宋体"/>
                <w:sz w:val="20"/>
                <w:szCs w:val="20"/>
              </w:rPr>
              <w:br w:type="textWrapping"/>
            </w:r>
            <w:r>
              <w:rPr>
                <w:rFonts w:hint="eastAsia" w:ascii="宋体" w:hAnsi="宋体" w:eastAsia="宋体" w:cs="宋体"/>
                <w:sz w:val="20"/>
                <w:szCs w:val="20"/>
              </w:rPr>
              <w:t>6、传感器外壳预留开孔，可用于固定传感器。                                                                                                                                                                                                                    7、可完成探究实验教学：1.探究环境因素对光合作用强度的影响；2.设计并制作生态缸、观察其稳定性；</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8718DA">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0AA3">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4DA18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D5E1">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1EA7">
            <w:pPr>
              <w:rPr>
                <w:rFonts w:hint="eastAsia" w:ascii="宋体" w:hAnsi="宋体" w:eastAsia="宋体" w:cs="宋体"/>
                <w:i w:val="0"/>
                <w:iCs w:val="0"/>
                <w:color w:val="000000"/>
                <w:sz w:val="20"/>
                <w:szCs w:val="20"/>
                <w:u w:val="none"/>
              </w:rPr>
            </w:pPr>
            <w:r>
              <w:rPr>
                <w:rFonts w:hint="eastAsia"/>
                <w:sz w:val="20"/>
                <w:szCs w:val="20"/>
              </w:rPr>
              <w:t>无线彩屏力与加速度传感器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0742FA">
            <w:pPr>
              <w:jc w:val="left"/>
              <w:rPr>
                <w:rFonts w:hint="eastAsia" w:ascii="宋体" w:hAnsi="宋体" w:eastAsia="宋体" w:cs="宋体"/>
                <w:sz w:val="20"/>
                <w:szCs w:val="20"/>
              </w:rPr>
            </w:pPr>
            <w:r>
              <w:rPr>
                <w:rFonts w:hint="eastAsia" w:ascii="宋体" w:hAnsi="宋体" w:eastAsia="宋体" w:cs="宋体"/>
                <w:sz w:val="20"/>
                <w:szCs w:val="20"/>
              </w:rPr>
              <w:t>一、性能指标</w:t>
            </w:r>
          </w:p>
          <w:p w14:paraId="5310BDB5">
            <w:pPr>
              <w:jc w:val="left"/>
              <w:rPr>
                <w:rFonts w:hint="eastAsia" w:ascii="宋体" w:hAnsi="宋体" w:eastAsia="宋体" w:cs="宋体"/>
                <w:sz w:val="20"/>
                <w:szCs w:val="20"/>
              </w:rPr>
            </w:pPr>
            <w:r>
              <w:rPr>
                <w:rFonts w:hint="eastAsia" w:ascii="宋体" w:hAnsi="宋体" w:eastAsia="宋体" w:cs="宋体"/>
                <w:sz w:val="20"/>
                <w:szCs w:val="20"/>
              </w:rPr>
              <w:t>量程：</w:t>
            </w:r>
          </w:p>
          <w:p w14:paraId="4F0DB629">
            <w:pPr>
              <w:jc w:val="left"/>
              <w:rPr>
                <w:rFonts w:hint="eastAsia" w:ascii="宋体" w:hAnsi="宋体" w:eastAsia="宋体" w:cs="宋体"/>
                <w:sz w:val="20"/>
                <w:szCs w:val="20"/>
              </w:rPr>
            </w:pPr>
            <w:r>
              <w:rPr>
                <w:rFonts w:hint="eastAsia" w:ascii="宋体" w:hAnsi="宋体" w:eastAsia="宋体" w:cs="宋体"/>
                <w:sz w:val="20"/>
                <w:szCs w:val="20"/>
              </w:rPr>
              <w:t>1、测量范围：力：≥-50N～+50N，分辨率：≤0.01N，24Bit高精度高速采样；</w:t>
            </w:r>
          </w:p>
          <w:p w14:paraId="5B21937F">
            <w:pPr>
              <w:jc w:val="left"/>
              <w:rPr>
                <w:rFonts w:hint="eastAsia" w:ascii="宋体" w:hAnsi="宋体" w:eastAsia="宋体" w:cs="宋体"/>
                <w:sz w:val="20"/>
                <w:szCs w:val="20"/>
              </w:rPr>
            </w:pPr>
            <w:r>
              <w:rPr>
                <w:rFonts w:hint="eastAsia" w:ascii="宋体" w:hAnsi="宋体" w:eastAsia="宋体" w:cs="宋体"/>
                <w:sz w:val="20"/>
                <w:szCs w:val="20"/>
              </w:rPr>
              <w:t>2、测量范围：3轴加速度（x、y、z）：≥-16g～+16g ，分辨率：≤0.01g；</w:t>
            </w:r>
          </w:p>
          <w:p w14:paraId="011391E3">
            <w:pPr>
              <w:jc w:val="left"/>
              <w:rPr>
                <w:rFonts w:hint="eastAsia" w:ascii="宋体" w:hAnsi="宋体" w:eastAsia="宋体" w:cs="宋体"/>
                <w:sz w:val="20"/>
                <w:szCs w:val="20"/>
              </w:rPr>
            </w:pPr>
            <w:r>
              <w:rPr>
                <w:rFonts w:hint="eastAsia" w:ascii="宋体" w:hAnsi="宋体" w:eastAsia="宋体" w:cs="宋体"/>
                <w:sz w:val="20"/>
                <w:szCs w:val="20"/>
              </w:rPr>
              <w:t>3、测量范围：3轴角速度（x、y、z）：≥-35rad/s（-2000°/s）～+35rad/s（+2000°/s）。</w:t>
            </w:r>
          </w:p>
          <w:p w14:paraId="0EF4030D">
            <w:pPr>
              <w:jc w:val="left"/>
              <w:rPr>
                <w:rFonts w:hint="eastAsia" w:ascii="宋体" w:hAnsi="宋体" w:eastAsia="宋体" w:cs="宋体"/>
                <w:sz w:val="20"/>
                <w:szCs w:val="20"/>
              </w:rPr>
            </w:pPr>
            <w:r>
              <w:rPr>
                <w:rFonts w:hint="eastAsia" w:ascii="宋体" w:hAnsi="宋体" w:eastAsia="宋体" w:cs="宋体"/>
                <w:sz w:val="20"/>
                <w:szCs w:val="20"/>
              </w:rPr>
              <w:t>精度：≤±2%F.S</w:t>
            </w:r>
          </w:p>
          <w:p w14:paraId="71EFE3DF">
            <w:pPr>
              <w:jc w:val="left"/>
              <w:rPr>
                <w:rFonts w:hint="eastAsia" w:ascii="宋体" w:hAnsi="宋体" w:eastAsia="宋体" w:cs="宋体"/>
                <w:sz w:val="20"/>
                <w:szCs w:val="20"/>
              </w:rPr>
            </w:pPr>
            <w:r>
              <w:rPr>
                <w:rFonts w:hint="eastAsia" w:ascii="宋体" w:hAnsi="宋体" w:eastAsia="宋体" w:cs="宋体"/>
                <w:sz w:val="20"/>
                <w:szCs w:val="20"/>
              </w:rPr>
              <w:t>三、内置器件</w:t>
            </w:r>
          </w:p>
          <w:p w14:paraId="35E470A0">
            <w:pPr>
              <w:jc w:val="left"/>
              <w:rPr>
                <w:rFonts w:hint="eastAsia" w:ascii="宋体" w:hAnsi="宋体" w:eastAsia="宋体" w:cs="宋体"/>
                <w:sz w:val="20"/>
                <w:szCs w:val="20"/>
              </w:rPr>
            </w:pPr>
            <w:r>
              <w:rPr>
                <w:rFonts w:hint="eastAsia" w:ascii="宋体" w:hAnsi="宋体" w:eastAsia="宋体" w:cs="宋体"/>
                <w:sz w:val="20"/>
                <w:szCs w:val="20"/>
              </w:rPr>
              <w:t xml:space="preserve"> 1、彩屏：≥2.0英寸；</w:t>
            </w:r>
          </w:p>
          <w:p w14:paraId="1CD91830">
            <w:pPr>
              <w:jc w:val="left"/>
              <w:rPr>
                <w:rFonts w:hint="eastAsia" w:ascii="宋体" w:hAnsi="宋体" w:eastAsia="宋体" w:cs="宋体"/>
                <w:sz w:val="20"/>
                <w:szCs w:val="20"/>
              </w:rPr>
            </w:pPr>
            <w:r>
              <w:rPr>
                <w:rFonts w:hint="eastAsia" w:ascii="宋体" w:hAnsi="宋体" w:eastAsia="宋体" w:cs="宋体"/>
                <w:sz w:val="20"/>
                <w:szCs w:val="20"/>
              </w:rPr>
              <w:t xml:space="preserve"> 2、蓝牙模块：低功耗蓝牙，兼容蓝牙4.0、蓝牙5.0，空中速率≥2Mbps；</w:t>
            </w:r>
          </w:p>
          <w:p w14:paraId="7ED1BD0D">
            <w:pPr>
              <w:jc w:val="left"/>
              <w:rPr>
                <w:rFonts w:hint="eastAsia" w:ascii="宋体" w:hAnsi="宋体" w:eastAsia="宋体" w:cs="宋体"/>
                <w:sz w:val="20"/>
                <w:szCs w:val="20"/>
              </w:rPr>
            </w:pPr>
            <w:r>
              <w:rPr>
                <w:rFonts w:hint="eastAsia" w:ascii="宋体" w:hAnsi="宋体" w:eastAsia="宋体" w:cs="宋体"/>
                <w:sz w:val="20"/>
                <w:szCs w:val="20"/>
              </w:rPr>
              <w:t xml:space="preserve"> 3、电池：≥800mAh可充电电池；</w:t>
            </w:r>
          </w:p>
          <w:p w14:paraId="54649439">
            <w:pPr>
              <w:jc w:val="left"/>
              <w:rPr>
                <w:rFonts w:hint="eastAsia" w:ascii="宋体" w:hAnsi="宋体" w:eastAsia="宋体" w:cs="宋体"/>
                <w:sz w:val="20"/>
                <w:szCs w:val="20"/>
              </w:rPr>
            </w:pPr>
            <w:r>
              <w:rPr>
                <w:rFonts w:hint="eastAsia" w:ascii="宋体" w:hAnsi="宋体" w:eastAsia="宋体" w:cs="宋体"/>
                <w:sz w:val="20"/>
                <w:szCs w:val="20"/>
              </w:rPr>
              <w:t xml:space="preserve"> 4、存储：内置数据存储芯片，容量≥128Mbit</w:t>
            </w:r>
          </w:p>
          <w:p w14:paraId="5FCDC978">
            <w:pPr>
              <w:jc w:val="left"/>
              <w:rPr>
                <w:rFonts w:hint="eastAsia" w:ascii="宋体" w:hAnsi="宋体" w:eastAsia="宋体" w:cs="宋体"/>
                <w:sz w:val="20"/>
                <w:szCs w:val="20"/>
                <w:lang w:val="en-US" w:eastAsia="zh-CN"/>
              </w:rPr>
            </w:pPr>
            <w:r>
              <w:rPr>
                <w:rFonts w:hint="eastAsia" w:ascii="宋体" w:hAnsi="宋体" w:eastAsia="宋体" w:cs="宋体"/>
                <w:sz w:val="20"/>
                <w:szCs w:val="20"/>
              </w:rPr>
              <w:t xml:space="preserve"> 5、能够实现脱机实验、离线实验 、无线实验、usb线连实验四种实验模式。脱机实验模式为传感器可以直接采集实验数据并通过内置彩屏实时显示实验数据或曲线；后续也可将采集到的存储数据导入到电脑、平板、智慧黑板等终端，用实验室数据采集系统软件进行分析处理；无线实验模式下，无需数据采集器与USB线，传感器可直接与电脑、平板、智慧黑板等终端无线连接进行实验数据采集；</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1F90BD">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2D47">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5724A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AF44">
            <w:pPr>
              <w:rPr>
                <w:rFonts w:hint="eastAsia" w:ascii="宋体" w:hAnsi="宋体" w:cs="宋体"/>
                <w:i w:val="0"/>
                <w:iCs w:val="0"/>
                <w:color w:val="000000"/>
                <w:sz w:val="20"/>
                <w:szCs w:val="20"/>
                <w:u w:val="none"/>
                <w:lang w:val="en-US" w:eastAsia="zh-CN"/>
              </w:rPr>
            </w:pPr>
          </w:p>
          <w:p w14:paraId="058D50BB">
            <w:pPr>
              <w:rPr>
                <w:rFonts w:hint="eastAsia" w:ascii="宋体" w:hAnsi="宋体" w:cs="宋体"/>
                <w:i w:val="0"/>
                <w:iCs w:val="0"/>
                <w:color w:val="000000"/>
                <w:sz w:val="20"/>
                <w:szCs w:val="20"/>
                <w:u w:val="none"/>
                <w:lang w:val="en-US" w:eastAsia="zh-CN"/>
              </w:rPr>
            </w:pPr>
          </w:p>
          <w:p w14:paraId="2EA46E54">
            <w:pPr>
              <w:rPr>
                <w:rFonts w:hint="eastAsia" w:ascii="宋体" w:hAnsi="宋体" w:cs="宋体"/>
                <w:i w:val="0"/>
                <w:iCs w:val="0"/>
                <w:color w:val="000000"/>
                <w:sz w:val="20"/>
                <w:szCs w:val="20"/>
                <w:u w:val="none"/>
                <w:lang w:val="en-US" w:eastAsia="zh-CN"/>
              </w:rPr>
            </w:pPr>
          </w:p>
          <w:p w14:paraId="142CE965">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CB6D">
            <w:pPr>
              <w:rPr>
                <w:rFonts w:hint="eastAsia" w:ascii="宋体" w:hAnsi="宋体" w:eastAsia="宋体" w:cs="宋体"/>
                <w:i w:val="0"/>
                <w:iCs w:val="0"/>
                <w:color w:val="000000"/>
                <w:kern w:val="0"/>
                <w:sz w:val="20"/>
                <w:szCs w:val="20"/>
                <w:u w:val="none"/>
                <w:lang w:val="en-US" w:eastAsia="zh-CN" w:bidi="ar"/>
              </w:rPr>
            </w:pPr>
            <w:r>
              <w:rPr>
                <w:rFonts w:hint="eastAsia"/>
                <w:sz w:val="20"/>
                <w:szCs w:val="20"/>
              </w:rPr>
              <w:t>无线蓝牙压强传感器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9F8184">
            <w:pPr>
              <w:numPr>
                <w:ilvl w:val="0"/>
                <w:numId w:val="8"/>
              </w:numPr>
              <w:jc w:val="left"/>
              <w:rPr>
                <w:rFonts w:hint="eastAsia" w:ascii="宋体" w:hAnsi="宋体" w:eastAsia="宋体" w:cs="宋体"/>
                <w:sz w:val="20"/>
                <w:szCs w:val="20"/>
                <w:lang w:val="en-US" w:eastAsia="zh-CN"/>
              </w:rPr>
            </w:pPr>
            <w:r>
              <w:rPr>
                <w:rFonts w:hint="eastAsia" w:ascii="宋体" w:hAnsi="宋体" w:eastAsia="宋体" w:cs="宋体"/>
                <w:sz w:val="20"/>
                <w:szCs w:val="20"/>
              </w:rPr>
              <w:t>测量范围：量程：0～700kPa，分辨率：0.1kPa；</w:t>
            </w:r>
            <w:r>
              <w:rPr>
                <w:rFonts w:hint="eastAsia" w:ascii="宋体" w:hAnsi="宋体" w:eastAsia="宋体" w:cs="宋体"/>
                <w:sz w:val="20"/>
                <w:szCs w:val="20"/>
              </w:rPr>
              <w:br w:type="textWrapping"/>
            </w:r>
            <w:r>
              <w:rPr>
                <w:rFonts w:hint="eastAsia" w:ascii="宋体" w:hAnsi="宋体" w:eastAsia="宋体" w:cs="宋体"/>
                <w:sz w:val="20"/>
                <w:szCs w:val="20"/>
              </w:rPr>
              <w:t>2、支持有线通讯、无线通讯和屏幕数据显示三种工作方式；</w:t>
            </w:r>
            <w:r>
              <w:rPr>
                <w:rFonts w:hint="eastAsia" w:ascii="宋体" w:hAnsi="宋体" w:eastAsia="宋体" w:cs="宋体"/>
                <w:sz w:val="20"/>
                <w:szCs w:val="20"/>
              </w:rPr>
              <w:br w:type="textWrapping"/>
            </w:r>
            <w:r>
              <w:rPr>
                <w:rFonts w:hint="eastAsia" w:ascii="宋体" w:hAnsi="宋体" w:eastAsia="宋体" w:cs="宋体"/>
                <w:sz w:val="20"/>
                <w:szCs w:val="20"/>
              </w:rPr>
              <w:t>3、采用TYPE-C接口，支持热插拔；</w:t>
            </w:r>
            <w:r>
              <w:rPr>
                <w:rFonts w:hint="eastAsia" w:ascii="宋体" w:hAnsi="宋体" w:eastAsia="宋体" w:cs="宋体"/>
                <w:sz w:val="20"/>
                <w:szCs w:val="20"/>
              </w:rPr>
              <w:br w:type="textWrapping"/>
            </w:r>
            <w:r>
              <w:rPr>
                <w:rFonts w:hint="eastAsia" w:ascii="宋体" w:hAnsi="宋体" w:eastAsia="宋体" w:cs="宋体"/>
                <w:sz w:val="20"/>
                <w:szCs w:val="20"/>
              </w:rPr>
              <w:t>4、可在windows和安卓系统下进行实验；</w:t>
            </w:r>
            <w:r>
              <w:rPr>
                <w:rFonts w:hint="eastAsia" w:ascii="宋体" w:hAnsi="宋体" w:eastAsia="宋体" w:cs="宋体"/>
                <w:sz w:val="20"/>
                <w:szCs w:val="20"/>
              </w:rPr>
              <w:br w:type="textWrapping"/>
            </w:r>
            <w:r>
              <w:rPr>
                <w:rFonts w:hint="eastAsia" w:ascii="宋体" w:hAnsi="宋体" w:eastAsia="宋体" w:cs="宋体"/>
                <w:sz w:val="20"/>
                <w:szCs w:val="20"/>
              </w:rPr>
              <w:t>5、支持软件调零；配件：60ml 注射器；</w:t>
            </w:r>
            <w:r>
              <w:rPr>
                <w:rFonts w:hint="eastAsia" w:ascii="宋体" w:hAnsi="宋体" w:eastAsia="宋体" w:cs="宋体"/>
                <w:sz w:val="20"/>
                <w:szCs w:val="20"/>
              </w:rPr>
              <w:br w:type="textWrapping"/>
            </w:r>
            <w:r>
              <w:rPr>
                <w:rFonts w:hint="eastAsia" w:ascii="宋体" w:hAnsi="宋体" w:eastAsia="宋体" w:cs="宋体"/>
                <w:sz w:val="20"/>
                <w:szCs w:val="20"/>
              </w:rPr>
              <w:t>6、传感器外壳预留开孔，可用于固定传感器。                                                                                                                                                                     7、可完成探究实验教学：1.探究液体压强与哪些因素有关 ；2.探究铁钉生锈的条件；3.探究二氧化碳与氢氧化钠稀溶液的反应；4.探究影响酶活性的因素；</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96C3D">
            <w:pPr>
              <w:jc w:val="center"/>
              <w:rPr>
                <w:rFonts w:hint="eastAsia" w:ascii="宋体" w:hAnsi="宋体" w:cs="宋体"/>
                <w:i w:val="0"/>
                <w:iCs w:val="0"/>
                <w:color w:val="000000"/>
                <w:sz w:val="20"/>
                <w:szCs w:val="20"/>
                <w:u w:val="none"/>
                <w:lang w:val="en-US" w:eastAsia="zh-CN"/>
              </w:rPr>
            </w:pPr>
          </w:p>
          <w:p w14:paraId="591D1D7E">
            <w:pPr>
              <w:jc w:val="center"/>
              <w:rPr>
                <w:rFonts w:hint="eastAsia" w:ascii="宋体" w:hAnsi="宋体" w:cs="宋体"/>
                <w:i w:val="0"/>
                <w:iCs w:val="0"/>
                <w:color w:val="000000"/>
                <w:sz w:val="20"/>
                <w:szCs w:val="20"/>
                <w:u w:val="none"/>
                <w:lang w:val="en-US" w:eastAsia="zh-CN"/>
              </w:rPr>
            </w:pPr>
          </w:p>
          <w:p w14:paraId="3AD46119">
            <w:pPr>
              <w:jc w:val="center"/>
              <w:rPr>
                <w:rFonts w:hint="eastAsia" w:ascii="宋体" w:hAnsi="宋体" w:cs="宋体"/>
                <w:i w:val="0"/>
                <w:iCs w:val="0"/>
                <w:color w:val="000000"/>
                <w:sz w:val="20"/>
                <w:szCs w:val="20"/>
                <w:u w:val="none"/>
                <w:lang w:val="en-US" w:eastAsia="zh-CN"/>
              </w:rPr>
            </w:pPr>
          </w:p>
          <w:p w14:paraId="3B686F46">
            <w:pPr>
              <w:jc w:val="center"/>
              <w:rPr>
                <w:rFonts w:hint="eastAsia" w:ascii="宋体" w:hAnsi="宋体" w:cs="宋体"/>
                <w:i w:val="0"/>
                <w:iCs w:val="0"/>
                <w:color w:val="000000"/>
                <w:sz w:val="20"/>
                <w:szCs w:val="20"/>
                <w:u w:val="none"/>
                <w:lang w:val="en-US" w:eastAsia="zh-CN"/>
              </w:rPr>
            </w:pPr>
          </w:p>
          <w:p w14:paraId="0CB82B30">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47F3">
            <w:pPr>
              <w:jc w:val="center"/>
              <w:rPr>
                <w:rFonts w:hint="eastAsia" w:ascii="宋体" w:hAnsi="宋体" w:cs="宋体"/>
                <w:i w:val="0"/>
                <w:iCs w:val="0"/>
                <w:color w:val="000000"/>
                <w:sz w:val="20"/>
                <w:szCs w:val="20"/>
                <w:u w:val="none"/>
                <w:lang w:val="en-US" w:eastAsia="zh-CN"/>
              </w:rPr>
            </w:pPr>
          </w:p>
          <w:p w14:paraId="1B8F011E">
            <w:pPr>
              <w:jc w:val="center"/>
              <w:rPr>
                <w:rFonts w:hint="eastAsia" w:ascii="宋体" w:hAnsi="宋体" w:cs="宋体"/>
                <w:i w:val="0"/>
                <w:iCs w:val="0"/>
                <w:color w:val="000000"/>
                <w:sz w:val="20"/>
                <w:szCs w:val="20"/>
                <w:u w:val="none"/>
                <w:lang w:val="en-US" w:eastAsia="zh-CN"/>
              </w:rPr>
            </w:pPr>
          </w:p>
          <w:p w14:paraId="78F10838">
            <w:pPr>
              <w:jc w:val="center"/>
              <w:rPr>
                <w:rFonts w:hint="eastAsia" w:ascii="宋体" w:hAnsi="宋体" w:cs="宋体"/>
                <w:i w:val="0"/>
                <w:iCs w:val="0"/>
                <w:color w:val="000000"/>
                <w:sz w:val="20"/>
                <w:szCs w:val="20"/>
                <w:u w:val="none"/>
                <w:lang w:val="en-US" w:eastAsia="zh-CN"/>
              </w:rPr>
            </w:pPr>
          </w:p>
          <w:p w14:paraId="35A3D7B6">
            <w:pPr>
              <w:jc w:val="center"/>
              <w:rPr>
                <w:rFonts w:hint="eastAsia" w:ascii="宋体" w:hAnsi="宋体" w:cs="宋体"/>
                <w:i w:val="0"/>
                <w:iCs w:val="0"/>
                <w:color w:val="000000"/>
                <w:sz w:val="20"/>
                <w:szCs w:val="20"/>
                <w:u w:val="none"/>
                <w:lang w:val="en-US" w:eastAsia="zh-CN"/>
              </w:rPr>
            </w:pPr>
          </w:p>
          <w:p w14:paraId="46136351">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1698D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1065">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379E">
            <w:pPr>
              <w:rPr>
                <w:rFonts w:hint="eastAsia" w:ascii="宋体" w:hAnsi="宋体" w:eastAsia="宋体" w:cs="宋体"/>
                <w:i w:val="0"/>
                <w:iCs w:val="0"/>
                <w:color w:val="000000"/>
                <w:kern w:val="0"/>
                <w:sz w:val="20"/>
                <w:szCs w:val="20"/>
                <w:u w:val="none"/>
                <w:lang w:val="en-US" w:eastAsia="zh-CN" w:bidi="ar"/>
              </w:rPr>
            </w:pPr>
            <w:r>
              <w:rPr>
                <w:rFonts w:hint="eastAsia"/>
                <w:sz w:val="20"/>
                <w:szCs w:val="20"/>
              </w:rPr>
              <w:t>无线蓝牙温度/湿度二合一传感器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E03E96">
            <w:pPr>
              <w:jc w:val="left"/>
              <w:rPr>
                <w:rFonts w:hint="eastAsia" w:ascii="宋体" w:hAnsi="宋体" w:eastAsia="宋体" w:cs="宋体"/>
                <w:sz w:val="20"/>
                <w:szCs w:val="20"/>
              </w:rPr>
            </w:pPr>
            <w:r>
              <w:rPr>
                <w:rFonts w:hint="eastAsia" w:ascii="宋体" w:hAnsi="宋体" w:eastAsia="宋体" w:cs="宋体"/>
                <w:sz w:val="20"/>
                <w:szCs w:val="20"/>
              </w:rPr>
              <w:t>一、性能指标</w:t>
            </w:r>
          </w:p>
          <w:p w14:paraId="6FF5C45F">
            <w:pPr>
              <w:jc w:val="left"/>
              <w:rPr>
                <w:rFonts w:hint="eastAsia" w:ascii="宋体" w:hAnsi="宋体" w:eastAsia="宋体" w:cs="宋体"/>
                <w:sz w:val="20"/>
                <w:szCs w:val="20"/>
              </w:rPr>
            </w:pPr>
            <w:r>
              <w:rPr>
                <w:rFonts w:hint="eastAsia" w:ascii="宋体" w:hAnsi="宋体" w:eastAsia="宋体" w:cs="宋体"/>
                <w:sz w:val="20"/>
                <w:szCs w:val="20"/>
              </w:rPr>
              <w:t>量程：</w:t>
            </w:r>
          </w:p>
          <w:p w14:paraId="7F176F7F">
            <w:pPr>
              <w:jc w:val="left"/>
              <w:rPr>
                <w:rFonts w:hint="eastAsia" w:ascii="宋体" w:hAnsi="宋体" w:eastAsia="宋体" w:cs="宋体"/>
                <w:sz w:val="20"/>
                <w:szCs w:val="20"/>
              </w:rPr>
            </w:pPr>
            <w:r>
              <w:rPr>
                <w:rFonts w:hint="eastAsia" w:ascii="宋体" w:hAnsi="宋体" w:eastAsia="宋体" w:cs="宋体"/>
                <w:sz w:val="20"/>
                <w:szCs w:val="20"/>
              </w:rPr>
              <w:t xml:space="preserve">1、测量范围：湿度 0～100%；分辨率 ≤0.1% ； </w:t>
            </w:r>
          </w:p>
          <w:p w14:paraId="07D5559C">
            <w:pPr>
              <w:jc w:val="left"/>
              <w:rPr>
                <w:rFonts w:hint="eastAsia" w:ascii="宋体" w:hAnsi="宋体" w:eastAsia="宋体" w:cs="宋体"/>
                <w:sz w:val="20"/>
                <w:szCs w:val="20"/>
              </w:rPr>
            </w:pPr>
            <w:r>
              <w:rPr>
                <w:rFonts w:hint="eastAsia" w:ascii="宋体" w:hAnsi="宋体" w:eastAsia="宋体" w:cs="宋体"/>
                <w:sz w:val="20"/>
                <w:szCs w:val="20"/>
              </w:rPr>
              <w:t>2、测量范围：温度 ≥-40ºC～125ºC，分辨率≤0.1ºC 。。</w:t>
            </w:r>
          </w:p>
          <w:p w14:paraId="1EFFD216">
            <w:pPr>
              <w:jc w:val="left"/>
              <w:rPr>
                <w:rFonts w:hint="eastAsia" w:ascii="宋体" w:hAnsi="宋体" w:eastAsia="宋体" w:cs="宋体"/>
                <w:sz w:val="20"/>
                <w:szCs w:val="20"/>
                <w:lang w:val="en-US" w:eastAsia="zh-CN"/>
              </w:rPr>
            </w:pPr>
            <w:r>
              <w:rPr>
                <w:rFonts w:hint="eastAsia" w:ascii="宋体" w:hAnsi="宋体" w:eastAsia="宋体" w:cs="宋体"/>
                <w:sz w:val="20"/>
                <w:szCs w:val="20"/>
              </w:rPr>
              <w:t>3、能够实现无线实验、usb线连实验量种实验模式。无线实验模式下，无需数据采集器与USB线，传感器可直接与电脑、平板、智慧黑板等终端无线连接进行实验数据采集</w:t>
            </w:r>
            <w:r>
              <w:rPr>
                <w:rFonts w:hint="eastAsia" w:ascii="宋体" w:hAnsi="宋体" w:eastAsia="宋体" w:cs="宋体"/>
                <w:sz w:val="20"/>
                <w:szCs w:val="20"/>
                <w:lang w:eastAsia="zh-CN"/>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9FCB1">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C0EC">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4BCCF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29C06">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5</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B3CC">
            <w:pPr>
              <w:rPr>
                <w:rFonts w:hint="eastAsia" w:ascii="宋体" w:hAnsi="宋体" w:eastAsia="宋体" w:cs="宋体"/>
                <w:i w:val="0"/>
                <w:iCs w:val="0"/>
                <w:color w:val="000000"/>
                <w:sz w:val="20"/>
                <w:szCs w:val="20"/>
                <w:u w:val="none"/>
              </w:rPr>
            </w:pPr>
            <w:r>
              <w:rPr>
                <w:rFonts w:hint="eastAsia"/>
                <w:sz w:val="20"/>
                <w:szCs w:val="20"/>
              </w:rPr>
              <w:t>无线蓝牙二氧化碳传感器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D448DB">
            <w:pPr>
              <w:numPr>
                <w:ilvl w:val="0"/>
                <w:numId w:val="9"/>
              </w:numPr>
              <w:jc w:val="left"/>
              <w:rPr>
                <w:rFonts w:hint="eastAsia" w:ascii="宋体" w:hAnsi="宋体" w:eastAsia="宋体" w:cs="宋体"/>
                <w:sz w:val="20"/>
                <w:szCs w:val="20"/>
                <w:lang w:val="en-US" w:eastAsia="zh-CN"/>
              </w:rPr>
            </w:pPr>
            <w:r>
              <w:rPr>
                <w:rFonts w:hint="eastAsia" w:ascii="宋体" w:hAnsi="宋体" w:eastAsia="宋体" w:cs="宋体"/>
                <w:sz w:val="20"/>
                <w:szCs w:val="20"/>
              </w:rPr>
              <w:t>测量范围：≥量程:0～50000ppm，分辨率：1ppm；</w:t>
            </w:r>
            <w:r>
              <w:rPr>
                <w:rFonts w:hint="eastAsia" w:ascii="宋体" w:hAnsi="宋体" w:eastAsia="宋体" w:cs="宋体"/>
                <w:sz w:val="20"/>
                <w:szCs w:val="20"/>
              </w:rPr>
              <w:br w:type="textWrapping"/>
            </w:r>
            <w:r>
              <w:rPr>
                <w:rFonts w:hint="eastAsia" w:ascii="宋体" w:hAnsi="宋体" w:eastAsia="宋体" w:cs="宋体"/>
                <w:sz w:val="20"/>
                <w:szCs w:val="20"/>
              </w:rPr>
              <w:t>2、用于检测气体中二氧化碳含量；</w:t>
            </w:r>
            <w:r>
              <w:rPr>
                <w:rFonts w:hint="eastAsia" w:ascii="宋体" w:hAnsi="宋体" w:eastAsia="宋体" w:cs="宋体"/>
                <w:sz w:val="20"/>
                <w:szCs w:val="20"/>
              </w:rPr>
              <w:br w:type="textWrapping"/>
            </w:r>
            <w:r>
              <w:rPr>
                <w:rFonts w:hint="eastAsia" w:ascii="宋体" w:hAnsi="宋体" w:eastAsia="宋体" w:cs="宋体"/>
                <w:sz w:val="20"/>
                <w:szCs w:val="20"/>
              </w:rPr>
              <w:t>3、支持有线通讯、无线通讯和屏幕数据显示三种工作方式；</w:t>
            </w:r>
            <w:r>
              <w:rPr>
                <w:rFonts w:hint="eastAsia" w:ascii="宋体" w:hAnsi="宋体" w:eastAsia="宋体" w:cs="宋体"/>
                <w:sz w:val="20"/>
                <w:szCs w:val="20"/>
              </w:rPr>
              <w:br w:type="textWrapping"/>
            </w:r>
            <w:r>
              <w:rPr>
                <w:rFonts w:hint="eastAsia" w:ascii="宋体" w:hAnsi="宋体" w:eastAsia="宋体" w:cs="宋体"/>
                <w:sz w:val="20"/>
                <w:szCs w:val="20"/>
              </w:rPr>
              <w:t>4、采用TYPE-C接口，支持热插拔；</w:t>
            </w:r>
            <w:r>
              <w:rPr>
                <w:rFonts w:hint="eastAsia" w:ascii="宋体" w:hAnsi="宋体" w:eastAsia="宋体" w:cs="宋体"/>
                <w:sz w:val="20"/>
                <w:szCs w:val="20"/>
              </w:rPr>
              <w:br w:type="textWrapping"/>
            </w:r>
            <w:r>
              <w:rPr>
                <w:rFonts w:hint="eastAsia" w:ascii="宋体" w:hAnsi="宋体" w:eastAsia="宋体" w:cs="宋体"/>
                <w:sz w:val="20"/>
                <w:szCs w:val="20"/>
              </w:rPr>
              <w:t>5、可在windows和安卓系统下进行实验；</w:t>
            </w:r>
            <w:r>
              <w:rPr>
                <w:rFonts w:hint="eastAsia" w:ascii="宋体" w:hAnsi="宋体" w:eastAsia="宋体" w:cs="宋体"/>
                <w:sz w:val="20"/>
                <w:szCs w:val="20"/>
              </w:rPr>
              <w:br w:type="textWrapping"/>
            </w:r>
            <w:r>
              <w:rPr>
                <w:rFonts w:hint="eastAsia" w:ascii="宋体" w:hAnsi="宋体" w:eastAsia="宋体" w:cs="宋体"/>
                <w:sz w:val="20"/>
                <w:szCs w:val="20"/>
              </w:rPr>
              <w:t>6、支持软件调零；</w:t>
            </w:r>
            <w:r>
              <w:rPr>
                <w:rFonts w:hint="eastAsia" w:ascii="宋体" w:hAnsi="宋体" w:eastAsia="宋体" w:cs="宋体"/>
                <w:sz w:val="20"/>
                <w:szCs w:val="20"/>
              </w:rPr>
              <w:br w:type="textWrapping"/>
            </w:r>
            <w:r>
              <w:rPr>
                <w:rFonts w:hint="eastAsia" w:ascii="宋体" w:hAnsi="宋体" w:eastAsia="宋体" w:cs="宋体"/>
                <w:sz w:val="20"/>
                <w:szCs w:val="20"/>
              </w:rPr>
              <w:t>7、传感器外壳带螺丝孔，可用于固定传感器。                                                                                                                                                           8、可完成探究实验教学：1.通过蜡烛、乙醇的燃烧实验探究物质元素的组成；2.燃烧条件的探究；3.探究植物光合作用的条件、原料和产物；4.验证人体呼出的气体中含有较多的二氧化碳；</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B89F1">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02E7">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005BA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4094">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6</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2347">
            <w:pPr>
              <w:rPr>
                <w:rFonts w:hint="eastAsia" w:ascii="宋体" w:hAnsi="宋体" w:eastAsia="宋体" w:cs="宋体"/>
                <w:i w:val="0"/>
                <w:iCs w:val="0"/>
                <w:color w:val="000000"/>
                <w:sz w:val="20"/>
                <w:szCs w:val="20"/>
                <w:u w:val="none"/>
              </w:rPr>
            </w:pPr>
            <w:r>
              <w:rPr>
                <w:rFonts w:hint="eastAsia"/>
                <w:sz w:val="20"/>
                <w:szCs w:val="20"/>
              </w:rPr>
              <w:t>无线蓝牙氧气传感器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413455">
            <w:pPr>
              <w:numPr>
                <w:ilvl w:val="0"/>
                <w:numId w:val="10"/>
              </w:numPr>
              <w:jc w:val="left"/>
              <w:rPr>
                <w:rFonts w:hint="eastAsia" w:ascii="宋体" w:hAnsi="宋体" w:eastAsia="宋体" w:cs="宋体"/>
                <w:sz w:val="20"/>
                <w:szCs w:val="20"/>
                <w:lang w:val="en-US" w:eastAsia="zh-CN"/>
              </w:rPr>
            </w:pPr>
            <w:r>
              <w:rPr>
                <w:rFonts w:hint="eastAsia" w:ascii="宋体" w:hAnsi="宋体" w:eastAsia="宋体" w:cs="宋体"/>
                <w:sz w:val="20"/>
                <w:szCs w:val="20"/>
              </w:rPr>
              <w:t>测量范围：量程:0～100%，分辨率：0.1%；</w:t>
            </w:r>
            <w:r>
              <w:rPr>
                <w:rFonts w:hint="eastAsia" w:ascii="宋体" w:hAnsi="宋体" w:eastAsia="宋体" w:cs="宋体"/>
                <w:sz w:val="20"/>
                <w:szCs w:val="20"/>
              </w:rPr>
              <w:br w:type="textWrapping"/>
            </w:r>
            <w:r>
              <w:rPr>
                <w:rFonts w:hint="eastAsia" w:ascii="宋体" w:hAnsi="宋体" w:eastAsia="宋体" w:cs="宋体"/>
                <w:sz w:val="20"/>
                <w:szCs w:val="20"/>
              </w:rPr>
              <w:t>2、用于检测气体中氧气含量；</w:t>
            </w:r>
            <w:r>
              <w:rPr>
                <w:rFonts w:hint="eastAsia" w:ascii="宋体" w:hAnsi="宋体" w:eastAsia="宋体" w:cs="宋体"/>
                <w:sz w:val="20"/>
                <w:szCs w:val="20"/>
              </w:rPr>
              <w:br w:type="textWrapping"/>
            </w:r>
            <w:r>
              <w:rPr>
                <w:rFonts w:hint="eastAsia" w:ascii="宋体" w:hAnsi="宋体" w:eastAsia="宋体" w:cs="宋体"/>
                <w:sz w:val="20"/>
                <w:szCs w:val="20"/>
              </w:rPr>
              <w:t>3、支持有线通讯、无线通讯和屏幕数据显示三种工作方式；</w:t>
            </w:r>
            <w:r>
              <w:rPr>
                <w:rFonts w:hint="eastAsia" w:ascii="宋体" w:hAnsi="宋体" w:eastAsia="宋体" w:cs="宋体"/>
                <w:sz w:val="20"/>
                <w:szCs w:val="20"/>
              </w:rPr>
              <w:br w:type="textWrapping"/>
            </w:r>
            <w:r>
              <w:rPr>
                <w:rFonts w:hint="eastAsia" w:ascii="宋体" w:hAnsi="宋体" w:eastAsia="宋体" w:cs="宋体"/>
                <w:sz w:val="20"/>
                <w:szCs w:val="20"/>
              </w:rPr>
              <w:t>4、采用TYPE-C接口，支持热插拔；</w:t>
            </w:r>
            <w:r>
              <w:rPr>
                <w:rFonts w:hint="eastAsia" w:ascii="宋体" w:hAnsi="宋体" w:eastAsia="宋体" w:cs="宋体"/>
                <w:sz w:val="20"/>
                <w:szCs w:val="20"/>
              </w:rPr>
              <w:br w:type="textWrapping"/>
            </w:r>
            <w:r>
              <w:rPr>
                <w:rFonts w:hint="eastAsia" w:ascii="宋体" w:hAnsi="宋体" w:eastAsia="宋体" w:cs="宋体"/>
                <w:sz w:val="20"/>
                <w:szCs w:val="20"/>
              </w:rPr>
              <w:t>5、可在windows和安卓系统下进行实验；</w:t>
            </w:r>
            <w:r>
              <w:rPr>
                <w:rFonts w:hint="eastAsia" w:ascii="宋体" w:hAnsi="宋体" w:eastAsia="宋体" w:cs="宋体"/>
                <w:sz w:val="20"/>
                <w:szCs w:val="20"/>
              </w:rPr>
              <w:br w:type="textWrapping"/>
            </w:r>
            <w:r>
              <w:rPr>
                <w:rFonts w:hint="eastAsia" w:ascii="宋体" w:hAnsi="宋体" w:eastAsia="宋体" w:cs="宋体"/>
                <w:sz w:val="20"/>
                <w:szCs w:val="20"/>
              </w:rPr>
              <w:t>6、支持软件调零；</w:t>
            </w:r>
            <w:r>
              <w:rPr>
                <w:rFonts w:hint="eastAsia" w:ascii="宋体" w:hAnsi="宋体" w:eastAsia="宋体" w:cs="宋体"/>
                <w:sz w:val="20"/>
                <w:szCs w:val="20"/>
              </w:rPr>
              <w:br w:type="textWrapping"/>
            </w:r>
            <w:r>
              <w:rPr>
                <w:rFonts w:hint="eastAsia" w:ascii="宋体" w:hAnsi="宋体" w:eastAsia="宋体" w:cs="宋体"/>
                <w:sz w:val="20"/>
                <w:szCs w:val="20"/>
              </w:rPr>
              <w:t>7、传感器外壳带螺丝孔，可用于固定传感器。                                                                                                                                                           8、可完成探究实验教学：1.测定空气中氧气的含量；2.探究铁钉生锈的条件；3.水的组成及变化的探究；4.燃烧条件的探究；5.人体生命活动的基本条件 呼吸系统（呼出气体与吸入气体比较）；6.种子的萌发；7.植物的光合作用；8.动植物的呼吸作用；</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683AF">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BE6A">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7740F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4171">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7</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D92D">
            <w:pPr>
              <w:rPr>
                <w:rFonts w:hint="eastAsia"/>
                <w:sz w:val="20"/>
                <w:szCs w:val="20"/>
              </w:rPr>
            </w:pPr>
            <w:r>
              <w:rPr>
                <w:rFonts w:hint="eastAsia"/>
                <w:sz w:val="20"/>
                <w:szCs w:val="20"/>
              </w:rPr>
              <w:t>无线彩屏pH传感器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35E845">
            <w:pPr>
              <w:jc w:val="left"/>
              <w:rPr>
                <w:rFonts w:hint="eastAsia" w:ascii="宋体" w:hAnsi="宋体" w:eastAsia="宋体" w:cs="宋体"/>
                <w:sz w:val="20"/>
                <w:szCs w:val="20"/>
              </w:rPr>
            </w:pPr>
            <w:r>
              <w:rPr>
                <w:rFonts w:hint="eastAsia" w:ascii="宋体" w:hAnsi="宋体" w:eastAsia="宋体" w:cs="宋体"/>
                <w:sz w:val="20"/>
                <w:szCs w:val="20"/>
              </w:rPr>
              <w:t xml:space="preserve">1、测量范围：pH值：0～14，分辨率 ：≤0.01，精度：≤±2%F.S。 </w:t>
            </w:r>
          </w:p>
          <w:p w14:paraId="2A4422E7">
            <w:pPr>
              <w:jc w:val="left"/>
              <w:rPr>
                <w:rFonts w:hint="eastAsia" w:ascii="宋体" w:hAnsi="宋体" w:eastAsia="宋体" w:cs="宋体"/>
                <w:sz w:val="20"/>
                <w:szCs w:val="20"/>
                <w:lang w:val="en-US" w:eastAsia="zh-CN"/>
              </w:rPr>
            </w:pPr>
            <w:r>
              <w:rPr>
                <w:rFonts w:hint="eastAsia" w:ascii="宋体" w:hAnsi="宋体" w:eastAsia="宋体" w:cs="宋体"/>
                <w:sz w:val="20"/>
                <w:szCs w:val="20"/>
              </w:rPr>
              <w:t>2、支持有线通讯、无线通讯和屏幕数据显示三种工作方式；</w:t>
            </w:r>
            <w:r>
              <w:rPr>
                <w:rFonts w:hint="eastAsia" w:ascii="宋体" w:hAnsi="宋体" w:eastAsia="宋体" w:cs="宋体"/>
                <w:sz w:val="20"/>
                <w:szCs w:val="20"/>
              </w:rPr>
              <w:br w:type="textWrapping"/>
            </w:r>
            <w:r>
              <w:rPr>
                <w:rFonts w:hint="eastAsia" w:ascii="宋体" w:hAnsi="宋体" w:eastAsia="宋体" w:cs="宋体"/>
                <w:sz w:val="20"/>
                <w:szCs w:val="20"/>
              </w:rPr>
              <w:t>3、采用TYPE-C接口，支持热插拔；</w:t>
            </w:r>
            <w:r>
              <w:rPr>
                <w:rFonts w:hint="eastAsia" w:ascii="宋体" w:hAnsi="宋体" w:eastAsia="宋体" w:cs="宋体"/>
                <w:sz w:val="20"/>
                <w:szCs w:val="20"/>
              </w:rPr>
              <w:br w:type="textWrapping"/>
            </w:r>
            <w:r>
              <w:rPr>
                <w:rFonts w:hint="eastAsia" w:ascii="宋体" w:hAnsi="宋体" w:eastAsia="宋体" w:cs="宋体"/>
                <w:sz w:val="20"/>
                <w:szCs w:val="20"/>
              </w:rPr>
              <w:t>4、可在windows和安卓系统下进行实验；</w:t>
            </w:r>
            <w:r>
              <w:rPr>
                <w:rFonts w:hint="eastAsia" w:ascii="宋体" w:hAnsi="宋体" w:eastAsia="宋体" w:cs="宋体"/>
                <w:sz w:val="20"/>
                <w:szCs w:val="20"/>
              </w:rPr>
              <w:br w:type="textWrapping"/>
            </w:r>
            <w:r>
              <w:rPr>
                <w:rFonts w:hint="eastAsia" w:ascii="宋体" w:hAnsi="宋体" w:eastAsia="宋体" w:cs="宋体"/>
                <w:sz w:val="20"/>
                <w:szCs w:val="20"/>
              </w:rPr>
              <w:t>5、支持软件调零；软件校准功能；</w:t>
            </w:r>
            <w:r>
              <w:rPr>
                <w:rFonts w:hint="eastAsia" w:ascii="宋体" w:hAnsi="宋体" w:eastAsia="宋体" w:cs="宋体"/>
                <w:sz w:val="20"/>
                <w:szCs w:val="20"/>
              </w:rPr>
              <w:br w:type="textWrapping"/>
            </w:r>
            <w:r>
              <w:rPr>
                <w:rFonts w:hint="eastAsia" w:ascii="宋体" w:hAnsi="宋体" w:eastAsia="宋体" w:cs="宋体"/>
                <w:sz w:val="20"/>
                <w:szCs w:val="20"/>
                <w:lang w:val="en-US" w:eastAsia="zh-CN"/>
              </w:rPr>
              <w:t>6</w:t>
            </w:r>
            <w:r>
              <w:rPr>
                <w:rFonts w:hint="eastAsia" w:ascii="宋体" w:hAnsi="宋体" w:eastAsia="宋体" w:cs="宋体"/>
                <w:sz w:val="20"/>
                <w:szCs w:val="20"/>
              </w:rPr>
              <w:t>、传感器外壳带螺丝孔，可用于固定传感器。                                                                                                                                                               7、可完成探究实验教学；1.探究二氧化碳与水反应；2.探究常见金属的物理性质和化学性质；3.探究铁钉生锈的条件；4.使用 pH 试纸等检测生活中常见溶液的酸碱性；5.探究常见酸、碱的化学性质；6.探究二氧化碳与氢氧化钠稀溶液的反应；7.探究氢氧化钠溶液和稀盐酸发生中和反应时的温度和pH 的变化；8.测试水的酸碱度；9.测试不同水质对水生小动物的影响；</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8F6BBE">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B8F4">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4160B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1F41">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8</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7611">
            <w:pPr>
              <w:rPr>
                <w:rFonts w:hint="eastAsia"/>
                <w:sz w:val="20"/>
                <w:szCs w:val="20"/>
                <w:highlight w:val="none"/>
                <w:lang w:val="en-US" w:eastAsia="zh-CN"/>
              </w:rPr>
            </w:pPr>
            <w:r>
              <w:rPr>
                <w:rFonts w:hint="eastAsia"/>
                <w:sz w:val="20"/>
                <w:szCs w:val="20"/>
                <w:highlight w:val="none"/>
                <w:lang w:val="en-US" w:eastAsia="zh-CN"/>
              </w:rPr>
              <w:t>实验室数据采集系统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04ACFA">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一、硬件参数</w:t>
            </w:r>
          </w:p>
          <w:p w14:paraId="447C1312">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屏幕：≥10英寸液晶显示屏，分辨率≥1920×1080；IPS 全视角，低蓝光护眼，支持 10 点及以上电容触控；钢化玻璃屏，抗冲击、防刮。</w:t>
            </w:r>
          </w:p>
          <w:p w14:paraId="5F673BA5">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核心性能：八核高性能处理器；运行内存 RAM ≥6GB，机身存储 ≥128GB。</w:t>
            </w:r>
          </w:p>
          <w:p w14:paraId="49E7337D">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连接能力（重点）</w:t>
            </w:r>
          </w:p>
          <w:p w14:paraId="1FA31B00">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蓝牙：蓝牙 5.2 及以上，兼容市面主流无线传感器、蓝牙数据采集器，连接距离≥10 米，多设备同时连接无干扰。</w:t>
            </w:r>
          </w:p>
          <w:p w14:paraId="58441E79">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WIFI：双频 WIFI（2.4G+5G），支持 WIFI 直连。</w:t>
            </w:r>
          </w:p>
          <w:p w14:paraId="75604122">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接口：标准 Type-C 接口。</w:t>
            </w:r>
          </w:p>
          <w:p w14:paraId="2DA9F5B4">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操作系统：原厂正版系统（Android 12 及以上 / 鸿蒙 OS 3.0 及以上 二选一，按需填写），开放系统权限，无应用安装限制，兼容市面 95% 以上数字化实验软件、传感器驱动。</w:t>
            </w:r>
          </w:p>
          <w:p w14:paraId="5958127E">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电池续航：内置锂电池≥6000mAh，连续实验使用续航≥10 小时；支持 Type-C 快充。</w:t>
            </w:r>
          </w:p>
          <w:p w14:paraId="0C1DEEF4">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影像功能：前置≥500 万像素，后置≥800 万像素自动对焦摄像头，支持 1080P 视频录制，满足实验过程记录。</w:t>
            </w:r>
          </w:p>
          <w:p w14:paraId="6C77A29D">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机身设计：轻薄便携，整机重量≤550g；防滑边框，人体工学握持设计；整机具备防泼溅、防跌落基础防护。</w:t>
            </w:r>
          </w:p>
          <w:p w14:paraId="13608C2F">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外设兼容：支持蓝牙键鼠、手写笔（可选），适配实验批注、数据录入。</w:t>
            </w:r>
          </w:p>
          <w:p w14:paraId="44038938">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二、软件 &amp; 实验室专属要求</w:t>
            </w:r>
          </w:p>
          <w:p w14:paraId="7C989080">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完美对接投标方所投各类数字化传感器、数据采集器，实现数据实时采集、动态曲线、实时运算、数据拟合、报表生成。</w:t>
            </w:r>
          </w:p>
          <w:p w14:paraId="223E3BEB">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支持数据本地保存、云端 / 局域网同步，实验文件可导出为图片、表格、PDF 格式。</w:t>
            </w:r>
          </w:p>
          <w:p w14:paraId="39205DFA">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支持校园终端统一管理：远程设备状态查看、应用批量安装、设备锁定 / 解锁。</w:t>
            </w:r>
          </w:p>
          <w:p w14:paraId="2E12786A">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三、质保、售后与交付</w:t>
            </w:r>
          </w:p>
          <w:p w14:paraId="15749227">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整机质保≥5 年，电池质保≥1 年。</w:t>
            </w:r>
          </w:p>
          <w:p w14:paraId="11F2FB84">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提供原厂出厂合格证、质检报告；到货后配合完成平板 + 传感器联调测试，确保整套系统正常运行。</w:t>
            </w:r>
          </w:p>
          <w:p w14:paraId="101B88BB">
            <w:pPr>
              <w:jc w:val="lef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提供操作手册、管理手册电子版。</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3AE472">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100</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A662">
            <w:pPr>
              <w:jc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套</w:t>
            </w:r>
          </w:p>
        </w:tc>
      </w:tr>
      <w:tr w14:paraId="73F78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8E09">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9</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0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无线充电器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7987E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无线充电器</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D0ECB">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2ECE">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1594A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FF91">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A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无线蓝牙适配器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B01EF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★支持PC或者笔记本蓝牙5.0高速传输。兼容蓝牙4.0、4.1、4.2，传输距离大于等于10米，信号稳定、支持大数据量连续传输、支持WIN8/10/11系统。</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51D44">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9639">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r w14:paraId="722F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DACC">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0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USB充电站</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4BC0D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★智能多路 USB 共享充电站（≥20路）</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345FE">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6624">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个</w:t>
            </w:r>
          </w:p>
        </w:tc>
      </w:tr>
    </w:tbl>
    <w:p w14:paraId="792171B8">
      <w:pPr>
        <w:pStyle w:val="11"/>
        <w:spacing w:before="119" w:line="221" w:lineRule="auto"/>
        <w:jc w:val="both"/>
        <w:rPr>
          <w:rFonts w:hint="eastAsia" w:ascii="宋体" w:hAnsi="宋体" w:eastAsia="宋体" w:cs="Times New Roman"/>
          <w:b/>
          <w:bCs/>
          <w:color w:val="000000"/>
          <w:sz w:val="24"/>
          <w:szCs w:val="24"/>
          <w:highlight w:val="none"/>
          <w:lang w:val="en-US" w:eastAsia="zh-CN" w:bidi="ar-SA"/>
        </w:rPr>
      </w:pPr>
    </w:p>
    <w:p w14:paraId="53D26E38">
      <w:pPr>
        <w:pStyle w:val="74"/>
        <w:numPr>
          <w:ilvl w:val="0"/>
          <w:numId w:val="0"/>
        </w:numPr>
        <w:ind w:leftChars="0"/>
        <w:rPr>
          <w:rFonts w:hint="eastAsia"/>
          <w:lang w:val="en-US" w:eastAsia="zh-CN"/>
        </w:rPr>
      </w:pPr>
    </w:p>
    <w:p w14:paraId="020D5253">
      <w:pPr>
        <w:jc w:val="left"/>
        <w:rPr>
          <w:rFonts w:hint="eastAsia" w:ascii="宋体" w:hAnsi="宋体" w:cs="宋体"/>
          <w:bCs/>
          <w:szCs w:val="28"/>
        </w:rPr>
      </w:pPr>
      <w:r>
        <w:rPr>
          <w:rFonts w:hint="eastAsia" w:ascii="宋体" w:hAnsi="宋体" w:cs="宋体"/>
          <w:bCs/>
          <w:szCs w:val="28"/>
        </w:rPr>
        <w:t>注明：</w:t>
      </w:r>
      <w:r>
        <w:rPr>
          <w:rFonts w:hint="eastAsia" w:ascii="宋体" w:hAnsi="宋体" w:cs="宋体"/>
          <w:bCs/>
          <w:color w:val="FF0000"/>
          <w:szCs w:val="28"/>
        </w:rPr>
        <w:t xml:space="preserve"> </w:t>
      </w:r>
    </w:p>
    <w:p w14:paraId="541BE024">
      <w:pPr>
        <w:jc w:val="left"/>
        <w:rPr>
          <w:rFonts w:hint="eastAsia" w:ascii="宋体" w:hAnsi="宋体" w:cs="宋体"/>
          <w:bCs/>
          <w:szCs w:val="28"/>
        </w:rPr>
      </w:pPr>
      <w:r>
        <w:rPr>
          <w:rFonts w:hint="eastAsia" w:ascii="宋体" w:hAnsi="宋体" w:cs="宋体"/>
          <w:bCs/>
          <w:szCs w:val="28"/>
        </w:rPr>
        <w:t>1、本项目器材所有采集数据均归采购人所有，未经采购人同意，中标人不得擅自使用采集数据；</w:t>
      </w:r>
    </w:p>
    <w:p w14:paraId="4C72A271">
      <w:pPr>
        <w:jc w:val="left"/>
        <w:outlineLvl w:val="0"/>
        <w:rPr>
          <w:rFonts w:hint="eastAsia" w:ascii="宋体" w:hAnsi="宋体" w:cs="宋体"/>
          <w:bCs/>
          <w:szCs w:val="28"/>
        </w:rPr>
      </w:pPr>
      <w:r>
        <w:rPr>
          <w:rFonts w:hint="eastAsia" w:ascii="宋体" w:hAnsi="宋体" w:cs="宋体"/>
          <w:bCs/>
          <w:szCs w:val="28"/>
        </w:rPr>
        <w:t>2、上述技术要求中的参数只要优或相当于其技术参数及功能要求的，均可视为响应；</w:t>
      </w:r>
    </w:p>
    <w:p w14:paraId="64CE9FF7">
      <w:pPr>
        <w:jc w:val="left"/>
        <w:rPr>
          <w:rFonts w:hint="eastAsia" w:ascii="宋体" w:hAnsi="宋体" w:cs="宋体"/>
          <w:bCs/>
          <w:szCs w:val="28"/>
        </w:rPr>
      </w:pPr>
      <w:r>
        <w:rPr>
          <w:rFonts w:hint="eastAsia" w:ascii="宋体" w:hAnsi="宋体" w:cs="宋体"/>
          <w:bCs/>
          <w:szCs w:val="28"/>
        </w:rPr>
        <w:t>3、以上技术规格和要求必须逐条响应，提供所投产品的具体参数值，不得简单复制招标文件相关内容。若指标项存在正、负偏离的均应详细说明，如实填写技术偏离表；</w:t>
      </w:r>
    </w:p>
    <w:p w14:paraId="00697E54">
      <w:pPr>
        <w:pStyle w:val="2"/>
        <w:rPr>
          <w:rFonts w:hint="eastAsia" w:ascii="宋体" w:hAnsi="宋体" w:cs="宋体"/>
          <w:bCs/>
          <w:szCs w:val="28"/>
        </w:rPr>
      </w:pPr>
    </w:p>
    <w:p w14:paraId="05410A93">
      <w:pPr>
        <w:pStyle w:val="5"/>
        <w:rPr>
          <w:rFonts w:hint="eastAsia" w:ascii="宋体" w:hAnsi="宋体" w:cs="宋体"/>
          <w:bCs/>
          <w:szCs w:val="28"/>
        </w:rPr>
      </w:pPr>
    </w:p>
    <w:p w14:paraId="00099C50">
      <w:pPr>
        <w:pStyle w:val="5"/>
        <w:rPr>
          <w:rFonts w:hint="eastAsia" w:ascii="宋体" w:hAnsi="宋体" w:cs="宋体"/>
          <w:bCs/>
          <w:szCs w:val="28"/>
        </w:rPr>
      </w:pPr>
    </w:p>
    <w:p w14:paraId="0212C080">
      <w:pPr>
        <w:pStyle w:val="5"/>
        <w:rPr>
          <w:rFonts w:hint="eastAsia" w:ascii="宋体" w:hAnsi="宋体" w:cs="宋体"/>
          <w:bCs/>
          <w:szCs w:val="28"/>
        </w:rPr>
      </w:pPr>
    </w:p>
    <w:p w14:paraId="51C96677">
      <w:pPr>
        <w:pStyle w:val="5"/>
        <w:rPr>
          <w:rFonts w:hint="eastAsia" w:ascii="宋体" w:hAnsi="宋体" w:cs="宋体"/>
          <w:bCs/>
          <w:szCs w:val="28"/>
        </w:rPr>
      </w:pPr>
    </w:p>
    <w:p w14:paraId="5C300B72">
      <w:pPr>
        <w:pStyle w:val="5"/>
        <w:rPr>
          <w:rFonts w:hint="eastAsia" w:ascii="宋体" w:hAnsi="宋体" w:cs="宋体"/>
          <w:bCs/>
          <w:szCs w:val="28"/>
        </w:rPr>
      </w:pPr>
    </w:p>
    <w:p w14:paraId="3C7519D5">
      <w:pPr>
        <w:pStyle w:val="5"/>
        <w:rPr>
          <w:rFonts w:hint="eastAsia" w:ascii="宋体" w:hAnsi="宋体" w:cs="宋体"/>
          <w:bCs/>
          <w:szCs w:val="28"/>
        </w:rPr>
      </w:pPr>
    </w:p>
    <w:p w14:paraId="4851CF6D">
      <w:pPr>
        <w:pStyle w:val="5"/>
        <w:rPr>
          <w:rFonts w:hint="eastAsia" w:ascii="宋体" w:hAnsi="宋体" w:cs="宋体"/>
          <w:bCs/>
          <w:szCs w:val="28"/>
        </w:rPr>
      </w:pPr>
    </w:p>
    <w:p w14:paraId="2D4B6BBF">
      <w:pPr>
        <w:pStyle w:val="5"/>
        <w:ind w:left="0" w:leftChars="0" w:firstLine="0" w:firstLineChars="0"/>
        <w:rPr>
          <w:rFonts w:hint="eastAsia" w:ascii="宋体" w:hAnsi="宋体" w:cs="宋体"/>
          <w:bCs/>
          <w:szCs w:val="28"/>
        </w:rPr>
      </w:pPr>
    </w:p>
    <w:p w14:paraId="4BBF42C0">
      <w:pPr>
        <w:jc w:val="center"/>
        <w:outlineLvl w:val="0"/>
        <w:rPr>
          <w:rFonts w:hint="eastAsia" w:ascii="宋体" w:hAnsi="宋体" w:eastAsia="宋体" w:cs="宋体"/>
          <w:color w:val="auto"/>
          <w:sz w:val="32"/>
          <w:szCs w:val="32"/>
          <w:highlight w:val="none"/>
        </w:rPr>
      </w:pPr>
    </w:p>
    <w:p w14:paraId="62FBA67E">
      <w:pPr>
        <w:jc w:val="center"/>
        <w:outlineLvl w:val="0"/>
        <w:rPr>
          <w:rFonts w:hint="eastAsia" w:ascii="宋体" w:hAnsi="宋体" w:eastAsia="宋体" w:cs="宋体"/>
          <w:color w:val="auto"/>
          <w:sz w:val="32"/>
          <w:szCs w:val="32"/>
          <w:highlight w:val="none"/>
        </w:rPr>
      </w:pPr>
    </w:p>
    <w:p w14:paraId="04818CD1">
      <w:pPr>
        <w:jc w:val="center"/>
        <w:outlineLvl w:val="0"/>
        <w:rPr>
          <w:rFonts w:hint="eastAsia" w:ascii="宋体" w:hAnsi="宋体" w:eastAsia="宋体" w:cs="宋体"/>
          <w:color w:val="auto"/>
          <w:sz w:val="32"/>
          <w:szCs w:val="32"/>
          <w:highlight w:val="none"/>
        </w:rPr>
      </w:pPr>
    </w:p>
    <w:p w14:paraId="64B19E9B">
      <w:pPr>
        <w:jc w:val="center"/>
        <w:outlineLvl w:val="0"/>
        <w:rPr>
          <w:rFonts w:hint="eastAsia" w:ascii="宋体" w:hAnsi="宋体" w:eastAsia="宋体" w:cs="宋体"/>
          <w:color w:val="auto"/>
          <w:sz w:val="32"/>
          <w:szCs w:val="32"/>
          <w:highlight w:val="none"/>
        </w:rPr>
      </w:pPr>
    </w:p>
    <w:p w14:paraId="1A081377">
      <w:pPr>
        <w:jc w:val="center"/>
        <w:outlineLvl w:val="0"/>
        <w:rPr>
          <w:rFonts w:hint="eastAsia" w:ascii="宋体" w:hAnsi="宋体" w:eastAsia="宋体" w:cs="宋体"/>
          <w:color w:val="auto"/>
          <w:sz w:val="32"/>
          <w:szCs w:val="32"/>
          <w:highlight w:val="none"/>
        </w:rPr>
      </w:pPr>
    </w:p>
    <w:p w14:paraId="041B22CF">
      <w:pPr>
        <w:jc w:val="center"/>
        <w:outlineLvl w:val="0"/>
        <w:rPr>
          <w:rFonts w:hint="eastAsia" w:ascii="宋体" w:hAnsi="宋体" w:eastAsia="宋体" w:cs="宋体"/>
          <w:color w:val="auto"/>
          <w:sz w:val="32"/>
          <w:szCs w:val="32"/>
          <w:highlight w:val="none"/>
        </w:rPr>
      </w:pPr>
    </w:p>
    <w:p w14:paraId="29E07531">
      <w:pPr>
        <w:jc w:val="center"/>
        <w:outlineLvl w:val="0"/>
        <w:rPr>
          <w:rFonts w:hint="eastAsia" w:ascii="宋体" w:hAnsi="宋体" w:eastAsia="宋体" w:cs="宋体"/>
          <w:color w:val="auto"/>
          <w:sz w:val="32"/>
          <w:szCs w:val="32"/>
          <w:highlight w:val="none"/>
        </w:rPr>
      </w:pPr>
    </w:p>
    <w:p w14:paraId="22CCB27A">
      <w:pPr>
        <w:jc w:val="center"/>
        <w:outlineLvl w:val="0"/>
        <w:rPr>
          <w:rFonts w:hint="eastAsia" w:ascii="宋体" w:hAnsi="宋体" w:eastAsia="宋体" w:cs="宋体"/>
          <w:color w:val="auto"/>
          <w:sz w:val="32"/>
          <w:szCs w:val="32"/>
          <w:highlight w:val="none"/>
        </w:rPr>
      </w:pPr>
    </w:p>
    <w:p w14:paraId="1292865E">
      <w:pPr>
        <w:jc w:val="center"/>
        <w:outlineLvl w:val="0"/>
        <w:rPr>
          <w:rFonts w:hint="eastAsia" w:ascii="宋体" w:hAnsi="宋体" w:eastAsia="宋体" w:cs="宋体"/>
          <w:color w:val="auto"/>
          <w:sz w:val="32"/>
          <w:szCs w:val="32"/>
          <w:highlight w:val="none"/>
        </w:rPr>
      </w:pPr>
    </w:p>
    <w:p w14:paraId="743E3889">
      <w:pPr>
        <w:jc w:val="center"/>
        <w:outlineLvl w:val="0"/>
        <w:rPr>
          <w:rFonts w:hint="eastAsia" w:ascii="宋体" w:hAnsi="宋体" w:eastAsia="宋体" w:cs="宋体"/>
          <w:color w:val="auto"/>
          <w:sz w:val="32"/>
          <w:szCs w:val="32"/>
          <w:highlight w:val="none"/>
        </w:rPr>
      </w:pPr>
    </w:p>
    <w:p w14:paraId="01D93D92">
      <w:pPr>
        <w:jc w:val="center"/>
        <w:outlineLvl w:val="0"/>
        <w:rPr>
          <w:rFonts w:hint="eastAsia" w:ascii="宋体" w:hAnsi="宋体" w:eastAsia="宋体" w:cs="宋体"/>
          <w:color w:val="auto"/>
          <w:sz w:val="32"/>
          <w:szCs w:val="32"/>
          <w:highlight w:val="none"/>
        </w:rPr>
      </w:pPr>
    </w:p>
    <w:p w14:paraId="41D3C58E">
      <w:pPr>
        <w:jc w:val="center"/>
        <w:outlineLvl w:val="0"/>
        <w:rPr>
          <w:rFonts w:hint="eastAsia" w:ascii="宋体" w:hAnsi="宋体" w:eastAsia="宋体" w:cs="宋体"/>
          <w:b/>
          <w:color w:val="auto"/>
          <w:highlight w:val="none"/>
        </w:rPr>
      </w:pPr>
      <w:r>
        <w:rPr>
          <w:rFonts w:hint="eastAsia" w:ascii="宋体" w:hAnsi="宋体" w:eastAsia="宋体" w:cs="宋体"/>
          <w:color w:val="auto"/>
          <w:sz w:val="32"/>
          <w:szCs w:val="32"/>
          <w:highlight w:val="none"/>
        </w:rPr>
        <w:t>第六章</w:t>
      </w:r>
      <w:r>
        <w:rPr>
          <w:rFonts w:hint="eastAsia" w:ascii="宋体" w:hAnsi="宋体" w:eastAsia="宋体" w:cs="宋体"/>
          <w:color w:val="auto"/>
          <w:sz w:val="44"/>
          <w:szCs w:val="44"/>
          <w:highlight w:val="none"/>
        </w:rPr>
        <w:t xml:space="preserve"> </w:t>
      </w:r>
      <w:r>
        <w:rPr>
          <w:rFonts w:hint="eastAsia" w:ascii="宋体" w:hAnsi="宋体" w:eastAsia="宋体" w:cs="宋体"/>
          <w:b/>
          <w:color w:val="auto"/>
          <w:sz w:val="32"/>
          <w:szCs w:val="32"/>
          <w:highlight w:val="none"/>
        </w:rPr>
        <w:t>投标文件的编制要求及参考格式</w:t>
      </w:r>
      <w:bookmarkEnd w:id="310"/>
      <w:r>
        <w:rPr>
          <w:rFonts w:hint="eastAsia" w:ascii="宋体" w:hAnsi="宋体" w:eastAsia="宋体" w:cs="宋体"/>
          <w:b/>
          <w:color w:val="auto"/>
          <w:highlight w:val="none"/>
        </w:rPr>
        <w:t xml:space="preserve"> </w:t>
      </w:r>
      <w:bookmarkStart w:id="311" w:name="_Hlt26955039"/>
      <w:bookmarkEnd w:id="311"/>
      <w:bookmarkStart w:id="312" w:name="_Hlt26671244"/>
      <w:bookmarkEnd w:id="312"/>
      <w:bookmarkStart w:id="313" w:name="_Toc288030359"/>
      <w:bookmarkStart w:id="314" w:name="_Toc26554094"/>
      <w:bookmarkStart w:id="315" w:name="_Toc49090576"/>
      <w:bookmarkStart w:id="316" w:name="_Toc282446331"/>
      <w:bookmarkStart w:id="317" w:name="_Toc120614282"/>
    </w:p>
    <w:p w14:paraId="5447920E">
      <w:pPr>
        <w:pStyle w:val="20"/>
        <w:spacing w:line="360" w:lineRule="exact"/>
        <w:ind w:left="646" w:firstLine="0"/>
        <w:jc w:val="center"/>
        <w:rPr>
          <w:rFonts w:hint="eastAsia" w:ascii="宋体" w:hAnsi="宋体" w:eastAsia="宋体" w:cs="宋体"/>
          <w:b/>
          <w:color w:val="auto"/>
          <w:sz w:val="44"/>
          <w:szCs w:val="44"/>
          <w:highlight w:val="none"/>
        </w:rPr>
      </w:pPr>
    </w:p>
    <w:p w14:paraId="0400EAF5">
      <w:pPr>
        <w:spacing w:line="500" w:lineRule="exact"/>
        <w:outlineLvl w:val="1"/>
        <w:rPr>
          <w:rFonts w:hint="eastAsia" w:ascii="宋体" w:hAnsi="宋体" w:eastAsia="宋体" w:cs="宋体"/>
          <w:color w:val="auto"/>
          <w:highlight w:val="none"/>
        </w:rPr>
      </w:pPr>
      <w:bookmarkStart w:id="318" w:name="_Toc26281"/>
      <w:bookmarkStart w:id="319" w:name="_Toc426469932"/>
      <w:r>
        <w:rPr>
          <w:rFonts w:hint="eastAsia" w:ascii="宋体" w:hAnsi="宋体" w:eastAsia="宋体" w:cs="宋体"/>
          <w:color w:val="auto"/>
          <w:highlight w:val="none"/>
        </w:rPr>
        <w:t>1.投标文件的组成</w:t>
      </w:r>
      <w:bookmarkEnd w:id="318"/>
      <w:bookmarkEnd w:id="319"/>
    </w:p>
    <w:p w14:paraId="70A5D1C1">
      <w:pPr>
        <w:adjustRightInd w:val="0"/>
        <w:snapToGrid w:val="0"/>
        <w:spacing w:line="500" w:lineRule="exact"/>
        <w:ind w:firstLine="480" w:firstLineChars="200"/>
        <w:rPr>
          <w:rFonts w:hint="eastAsia" w:ascii="宋体" w:hAnsi="宋体" w:eastAsia="宋体" w:cs="宋体"/>
          <w:color w:val="auto"/>
          <w:highlight w:val="none"/>
        </w:rPr>
      </w:pPr>
      <w:bookmarkStart w:id="320" w:name="_Toc426469933"/>
      <w:r>
        <w:rPr>
          <w:rFonts w:hint="eastAsia" w:ascii="宋体" w:hAnsi="宋体" w:eastAsia="宋体" w:cs="宋体"/>
          <w:color w:val="auto"/>
          <w:highlight w:val="none"/>
        </w:rPr>
        <w:t>见本招标文件第二章3.1条。</w:t>
      </w:r>
    </w:p>
    <w:p w14:paraId="5A589597">
      <w:pPr>
        <w:spacing w:line="500" w:lineRule="exact"/>
        <w:outlineLvl w:val="1"/>
        <w:rPr>
          <w:rFonts w:hint="eastAsia" w:ascii="宋体" w:hAnsi="宋体" w:eastAsia="宋体" w:cs="宋体"/>
          <w:color w:val="auto"/>
          <w:highlight w:val="none"/>
        </w:rPr>
      </w:pPr>
      <w:bookmarkStart w:id="321" w:name="_Toc10906"/>
      <w:r>
        <w:rPr>
          <w:rFonts w:hint="eastAsia" w:ascii="宋体" w:hAnsi="宋体" w:eastAsia="宋体" w:cs="宋体"/>
          <w:color w:val="auto"/>
          <w:highlight w:val="none"/>
        </w:rPr>
        <w:t>2.投标文件的编制内容及编制要求</w:t>
      </w:r>
      <w:bookmarkEnd w:id="320"/>
      <w:bookmarkEnd w:id="321"/>
    </w:p>
    <w:p w14:paraId="353B129E">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2.1开标一览表</w:t>
      </w:r>
    </w:p>
    <w:p w14:paraId="1BD1D0E6">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2.1.1 供应商应按表中格式完整、清晰、正确填写；</w:t>
      </w:r>
    </w:p>
    <w:p w14:paraId="67F95907">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2.1.2开标一览表中的价格应与投标文件中</w:t>
      </w:r>
      <w:bookmarkStart w:id="322" w:name="OLE_LINK8"/>
      <w:r>
        <w:rPr>
          <w:rFonts w:hint="eastAsia" w:ascii="宋体" w:hAnsi="宋体" w:eastAsia="宋体" w:cs="宋体"/>
          <w:color w:val="auto"/>
          <w:highlight w:val="none"/>
        </w:rPr>
        <w:t>投标报价明细表</w:t>
      </w:r>
      <w:bookmarkEnd w:id="322"/>
      <w:r>
        <w:rPr>
          <w:rFonts w:hint="eastAsia" w:ascii="宋体" w:hAnsi="宋体" w:eastAsia="宋体" w:cs="宋体"/>
          <w:color w:val="auto"/>
          <w:highlight w:val="none"/>
        </w:rPr>
        <w:t>中的价格一致；</w:t>
      </w:r>
    </w:p>
    <w:p w14:paraId="5702205D">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2.1.3开标一览表格式见附件。</w:t>
      </w:r>
    </w:p>
    <w:p w14:paraId="28C9C22E">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2.2 投标函</w:t>
      </w:r>
    </w:p>
    <w:p w14:paraId="2DB98A4F">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2.2.1供应商应按表中规定格式完整、清晰、正确填写；</w:t>
      </w:r>
    </w:p>
    <w:p w14:paraId="570980AA">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2.2.2投标函必须</w:t>
      </w:r>
      <w:r>
        <w:rPr>
          <w:rFonts w:hint="eastAsia" w:ascii="宋体" w:hAnsi="宋体" w:eastAsia="宋体" w:cs="宋体"/>
          <w:color w:val="auto"/>
          <w:highlight w:val="none"/>
          <w:lang w:eastAsia="zh-CN"/>
        </w:rPr>
        <w:t>内容完整且</w:t>
      </w:r>
      <w:r>
        <w:rPr>
          <w:rFonts w:hint="eastAsia" w:ascii="宋体" w:hAnsi="宋体" w:eastAsia="宋体" w:cs="宋体"/>
          <w:color w:val="auto"/>
          <w:highlight w:val="none"/>
          <w:lang w:val="en-US" w:eastAsia="zh-CN"/>
        </w:rPr>
        <w:t>签章完备</w:t>
      </w:r>
      <w:r>
        <w:rPr>
          <w:rFonts w:hint="eastAsia" w:ascii="宋体" w:hAnsi="宋体" w:eastAsia="宋体" w:cs="宋体"/>
          <w:color w:val="auto"/>
          <w:highlight w:val="none"/>
        </w:rPr>
        <w:t>。</w:t>
      </w:r>
    </w:p>
    <w:p w14:paraId="44E242F2">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2.3资格条件证明文件</w:t>
      </w:r>
    </w:p>
    <w:p w14:paraId="15F2DD50">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（1）供应商基本资格条件承诺函；</w:t>
      </w:r>
    </w:p>
    <w:p w14:paraId="068D671C">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（2）招标文件要求的其他资格条件证明材料。</w:t>
      </w:r>
    </w:p>
    <w:p w14:paraId="2E9FCA43">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2.4投标偏离表</w:t>
      </w:r>
    </w:p>
    <w:p w14:paraId="4088A90B">
      <w:pPr>
        <w:spacing w:line="500" w:lineRule="exact"/>
        <w:ind w:firstLine="480" w:firstLineChars="200"/>
        <w:rPr>
          <w:rFonts w:hint="eastAsia" w:ascii="宋体" w:hAnsi="宋体" w:eastAsia="宋体" w:cs="宋体"/>
          <w:b/>
          <w:color w:val="auto"/>
          <w:highlight w:val="none"/>
        </w:rPr>
      </w:pPr>
      <w:r>
        <w:rPr>
          <w:rFonts w:hint="eastAsia" w:ascii="宋体" w:hAnsi="宋体" w:eastAsia="宋体" w:cs="宋体"/>
          <w:color w:val="auto"/>
          <w:highlight w:val="none"/>
        </w:rPr>
        <w:t>供应商应仔细阅读招标文件第五章采购需求，结合自身的实际情况，如实编制，格式自拟。</w:t>
      </w:r>
      <w:r>
        <w:rPr>
          <w:rFonts w:hint="eastAsia" w:ascii="宋体" w:hAnsi="宋体" w:eastAsia="宋体" w:cs="宋体"/>
          <w:b/>
          <w:color w:val="auto"/>
          <w:highlight w:val="none"/>
        </w:rPr>
        <w:t>投标偏离表须详细说明实际提供的服务及其他采购需求中相关要求的响应情况。</w:t>
      </w:r>
    </w:p>
    <w:p w14:paraId="444753CF">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2.5供应商认为应列入投标文件的其他材料</w:t>
      </w:r>
    </w:p>
    <w:p w14:paraId="30F12608">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供应商应对照第三章评标办法中的评审因素，结合自身的实际情况，如实编制，格式自拟。</w:t>
      </w:r>
    </w:p>
    <w:p w14:paraId="3C6436B1">
      <w:pPr>
        <w:spacing w:line="500" w:lineRule="exact"/>
        <w:outlineLvl w:val="1"/>
        <w:rPr>
          <w:rFonts w:hint="eastAsia" w:ascii="宋体" w:hAnsi="宋体" w:eastAsia="宋体" w:cs="宋体"/>
          <w:color w:val="auto"/>
          <w:sz w:val="32"/>
          <w:szCs w:val="32"/>
          <w:highlight w:val="none"/>
        </w:rPr>
      </w:pPr>
      <w:bookmarkStart w:id="323" w:name="_Toc426469934"/>
      <w:r>
        <w:rPr>
          <w:rFonts w:hint="eastAsia" w:ascii="宋体" w:hAnsi="宋体" w:eastAsia="宋体" w:cs="宋体"/>
          <w:color w:val="auto"/>
          <w:sz w:val="32"/>
          <w:szCs w:val="32"/>
          <w:highlight w:val="none"/>
        </w:rPr>
        <w:br w:type="page"/>
      </w:r>
      <w:bookmarkStart w:id="324" w:name="_Toc9930"/>
      <w:r>
        <w:rPr>
          <w:rFonts w:hint="eastAsia" w:ascii="宋体" w:hAnsi="宋体" w:eastAsia="宋体" w:cs="宋体"/>
          <w:color w:val="auto"/>
          <w:sz w:val="32"/>
          <w:szCs w:val="32"/>
          <w:highlight w:val="none"/>
        </w:rPr>
        <w:t>3. 投标文件参考格式</w:t>
      </w:r>
      <w:bookmarkEnd w:id="313"/>
      <w:bookmarkEnd w:id="314"/>
      <w:bookmarkEnd w:id="315"/>
      <w:bookmarkEnd w:id="316"/>
      <w:bookmarkEnd w:id="317"/>
      <w:bookmarkEnd w:id="323"/>
      <w:bookmarkEnd w:id="324"/>
      <w:bookmarkStart w:id="325" w:name="_Toc426469936"/>
      <w:bookmarkStart w:id="326" w:name="_Toc426469937"/>
      <w:bookmarkStart w:id="327" w:name="_Toc383587529"/>
      <w:bookmarkStart w:id="328" w:name="_Toc383623749"/>
      <w:bookmarkStart w:id="329" w:name="_Toc382814038"/>
      <w:bookmarkStart w:id="330" w:name="_Toc382813957"/>
      <w:bookmarkStart w:id="331" w:name="_Toc383698722"/>
      <w:bookmarkStart w:id="332" w:name="_Toc382811607"/>
      <w:bookmarkStart w:id="333" w:name="_Toc382811202"/>
      <w:bookmarkStart w:id="334" w:name="_Toc383679822"/>
      <w:bookmarkStart w:id="335" w:name="_Toc382812507"/>
      <w:bookmarkStart w:id="336" w:name="_Toc383624021"/>
      <w:bookmarkStart w:id="337" w:name="_Toc390246998"/>
      <w:bookmarkStart w:id="338" w:name="_Toc390098915"/>
      <w:bookmarkStart w:id="339" w:name="_Toc390099111"/>
      <w:bookmarkStart w:id="340" w:name="_Toc383626069"/>
      <w:bookmarkStart w:id="341" w:name="_Toc382812316"/>
    </w:p>
    <w:p w14:paraId="211CC1E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3.1投标文件封面格式</w:t>
      </w:r>
      <w:bookmarkEnd w:id="325"/>
    </w:p>
    <w:p w14:paraId="3C2524AD">
      <w:pPr>
        <w:spacing w:line="360" w:lineRule="exact"/>
        <w:ind w:firstLine="480" w:firstLineChars="200"/>
        <w:jc w:val="center"/>
        <w:rPr>
          <w:rFonts w:hint="eastAsia" w:ascii="宋体" w:hAnsi="宋体" w:eastAsia="宋体" w:cs="宋体"/>
          <w:color w:val="auto"/>
          <w:highlight w:val="none"/>
        </w:rPr>
      </w:pPr>
    </w:p>
    <w:p w14:paraId="64192158">
      <w:pPr>
        <w:spacing w:line="360" w:lineRule="exact"/>
        <w:ind w:firstLine="480" w:firstLineChars="200"/>
        <w:jc w:val="center"/>
        <w:rPr>
          <w:rFonts w:hint="eastAsia" w:ascii="宋体" w:hAnsi="宋体" w:eastAsia="宋体" w:cs="宋体"/>
          <w:color w:val="auto"/>
          <w:highlight w:val="none"/>
        </w:rPr>
      </w:pPr>
    </w:p>
    <w:p w14:paraId="0B43335F">
      <w:pPr>
        <w:ind w:firstLine="420" w:firstLineChars="0"/>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投标文件</w:t>
      </w:r>
    </w:p>
    <w:p w14:paraId="7B4E5412">
      <w:pPr>
        <w:pStyle w:val="11"/>
        <w:ind w:firstLine="420" w:firstLineChars="0"/>
        <w:rPr>
          <w:rFonts w:hint="eastAsia" w:ascii="宋体" w:hAnsi="宋体" w:eastAsia="宋体" w:cs="宋体"/>
          <w:color w:val="auto"/>
          <w:highlight w:val="none"/>
        </w:rPr>
      </w:pPr>
    </w:p>
    <w:p w14:paraId="4E1DE0D1">
      <w:pPr>
        <w:spacing w:line="440" w:lineRule="exact"/>
        <w:ind w:firstLine="2577" w:firstLineChars="1074"/>
        <w:rPr>
          <w:rFonts w:hint="eastAsia" w:ascii="宋体" w:hAnsi="宋体" w:eastAsia="宋体" w:cs="宋体"/>
          <w:color w:val="auto"/>
          <w:highlight w:val="none"/>
        </w:rPr>
      </w:pPr>
      <w:r>
        <w:rPr>
          <w:rFonts w:hint="eastAsia" w:ascii="宋体" w:hAnsi="宋体" w:eastAsia="宋体" w:cs="宋体"/>
          <w:color w:val="auto"/>
          <w:highlight w:val="none"/>
        </w:rPr>
        <w:t>采购项目名称：</w:t>
      </w:r>
    </w:p>
    <w:p w14:paraId="349482E4">
      <w:pPr>
        <w:spacing w:line="440" w:lineRule="exact"/>
        <w:ind w:firstLine="2577" w:firstLineChars="1074"/>
        <w:rPr>
          <w:rFonts w:hint="eastAsia" w:ascii="宋体" w:hAnsi="宋体" w:eastAsia="宋体" w:cs="宋体"/>
          <w:color w:val="auto"/>
          <w:highlight w:val="none"/>
          <w:u w:val="single"/>
        </w:rPr>
      </w:pPr>
      <w:r>
        <w:rPr>
          <w:rFonts w:hint="eastAsia" w:ascii="宋体" w:hAnsi="宋体" w:eastAsia="宋体" w:cs="宋体"/>
          <w:color w:val="auto"/>
          <w:highlight w:val="none"/>
        </w:rPr>
        <w:t>采购项目编号：</w:t>
      </w:r>
    </w:p>
    <w:p w14:paraId="4179D505">
      <w:pPr>
        <w:spacing w:line="360" w:lineRule="exact"/>
        <w:ind w:firstLine="1495" w:firstLineChars="623"/>
        <w:rPr>
          <w:rFonts w:hint="eastAsia" w:ascii="宋体" w:hAnsi="宋体" w:eastAsia="宋体" w:cs="宋体"/>
          <w:color w:val="auto"/>
          <w:highlight w:val="none"/>
        </w:rPr>
      </w:pPr>
    </w:p>
    <w:p w14:paraId="36BBE150">
      <w:pPr>
        <w:spacing w:line="360" w:lineRule="exact"/>
        <w:ind w:firstLine="897" w:firstLineChars="374"/>
        <w:rPr>
          <w:rFonts w:hint="eastAsia" w:ascii="宋体" w:hAnsi="宋体" w:eastAsia="宋体" w:cs="宋体"/>
          <w:color w:val="auto"/>
          <w:highlight w:val="none"/>
        </w:rPr>
      </w:pPr>
    </w:p>
    <w:p w14:paraId="7EC98475">
      <w:pPr>
        <w:tabs>
          <w:tab w:val="left" w:pos="2700"/>
        </w:tabs>
        <w:spacing w:line="400" w:lineRule="exact"/>
        <w:ind w:firstLine="2577" w:firstLineChars="1074"/>
        <w:rPr>
          <w:rFonts w:hint="eastAsia" w:ascii="宋体" w:hAnsi="宋体" w:eastAsia="宋体" w:cs="宋体"/>
          <w:color w:val="auto"/>
          <w:highlight w:val="none"/>
          <w:u w:val="singl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（盖法人章）     </w:t>
      </w:r>
    </w:p>
    <w:p w14:paraId="75BDBEC4">
      <w:pPr>
        <w:tabs>
          <w:tab w:val="left" w:pos="2700"/>
        </w:tabs>
        <w:spacing w:line="400" w:lineRule="exact"/>
        <w:ind w:firstLine="2577" w:firstLineChars="1074"/>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p>
    <w:p w14:paraId="38508CE7">
      <w:pPr>
        <w:tabs>
          <w:tab w:val="left" w:pos="2700"/>
        </w:tabs>
        <w:spacing w:line="400" w:lineRule="exact"/>
        <w:ind w:firstLine="2577" w:firstLineChars="1074"/>
        <w:rPr>
          <w:rFonts w:hint="eastAsia" w:ascii="宋体" w:hAnsi="宋体" w:eastAsia="宋体" w:cs="宋体"/>
          <w:color w:val="auto"/>
          <w:highlight w:val="none"/>
          <w:u w:val="single"/>
        </w:rPr>
      </w:pPr>
      <w:r>
        <w:rPr>
          <w:rFonts w:hint="eastAsia" w:ascii="宋体" w:hAnsi="宋体" w:eastAsia="宋体" w:cs="宋体"/>
          <w:color w:val="auto"/>
          <w:highlight w:val="none"/>
        </w:rPr>
        <w:t>联系电话：</w:t>
      </w:r>
    </w:p>
    <w:p w14:paraId="73FD16A7">
      <w:pPr>
        <w:spacing w:line="400" w:lineRule="exact"/>
        <w:ind w:firstLine="2577" w:firstLineChars="1074"/>
        <w:rPr>
          <w:rFonts w:hint="eastAsia" w:ascii="宋体" w:hAnsi="宋体" w:eastAsia="宋体" w:cs="宋体"/>
          <w:color w:val="auto"/>
          <w:highlight w:val="none"/>
        </w:rPr>
      </w:pPr>
      <w:r>
        <w:rPr>
          <w:rFonts w:hint="eastAsia" w:ascii="宋体" w:hAnsi="宋体" w:eastAsia="宋体" w:cs="宋体"/>
          <w:color w:val="auto"/>
          <w:highlight w:val="none"/>
        </w:rPr>
        <w:t>日期：______年____月____日</w:t>
      </w:r>
    </w:p>
    <w:p w14:paraId="03A3DBF1">
      <w:pPr>
        <w:spacing w:line="400" w:lineRule="exact"/>
        <w:ind w:firstLine="2520" w:firstLineChars="900"/>
        <w:rPr>
          <w:rFonts w:hint="eastAsia" w:ascii="宋体" w:hAnsi="宋体" w:eastAsia="宋体" w:cs="宋体"/>
          <w:color w:val="auto"/>
          <w:sz w:val="28"/>
          <w:szCs w:val="28"/>
          <w:highlight w:val="none"/>
        </w:rPr>
      </w:pPr>
    </w:p>
    <w:p w14:paraId="4877C570">
      <w:pPr>
        <w:spacing w:line="400" w:lineRule="exact"/>
        <w:rPr>
          <w:rFonts w:hint="eastAsia" w:ascii="宋体" w:hAnsi="宋体" w:eastAsia="宋体" w:cs="宋体"/>
          <w:color w:val="auto"/>
          <w:sz w:val="28"/>
          <w:szCs w:val="28"/>
          <w:highlight w:val="none"/>
        </w:rPr>
      </w:pPr>
    </w:p>
    <w:p w14:paraId="6C1BABE2">
      <w:pPr>
        <w:spacing w:line="400" w:lineRule="exact"/>
        <w:rPr>
          <w:rFonts w:hint="eastAsia" w:ascii="宋体" w:hAnsi="宋体" w:eastAsia="宋体" w:cs="宋体"/>
          <w:color w:val="auto"/>
          <w:sz w:val="28"/>
          <w:szCs w:val="28"/>
          <w:highlight w:val="none"/>
        </w:rPr>
      </w:pPr>
    </w:p>
    <w:p w14:paraId="2D567ACB">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3.2 开标一览表</w:t>
      </w:r>
      <w:bookmarkEnd w:id="326"/>
    </w:p>
    <w:p w14:paraId="4D7B66AE">
      <w:pPr>
        <w:rPr>
          <w:rFonts w:hint="eastAsia" w:ascii="宋体" w:hAnsi="宋体" w:eastAsia="宋体" w:cs="宋体"/>
          <w:b/>
          <w:color w:val="auto"/>
          <w:sz w:val="32"/>
          <w:szCs w:val="32"/>
          <w:highlight w:val="none"/>
        </w:rPr>
      </w:pPr>
      <w:bookmarkStart w:id="342" w:name="_Toc426469938"/>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rPr>
        <w:t>开标一览表</w:t>
      </w:r>
    </w:p>
    <w:p w14:paraId="5DD051A1">
      <w:pPr>
        <w:spacing w:line="56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开标一览表</w:t>
      </w:r>
    </w:p>
    <w:p w14:paraId="4DC225C3">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按“江苏省政府采购管理交易系统（苏采云）”中格式填写。</w:t>
      </w:r>
    </w:p>
    <w:p w14:paraId="7D7F5D16">
      <w:pPr>
        <w:rPr>
          <w:rFonts w:hint="eastAsia" w:ascii="宋体" w:hAnsi="宋体" w:eastAsia="宋体" w:cs="宋体"/>
          <w:color w:val="auto"/>
          <w:sz w:val="28"/>
          <w:szCs w:val="28"/>
          <w:highlight w:val="none"/>
        </w:rPr>
        <w:sectPr>
          <w:footerReference r:id="rId3" w:type="default"/>
          <w:pgSz w:w="11906" w:h="16838"/>
          <w:pgMar w:top="1213" w:right="1558" w:bottom="1157" w:left="1701" w:header="851" w:footer="992" w:gutter="0"/>
          <w:cols w:space="425" w:num="1"/>
          <w:docGrid w:type="lines" w:linePitch="312" w:charSpace="0"/>
        </w:sectPr>
      </w:pPr>
    </w:p>
    <w:p w14:paraId="7872330E">
      <w:pP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3.3 投标函</w:t>
      </w:r>
      <w:bookmarkEnd w:id="342"/>
    </w:p>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14:paraId="152A7905">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right="0"/>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投标函</w:t>
      </w:r>
    </w:p>
    <w:p w14:paraId="5DF3F08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泰兴市校园安全事务服务中心</w:t>
      </w:r>
      <w:r>
        <w:rPr>
          <w:rFonts w:hint="eastAsia" w:ascii="宋体" w:hAnsi="宋体" w:eastAsia="宋体" w:cs="宋体"/>
          <w:color w:val="auto"/>
          <w:sz w:val="24"/>
          <w:szCs w:val="24"/>
          <w:highlight w:val="none"/>
        </w:rPr>
        <w:t>：</w:t>
      </w:r>
    </w:p>
    <w:p w14:paraId="5F2E5AD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17B559DE">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我方收到贵方编号       招标文件，经仔细阅读和研究，我方决定参加此项目的投标。</w:t>
      </w:r>
    </w:p>
    <w:p w14:paraId="696B8DF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841"/>
          <w:tab w:val="left" w:pos="946"/>
          <w:tab w:val="left" w:pos="1051"/>
          <w:tab w:val="left" w:pos="126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我方愿意按照招标文件的一切要求，提供本项目的投标，投标总价见《开标一览表》。</w:t>
      </w:r>
    </w:p>
    <w:p w14:paraId="36D0416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841"/>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我方愿意提供</w:t>
      </w:r>
      <w:r>
        <w:rPr>
          <w:rFonts w:hint="eastAsia" w:ascii="宋体" w:hAnsi="宋体" w:eastAsia="宋体" w:cs="宋体"/>
          <w:color w:val="auto"/>
          <w:sz w:val="24"/>
          <w:szCs w:val="24"/>
          <w:highlight w:val="none"/>
          <w:lang w:eastAsia="zh-CN"/>
        </w:rPr>
        <w:t>泰兴市校园安全事务服务中心</w:t>
      </w:r>
      <w:r>
        <w:rPr>
          <w:rFonts w:hint="eastAsia" w:ascii="宋体" w:hAnsi="宋体" w:eastAsia="宋体" w:cs="宋体"/>
          <w:color w:val="auto"/>
          <w:sz w:val="24"/>
          <w:szCs w:val="24"/>
          <w:highlight w:val="none"/>
        </w:rPr>
        <w:t>在招标文件中要求的文件、资料。</w:t>
      </w:r>
    </w:p>
    <w:p w14:paraId="7B0A524C">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我方同意按招标文件中的规定，本投标文件投标的有效期限为开标之日起</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天。</w:t>
      </w:r>
    </w:p>
    <w:p w14:paraId="289DB70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如果我方的投标文件被接受，我方将履行招标文件中规定的每一项要求，按期、按质、按量，完成</w:t>
      </w:r>
      <w:r>
        <w:rPr>
          <w:rFonts w:hint="eastAsia" w:ascii="宋体" w:hAnsi="宋体" w:eastAsia="宋体" w:cs="宋体"/>
          <w:color w:val="auto"/>
          <w:sz w:val="24"/>
          <w:szCs w:val="24"/>
          <w:highlight w:val="none"/>
          <w:u w:val="none"/>
        </w:rPr>
        <w:t>交货</w:t>
      </w:r>
      <w:r>
        <w:rPr>
          <w:rFonts w:hint="eastAsia" w:ascii="宋体" w:hAnsi="宋体" w:eastAsia="宋体" w:cs="宋体"/>
          <w:color w:val="auto"/>
          <w:sz w:val="24"/>
          <w:szCs w:val="24"/>
          <w:highlight w:val="none"/>
        </w:rPr>
        <w:t>任务。</w:t>
      </w:r>
    </w:p>
    <w:p w14:paraId="1DA61CC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我方认为贵中心有权决定中标者。</w:t>
      </w:r>
    </w:p>
    <w:p w14:paraId="46C68590">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我方愿意遵守《中华人民共和国政府采购法》，并按《民法典》、财政部《政府采购货物和服务招标投标管理办法》和合同条款履行自己的全部责任。</w:t>
      </w:r>
    </w:p>
    <w:p w14:paraId="14D81B66">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我方认可并遵守招标文件的所有规定，放弃对招标文件提出质疑的权利。</w:t>
      </w:r>
    </w:p>
    <w:p w14:paraId="2306CEBC">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如果我方被确定为中标供应商，我方愿意在在合同签订前向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p>
    <w:p w14:paraId="1936DE30">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228302D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720"/>
        <w:jc w:val="both"/>
        <w:rPr>
          <w:rFonts w:hint="eastAsia" w:ascii="宋体" w:hAnsi="宋体" w:eastAsia="宋体" w:cs="宋体"/>
          <w:color w:val="auto"/>
          <w:sz w:val="24"/>
          <w:szCs w:val="24"/>
          <w:highlight w:val="none"/>
        </w:rPr>
      </w:pPr>
    </w:p>
    <w:p w14:paraId="028CA14E">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7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739A040A">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投标人（盖章）：     </w:t>
      </w:r>
    </w:p>
    <w:p w14:paraId="6B62244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法定代表人或法定代表人授权代表签字或盖章：</w:t>
      </w:r>
    </w:p>
    <w:p w14:paraId="49F48A2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电话：                              传真：</w:t>
      </w:r>
    </w:p>
    <w:p w14:paraId="6BB0356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通讯地址：                          邮编：</w:t>
      </w:r>
    </w:p>
    <w:p w14:paraId="3513D99A">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6A3B0F00">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ascii="宋体" w:hAnsi="宋体" w:eastAsia="宋体" w:cs="宋体"/>
          <w:color w:val="auto"/>
          <w:sz w:val="24"/>
          <w:szCs w:val="24"/>
          <w:highlight w:val="none"/>
        </w:rPr>
        <w:sectPr>
          <w:pgSz w:w="11906" w:h="16838"/>
          <w:pgMar w:top="1213" w:right="1558" w:bottom="1157" w:left="1701" w:header="851" w:footer="992" w:gutter="0"/>
          <w:cols w:space="425" w:num="1"/>
          <w:docGrid w:type="lines" w:linePitch="312" w:charSpace="0"/>
        </w:sectPr>
      </w:pPr>
    </w:p>
    <w:p w14:paraId="32C8C0D7">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3.4投标报价明细表</w:t>
      </w:r>
      <w:r>
        <w:rPr>
          <w:rFonts w:hint="eastAsia" w:ascii="宋体" w:hAnsi="宋体" w:eastAsia="宋体" w:cs="宋体"/>
          <w:b/>
          <w:color w:val="auto"/>
          <w:szCs w:val="21"/>
          <w:highlight w:val="none"/>
          <w:lang w:val="zh-CN"/>
        </w:rPr>
        <w:t>格式</w:t>
      </w:r>
    </w:p>
    <w:p w14:paraId="5BAF07F8">
      <w:pPr>
        <w:spacing w:line="360" w:lineRule="auto"/>
        <w:ind w:firstLine="281"/>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投标报价明细表</w:t>
      </w:r>
    </w:p>
    <w:p w14:paraId="6F99024F">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0"/>
        <w:jc w:val="center"/>
      </w:pPr>
      <w:r>
        <w:rPr>
          <w:rFonts w:ascii="黑体" w:hAnsi="宋体" w:eastAsia="黑体" w:cs="黑体"/>
          <w:color w:val="000000"/>
          <w:sz w:val="28"/>
          <w:szCs w:val="28"/>
        </w:rPr>
        <w:t>明细报价表</w:t>
      </w:r>
    </w:p>
    <w:p w14:paraId="4D9B8FFB">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黑体" w:hAnsi="宋体" w:eastAsia="黑体" w:cs="黑体"/>
          <w:color w:val="000000"/>
          <w:sz w:val="24"/>
          <w:szCs w:val="24"/>
        </w:rPr>
        <w:t>投标人名称（盖章）                  采购项目编号：</w:t>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87"/>
        <w:gridCol w:w="392"/>
        <w:gridCol w:w="825"/>
        <w:gridCol w:w="792"/>
        <w:gridCol w:w="2208"/>
        <w:gridCol w:w="341"/>
        <w:gridCol w:w="384"/>
        <w:gridCol w:w="542"/>
        <w:gridCol w:w="978"/>
        <w:gridCol w:w="602"/>
        <w:gridCol w:w="415"/>
        <w:gridCol w:w="616"/>
      </w:tblGrid>
      <w:tr w14:paraId="3561F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95" w:hRule="atLeast"/>
          <w:tblCellSpacing w:w="0" w:type="dxa"/>
        </w:trPr>
        <w:tc>
          <w:tcPr>
            <w:tcW w:w="587" w:type="dxa"/>
            <w:tcBorders>
              <w:top w:val="single" w:color="000000" w:sz="8" w:space="0"/>
              <w:left w:val="single" w:color="000000" w:sz="8" w:space="0"/>
              <w:bottom w:val="single" w:color="000000" w:sz="8" w:space="0"/>
              <w:right w:val="single" w:color="000000" w:sz="8" w:space="0"/>
            </w:tcBorders>
            <w:shd w:val="clear"/>
            <w:tcMar>
              <w:top w:w="15" w:type="dxa"/>
              <w:left w:w="15" w:type="dxa"/>
              <w:right w:w="15" w:type="dxa"/>
            </w:tcMar>
            <w:vAlign w:val="center"/>
          </w:tcPr>
          <w:p w14:paraId="44BAF4FF">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序号</w:t>
            </w:r>
          </w:p>
        </w:tc>
        <w:tc>
          <w:tcPr>
            <w:tcW w:w="1217" w:type="dxa"/>
            <w:gridSpan w:val="2"/>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47AE67C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名称</w:t>
            </w:r>
          </w:p>
        </w:tc>
        <w:tc>
          <w:tcPr>
            <w:tcW w:w="792" w:type="dxa"/>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7992FB3F">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品牌型号</w:t>
            </w:r>
          </w:p>
        </w:tc>
        <w:tc>
          <w:tcPr>
            <w:tcW w:w="2549" w:type="dxa"/>
            <w:gridSpan w:val="2"/>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44C5296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性能指标</w:t>
            </w:r>
          </w:p>
        </w:tc>
        <w:tc>
          <w:tcPr>
            <w:tcW w:w="384" w:type="dxa"/>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445EC2B6">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数量</w:t>
            </w:r>
          </w:p>
        </w:tc>
        <w:tc>
          <w:tcPr>
            <w:tcW w:w="542" w:type="dxa"/>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05FC8851">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产地</w:t>
            </w:r>
          </w:p>
        </w:tc>
        <w:tc>
          <w:tcPr>
            <w:tcW w:w="978" w:type="dxa"/>
            <w:tcBorders>
              <w:top w:val="single" w:color="000000" w:sz="8" w:space="0"/>
              <w:left w:val="nil"/>
              <w:bottom w:val="single" w:color="000000" w:sz="8" w:space="0"/>
              <w:right w:val="single" w:color="000000" w:sz="8" w:space="0"/>
            </w:tcBorders>
            <w:shd w:val="clear"/>
            <w:tcMar>
              <w:left w:w="0" w:type="dxa"/>
              <w:right w:w="0" w:type="dxa"/>
            </w:tcMar>
            <w:vAlign w:val="center"/>
          </w:tcPr>
          <w:p w14:paraId="10F88D8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是否属于</w:t>
            </w:r>
            <w:r>
              <w:rPr>
                <w:rFonts w:ascii="Calibri" w:hAnsi="Calibri" w:cs="Calibri"/>
                <w:color w:val="000000"/>
                <w:sz w:val="18"/>
                <w:szCs w:val="18"/>
                <w:bdr w:val="none" w:color="auto" w:sz="0" w:space="0"/>
              </w:rPr>
              <w:t xml:space="preserve">     </w:t>
            </w:r>
            <w:r>
              <w:rPr>
                <w:rFonts w:ascii="宋体" w:hAnsi="宋体" w:eastAsia="宋体" w:cs="宋体"/>
                <w:color w:val="000000"/>
                <w:sz w:val="18"/>
                <w:szCs w:val="18"/>
                <w:bdr w:val="none" w:color="auto" w:sz="0" w:space="0"/>
              </w:rPr>
              <w:t>小、微型企业产品</w:t>
            </w:r>
          </w:p>
        </w:tc>
        <w:tc>
          <w:tcPr>
            <w:tcW w:w="602" w:type="dxa"/>
            <w:tcBorders>
              <w:top w:val="single" w:color="000000" w:sz="8" w:space="0"/>
              <w:left w:val="nil"/>
              <w:bottom w:val="single" w:color="000000" w:sz="8" w:space="0"/>
              <w:right w:val="single" w:color="000000" w:sz="8" w:space="0"/>
            </w:tcBorders>
            <w:shd w:val="clear"/>
            <w:tcMar>
              <w:top w:w="15" w:type="dxa"/>
              <w:left w:w="15" w:type="dxa"/>
              <w:right w:w="15" w:type="dxa"/>
            </w:tcMar>
            <w:vAlign w:val="center"/>
          </w:tcPr>
          <w:p w14:paraId="2C253FB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质保期</w:t>
            </w:r>
          </w:p>
        </w:tc>
        <w:tc>
          <w:tcPr>
            <w:tcW w:w="415" w:type="dxa"/>
            <w:tcBorders>
              <w:top w:val="single" w:color="000000" w:sz="8" w:space="0"/>
              <w:left w:val="nil"/>
              <w:bottom w:val="single" w:color="000000" w:sz="8" w:space="0"/>
              <w:right w:val="single" w:color="000000" w:sz="8" w:space="0"/>
            </w:tcBorders>
            <w:shd w:val="clear"/>
            <w:tcMar>
              <w:left w:w="0" w:type="dxa"/>
              <w:right w:w="0" w:type="dxa"/>
            </w:tcMar>
            <w:vAlign w:val="center"/>
          </w:tcPr>
          <w:p w14:paraId="20573E7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单报价</w:t>
            </w:r>
          </w:p>
        </w:tc>
        <w:tc>
          <w:tcPr>
            <w:tcW w:w="616" w:type="dxa"/>
            <w:tcBorders>
              <w:top w:val="single" w:color="000000" w:sz="8" w:space="0"/>
              <w:left w:val="nil"/>
              <w:bottom w:val="single" w:color="000000" w:sz="8" w:space="0"/>
              <w:right w:val="single" w:color="000000" w:sz="8" w:space="0"/>
            </w:tcBorders>
            <w:shd w:val="clear"/>
            <w:tcMar>
              <w:left w:w="0" w:type="dxa"/>
              <w:right w:w="0" w:type="dxa"/>
            </w:tcMar>
            <w:vAlign w:val="center"/>
          </w:tcPr>
          <w:p w14:paraId="4BEFEF11">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jc w:val="center"/>
            </w:pPr>
            <w:r>
              <w:rPr>
                <w:rFonts w:ascii="宋体" w:hAnsi="宋体" w:eastAsia="宋体" w:cs="宋体"/>
                <w:color w:val="000000"/>
                <w:sz w:val="18"/>
                <w:szCs w:val="18"/>
                <w:bdr w:val="none" w:color="auto" w:sz="0" w:space="0"/>
              </w:rPr>
              <w:t>分项</w:t>
            </w:r>
            <w:r>
              <w:rPr>
                <w:rFonts w:hint="default" w:ascii="Calibri" w:hAnsi="Calibri" w:cs="Calibri"/>
                <w:color w:val="000000"/>
                <w:sz w:val="18"/>
                <w:szCs w:val="18"/>
                <w:bdr w:val="none" w:color="auto" w:sz="0" w:space="0"/>
              </w:rPr>
              <w:t xml:space="preserve">   </w:t>
            </w:r>
            <w:r>
              <w:rPr>
                <w:rFonts w:ascii="宋体" w:hAnsi="宋体" w:eastAsia="宋体" w:cs="宋体"/>
                <w:color w:val="000000"/>
                <w:sz w:val="18"/>
                <w:szCs w:val="18"/>
                <w:bdr w:val="none" w:color="auto" w:sz="0" w:space="0"/>
              </w:rPr>
              <w:t>总报价</w:t>
            </w:r>
          </w:p>
        </w:tc>
      </w:tr>
      <w:tr w14:paraId="15C51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blCellSpacing w:w="0" w:type="dxa"/>
        </w:trPr>
        <w:tc>
          <w:tcPr>
            <w:tcW w:w="587" w:type="dxa"/>
            <w:tcBorders>
              <w:top w:val="nil"/>
              <w:left w:val="single" w:color="000000" w:sz="8" w:space="0"/>
              <w:bottom w:val="single" w:color="000000" w:sz="8" w:space="0"/>
              <w:right w:val="single" w:color="000000" w:sz="8" w:space="0"/>
            </w:tcBorders>
            <w:shd w:val="clear"/>
            <w:tcMar>
              <w:top w:w="15" w:type="dxa"/>
              <w:left w:w="15" w:type="dxa"/>
              <w:right w:w="15" w:type="dxa"/>
            </w:tcMar>
            <w:vAlign w:val="center"/>
          </w:tcPr>
          <w:p w14:paraId="2F27261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20"/>
                <w:tab w:val="left" w:pos="4156"/>
                <w:tab w:val="left" w:pos="8313"/>
              </w:tabs>
              <w:spacing w:before="5" w:beforeAutospacing="0" w:after="0" w:afterAutospacing="0"/>
              <w:jc w:val="center"/>
            </w:pPr>
            <w:r>
              <w:rPr>
                <w:rFonts w:ascii="宋体" w:hAnsi="宋体" w:eastAsia="宋体" w:cs="宋体"/>
                <w:color w:val="000000"/>
                <w:sz w:val="18"/>
                <w:szCs w:val="18"/>
                <w:bdr w:val="none" w:color="auto" w:sz="0" w:space="0"/>
              </w:rPr>
              <w:t> </w:t>
            </w:r>
          </w:p>
        </w:tc>
        <w:tc>
          <w:tcPr>
            <w:tcW w:w="1217" w:type="dxa"/>
            <w:gridSpan w:val="2"/>
            <w:tcBorders>
              <w:top w:val="nil"/>
              <w:left w:val="nil"/>
              <w:bottom w:val="single" w:color="000000" w:sz="8" w:space="0"/>
              <w:right w:val="single" w:color="000000" w:sz="8" w:space="0"/>
            </w:tcBorders>
            <w:shd w:val="clear"/>
            <w:tcMar>
              <w:top w:w="15" w:type="dxa"/>
              <w:left w:w="15" w:type="dxa"/>
              <w:right w:w="15" w:type="dxa"/>
            </w:tcMar>
            <w:vAlign w:val="center"/>
          </w:tcPr>
          <w:p w14:paraId="3A1FF11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20"/>
                <w:tab w:val="left" w:pos="4156"/>
                <w:tab w:val="left" w:pos="8313"/>
              </w:tabs>
              <w:spacing w:before="0" w:beforeAutospacing="0" w:after="0" w:afterAutospacing="0"/>
              <w:jc w:val="center"/>
            </w:pPr>
            <w:r>
              <w:rPr>
                <w:rFonts w:ascii="宋体" w:hAnsi="宋体" w:eastAsia="宋体" w:cs="宋体"/>
                <w:color w:val="000000"/>
                <w:sz w:val="18"/>
                <w:szCs w:val="18"/>
                <w:bdr w:val="none" w:color="auto" w:sz="0" w:space="0"/>
              </w:rPr>
              <w:t> </w:t>
            </w:r>
          </w:p>
        </w:tc>
        <w:tc>
          <w:tcPr>
            <w:tcW w:w="792" w:type="dxa"/>
            <w:tcBorders>
              <w:top w:val="nil"/>
              <w:left w:val="nil"/>
              <w:bottom w:val="single" w:color="000000" w:sz="8" w:space="0"/>
              <w:right w:val="single" w:color="000000" w:sz="8" w:space="0"/>
            </w:tcBorders>
            <w:shd w:val="clear"/>
            <w:tcMar>
              <w:top w:w="15" w:type="dxa"/>
              <w:left w:w="15" w:type="dxa"/>
              <w:right w:w="15" w:type="dxa"/>
            </w:tcMar>
            <w:vAlign w:val="center"/>
          </w:tcPr>
          <w:p w14:paraId="68DE7AB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20"/>
                <w:tab w:val="left" w:pos="4156"/>
                <w:tab w:val="left" w:pos="8313"/>
              </w:tabs>
              <w:spacing w:before="0" w:beforeAutospacing="0" w:after="0" w:afterAutospacing="0"/>
              <w:jc w:val="center"/>
            </w:pPr>
            <w:r>
              <w:rPr>
                <w:rFonts w:ascii="宋体" w:hAnsi="宋体" w:eastAsia="宋体" w:cs="宋体"/>
                <w:color w:val="000000"/>
                <w:sz w:val="18"/>
                <w:szCs w:val="18"/>
                <w:bdr w:val="none" w:color="auto" w:sz="0" w:space="0"/>
              </w:rPr>
              <w:t> </w:t>
            </w:r>
          </w:p>
        </w:tc>
        <w:tc>
          <w:tcPr>
            <w:tcW w:w="2549" w:type="dxa"/>
            <w:gridSpan w:val="2"/>
            <w:tcBorders>
              <w:top w:val="nil"/>
              <w:left w:val="nil"/>
              <w:bottom w:val="single" w:color="000000" w:sz="8" w:space="0"/>
              <w:right w:val="single" w:color="000000" w:sz="8" w:space="0"/>
            </w:tcBorders>
            <w:shd w:val="clear"/>
            <w:tcMar>
              <w:top w:w="15" w:type="dxa"/>
              <w:left w:w="15" w:type="dxa"/>
              <w:right w:w="15" w:type="dxa"/>
            </w:tcMar>
            <w:vAlign w:val="center"/>
          </w:tcPr>
          <w:p w14:paraId="4D67E0C0">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18"/>
                <w:szCs w:val="18"/>
                <w:bdr w:val="none" w:color="auto" w:sz="0" w:space="0"/>
              </w:rPr>
              <w:t> </w:t>
            </w:r>
          </w:p>
        </w:tc>
        <w:tc>
          <w:tcPr>
            <w:tcW w:w="384" w:type="dxa"/>
            <w:tcBorders>
              <w:top w:val="nil"/>
              <w:left w:val="nil"/>
              <w:bottom w:val="single" w:color="000000" w:sz="8" w:space="0"/>
              <w:right w:val="single" w:color="000000" w:sz="8" w:space="0"/>
            </w:tcBorders>
            <w:shd w:val="clear"/>
            <w:tcMar>
              <w:top w:w="15" w:type="dxa"/>
              <w:left w:w="15" w:type="dxa"/>
              <w:right w:w="15" w:type="dxa"/>
            </w:tcMar>
            <w:vAlign w:val="center"/>
          </w:tcPr>
          <w:p w14:paraId="54755A05">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18"/>
                <w:szCs w:val="18"/>
                <w:bdr w:val="none" w:color="auto" w:sz="0" w:space="0"/>
              </w:rPr>
              <w:t> </w:t>
            </w:r>
          </w:p>
        </w:tc>
        <w:tc>
          <w:tcPr>
            <w:tcW w:w="542" w:type="dxa"/>
            <w:tcBorders>
              <w:top w:val="nil"/>
              <w:left w:val="nil"/>
              <w:bottom w:val="single" w:color="000000" w:sz="8" w:space="0"/>
              <w:right w:val="single" w:color="000000" w:sz="8" w:space="0"/>
            </w:tcBorders>
            <w:shd w:val="clear"/>
            <w:tcMar>
              <w:top w:w="15" w:type="dxa"/>
              <w:left w:w="15" w:type="dxa"/>
              <w:right w:w="15" w:type="dxa"/>
            </w:tcMar>
            <w:vAlign w:val="center"/>
          </w:tcPr>
          <w:p w14:paraId="5D5883B1">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978" w:type="dxa"/>
            <w:tcBorders>
              <w:top w:val="nil"/>
              <w:left w:val="nil"/>
              <w:bottom w:val="single" w:color="000000" w:sz="8" w:space="0"/>
              <w:right w:val="single" w:color="000000" w:sz="8" w:space="0"/>
            </w:tcBorders>
            <w:shd w:val="clear"/>
            <w:tcMar>
              <w:left w:w="0" w:type="dxa"/>
              <w:right w:w="0" w:type="dxa"/>
            </w:tcMar>
            <w:vAlign w:val="center"/>
          </w:tcPr>
          <w:p w14:paraId="782D8C86">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b/>
                <w:bCs/>
                <w:color w:val="000000"/>
                <w:sz w:val="24"/>
                <w:szCs w:val="24"/>
                <w:bdr w:val="none" w:color="auto" w:sz="0" w:space="0"/>
              </w:rPr>
              <w:t> </w:t>
            </w:r>
          </w:p>
        </w:tc>
        <w:tc>
          <w:tcPr>
            <w:tcW w:w="602" w:type="dxa"/>
            <w:tcBorders>
              <w:top w:val="nil"/>
              <w:left w:val="nil"/>
              <w:bottom w:val="single" w:color="000000" w:sz="8" w:space="0"/>
              <w:right w:val="single" w:color="000000" w:sz="8" w:space="0"/>
            </w:tcBorders>
            <w:shd w:val="clear"/>
            <w:tcMar>
              <w:top w:w="15" w:type="dxa"/>
              <w:left w:w="15" w:type="dxa"/>
              <w:right w:w="15" w:type="dxa"/>
            </w:tcMar>
            <w:vAlign w:val="center"/>
          </w:tcPr>
          <w:p w14:paraId="05B4798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415" w:type="dxa"/>
            <w:tcBorders>
              <w:top w:val="nil"/>
              <w:left w:val="nil"/>
              <w:bottom w:val="single" w:color="000000" w:sz="8" w:space="0"/>
              <w:right w:val="single" w:color="000000" w:sz="8" w:space="0"/>
            </w:tcBorders>
            <w:shd w:val="clear"/>
            <w:tcMar>
              <w:left w:w="0" w:type="dxa"/>
              <w:right w:w="0" w:type="dxa"/>
            </w:tcMar>
            <w:vAlign w:val="center"/>
          </w:tcPr>
          <w:p w14:paraId="75CDD68C">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b/>
                <w:bCs/>
                <w:color w:val="000000"/>
                <w:sz w:val="24"/>
                <w:szCs w:val="24"/>
                <w:bdr w:val="none" w:color="auto" w:sz="0" w:space="0"/>
              </w:rPr>
              <w:t> </w:t>
            </w:r>
          </w:p>
        </w:tc>
        <w:tc>
          <w:tcPr>
            <w:tcW w:w="616" w:type="dxa"/>
            <w:tcBorders>
              <w:top w:val="nil"/>
              <w:left w:val="nil"/>
              <w:bottom w:val="single" w:color="000000" w:sz="8" w:space="0"/>
              <w:right w:val="single" w:color="000000" w:sz="8" w:space="0"/>
            </w:tcBorders>
            <w:shd w:val="clear"/>
            <w:tcMar>
              <w:left w:w="0" w:type="dxa"/>
              <w:right w:w="0" w:type="dxa"/>
            </w:tcMar>
            <w:vAlign w:val="center"/>
          </w:tcPr>
          <w:p w14:paraId="34D16DF6">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b/>
                <w:bCs/>
                <w:color w:val="000000"/>
                <w:sz w:val="24"/>
                <w:szCs w:val="24"/>
                <w:bdr w:val="none" w:color="auto" w:sz="0" w:space="0"/>
              </w:rPr>
              <w:t> </w:t>
            </w:r>
          </w:p>
        </w:tc>
      </w:tr>
      <w:tr w14:paraId="36DE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blCellSpacing w:w="0" w:type="dxa"/>
        </w:trPr>
        <w:tc>
          <w:tcPr>
            <w:tcW w:w="2596" w:type="dxa"/>
            <w:gridSpan w:val="4"/>
            <w:tcBorders>
              <w:top w:val="nil"/>
              <w:left w:val="single" w:color="000000" w:sz="8" w:space="0"/>
              <w:bottom w:val="single" w:color="000000" w:sz="8" w:space="0"/>
              <w:right w:val="single" w:color="000000" w:sz="8" w:space="0"/>
            </w:tcBorders>
            <w:shd w:val="clear"/>
            <w:tcMar>
              <w:top w:w="15" w:type="dxa"/>
              <w:left w:w="15" w:type="dxa"/>
              <w:right w:w="15" w:type="dxa"/>
            </w:tcMar>
            <w:vAlign w:val="center"/>
          </w:tcPr>
          <w:p w14:paraId="6F85C42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20"/>
                <w:tab w:val="left" w:pos="4156"/>
                <w:tab w:val="left" w:pos="8313"/>
              </w:tabs>
              <w:spacing w:before="0" w:beforeAutospacing="0" w:after="0" w:afterAutospacing="0"/>
              <w:jc w:val="center"/>
            </w:pPr>
            <w:r>
              <w:rPr>
                <w:rFonts w:ascii="宋体" w:hAnsi="宋体" w:eastAsia="宋体" w:cs="宋体"/>
                <w:b/>
                <w:bCs/>
                <w:color w:val="000000"/>
                <w:sz w:val="24"/>
                <w:szCs w:val="24"/>
                <w:bdr w:val="none" w:color="auto" w:sz="0" w:space="0"/>
              </w:rPr>
              <w:t>完工期</w:t>
            </w:r>
          </w:p>
        </w:tc>
        <w:tc>
          <w:tcPr>
            <w:tcW w:w="6086" w:type="dxa"/>
            <w:gridSpan w:val="8"/>
            <w:tcBorders>
              <w:top w:val="nil"/>
              <w:left w:val="nil"/>
              <w:bottom w:val="single" w:color="000000" w:sz="8" w:space="0"/>
              <w:right w:val="single" w:color="000000" w:sz="8" w:space="0"/>
            </w:tcBorders>
            <w:shd w:val="clear"/>
            <w:tcMar>
              <w:top w:w="15" w:type="dxa"/>
              <w:left w:w="15" w:type="dxa"/>
              <w:right w:w="15" w:type="dxa"/>
            </w:tcMar>
            <w:vAlign w:val="center"/>
          </w:tcPr>
          <w:p w14:paraId="11BF285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b/>
                <w:bCs/>
                <w:color w:val="000000"/>
                <w:sz w:val="24"/>
                <w:szCs w:val="24"/>
                <w:bdr w:val="none" w:color="auto" w:sz="0" w:space="0"/>
              </w:rPr>
              <w:t> </w:t>
            </w:r>
          </w:p>
        </w:tc>
      </w:tr>
      <w:tr w14:paraId="30242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blCellSpacing w:w="0" w:type="dxa"/>
        </w:trPr>
        <w:tc>
          <w:tcPr>
            <w:tcW w:w="2596" w:type="dxa"/>
            <w:gridSpan w:val="4"/>
            <w:tcBorders>
              <w:top w:val="nil"/>
              <w:left w:val="single" w:color="000000" w:sz="8" w:space="0"/>
              <w:bottom w:val="single" w:color="000000" w:sz="8" w:space="0"/>
              <w:right w:val="single" w:color="000000" w:sz="8" w:space="0"/>
            </w:tcBorders>
            <w:shd w:val="clear"/>
            <w:tcMar>
              <w:top w:w="15" w:type="dxa"/>
              <w:left w:w="15" w:type="dxa"/>
              <w:right w:w="15" w:type="dxa"/>
            </w:tcMar>
            <w:vAlign w:val="center"/>
          </w:tcPr>
          <w:p w14:paraId="49A6019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20"/>
                <w:tab w:val="left" w:pos="4156"/>
                <w:tab w:val="left" w:pos="8313"/>
              </w:tabs>
              <w:spacing w:before="0" w:beforeAutospacing="0" w:after="0" w:afterAutospacing="0"/>
              <w:jc w:val="center"/>
            </w:pPr>
            <w:r>
              <w:rPr>
                <w:rFonts w:ascii="宋体" w:hAnsi="宋体" w:eastAsia="宋体" w:cs="宋体"/>
                <w:b/>
                <w:bCs/>
                <w:color w:val="000000"/>
                <w:sz w:val="24"/>
                <w:szCs w:val="24"/>
                <w:bdr w:val="none" w:color="auto" w:sz="0" w:space="0"/>
              </w:rPr>
              <w:t>项目整体质保期</w:t>
            </w:r>
          </w:p>
        </w:tc>
        <w:tc>
          <w:tcPr>
            <w:tcW w:w="6086" w:type="dxa"/>
            <w:gridSpan w:val="8"/>
            <w:tcBorders>
              <w:top w:val="nil"/>
              <w:left w:val="nil"/>
              <w:bottom w:val="single" w:color="000000" w:sz="8" w:space="0"/>
              <w:right w:val="single" w:color="000000" w:sz="8" w:space="0"/>
            </w:tcBorders>
            <w:shd w:val="clear"/>
            <w:tcMar>
              <w:top w:w="15" w:type="dxa"/>
              <w:left w:w="15" w:type="dxa"/>
              <w:right w:w="15" w:type="dxa"/>
            </w:tcMar>
            <w:vAlign w:val="center"/>
          </w:tcPr>
          <w:p w14:paraId="6BE258B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b/>
                <w:bCs/>
                <w:color w:val="000000"/>
                <w:sz w:val="24"/>
                <w:szCs w:val="24"/>
                <w:bdr w:val="none" w:color="auto" w:sz="0" w:space="0"/>
              </w:rPr>
              <w:t> </w:t>
            </w:r>
          </w:p>
        </w:tc>
      </w:tr>
      <w:tr w14:paraId="766A3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blCellSpacing w:w="0" w:type="dxa"/>
        </w:trPr>
        <w:tc>
          <w:tcPr>
            <w:tcW w:w="4804" w:type="dxa"/>
            <w:gridSpan w:val="5"/>
            <w:tcBorders>
              <w:top w:val="nil"/>
              <w:left w:val="single" w:color="000000" w:sz="8" w:space="0"/>
              <w:bottom w:val="single" w:color="000000" w:sz="8" w:space="0"/>
              <w:right w:val="single" w:color="000000" w:sz="8" w:space="0"/>
            </w:tcBorders>
            <w:shd w:val="clear"/>
            <w:tcMar>
              <w:top w:w="15" w:type="dxa"/>
              <w:left w:w="15" w:type="dxa"/>
              <w:right w:w="15" w:type="dxa"/>
            </w:tcMar>
            <w:vAlign w:val="center"/>
          </w:tcPr>
          <w:p w14:paraId="451A1EC5">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24"/>
                <w:szCs w:val="24"/>
                <w:bdr w:val="none" w:color="auto" w:sz="0" w:space="0"/>
              </w:rPr>
              <w:t>其中属于小、微型企业产品的价格合计（小写）</w:t>
            </w:r>
          </w:p>
        </w:tc>
        <w:tc>
          <w:tcPr>
            <w:tcW w:w="3878" w:type="dxa"/>
            <w:gridSpan w:val="7"/>
            <w:tcBorders>
              <w:top w:val="nil"/>
              <w:left w:val="nil"/>
              <w:bottom w:val="single" w:color="000000" w:sz="8" w:space="0"/>
              <w:right w:val="single" w:color="000000" w:sz="8" w:space="0"/>
            </w:tcBorders>
            <w:shd w:val="clear"/>
            <w:tcMar>
              <w:left w:w="0" w:type="dxa"/>
              <w:right w:w="0" w:type="dxa"/>
            </w:tcMar>
            <w:vAlign w:val="center"/>
          </w:tcPr>
          <w:p w14:paraId="3DDD2CF1">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24"/>
                <w:szCs w:val="24"/>
                <w:bdr w:val="none" w:color="auto" w:sz="0" w:space="0"/>
              </w:rPr>
              <w:t> </w:t>
            </w:r>
          </w:p>
        </w:tc>
      </w:tr>
      <w:tr w14:paraId="419E6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blCellSpacing w:w="0" w:type="dxa"/>
        </w:trPr>
        <w:tc>
          <w:tcPr>
            <w:tcW w:w="979" w:type="dxa"/>
            <w:gridSpan w:val="2"/>
            <w:vMerge w:val="restart"/>
            <w:tcBorders>
              <w:top w:val="nil"/>
              <w:left w:val="single" w:color="000000" w:sz="8" w:space="0"/>
              <w:bottom w:val="single" w:color="000000" w:sz="8" w:space="0"/>
              <w:right w:val="single" w:color="000000" w:sz="8" w:space="0"/>
            </w:tcBorders>
            <w:shd w:val="clear"/>
            <w:vAlign w:val="center"/>
          </w:tcPr>
          <w:p w14:paraId="74166BBB">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120"/>
              <w:jc w:val="both"/>
            </w:pPr>
            <w:r>
              <w:rPr>
                <w:rFonts w:ascii="宋体" w:hAnsi="宋体" w:eastAsia="宋体" w:cs="宋体"/>
                <w:b/>
                <w:bCs/>
                <w:color w:val="000000"/>
                <w:sz w:val="24"/>
                <w:szCs w:val="24"/>
                <w:bdr w:val="none" w:color="auto" w:sz="0" w:space="0"/>
              </w:rPr>
              <w:t>服</w:t>
            </w:r>
          </w:p>
          <w:p w14:paraId="47EB83DB">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482"/>
              <w:jc w:val="both"/>
            </w:pPr>
            <w:r>
              <w:rPr>
                <w:rFonts w:ascii="宋体" w:hAnsi="宋体" w:eastAsia="宋体" w:cs="宋体"/>
                <w:b/>
                <w:bCs/>
                <w:color w:val="000000"/>
                <w:sz w:val="24"/>
                <w:szCs w:val="24"/>
                <w:bdr w:val="none" w:color="auto" w:sz="0" w:space="0"/>
              </w:rPr>
              <w:t> </w:t>
            </w:r>
          </w:p>
          <w:p w14:paraId="2690FA1E">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120"/>
              <w:jc w:val="both"/>
            </w:pPr>
            <w:r>
              <w:rPr>
                <w:rFonts w:ascii="宋体" w:hAnsi="宋体" w:eastAsia="宋体" w:cs="宋体"/>
                <w:b/>
                <w:bCs/>
                <w:color w:val="000000"/>
                <w:sz w:val="24"/>
                <w:szCs w:val="24"/>
                <w:bdr w:val="none" w:color="auto" w:sz="0" w:space="0"/>
              </w:rPr>
              <w:t>务</w:t>
            </w:r>
          </w:p>
          <w:p w14:paraId="13540AE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482"/>
              <w:jc w:val="both"/>
            </w:pPr>
            <w:r>
              <w:rPr>
                <w:rFonts w:ascii="宋体" w:hAnsi="宋体" w:eastAsia="宋体" w:cs="宋体"/>
                <w:b/>
                <w:bCs/>
                <w:color w:val="000000"/>
                <w:sz w:val="24"/>
                <w:szCs w:val="24"/>
                <w:bdr w:val="none" w:color="auto" w:sz="0" w:space="0"/>
              </w:rPr>
              <w:t> </w:t>
            </w:r>
          </w:p>
          <w:p w14:paraId="110D280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120"/>
              <w:jc w:val="both"/>
            </w:pPr>
            <w:r>
              <w:rPr>
                <w:rFonts w:ascii="宋体" w:hAnsi="宋体" w:eastAsia="宋体" w:cs="宋体"/>
                <w:b/>
                <w:bCs/>
                <w:color w:val="000000"/>
                <w:sz w:val="24"/>
                <w:szCs w:val="24"/>
                <w:bdr w:val="none" w:color="auto" w:sz="0" w:space="0"/>
              </w:rPr>
              <w:t>承</w:t>
            </w:r>
          </w:p>
          <w:p w14:paraId="58F68D5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482"/>
              <w:jc w:val="both"/>
            </w:pPr>
            <w:r>
              <w:rPr>
                <w:rFonts w:ascii="宋体" w:hAnsi="宋体" w:eastAsia="宋体" w:cs="宋体"/>
                <w:b/>
                <w:bCs/>
                <w:color w:val="000000"/>
                <w:sz w:val="24"/>
                <w:szCs w:val="24"/>
                <w:bdr w:val="none" w:color="auto" w:sz="0" w:space="0"/>
              </w:rPr>
              <w:t> </w:t>
            </w:r>
          </w:p>
          <w:p w14:paraId="790A76B8">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400" w:lineRule="atLeast"/>
              <w:ind w:left="0" w:firstLine="120"/>
              <w:jc w:val="both"/>
            </w:pPr>
            <w:r>
              <w:rPr>
                <w:rFonts w:ascii="宋体" w:hAnsi="宋体" w:eastAsia="宋体" w:cs="宋体"/>
                <w:b/>
                <w:bCs/>
                <w:color w:val="000000"/>
                <w:sz w:val="24"/>
                <w:szCs w:val="24"/>
                <w:bdr w:val="none" w:color="auto" w:sz="0" w:space="0"/>
              </w:rPr>
              <w:t>诺</w:t>
            </w:r>
          </w:p>
        </w:tc>
        <w:tc>
          <w:tcPr>
            <w:tcW w:w="7703" w:type="dxa"/>
            <w:gridSpan w:val="10"/>
            <w:tcBorders>
              <w:top w:val="nil"/>
              <w:left w:val="nil"/>
              <w:bottom w:val="single" w:color="000000" w:sz="8" w:space="0"/>
              <w:right w:val="single" w:color="000000" w:sz="8" w:space="0"/>
            </w:tcBorders>
            <w:shd w:val="clear"/>
            <w:vAlign w:val="center"/>
          </w:tcPr>
          <w:p w14:paraId="1881F919">
            <w:pPr>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400" w:lineRule="exact"/>
              <w:ind w:left="0" w:hanging="360"/>
              <w:textAlignment w:val="auto"/>
              <w:rPr>
                <w:rFonts w:hint="eastAsia" w:ascii="宋体" w:hAnsi="宋体" w:eastAsia="宋体" w:cs="宋体"/>
                <w:color w:val="000000"/>
                <w:sz w:val="21"/>
                <w:szCs w:val="21"/>
                <w:lang w:val="en-US" w:eastAsia="zh-CN" w:bidi="ar-SA"/>
              </w:rPr>
            </w:pPr>
          </w:p>
          <w:p w14:paraId="67AA8CF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210"/>
              </w:tabs>
              <w:kinsoku/>
              <w:wordWrap/>
              <w:overflowPunct/>
              <w:topLinePunct w:val="0"/>
              <w:autoSpaceDE/>
              <w:autoSpaceDN/>
              <w:bidi w:val="0"/>
              <w:adjustRightInd/>
              <w:snapToGrid/>
              <w:spacing w:before="0" w:beforeAutospacing="0" w:after="0" w:afterAutospacing="0" w:line="400" w:lineRule="exact"/>
              <w:ind w:left="0" w:firstLine="0"/>
              <w:jc w:val="both"/>
              <w:textAlignment w:val="auto"/>
              <w:rPr>
                <w:rFonts w:hint="eastAsia" w:ascii="宋体" w:hAnsi="宋体" w:eastAsia="宋体" w:cs="宋体"/>
                <w:color w:val="000000"/>
                <w:sz w:val="21"/>
                <w:szCs w:val="21"/>
                <w:lang w:val="en-US" w:eastAsia="zh-CN" w:bidi="ar-SA"/>
              </w:rPr>
            </w:pPr>
            <w:r>
              <w:rPr>
                <w:rFonts w:hint="eastAsia" w:cs="宋体"/>
                <w:color w:val="000000"/>
                <w:sz w:val="21"/>
                <w:szCs w:val="21"/>
                <w:lang w:val="en-US" w:eastAsia="zh-CN" w:bidi="ar-SA"/>
              </w:rPr>
              <w:t>1.</w:t>
            </w:r>
            <w:r>
              <w:rPr>
                <w:rFonts w:hint="eastAsia" w:ascii="宋体" w:hAnsi="宋体" w:eastAsia="宋体" w:cs="宋体"/>
                <w:color w:val="000000"/>
                <w:sz w:val="21"/>
                <w:szCs w:val="21"/>
                <w:lang w:val="en-US" w:eastAsia="zh-CN" w:bidi="ar-SA"/>
              </w:rPr>
              <w:t>质量 2.安装 3."三包"(包修、包退、包换)4.其他承诺</w:t>
            </w:r>
          </w:p>
          <w:p w14:paraId="70DE420F">
            <w:pPr>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400" w:lineRule="exact"/>
              <w:ind w:left="0" w:hanging="360"/>
              <w:textAlignment w:val="auto"/>
              <w:rPr>
                <w:rFonts w:hint="eastAsia" w:ascii="宋体" w:hAnsi="宋体" w:eastAsia="宋体" w:cs="宋体"/>
                <w:color w:val="000000"/>
                <w:sz w:val="21"/>
                <w:szCs w:val="21"/>
                <w:lang w:val="en-US" w:eastAsia="zh-CN" w:bidi="ar-SA"/>
              </w:rPr>
            </w:pPr>
          </w:p>
          <w:p w14:paraId="580F316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jc w:val="both"/>
              <w:textAlignment w:val="auto"/>
            </w:pPr>
            <w:r>
              <w:rPr>
                <w:rFonts w:hint="eastAsia" w:ascii="宋体" w:hAnsi="宋体" w:eastAsia="宋体" w:cs="宋体"/>
                <w:color w:val="000000"/>
                <w:sz w:val="21"/>
                <w:szCs w:val="21"/>
                <w:lang w:val="en-US" w:eastAsia="zh-CN" w:bidi="ar-SA"/>
              </w:rPr>
              <w:t>（以上是主要承诺，供投标人参考，投标人应在满足招标文件要求的基础上，根据自己单位的情况作出具体承诺）</w:t>
            </w:r>
          </w:p>
        </w:tc>
      </w:tr>
      <w:tr w14:paraId="5B9E8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2" w:hRule="atLeast"/>
          <w:tblCellSpacing w:w="0" w:type="dxa"/>
        </w:trPr>
        <w:tc>
          <w:tcPr>
            <w:tcW w:w="979" w:type="dxa"/>
            <w:gridSpan w:val="2"/>
            <w:vMerge w:val="continue"/>
            <w:tcBorders>
              <w:top w:val="nil"/>
              <w:left w:val="single" w:color="000000" w:sz="8" w:space="0"/>
              <w:bottom w:val="single" w:color="000000" w:sz="8" w:space="0"/>
              <w:right w:val="single" w:color="000000" w:sz="8" w:space="0"/>
            </w:tcBorders>
            <w:shd w:val="clear"/>
            <w:vAlign w:val="center"/>
          </w:tcPr>
          <w:p w14:paraId="0CC53740">
            <w:pPr>
              <w:rPr>
                <w:rFonts w:hint="eastAsia" w:ascii="宋体"/>
                <w:sz w:val="24"/>
                <w:szCs w:val="24"/>
              </w:rPr>
            </w:pPr>
          </w:p>
        </w:tc>
        <w:tc>
          <w:tcPr>
            <w:tcW w:w="7703" w:type="dxa"/>
            <w:gridSpan w:val="10"/>
            <w:tcBorders>
              <w:top w:val="nil"/>
              <w:left w:val="nil"/>
              <w:bottom w:val="single" w:color="000000" w:sz="8" w:space="0"/>
              <w:right w:val="single" w:color="000000" w:sz="8" w:space="0"/>
            </w:tcBorders>
            <w:shd w:val="clear"/>
            <w:vAlign w:val="center"/>
          </w:tcPr>
          <w:p w14:paraId="248BCF1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p>
        </w:tc>
      </w:tr>
      <w:tr w14:paraId="0956F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trPr>
        <w:tc>
          <w:tcPr>
            <w:tcW w:w="587" w:type="dxa"/>
            <w:tcBorders>
              <w:top w:val="nil"/>
              <w:left w:val="nil"/>
              <w:bottom w:val="nil"/>
              <w:right w:val="nil"/>
            </w:tcBorders>
            <w:shd w:val="clear"/>
            <w:tcMar>
              <w:left w:w="0" w:type="dxa"/>
              <w:right w:w="0" w:type="dxa"/>
            </w:tcMar>
            <w:vAlign w:val="center"/>
          </w:tcPr>
          <w:p w14:paraId="0FF59CA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392" w:type="dxa"/>
            <w:tcBorders>
              <w:top w:val="nil"/>
              <w:left w:val="nil"/>
              <w:bottom w:val="nil"/>
              <w:right w:val="nil"/>
            </w:tcBorders>
            <w:shd w:val="clear"/>
            <w:tcMar>
              <w:left w:w="0" w:type="dxa"/>
              <w:right w:w="0" w:type="dxa"/>
            </w:tcMar>
            <w:vAlign w:val="center"/>
          </w:tcPr>
          <w:p w14:paraId="564B56F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825" w:type="dxa"/>
            <w:tcBorders>
              <w:top w:val="nil"/>
              <w:left w:val="nil"/>
              <w:bottom w:val="nil"/>
              <w:right w:val="nil"/>
            </w:tcBorders>
            <w:shd w:val="clear"/>
            <w:tcMar>
              <w:left w:w="0" w:type="dxa"/>
              <w:right w:w="0" w:type="dxa"/>
            </w:tcMar>
            <w:vAlign w:val="center"/>
          </w:tcPr>
          <w:p w14:paraId="56C77C6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792" w:type="dxa"/>
            <w:tcBorders>
              <w:top w:val="nil"/>
              <w:left w:val="nil"/>
              <w:bottom w:val="nil"/>
              <w:right w:val="nil"/>
            </w:tcBorders>
            <w:shd w:val="clear"/>
            <w:tcMar>
              <w:left w:w="0" w:type="dxa"/>
              <w:right w:w="0" w:type="dxa"/>
            </w:tcMar>
            <w:vAlign w:val="center"/>
          </w:tcPr>
          <w:p w14:paraId="6F1411F4">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2208" w:type="dxa"/>
            <w:tcBorders>
              <w:top w:val="nil"/>
              <w:left w:val="nil"/>
              <w:bottom w:val="nil"/>
              <w:right w:val="nil"/>
            </w:tcBorders>
            <w:shd w:val="clear"/>
            <w:tcMar>
              <w:left w:w="0" w:type="dxa"/>
              <w:right w:w="0" w:type="dxa"/>
            </w:tcMar>
            <w:vAlign w:val="center"/>
          </w:tcPr>
          <w:p w14:paraId="7C1F256C">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341" w:type="dxa"/>
            <w:tcBorders>
              <w:top w:val="nil"/>
              <w:left w:val="nil"/>
              <w:bottom w:val="nil"/>
              <w:right w:val="nil"/>
            </w:tcBorders>
            <w:shd w:val="clear"/>
            <w:tcMar>
              <w:left w:w="0" w:type="dxa"/>
              <w:right w:w="0" w:type="dxa"/>
            </w:tcMar>
            <w:vAlign w:val="center"/>
          </w:tcPr>
          <w:p w14:paraId="7FD414C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384" w:type="dxa"/>
            <w:tcBorders>
              <w:top w:val="nil"/>
              <w:left w:val="nil"/>
              <w:bottom w:val="nil"/>
              <w:right w:val="nil"/>
            </w:tcBorders>
            <w:shd w:val="clear"/>
            <w:tcMar>
              <w:left w:w="0" w:type="dxa"/>
              <w:right w:w="0" w:type="dxa"/>
            </w:tcMar>
            <w:vAlign w:val="center"/>
          </w:tcPr>
          <w:p w14:paraId="2D0D2DD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542" w:type="dxa"/>
            <w:tcBorders>
              <w:top w:val="nil"/>
              <w:left w:val="nil"/>
              <w:bottom w:val="nil"/>
              <w:right w:val="nil"/>
            </w:tcBorders>
            <w:shd w:val="clear"/>
            <w:tcMar>
              <w:left w:w="0" w:type="dxa"/>
              <w:right w:w="0" w:type="dxa"/>
            </w:tcMar>
            <w:vAlign w:val="center"/>
          </w:tcPr>
          <w:p w14:paraId="1F399CD6">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978" w:type="dxa"/>
            <w:tcBorders>
              <w:top w:val="nil"/>
              <w:left w:val="nil"/>
              <w:bottom w:val="nil"/>
              <w:right w:val="nil"/>
            </w:tcBorders>
            <w:shd w:val="clear"/>
            <w:tcMar>
              <w:left w:w="0" w:type="dxa"/>
              <w:right w:w="0" w:type="dxa"/>
            </w:tcMar>
            <w:vAlign w:val="center"/>
          </w:tcPr>
          <w:p w14:paraId="311C549A">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602" w:type="dxa"/>
            <w:tcBorders>
              <w:top w:val="nil"/>
              <w:left w:val="nil"/>
              <w:bottom w:val="nil"/>
              <w:right w:val="nil"/>
            </w:tcBorders>
            <w:shd w:val="clear"/>
            <w:tcMar>
              <w:left w:w="0" w:type="dxa"/>
              <w:right w:w="0" w:type="dxa"/>
            </w:tcMar>
            <w:vAlign w:val="center"/>
          </w:tcPr>
          <w:p w14:paraId="2901BC6C">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415" w:type="dxa"/>
            <w:tcBorders>
              <w:top w:val="nil"/>
              <w:left w:val="nil"/>
              <w:bottom w:val="nil"/>
              <w:right w:val="nil"/>
            </w:tcBorders>
            <w:shd w:val="clear"/>
            <w:tcMar>
              <w:left w:w="0" w:type="dxa"/>
              <w:right w:w="0" w:type="dxa"/>
            </w:tcMar>
            <w:vAlign w:val="center"/>
          </w:tcPr>
          <w:p w14:paraId="0D06518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c>
          <w:tcPr>
            <w:tcW w:w="616" w:type="dxa"/>
            <w:tcBorders>
              <w:top w:val="nil"/>
              <w:left w:val="nil"/>
              <w:bottom w:val="nil"/>
              <w:right w:val="nil"/>
            </w:tcBorders>
            <w:shd w:val="clear"/>
            <w:tcMar>
              <w:left w:w="0" w:type="dxa"/>
              <w:right w:w="0" w:type="dxa"/>
            </w:tcMar>
            <w:vAlign w:val="center"/>
          </w:tcPr>
          <w:p w14:paraId="365E706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7" w:lineRule="atLeast"/>
            </w:pPr>
            <w:r>
              <w:rPr>
                <w:bdr w:val="none" w:color="auto" w:sz="0" w:space="0"/>
              </w:rPr>
              <w:t> </w:t>
            </w:r>
          </w:p>
        </w:tc>
      </w:tr>
    </w:tbl>
    <w:p w14:paraId="50C75523">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5" w:beforeAutospacing="0" w:after="0" w:afterAutospacing="0" w:line="559" w:lineRule="atLeast"/>
        <w:jc w:val="both"/>
      </w:pPr>
      <w:r>
        <w:rPr>
          <w:rFonts w:ascii="宋体" w:hAnsi="宋体" w:eastAsia="宋体" w:cs="宋体"/>
          <w:b/>
          <w:bCs/>
          <w:color w:val="000000"/>
          <w:sz w:val="24"/>
          <w:szCs w:val="24"/>
        </w:rPr>
        <w:t>法定代表人或法定代表人授权代表签字或盖章：</w:t>
      </w:r>
    </w:p>
    <w:p w14:paraId="4C9A696F">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bCs/>
          <w:color w:val="000000"/>
          <w:sz w:val="21"/>
          <w:szCs w:val="21"/>
        </w:rPr>
        <w:t>注：</w:t>
      </w:r>
      <w:r>
        <w:rPr>
          <w:rFonts w:ascii="宋体" w:hAnsi="宋体" w:eastAsia="宋体" w:cs="宋体"/>
          <w:color w:val="000000"/>
          <w:sz w:val="21"/>
          <w:szCs w:val="21"/>
        </w:rPr>
        <w:t>（1）在“是否属于小、微型企业产品”栏内填写“是”或“否”。如填写“是”，必须在“产地“栏内加填小、微型企业的完整名称，以及投标人《中小企业声明函》；如未按要求填写或相关内容表述不清的，不得享受价格扣除。投标人对所报相关数据的真实性负责，泰州市公共资源交易中心有权将相关内容进行公示；</w:t>
      </w:r>
    </w:p>
    <w:p w14:paraId="6918D6A2">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15"/>
        <w:jc w:val="both"/>
      </w:pPr>
      <w:r>
        <w:rPr>
          <w:rFonts w:ascii="宋体" w:hAnsi="宋体" w:eastAsia="宋体" w:cs="宋体"/>
          <w:color w:val="000000"/>
          <w:sz w:val="21"/>
          <w:szCs w:val="21"/>
        </w:rPr>
        <w:t>（2）投标人应当根据“项目技术要求和有关说明”的内容在上表中详细填写；</w:t>
      </w:r>
    </w:p>
    <w:p w14:paraId="007ECDF9">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15"/>
        <w:jc w:val="both"/>
      </w:pPr>
      <w:r>
        <w:rPr>
          <w:rFonts w:ascii="宋体" w:hAnsi="宋体" w:eastAsia="宋体" w:cs="宋体"/>
          <w:color w:val="000000"/>
          <w:sz w:val="21"/>
          <w:szCs w:val="21"/>
        </w:rPr>
        <w:t>（3）表格不够可自行延长。</w:t>
      </w:r>
    </w:p>
    <w:p w14:paraId="7220DD2A">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Calibri" w:hAnsi="Calibri" w:cs="Calibri"/>
          <w:color w:val="000000"/>
          <w:sz w:val="21"/>
          <w:szCs w:val="21"/>
        </w:rPr>
        <w:t> </w:t>
      </w:r>
    </w:p>
    <w:p w14:paraId="32A25B17">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rFonts w:hint="eastAsia" w:ascii="宋体" w:hAnsi="宋体" w:eastAsia="宋体" w:cs="宋体"/>
          <w:b/>
          <w:color w:val="auto"/>
          <w:highlight w:val="none"/>
        </w:rPr>
      </w:pPr>
      <w:bookmarkStart w:id="350" w:name="_GoBack"/>
      <w:bookmarkEnd w:id="350"/>
      <w:r>
        <w:rPr>
          <w:rFonts w:hint="eastAsia" w:ascii="宋体" w:hAnsi="宋体" w:eastAsia="宋体" w:cs="宋体"/>
          <w:b/>
          <w:color w:val="auto"/>
          <w:highlight w:val="none"/>
        </w:rPr>
        <w:br w:type="page"/>
      </w:r>
    </w:p>
    <w:p w14:paraId="6CAC0521">
      <w:pPr>
        <w:widowControl/>
        <w:spacing w:line="500" w:lineRule="exact"/>
        <w:jc w:val="left"/>
        <w:rPr>
          <w:rFonts w:hint="eastAsia" w:ascii="宋体" w:hAnsi="宋体" w:eastAsia="宋体" w:cs="宋体"/>
          <w:b/>
          <w:color w:val="auto"/>
          <w:highlight w:val="none"/>
        </w:rPr>
      </w:pPr>
      <w:r>
        <w:rPr>
          <w:rFonts w:hint="eastAsia" w:ascii="宋体" w:hAnsi="宋体" w:eastAsia="宋体" w:cs="宋体"/>
          <w:b/>
          <w:color w:val="auto"/>
          <w:highlight w:val="none"/>
        </w:rPr>
        <w:t>3.5</w:t>
      </w:r>
      <w:r>
        <w:rPr>
          <w:rFonts w:hint="eastAsia" w:ascii="宋体" w:hAnsi="宋体" w:eastAsia="宋体" w:cs="宋体"/>
          <w:color w:val="auto"/>
          <w:highlight w:val="none"/>
        </w:rPr>
        <w:t>供应商</w:t>
      </w:r>
      <w:r>
        <w:rPr>
          <w:rFonts w:hint="eastAsia" w:ascii="宋体" w:hAnsi="宋体" w:eastAsia="宋体" w:cs="宋体"/>
          <w:b/>
          <w:color w:val="auto"/>
          <w:highlight w:val="none"/>
        </w:rPr>
        <w:t>资格条件证明文件</w:t>
      </w:r>
    </w:p>
    <w:p w14:paraId="4468253B">
      <w:pPr>
        <w:pStyle w:val="9"/>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color w:val="auto"/>
          <w:sz w:val="24"/>
          <w:szCs w:val="24"/>
          <w:highlight w:val="none"/>
        </w:rPr>
        <w:t>供应商</w:t>
      </w:r>
      <w:r>
        <w:rPr>
          <w:rFonts w:hint="eastAsia" w:ascii="宋体" w:hAnsi="宋体" w:eastAsia="宋体" w:cs="宋体"/>
          <w:b/>
          <w:color w:val="auto"/>
          <w:sz w:val="24"/>
          <w:szCs w:val="24"/>
          <w:highlight w:val="none"/>
        </w:rPr>
        <w:t>基本资格条件承诺函</w:t>
      </w:r>
    </w:p>
    <w:p w14:paraId="1919460E">
      <w:pPr>
        <w:pStyle w:val="9"/>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
          <w:color w:val="auto"/>
          <w:sz w:val="24"/>
          <w:szCs w:val="24"/>
          <w:highlight w:val="none"/>
        </w:rPr>
        <w:t>基本资格条件承诺函</w:t>
      </w:r>
    </w:p>
    <w:p w14:paraId="3EE9F0F1">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一、按照《政府采购法》第二十二条规定的供应商基本资格条件，我公司郑重承诺如下：</w:t>
      </w:r>
    </w:p>
    <w:p w14:paraId="6A2E6382">
      <w:pPr>
        <w:pStyle w:val="9"/>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1.我公司具有</w:t>
      </w:r>
      <w:r>
        <w:rPr>
          <w:rFonts w:hint="eastAsia" w:ascii="宋体" w:hAnsi="宋体" w:eastAsia="宋体" w:cs="宋体"/>
          <w:color w:val="auto"/>
          <w:sz w:val="24"/>
          <w:szCs w:val="24"/>
          <w:highlight w:val="none"/>
          <w:shd w:val="clear" w:color="auto" w:fill="FFFFFF"/>
        </w:rPr>
        <w:t>良好的商业信誉和健全的财务制度；</w:t>
      </w:r>
    </w:p>
    <w:p w14:paraId="0E6AF4CF">
      <w:pPr>
        <w:pStyle w:val="9"/>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2.我公司具有履行合同所必须的设备和专业技术能力；</w:t>
      </w:r>
    </w:p>
    <w:p w14:paraId="61589C54">
      <w:pPr>
        <w:pStyle w:val="9"/>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3.我公司具有依法缴纳税收和社会保障资金的良好记录；</w:t>
      </w:r>
    </w:p>
    <w:p w14:paraId="3892A47F">
      <w:pPr>
        <w:pStyle w:val="9"/>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4.我公司参加政府采购活动前三年内，在经营活动中没有重大违法记录；</w:t>
      </w:r>
    </w:p>
    <w:p w14:paraId="4F8D09F4">
      <w:pPr>
        <w:pStyle w:val="9"/>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auto"/>
          <w:sz w:val="24"/>
          <w:szCs w:val="24"/>
          <w:highlight w:val="none"/>
        </w:rPr>
        <w:t>。</w:t>
      </w:r>
    </w:p>
    <w:p w14:paraId="37FAD769">
      <w:pPr>
        <w:pStyle w:val="9"/>
        <w:adjustRightInd w:val="0"/>
        <w:snapToGrid w:val="0"/>
        <w:spacing w:line="50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shd w:val="clear" w:color="auto" w:fill="FFFFFF"/>
        </w:rPr>
        <w:t>二、</w:t>
      </w:r>
      <w:r>
        <w:rPr>
          <w:rFonts w:hint="eastAsia" w:ascii="宋体" w:hAnsi="宋体" w:eastAsia="宋体" w:cs="宋体"/>
          <w:color w:val="auto"/>
          <w:sz w:val="24"/>
          <w:szCs w:val="24"/>
          <w:highlight w:val="none"/>
        </w:rPr>
        <w:t>我公司承诺：在本次投标过程中，我公司不存在本项目招标文件第二章第1.4.3条所列情形之一。</w:t>
      </w:r>
    </w:p>
    <w:p w14:paraId="22AE7BAA">
      <w:pPr>
        <w:adjustRightInd w:val="0"/>
        <w:snapToGrid w:val="0"/>
        <w:spacing w:before="156" w:beforeLines="50" w:line="500" w:lineRule="exact"/>
        <w:ind w:firstLine="3360" w:firstLineChars="1400"/>
        <w:rPr>
          <w:rFonts w:hint="eastAsia" w:ascii="宋体" w:hAnsi="宋体" w:eastAsia="宋体" w:cs="宋体"/>
          <w:color w:val="auto"/>
          <w:highlight w:val="none"/>
        </w:rPr>
      </w:pPr>
    </w:p>
    <w:p w14:paraId="4BD03A8C">
      <w:pPr>
        <w:adjustRightInd w:val="0"/>
        <w:snapToGrid w:val="0"/>
        <w:spacing w:before="156" w:beforeLines="50" w:line="500" w:lineRule="exact"/>
        <w:ind w:firstLine="3360" w:firstLineChars="1400"/>
        <w:rPr>
          <w:rFonts w:hint="eastAsia" w:ascii="宋体" w:hAnsi="宋体" w:eastAsia="宋体" w:cs="宋体"/>
          <w:color w:val="auto"/>
          <w:highlight w:val="none"/>
        </w:rPr>
      </w:pPr>
      <w:r>
        <w:rPr>
          <w:rFonts w:hint="eastAsia" w:ascii="宋体" w:hAnsi="宋体" w:eastAsia="宋体" w:cs="宋体"/>
          <w:color w:val="auto"/>
          <w:highlight w:val="none"/>
        </w:rPr>
        <w:t>供应商名称(盖法人章)：</w:t>
      </w:r>
    </w:p>
    <w:p w14:paraId="19D5556F">
      <w:pPr>
        <w:adjustRightInd w:val="0"/>
        <w:snapToGrid w:val="0"/>
        <w:spacing w:before="156" w:beforeLines="50" w:line="500" w:lineRule="exact"/>
        <w:ind w:firstLine="3360" w:firstLineChars="1400"/>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 (签字或签章)：</w:t>
      </w:r>
    </w:p>
    <w:p w14:paraId="3E6BA8CA">
      <w:pPr>
        <w:adjustRightInd w:val="0"/>
        <w:snapToGrid w:val="0"/>
        <w:spacing w:before="156" w:beforeLines="50" w:line="500" w:lineRule="exact"/>
        <w:ind w:firstLine="3360" w:firstLineChars="14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6A5DC883">
      <w:pPr>
        <w:pStyle w:val="9"/>
        <w:adjustRightInd w:val="0"/>
        <w:snapToGrid w:val="0"/>
        <w:spacing w:line="500" w:lineRule="exact"/>
        <w:rPr>
          <w:rFonts w:hint="eastAsia" w:ascii="宋体" w:hAnsi="宋体" w:eastAsia="宋体" w:cs="宋体"/>
          <w:b/>
          <w:color w:val="auto"/>
          <w:sz w:val="24"/>
          <w:szCs w:val="24"/>
          <w:highlight w:val="none"/>
        </w:rPr>
      </w:pPr>
    </w:p>
    <w:p w14:paraId="10C53C00">
      <w:pPr>
        <w:pStyle w:val="9"/>
        <w:adjustRightInd w:val="0"/>
        <w:snapToGrid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（2）招标文件要求的其他资格条件及证明材料</w:t>
      </w:r>
    </w:p>
    <w:p w14:paraId="5C232C31">
      <w:pPr>
        <w:pStyle w:val="9"/>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1.具有有效的营业执照（附证书的复印件）；</w:t>
      </w:r>
    </w:p>
    <w:p w14:paraId="3DFD6C3F">
      <w:pPr>
        <w:pStyle w:val="9"/>
        <w:adjustRightInd w:val="0"/>
        <w:snapToGrid w:val="0"/>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2.中小企业声明函（参考格式附后）。</w:t>
      </w:r>
    </w:p>
    <w:p w14:paraId="3D9EEB63">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1F9D61C3">
      <w:pPr>
        <w:widowControl/>
        <w:jc w:val="left"/>
        <w:rPr>
          <w:rFonts w:hint="eastAsia" w:ascii="宋体" w:hAnsi="宋体" w:eastAsia="宋体" w:cs="宋体"/>
          <w:color w:val="auto"/>
          <w:highlight w:val="none"/>
        </w:rPr>
      </w:pPr>
      <w:r>
        <w:rPr>
          <w:rFonts w:hint="eastAsia" w:ascii="宋体" w:hAnsi="宋体" w:eastAsia="宋体" w:cs="宋体"/>
          <w:b/>
          <w:color w:val="auto"/>
          <w:highlight w:val="none"/>
        </w:rPr>
        <w:t>附件：中小企业声明函</w:t>
      </w:r>
    </w:p>
    <w:p w14:paraId="41941851">
      <w:pPr>
        <w:spacing w:line="44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中小企业声明函</w:t>
      </w:r>
    </w:p>
    <w:p w14:paraId="60F581A5">
      <w:pPr>
        <w:spacing w:line="440" w:lineRule="exact"/>
        <w:ind w:firstLine="57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 （单位名称）      </w:t>
      </w:r>
      <w:r>
        <w:rPr>
          <w:rFonts w:hint="eastAsia" w:ascii="宋体" w:hAnsi="宋体" w:eastAsia="宋体" w:cs="宋体"/>
          <w:color w:val="auto"/>
          <w:highlight w:val="none"/>
        </w:rPr>
        <w:t>的</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采购活动，提供的货物或服务全部由符合政策要求的小微企业提供。相关企业（含联合体中的中小企业、签订分包意向协议的中小企业）的具体情况如下：</w:t>
      </w:r>
    </w:p>
    <w:p w14:paraId="42C04984">
      <w:pPr>
        <w:spacing w:line="440" w:lineRule="exact"/>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行业  </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w:t>
      </w:r>
    </w:p>
    <w:p w14:paraId="4FFACD47">
      <w:pPr>
        <w:spacing w:line="440" w:lineRule="exact"/>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w:t>
      </w:r>
    </w:p>
    <w:p w14:paraId="77B67926">
      <w:pPr>
        <w:pStyle w:val="42"/>
        <w:spacing w:line="440" w:lineRule="exact"/>
        <w:ind w:left="93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w:t>
      </w:r>
    </w:p>
    <w:p w14:paraId="6F6B805F">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2A8A30CC">
      <w:pPr>
        <w:spacing w:line="440" w:lineRule="exact"/>
        <w:ind w:firstLine="57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3F06C8E8">
      <w:pPr>
        <w:spacing w:line="440" w:lineRule="exact"/>
        <w:ind w:firstLine="4080" w:firstLineChars="1700"/>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14:paraId="2769391E">
      <w:pPr>
        <w:spacing w:line="440" w:lineRule="exact"/>
        <w:ind w:firstLine="4080" w:firstLineChars="1700"/>
        <w:rPr>
          <w:rFonts w:hint="eastAsia" w:ascii="宋体" w:hAnsi="宋体" w:eastAsia="宋体" w:cs="宋体"/>
          <w:color w:val="auto"/>
          <w:highlight w:val="none"/>
        </w:rPr>
      </w:pPr>
      <w:r>
        <w:rPr>
          <w:rFonts w:hint="eastAsia" w:ascii="宋体" w:hAnsi="宋体" w:eastAsia="宋体" w:cs="宋体"/>
          <w:color w:val="auto"/>
          <w:highlight w:val="none"/>
        </w:rPr>
        <w:t>日  期：</w:t>
      </w:r>
    </w:p>
    <w:p w14:paraId="356538CD">
      <w:pPr>
        <w:pStyle w:val="2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right="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注：从业人员、营业收入、资产总额填报上一年度数据，无上一年度数据的新成立企业可不填报。供应商如不提供此声明函，价格将不做相应扣除。</w:t>
      </w:r>
    </w:p>
    <w:p w14:paraId="2E3155BB">
      <w:pPr>
        <w:spacing w:line="440" w:lineRule="exact"/>
        <w:ind w:firstLine="480" w:firstLineChars="200"/>
        <w:rPr>
          <w:rFonts w:hint="eastAsia" w:ascii="宋体" w:hAnsi="宋体" w:eastAsia="宋体" w:cs="宋体"/>
          <w:color w:val="auto"/>
          <w:highlight w:val="none"/>
        </w:rPr>
      </w:pPr>
    </w:p>
    <w:p w14:paraId="23B306D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CD654A">
      <w:pPr>
        <w:widowControl/>
        <w:spacing w:line="440" w:lineRule="exact"/>
        <w:jc w:val="left"/>
        <w:rPr>
          <w:rFonts w:hint="eastAsia" w:ascii="宋体" w:hAnsi="宋体" w:eastAsia="宋体" w:cs="宋体"/>
          <w:b/>
          <w:color w:val="auto"/>
          <w:highlight w:val="none"/>
        </w:rPr>
      </w:pPr>
      <w:r>
        <w:rPr>
          <w:rFonts w:hint="eastAsia" w:ascii="宋体" w:hAnsi="宋体" w:eastAsia="宋体" w:cs="宋体"/>
          <w:b/>
          <w:color w:val="auto"/>
          <w:highlight w:val="none"/>
        </w:rPr>
        <w:t>3.5投标偏离表（格式自拟）</w:t>
      </w:r>
    </w:p>
    <w:p w14:paraId="73D55540">
      <w:pPr>
        <w:pStyle w:val="23"/>
        <w:widowControl/>
        <w:spacing w:before="0" w:after="0"/>
        <w:ind w:firstLine="490"/>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投标偏离表</w:t>
      </w:r>
    </w:p>
    <w:p w14:paraId="655AF683">
      <w:pPr>
        <w:pStyle w:val="23"/>
        <w:widowControl/>
        <w:spacing w:before="0" w:after="0" w:line="400" w:lineRule="atLeast"/>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w:t>
      </w:r>
    </w:p>
    <w:p w14:paraId="07CDBE79">
      <w:pPr>
        <w:pStyle w:val="23"/>
        <w:widowControl/>
        <w:spacing w:before="0" w:after="0" w:line="400" w:lineRule="atLeast"/>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w:t>
      </w:r>
    </w:p>
    <w:p w14:paraId="0E1CC680">
      <w:pPr>
        <w:pStyle w:val="23"/>
        <w:widowControl/>
        <w:spacing w:before="0" w:after="0" w:line="40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供应商名称（盖章）                  采购项目编号：</w:t>
      </w:r>
    </w:p>
    <w:p w14:paraId="55E72798">
      <w:pPr>
        <w:pStyle w:val="23"/>
        <w:widowControl/>
        <w:spacing w:before="0" w:after="0" w:line="40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27"/>
        <w:tblW w:w="0" w:type="auto"/>
        <w:tblCellSpacing w:w="0" w:type="dxa"/>
        <w:tblInd w:w="20" w:type="dxa"/>
        <w:tblLayout w:type="autofit"/>
        <w:tblCellMar>
          <w:top w:w="0" w:type="dxa"/>
          <w:left w:w="108" w:type="dxa"/>
          <w:bottom w:w="0" w:type="dxa"/>
          <w:right w:w="108" w:type="dxa"/>
        </w:tblCellMar>
      </w:tblPr>
      <w:tblGrid>
        <w:gridCol w:w="1362"/>
        <w:gridCol w:w="2015"/>
        <w:gridCol w:w="2015"/>
        <w:gridCol w:w="1645"/>
        <w:gridCol w:w="1645"/>
      </w:tblGrid>
      <w:tr w14:paraId="73DA9C80">
        <w:tblPrEx>
          <w:tblCellMar>
            <w:top w:w="0" w:type="dxa"/>
            <w:left w:w="108" w:type="dxa"/>
            <w:bottom w:w="0" w:type="dxa"/>
            <w:right w:w="108" w:type="dxa"/>
          </w:tblCellMar>
        </w:tblPrEx>
        <w:trPr>
          <w:trHeight w:val="555" w:hRule="atLeast"/>
          <w:tblCellSpacing w:w="0" w:type="dxa"/>
        </w:trPr>
        <w:tc>
          <w:tcPr>
            <w:tcW w:w="136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E590550">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b/>
                <w:bCs/>
                <w:color w:val="auto"/>
                <w:highlight w:val="none"/>
              </w:rPr>
              <w:t>名称</w:t>
            </w:r>
          </w:p>
        </w:tc>
        <w:tc>
          <w:tcPr>
            <w:tcW w:w="2018"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258B9095">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b/>
                <w:bCs/>
                <w:color w:val="auto"/>
                <w:highlight w:val="none"/>
              </w:rPr>
              <w:t>采购要求</w:t>
            </w:r>
          </w:p>
        </w:tc>
        <w:tc>
          <w:tcPr>
            <w:tcW w:w="2018"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1D1405EA">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b/>
                <w:bCs/>
                <w:color w:val="auto"/>
                <w:highlight w:val="none"/>
              </w:rPr>
              <w:t>实报内容</w:t>
            </w:r>
          </w:p>
        </w:tc>
        <w:tc>
          <w:tcPr>
            <w:tcW w:w="1647"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2B9C4715">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b/>
                <w:bCs/>
                <w:color w:val="auto"/>
                <w:highlight w:val="none"/>
              </w:rPr>
              <w:t>偏离说明</w:t>
            </w:r>
          </w:p>
        </w:tc>
        <w:tc>
          <w:tcPr>
            <w:tcW w:w="1647"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3F966ED1">
            <w:pPr>
              <w:pStyle w:val="23"/>
              <w:widowControl/>
              <w:spacing w:before="0" w:after="0"/>
              <w:jc w:val="center"/>
              <w:rPr>
                <w:rFonts w:hint="eastAsia" w:ascii="宋体" w:hAnsi="宋体" w:eastAsia="宋体" w:cs="宋体"/>
                <w:b/>
                <w:bCs/>
                <w:color w:val="auto"/>
                <w:highlight w:val="none"/>
                <w:lang w:val="en-US" w:eastAsia="zh-CN"/>
              </w:rPr>
            </w:pPr>
            <w:r>
              <w:rPr>
                <w:rFonts w:hint="eastAsia" w:cs="宋体"/>
                <w:b/>
                <w:bCs/>
                <w:color w:val="auto"/>
                <w:highlight w:val="none"/>
                <w:lang w:val="en-US" w:eastAsia="zh-CN"/>
              </w:rPr>
              <w:t>备注</w:t>
            </w:r>
          </w:p>
        </w:tc>
      </w:tr>
      <w:tr w14:paraId="65FB2FA8">
        <w:tblPrEx>
          <w:tblCellMar>
            <w:top w:w="0" w:type="dxa"/>
            <w:left w:w="108" w:type="dxa"/>
            <w:bottom w:w="0" w:type="dxa"/>
            <w:right w:w="108" w:type="dxa"/>
          </w:tblCellMar>
        </w:tblPrEx>
        <w:trPr>
          <w:trHeight w:val="510" w:hRule="atLeast"/>
          <w:tblCellSpacing w:w="0" w:type="dxa"/>
        </w:trPr>
        <w:tc>
          <w:tcPr>
            <w:tcW w:w="1364"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6A442264">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p>
        </w:tc>
        <w:tc>
          <w:tcPr>
            <w:tcW w:w="2018" w:type="dxa"/>
            <w:tcBorders>
              <w:top w:val="nil"/>
              <w:left w:val="nil"/>
              <w:bottom w:val="single" w:color="000000" w:sz="8" w:space="0"/>
              <w:right w:val="single" w:color="000000" w:sz="8" w:space="0"/>
            </w:tcBorders>
            <w:shd w:val="clear" w:color="auto" w:fill="auto"/>
            <w:tcMar>
              <w:left w:w="0" w:type="dxa"/>
              <w:right w:w="0" w:type="dxa"/>
            </w:tcMar>
            <w:vAlign w:val="center"/>
          </w:tcPr>
          <w:p w14:paraId="3A3577E9">
            <w:pPr>
              <w:pStyle w:val="23"/>
              <w:widowControl/>
              <w:spacing w:before="0" w:after="0"/>
              <w:jc w:val="both"/>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p>
        </w:tc>
        <w:tc>
          <w:tcPr>
            <w:tcW w:w="2018" w:type="dxa"/>
            <w:tcBorders>
              <w:top w:val="nil"/>
              <w:left w:val="nil"/>
              <w:bottom w:val="single" w:color="000000" w:sz="8" w:space="0"/>
              <w:right w:val="single" w:color="000000" w:sz="8" w:space="0"/>
            </w:tcBorders>
            <w:shd w:val="clear" w:color="auto" w:fill="auto"/>
            <w:tcMar>
              <w:left w:w="0" w:type="dxa"/>
              <w:right w:w="0" w:type="dxa"/>
            </w:tcMar>
            <w:vAlign w:val="center"/>
          </w:tcPr>
          <w:p w14:paraId="032245D4">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p>
        </w:tc>
        <w:tc>
          <w:tcPr>
            <w:tcW w:w="1647" w:type="dxa"/>
            <w:tcBorders>
              <w:top w:val="nil"/>
              <w:left w:val="nil"/>
              <w:bottom w:val="single" w:color="000000" w:sz="8" w:space="0"/>
              <w:right w:val="single" w:color="000000" w:sz="8" w:space="0"/>
            </w:tcBorders>
            <w:shd w:val="clear" w:color="auto" w:fill="auto"/>
            <w:tcMar>
              <w:left w:w="0" w:type="dxa"/>
              <w:right w:w="0" w:type="dxa"/>
            </w:tcMar>
            <w:vAlign w:val="center"/>
          </w:tcPr>
          <w:p w14:paraId="2B42660B">
            <w:pPr>
              <w:pStyle w:val="23"/>
              <w:widowControl/>
              <w:spacing w:before="0" w:after="0"/>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p>
        </w:tc>
        <w:tc>
          <w:tcPr>
            <w:tcW w:w="1647" w:type="dxa"/>
            <w:tcBorders>
              <w:top w:val="nil"/>
              <w:left w:val="nil"/>
              <w:bottom w:val="single" w:color="000000" w:sz="8" w:space="0"/>
              <w:right w:val="single" w:color="000000" w:sz="8" w:space="0"/>
            </w:tcBorders>
            <w:shd w:val="clear" w:color="auto" w:fill="auto"/>
            <w:tcMar>
              <w:left w:w="0" w:type="dxa"/>
              <w:right w:w="0" w:type="dxa"/>
            </w:tcMar>
            <w:vAlign w:val="center"/>
          </w:tcPr>
          <w:p w14:paraId="59C84144">
            <w:pPr>
              <w:pStyle w:val="23"/>
              <w:widowControl/>
              <w:spacing w:before="0" w:after="0"/>
              <w:jc w:val="center"/>
              <w:rPr>
                <w:rFonts w:hint="eastAsia" w:ascii="宋体" w:hAnsi="宋体" w:eastAsia="宋体" w:cs="宋体"/>
                <w:color w:val="auto"/>
                <w:sz w:val="21"/>
                <w:szCs w:val="21"/>
                <w:highlight w:val="none"/>
              </w:rPr>
            </w:pPr>
          </w:p>
        </w:tc>
      </w:tr>
    </w:tbl>
    <w:p w14:paraId="2AA657B3">
      <w:pPr>
        <w:pStyle w:val="23"/>
        <w:widowControl/>
        <w:spacing w:before="0" w:after="0"/>
        <w:jc w:val="both"/>
        <w:rPr>
          <w:rFonts w:hint="eastAsia" w:ascii="宋体" w:hAnsi="宋体" w:eastAsia="宋体" w:cs="宋体"/>
          <w:color w:val="auto"/>
          <w:highlight w:val="none"/>
        </w:rPr>
      </w:pPr>
      <w:r>
        <w:rPr>
          <w:rFonts w:hint="eastAsia" w:ascii="宋体" w:hAnsi="宋体" w:eastAsia="宋体" w:cs="宋体"/>
          <w:b/>
          <w:bCs/>
          <w:color w:val="auto"/>
          <w:highlight w:val="none"/>
        </w:rPr>
        <w:t> </w:t>
      </w:r>
    </w:p>
    <w:p w14:paraId="56D09C7A">
      <w:pPr>
        <w:pStyle w:val="23"/>
        <w:widowControl/>
        <w:spacing w:before="0" w:after="0"/>
        <w:jc w:val="both"/>
        <w:rPr>
          <w:rFonts w:hint="eastAsia" w:ascii="宋体" w:hAnsi="宋体" w:eastAsia="宋体" w:cs="宋体"/>
          <w:color w:val="auto"/>
          <w:highlight w:val="none"/>
        </w:rPr>
      </w:pPr>
      <w:r>
        <w:rPr>
          <w:rFonts w:hint="eastAsia" w:ascii="宋体" w:hAnsi="宋体" w:eastAsia="宋体" w:cs="宋体"/>
          <w:b/>
          <w:bCs/>
          <w:color w:val="auto"/>
          <w:highlight w:val="none"/>
        </w:rPr>
        <w:t>法定代表人或法定代表人授权代表签字或盖章：</w:t>
      </w:r>
    </w:p>
    <w:p w14:paraId="6D276328">
      <w:pPr>
        <w:pStyle w:val="23"/>
        <w:widowControl/>
        <w:spacing w:before="0" w:after="0"/>
        <w:jc w:val="both"/>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p>
    <w:p w14:paraId="0767836D">
      <w:pPr>
        <w:pStyle w:val="23"/>
        <w:widowControl/>
        <w:spacing w:before="0" w:after="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注：（1）本表不得删除；</w:t>
      </w:r>
    </w:p>
    <w:p w14:paraId="1DC531ED">
      <w:pPr>
        <w:pStyle w:val="23"/>
        <w:widowControl/>
        <w:spacing w:before="0" w:after="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（2）如无任何技术偏离，请于本表 “偏离说明”中注明“无偏离”；</w:t>
      </w:r>
    </w:p>
    <w:p w14:paraId="774EB735">
      <w:pPr>
        <w:widowControl/>
        <w:spacing w:line="44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（3）如有技术偏离项，请于本表中列明偏离内容，如需要可自行延长，其余无偏离内容不须赘述。</w:t>
      </w:r>
    </w:p>
    <w:p w14:paraId="60AF7B59">
      <w:pPr>
        <w:widowControl/>
        <w:spacing w:line="440" w:lineRule="exact"/>
        <w:ind w:firstLine="482" w:firstLineChars="200"/>
        <w:jc w:val="lef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（4）采购需求</w:t>
      </w:r>
      <w:r>
        <w:rPr>
          <w:rFonts w:hint="eastAsia" w:ascii="宋体" w:hAnsi="宋体" w:cs="宋体"/>
          <w:b/>
          <w:bCs/>
          <w:color w:val="auto"/>
          <w:sz w:val="24"/>
          <w:szCs w:val="24"/>
          <w:highlight w:val="none"/>
          <w:lang w:val="en-US" w:eastAsia="zh-CN" w:bidi="ar-SA"/>
        </w:rPr>
        <w:t>内所有</w:t>
      </w:r>
      <w:r>
        <w:rPr>
          <w:rFonts w:hint="eastAsia" w:ascii="宋体" w:hAnsi="宋体" w:eastAsia="宋体" w:cs="宋体"/>
          <w:b/>
          <w:bCs/>
          <w:color w:val="auto"/>
          <w:sz w:val="24"/>
          <w:szCs w:val="24"/>
          <w:highlight w:val="none"/>
          <w:lang w:val="en-US" w:eastAsia="zh-CN" w:bidi="ar-SA"/>
        </w:rPr>
        <w:t>内</w:t>
      </w:r>
      <w:r>
        <w:rPr>
          <w:rFonts w:hint="eastAsia" w:ascii="宋体" w:hAnsi="宋体" w:cs="宋体"/>
          <w:b/>
          <w:bCs/>
          <w:color w:val="auto"/>
          <w:sz w:val="24"/>
          <w:szCs w:val="24"/>
          <w:highlight w:val="none"/>
          <w:lang w:val="en-US" w:eastAsia="zh-CN" w:bidi="ar-SA"/>
        </w:rPr>
        <w:t>容</w:t>
      </w:r>
      <w:r>
        <w:rPr>
          <w:rFonts w:hint="eastAsia" w:ascii="宋体" w:hAnsi="宋体" w:eastAsia="宋体" w:cs="宋体"/>
          <w:b/>
          <w:bCs/>
          <w:color w:val="auto"/>
          <w:sz w:val="24"/>
          <w:szCs w:val="24"/>
          <w:highlight w:val="none"/>
          <w:lang w:val="en-US" w:eastAsia="zh-CN" w:bidi="ar-SA"/>
        </w:rPr>
        <w:t>，必须</w:t>
      </w:r>
      <w:r>
        <w:rPr>
          <w:rFonts w:hint="eastAsia" w:ascii="宋体" w:hAnsi="宋体" w:cs="宋体"/>
          <w:b/>
          <w:bCs/>
          <w:color w:val="auto"/>
          <w:sz w:val="24"/>
          <w:szCs w:val="24"/>
          <w:highlight w:val="none"/>
          <w:lang w:val="en-US" w:eastAsia="zh-CN" w:bidi="ar-SA"/>
        </w:rPr>
        <w:t>如实填写偏离表，需要提供证明材料的，必须</w:t>
      </w:r>
      <w:r>
        <w:rPr>
          <w:rFonts w:hint="eastAsia" w:ascii="宋体" w:hAnsi="宋体" w:eastAsia="宋体" w:cs="宋体"/>
          <w:b/>
          <w:bCs/>
          <w:color w:val="auto"/>
          <w:sz w:val="24"/>
          <w:szCs w:val="24"/>
          <w:highlight w:val="none"/>
          <w:lang w:val="en-US" w:eastAsia="zh-CN" w:bidi="ar-SA"/>
        </w:rPr>
        <w:t>将证明材料附在投标偏离表后面，</w:t>
      </w:r>
      <w:r>
        <w:rPr>
          <w:rFonts w:hint="eastAsia" w:ascii="宋体" w:hAnsi="宋体" w:cs="宋体"/>
          <w:b/>
          <w:bCs/>
          <w:color w:val="auto"/>
          <w:sz w:val="24"/>
          <w:szCs w:val="24"/>
          <w:highlight w:val="none"/>
          <w:lang w:val="en-US" w:eastAsia="zh-CN" w:bidi="ar-SA"/>
        </w:rPr>
        <w:t>否则</w:t>
      </w:r>
      <w:r>
        <w:rPr>
          <w:rFonts w:hint="eastAsia" w:ascii="宋体" w:hAnsi="宋体" w:eastAsia="宋体" w:cs="宋体"/>
          <w:b/>
          <w:bCs/>
          <w:color w:val="auto"/>
          <w:sz w:val="24"/>
          <w:szCs w:val="24"/>
          <w:highlight w:val="none"/>
          <w:lang w:val="en-US" w:eastAsia="zh-CN" w:bidi="ar-SA"/>
        </w:rPr>
        <w:t>视为负偏离。</w:t>
      </w:r>
    </w:p>
    <w:p w14:paraId="3C678238">
      <w:pPr>
        <w:pStyle w:val="14"/>
        <w:ind w:left="480"/>
        <w:rPr>
          <w:rFonts w:hint="eastAsia" w:ascii="宋体" w:hAnsi="宋体" w:eastAsia="宋体" w:cs="宋体"/>
          <w:b/>
          <w:color w:val="auto"/>
          <w:sz w:val="32"/>
          <w:szCs w:val="32"/>
          <w:highlight w:val="none"/>
        </w:rPr>
      </w:pPr>
    </w:p>
    <w:p w14:paraId="2FA838FF">
      <w:pPr>
        <w:jc w:val="left"/>
        <w:rPr>
          <w:rFonts w:hint="eastAsia" w:ascii="宋体" w:hAnsi="宋体" w:eastAsia="宋体" w:cs="宋体"/>
          <w:b/>
          <w:color w:val="auto"/>
          <w:highlight w:val="none"/>
        </w:rPr>
      </w:pPr>
    </w:p>
    <w:p w14:paraId="03D0F67A">
      <w:pPr>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7C94229C">
      <w:pPr>
        <w:spacing w:before="120"/>
        <w:jc w:val="left"/>
        <w:rPr>
          <w:rFonts w:hint="eastAsia" w:ascii="宋体" w:hAnsi="宋体" w:eastAsia="宋体" w:cs="宋体"/>
          <w:b/>
          <w:color w:val="auto"/>
          <w:highlight w:val="none"/>
        </w:rPr>
      </w:pPr>
      <w:r>
        <w:rPr>
          <w:rFonts w:hint="eastAsia" w:ascii="宋体" w:hAnsi="宋体" w:eastAsia="宋体" w:cs="宋体"/>
          <w:b/>
          <w:color w:val="auto"/>
          <w:highlight w:val="none"/>
        </w:rPr>
        <w:t>3.6.供应商认为应列入投标文件得到其他材料</w:t>
      </w:r>
    </w:p>
    <w:p w14:paraId="0A96DC51">
      <w:pPr>
        <w:spacing w:before="120"/>
        <w:jc w:val="left"/>
        <w:rPr>
          <w:rFonts w:hint="eastAsia" w:ascii="宋体" w:hAnsi="宋体" w:eastAsia="宋体" w:cs="宋体"/>
          <w:b/>
          <w:color w:val="auto"/>
          <w:highlight w:val="none"/>
        </w:rPr>
      </w:pPr>
      <w:r>
        <w:rPr>
          <w:rFonts w:hint="eastAsia" w:ascii="宋体" w:hAnsi="宋体" w:eastAsia="宋体" w:cs="宋体"/>
          <w:b/>
          <w:color w:val="auto"/>
          <w:highlight w:val="none"/>
        </w:rPr>
        <w:t>3.7附件：</w:t>
      </w:r>
    </w:p>
    <w:p w14:paraId="6728DE75">
      <w:pPr>
        <w:pStyle w:val="25"/>
        <w:spacing w:line="400" w:lineRule="exact"/>
        <w:ind w:firstLine="0" w:firstLineChars="0"/>
        <w:rPr>
          <w:rFonts w:hint="eastAsia" w:ascii="宋体" w:hAnsi="宋体" w:eastAsia="宋体" w:cs="宋体"/>
          <w:color w:val="auto"/>
          <w:sz w:val="24"/>
          <w:szCs w:val="24"/>
          <w:highlight w:val="none"/>
        </w:rPr>
      </w:pPr>
    </w:p>
    <w:p w14:paraId="3F276B76">
      <w:pPr>
        <w:widowControl/>
        <w:spacing w:line="400" w:lineRule="exact"/>
        <w:jc w:val="center"/>
        <w:outlineLvl w:val="0"/>
        <w:rPr>
          <w:rFonts w:hint="eastAsia" w:ascii="宋体" w:hAnsi="宋体" w:eastAsia="宋体" w:cs="宋体"/>
          <w:b/>
          <w:color w:val="auto"/>
          <w:highlight w:val="none"/>
        </w:rPr>
      </w:pPr>
      <w:bookmarkStart w:id="343" w:name="_Toc22867"/>
      <w:r>
        <w:rPr>
          <w:rFonts w:hint="eastAsia" w:ascii="宋体" w:hAnsi="宋体" w:eastAsia="宋体" w:cs="宋体"/>
          <w:b/>
          <w:color w:val="auto"/>
          <w:highlight w:val="none"/>
        </w:rPr>
        <w:t>法定代表人身份证明书</w:t>
      </w:r>
      <w:bookmarkEnd w:id="343"/>
    </w:p>
    <w:p w14:paraId="37FFD9C1">
      <w:pPr>
        <w:spacing w:line="400" w:lineRule="exact"/>
        <w:rPr>
          <w:rFonts w:hint="eastAsia" w:ascii="宋体" w:hAnsi="宋体" w:eastAsia="宋体" w:cs="宋体"/>
          <w:b/>
          <w:color w:val="auto"/>
          <w:highlight w:val="none"/>
        </w:rPr>
      </w:pPr>
    </w:p>
    <w:p w14:paraId="27E165CA">
      <w:pPr>
        <w:spacing w:line="400" w:lineRule="exact"/>
        <w:ind w:firstLine="612"/>
        <w:rPr>
          <w:rFonts w:hint="eastAsia" w:ascii="宋体" w:hAnsi="宋体" w:eastAsia="宋体" w:cs="宋体"/>
          <w:color w:val="auto"/>
          <w:highlight w:val="none"/>
        </w:rPr>
      </w:pPr>
      <w:r>
        <w:rPr>
          <w:rFonts w:hint="eastAsia" w:ascii="宋体" w:hAnsi="宋体" w:eastAsia="宋体" w:cs="宋体"/>
          <w:color w:val="auto"/>
          <w:highlight w:val="none"/>
        </w:rPr>
        <w:t>单位名称：</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5424D2E7">
      <w:pPr>
        <w:spacing w:line="400" w:lineRule="exact"/>
        <w:ind w:firstLine="610"/>
        <w:rPr>
          <w:rFonts w:hint="eastAsia" w:ascii="宋体" w:hAnsi="宋体" w:eastAsia="宋体" w:cs="宋体"/>
          <w:color w:val="auto"/>
          <w:highlight w:val="none"/>
          <w:u w:val="single"/>
        </w:rPr>
      </w:pPr>
      <w:r>
        <w:rPr>
          <w:rFonts w:hint="eastAsia" w:ascii="宋体" w:hAnsi="宋体" w:eastAsia="宋体" w:cs="宋体"/>
          <w:color w:val="auto"/>
          <w:highlight w:val="none"/>
        </w:rPr>
        <w:t>单位性质：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596834D4">
      <w:pPr>
        <w:spacing w:line="400" w:lineRule="exact"/>
        <w:ind w:firstLine="610"/>
        <w:rPr>
          <w:rFonts w:hint="eastAsia" w:ascii="宋体" w:hAnsi="宋体" w:eastAsia="宋体" w:cs="宋体"/>
          <w:color w:val="auto"/>
          <w:highlight w:val="none"/>
          <w:u w:val="singl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14:paraId="3471D840">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297A5A2">
      <w:pPr>
        <w:spacing w:line="400" w:lineRule="exact"/>
        <w:ind w:firstLine="610"/>
        <w:rPr>
          <w:rFonts w:hint="eastAsia" w:ascii="宋体" w:hAnsi="宋体" w:eastAsia="宋体" w:cs="宋体"/>
          <w:color w:val="auto"/>
          <w:highlight w:val="none"/>
          <w:u w:val="singl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14:paraId="66C842E7">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04C69F9">
      <w:pPr>
        <w:spacing w:line="400" w:lineRule="exact"/>
        <w:ind w:firstLine="610"/>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p>
    <w:p w14:paraId="3ABB1747">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邮箱：</w:t>
      </w:r>
      <w:r>
        <w:rPr>
          <w:rFonts w:hint="eastAsia" w:ascii="宋体" w:hAnsi="宋体" w:eastAsia="宋体" w:cs="宋体"/>
          <w:color w:val="auto"/>
          <w:highlight w:val="none"/>
          <w:u w:val="single"/>
        </w:rPr>
        <w:t xml:space="preserve">                    </w:t>
      </w:r>
    </w:p>
    <w:p w14:paraId="7109FF27">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（供应商单位名称）         </w:t>
      </w:r>
      <w:r>
        <w:rPr>
          <w:rFonts w:hint="eastAsia" w:ascii="宋体" w:hAnsi="宋体" w:eastAsia="宋体" w:cs="宋体"/>
          <w:color w:val="auto"/>
          <w:highlight w:val="none"/>
        </w:rPr>
        <w:t>的法定代表人。</w:t>
      </w:r>
    </w:p>
    <w:p w14:paraId="480BB938">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51735D62">
      <w:pPr>
        <w:spacing w:line="40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附身份证复印件                         </w:t>
      </w:r>
    </w:p>
    <w:p w14:paraId="3924F856">
      <w:pPr>
        <w:tabs>
          <w:tab w:val="left" w:pos="720"/>
          <w:tab w:val="left" w:pos="900"/>
        </w:tabs>
        <w:spacing w:line="400" w:lineRule="exact"/>
        <w:ind w:firstLine="480" w:firstLineChars="200"/>
        <w:rPr>
          <w:rFonts w:hint="eastAsia" w:ascii="宋体" w:hAnsi="宋体" w:eastAsia="宋体" w:cs="宋体"/>
          <w:color w:val="auto"/>
          <w:highlight w:val="none"/>
        </w:rPr>
      </w:pPr>
    </w:p>
    <w:p w14:paraId="69F7C10D">
      <w:pPr>
        <w:tabs>
          <w:tab w:val="left" w:pos="720"/>
          <w:tab w:val="left" w:pos="900"/>
        </w:tabs>
        <w:spacing w:line="400" w:lineRule="exact"/>
        <w:ind w:firstLine="4440" w:firstLineChars="1850"/>
        <w:rPr>
          <w:rFonts w:hint="eastAsia" w:ascii="宋体" w:hAnsi="宋体" w:eastAsia="宋体" w:cs="宋体"/>
          <w:color w:val="auto"/>
          <w:highlight w:val="none"/>
          <w:u w:val="singl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（盖公章）</w:t>
      </w:r>
    </w:p>
    <w:p w14:paraId="62264D29">
      <w:pPr>
        <w:tabs>
          <w:tab w:val="left" w:pos="720"/>
          <w:tab w:val="left" w:pos="900"/>
        </w:tabs>
        <w:spacing w:line="400" w:lineRule="exact"/>
        <w:ind w:firstLine="4440" w:firstLineChars="1850"/>
        <w:rPr>
          <w:rFonts w:hint="eastAsia" w:ascii="宋体" w:hAnsi="宋体" w:eastAsia="宋体" w:cs="宋体"/>
          <w:color w:val="auto"/>
          <w:highlight w:val="none"/>
        </w:rPr>
      </w:pPr>
      <w:r>
        <w:rPr>
          <w:rFonts w:hint="eastAsia" w:ascii="宋体" w:hAnsi="宋体" w:eastAsia="宋体" w:cs="宋体"/>
          <w:color w:val="auto"/>
          <w:highlight w:val="none"/>
        </w:rPr>
        <w:t>法定代表人签名</w:t>
      </w:r>
      <w:r>
        <w:rPr>
          <w:rFonts w:hint="eastAsia" w:ascii="宋体" w:hAnsi="宋体" w:eastAsia="宋体" w:cs="宋体"/>
          <w:color w:val="auto"/>
          <w:highlight w:val="none"/>
          <w:u w:val="single"/>
        </w:rPr>
        <w:t xml:space="preserve">：           </w:t>
      </w:r>
    </w:p>
    <w:p w14:paraId="53AA55E5">
      <w:pPr>
        <w:tabs>
          <w:tab w:val="left" w:pos="720"/>
          <w:tab w:val="left" w:pos="900"/>
        </w:tabs>
        <w:spacing w:line="400" w:lineRule="exact"/>
        <w:ind w:firstLine="4440" w:firstLineChars="185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DC01F19">
      <w:pPr>
        <w:widowControl/>
        <w:jc w:val="center"/>
        <w:rPr>
          <w:rFonts w:hint="eastAsia" w:ascii="宋体" w:hAnsi="宋体" w:eastAsia="宋体" w:cs="宋体"/>
          <w:b/>
          <w:color w:val="auto"/>
          <w:sz w:val="32"/>
          <w:szCs w:val="32"/>
          <w:highlight w:val="none"/>
        </w:rPr>
      </w:pPr>
      <w:bookmarkStart w:id="344" w:name="_Toc25165"/>
      <w:bookmarkStart w:id="345" w:name="_Toc7171"/>
      <w:bookmarkStart w:id="346" w:name="_Toc18831"/>
      <w:bookmarkStart w:id="347" w:name="_Toc27790"/>
      <w:bookmarkStart w:id="348" w:name="_Toc263"/>
    </w:p>
    <w:p w14:paraId="010B03B7">
      <w:pPr>
        <w:widowControl/>
        <w:jc w:val="center"/>
        <w:outlineLvl w:val="0"/>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r>
      <w:bookmarkStart w:id="349" w:name="_Toc17045"/>
      <w:r>
        <w:rPr>
          <w:rFonts w:hint="eastAsia" w:ascii="宋体" w:hAnsi="宋体" w:eastAsia="宋体" w:cs="宋体"/>
          <w:b/>
          <w:color w:val="auto"/>
          <w:sz w:val="32"/>
          <w:szCs w:val="32"/>
          <w:highlight w:val="none"/>
        </w:rPr>
        <w:t>授权委托书</w:t>
      </w:r>
      <w:bookmarkEnd w:id="344"/>
      <w:bookmarkEnd w:id="345"/>
      <w:bookmarkEnd w:id="346"/>
      <w:bookmarkEnd w:id="347"/>
      <w:bookmarkEnd w:id="348"/>
      <w:bookmarkEnd w:id="349"/>
    </w:p>
    <w:p w14:paraId="09FA5E44">
      <w:pPr>
        <w:widowControl/>
        <w:spacing w:line="42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32"/>
          <w:szCs w:val="32"/>
          <w:highlight w:val="none"/>
        </w:rPr>
        <w:t> </w:t>
      </w:r>
    </w:p>
    <w:p w14:paraId="4CC4EFC5">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委托人（供应商）：</w:t>
      </w:r>
      <w:r>
        <w:rPr>
          <w:rFonts w:hint="eastAsia" w:ascii="宋体" w:hAnsi="宋体" w:eastAsia="宋体" w:cs="宋体"/>
          <w:color w:val="auto"/>
          <w:highlight w:val="none"/>
          <w:u w:val="single"/>
        </w:rPr>
        <w:t xml:space="preserve">                         </w:t>
      </w:r>
    </w:p>
    <w:p w14:paraId="543FB162">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p>
    <w:p w14:paraId="7F09CDFF">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p>
    <w:p w14:paraId="3EDC7022">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受委托人（一）：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583CA273">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受委托人（一）身份证号码：</w:t>
      </w:r>
      <w:r>
        <w:rPr>
          <w:rFonts w:hint="eastAsia" w:ascii="宋体" w:hAnsi="宋体" w:eastAsia="宋体" w:cs="宋体"/>
          <w:color w:val="auto"/>
          <w:highlight w:val="none"/>
          <w:u w:val="single"/>
        </w:rPr>
        <w:t>                   </w:t>
      </w:r>
    </w:p>
    <w:p w14:paraId="33E576B0">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邮箱：</w:t>
      </w:r>
      <w:r>
        <w:rPr>
          <w:rFonts w:hint="eastAsia" w:ascii="宋体" w:hAnsi="宋体" w:eastAsia="宋体" w:cs="宋体"/>
          <w:color w:val="auto"/>
          <w:highlight w:val="none"/>
          <w:u w:val="single"/>
        </w:rPr>
        <w:t xml:space="preserve">                            </w:t>
      </w:r>
    </w:p>
    <w:p w14:paraId="2F1DBC9F">
      <w:pPr>
        <w:widowControl/>
        <w:spacing w:line="42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 </w:t>
      </w:r>
    </w:p>
    <w:p w14:paraId="6222FAB8">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现委托上述受委托人在</w:t>
      </w:r>
      <w:r>
        <w:rPr>
          <w:rFonts w:hint="eastAsia" w:ascii="宋体" w:hAnsi="宋体" w:eastAsia="宋体" w:cs="宋体"/>
          <w:color w:val="auto"/>
          <w:highlight w:val="none"/>
          <w:u w:val="single"/>
        </w:rPr>
        <w:t>   （招标项目名称）     </w:t>
      </w:r>
      <w:r>
        <w:rPr>
          <w:rFonts w:hint="eastAsia" w:ascii="宋体" w:hAnsi="宋体" w:eastAsia="宋体" w:cs="宋体"/>
          <w:color w:val="auto"/>
          <w:highlight w:val="none"/>
        </w:rPr>
        <w:t>招标投标活动中，作为委托人的授权委托人。</w:t>
      </w:r>
    </w:p>
    <w:p w14:paraId="6CFF612C">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委托事项：领取采购文件、编制、签署、递交、说明补正响应文件、签订合同和处理有关事宜等特别授权。受委托人联合行使或独立行使的委托权限，其法律后果由委托人承担。</w:t>
      </w:r>
    </w:p>
    <w:p w14:paraId="3436D794">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投标事务负责人无转委托权。采购人（采购代理机构）有权拒绝其他任何代表委托人行使的投标事宜，以及超出本授权范围的其他事宜。</w:t>
      </w:r>
    </w:p>
    <w:p w14:paraId="4047CFF8">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委托期限：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日，自</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1C3F2804">
      <w:pPr>
        <w:widowControl/>
        <w:spacing w:line="420" w:lineRule="exact"/>
        <w:ind w:firstLine="480" w:firstLineChars="200"/>
        <w:jc w:val="left"/>
        <w:rPr>
          <w:rFonts w:hint="eastAsia" w:ascii="宋体" w:hAnsi="宋体" w:eastAsia="宋体" w:cs="宋体"/>
          <w:color w:val="auto"/>
          <w:highlight w:val="none"/>
        </w:rPr>
      </w:pPr>
    </w:p>
    <w:p w14:paraId="1D3E0334">
      <w:pPr>
        <w:spacing w:line="420" w:lineRule="exact"/>
        <w:ind w:firstLine="610"/>
        <w:rPr>
          <w:rFonts w:hint="eastAsia" w:ascii="宋体" w:hAnsi="宋体" w:eastAsia="宋体" w:cs="宋体"/>
          <w:color w:val="auto"/>
          <w:highlight w:val="none"/>
        </w:rPr>
      </w:pPr>
      <w:r>
        <w:rPr>
          <w:rFonts w:hint="eastAsia" w:ascii="宋体" w:hAnsi="宋体" w:eastAsia="宋体" w:cs="宋体"/>
          <w:color w:val="auto"/>
          <w:highlight w:val="none"/>
        </w:rPr>
        <w:t xml:space="preserve">          （附身份证复印件）                             </w:t>
      </w:r>
    </w:p>
    <w:p w14:paraId="3D9F2EB2">
      <w:pPr>
        <w:widowControl/>
        <w:spacing w:line="420" w:lineRule="exact"/>
        <w:ind w:firstLine="480" w:firstLineChars="200"/>
        <w:jc w:val="left"/>
        <w:rPr>
          <w:rFonts w:hint="eastAsia" w:ascii="宋体" w:hAnsi="宋体" w:eastAsia="宋体" w:cs="宋体"/>
          <w:color w:val="auto"/>
          <w:highlight w:val="none"/>
        </w:rPr>
      </w:pPr>
    </w:p>
    <w:p w14:paraId="2FD97F36">
      <w:pPr>
        <w:widowControl/>
        <w:spacing w:line="420" w:lineRule="exact"/>
        <w:ind w:firstLine="480" w:firstLineChars="200"/>
        <w:jc w:val="left"/>
        <w:rPr>
          <w:rFonts w:hint="eastAsia" w:ascii="宋体" w:hAnsi="宋体" w:eastAsia="宋体" w:cs="宋体"/>
          <w:color w:val="auto"/>
          <w:highlight w:val="none"/>
        </w:rPr>
      </w:pPr>
    </w:p>
    <w:p w14:paraId="4972FDA0">
      <w:pPr>
        <w:widowControl/>
        <w:spacing w:line="420" w:lineRule="exact"/>
        <w:ind w:firstLine="480" w:firstLineChars="200"/>
        <w:jc w:val="left"/>
        <w:rPr>
          <w:rFonts w:hint="eastAsia" w:ascii="宋体" w:hAnsi="宋体" w:eastAsia="宋体" w:cs="宋体"/>
          <w:color w:val="auto"/>
          <w:highlight w:val="none"/>
        </w:rPr>
      </w:pPr>
    </w:p>
    <w:p w14:paraId="58534481">
      <w:pPr>
        <w:widowControl/>
        <w:spacing w:line="420" w:lineRule="exact"/>
        <w:ind w:firstLine="480" w:firstLineChars="200"/>
        <w:jc w:val="left"/>
        <w:rPr>
          <w:rFonts w:hint="eastAsia" w:ascii="宋体" w:hAnsi="宋体" w:eastAsia="宋体" w:cs="宋体"/>
          <w:color w:val="auto"/>
          <w:highlight w:val="none"/>
        </w:rPr>
      </w:pPr>
    </w:p>
    <w:p w14:paraId="5F42088D">
      <w:pPr>
        <w:widowControl/>
        <w:spacing w:line="420" w:lineRule="exact"/>
        <w:ind w:firstLine="480" w:firstLineChars="200"/>
        <w:jc w:val="left"/>
        <w:rPr>
          <w:rFonts w:hint="eastAsia" w:ascii="宋体" w:hAnsi="宋体" w:eastAsia="宋体" w:cs="宋体"/>
          <w:color w:val="auto"/>
          <w:highlight w:val="none"/>
        </w:rPr>
      </w:pPr>
    </w:p>
    <w:p w14:paraId="4C16012D">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w:t>
      </w:r>
    </w:p>
    <w:p w14:paraId="1441AD56">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委托人：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34B974AF">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w:t>
      </w:r>
    </w:p>
    <w:p w14:paraId="415909C7">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w:t>
      </w:r>
    </w:p>
    <w:p w14:paraId="146C9844">
      <w:pPr>
        <w:widowControl/>
        <w:spacing w:line="42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w:t>
      </w:r>
    </w:p>
    <w:p w14:paraId="585BCDB8">
      <w:pPr>
        <w:pStyle w:val="58"/>
        <w:spacing w:line="360" w:lineRule="exact"/>
        <w:ind w:left="-2" w:leftChars="-1"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受委托人：</w:t>
      </w:r>
      <w:r>
        <w:rPr>
          <w:rFonts w:hint="eastAsia" w:ascii="宋体" w:hAnsi="宋体" w:eastAsia="宋体" w:cs="宋体"/>
          <w:color w:val="auto"/>
          <w:highlight w:val="none"/>
          <w:u w:val="single"/>
        </w:rPr>
        <w:t>                    </w:t>
      </w:r>
      <w:r>
        <w:rPr>
          <w:rFonts w:hint="eastAsia" w:ascii="宋体" w:hAnsi="宋体" w:eastAsia="宋体" w:cs="宋体"/>
          <w:color w:val="auto"/>
          <w:highlight w:val="none"/>
        </w:rPr>
        <w:t>（签字）</w:t>
      </w:r>
    </w:p>
    <w:p w14:paraId="2DA29486">
      <w:pPr>
        <w:pStyle w:val="14"/>
        <w:ind w:left="480"/>
        <w:rPr>
          <w:rFonts w:hint="eastAsia" w:ascii="宋体" w:hAnsi="宋体" w:eastAsia="宋体" w:cs="宋体"/>
          <w:b/>
          <w:color w:val="auto"/>
          <w:highlight w:val="none"/>
        </w:rPr>
      </w:pPr>
    </w:p>
    <w:p w14:paraId="6C00EFA8">
      <w:pPr>
        <w:rPr>
          <w:rFonts w:hint="eastAsia" w:ascii="宋体" w:hAnsi="宋体" w:eastAsia="宋体" w:cs="宋体"/>
          <w:color w:val="auto"/>
          <w:highlight w:val="none"/>
        </w:rPr>
      </w:pPr>
    </w:p>
    <w:sectPr>
      <w:pgSz w:w="11906" w:h="16838"/>
      <w:pgMar w:top="1213" w:right="1558" w:bottom="115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96832F-861C-48AA-8C6C-A973F84DAE9A}"/>
  </w:font>
  <w:font w:name="Courier New">
    <w:panose1 w:val="02070309020205020404"/>
    <w:charset w:val="01"/>
    <w:family w:val="modern"/>
    <w:pitch w:val="default"/>
    <w:sig w:usb0="E0002AFF" w:usb1="C0007843" w:usb2="00000009" w:usb3="00000000" w:csb0="400001FF" w:csb1="FFFF0000"/>
    <w:embedRegular r:id="rId2" w:fontKey="{4B3C54E2-EB19-48CF-98C0-1E02C3D8527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88C75923-4332-4F52-8282-C9F75F57EEBD}"/>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embedRegular r:id="rId4" w:fontKey="{DD3FE728-4130-4B8D-8352-F76A35AF2A2F}"/>
  </w:font>
  <w:font w:name="Wingdings 2">
    <w:panose1 w:val="05020102010507070707"/>
    <w:charset w:val="00"/>
    <w:family w:val="auto"/>
    <w:pitch w:val="default"/>
    <w:sig w:usb0="00000000" w:usb1="00000000" w:usb2="00000000" w:usb3="00000000" w:csb0="80000000" w:csb1="00000000"/>
    <w:embedRegular r:id="rId5" w:fontKey="{581C635D-A9BF-4296-8A3A-D6814ECA58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04FC64CD">
        <w:pPr>
          <w:pStyle w:val="16"/>
          <w:jc w:val="center"/>
        </w:pPr>
        <w:r>
          <w:fldChar w:fldCharType="begin"/>
        </w:r>
        <w:r>
          <w:instrText xml:space="preserve">PAGE   \* MERGEFORMAT</w:instrText>
        </w:r>
        <w:r>
          <w:fldChar w:fldCharType="separate"/>
        </w:r>
        <w:r>
          <w:rPr>
            <w:lang w:val="zh-CN"/>
          </w:rPr>
          <w:t>50</w:t>
        </w:r>
        <w:r>
          <w:fldChar w:fldCharType="end"/>
        </w:r>
      </w:p>
    </w:sdtContent>
  </w:sdt>
  <w:p w14:paraId="0C05B250">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7DE2D"/>
    <w:multiLevelType w:val="singleLevel"/>
    <w:tmpl w:val="8587DE2D"/>
    <w:lvl w:ilvl="0" w:tentative="0">
      <w:start w:val="2"/>
      <w:numFmt w:val="decimal"/>
      <w:suff w:val="nothing"/>
      <w:lvlText w:val="%1、"/>
      <w:lvlJc w:val="left"/>
    </w:lvl>
  </w:abstractNum>
  <w:abstractNum w:abstractNumId="1">
    <w:nsid w:val="918AB606"/>
    <w:multiLevelType w:val="singleLevel"/>
    <w:tmpl w:val="918AB606"/>
    <w:lvl w:ilvl="0" w:tentative="0">
      <w:start w:val="1"/>
      <w:numFmt w:val="decimal"/>
      <w:suff w:val="space"/>
      <w:lvlText w:val="%1."/>
      <w:lvlJc w:val="left"/>
    </w:lvl>
  </w:abstractNum>
  <w:abstractNum w:abstractNumId="2">
    <w:nsid w:val="94E205CF"/>
    <w:multiLevelType w:val="singleLevel"/>
    <w:tmpl w:val="94E205CF"/>
    <w:lvl w:ilvl="0" w:tentative="0">
      <w:start w:val="1"/>
      <w:numFmt w:val="decimal"/>
      <w:suff w:val="nothing"/>
      <w:lvlText w:val="%1、"/>
      <w:lvlJc w:val="left"/>
    </w:lvl>
  </w:abstractNum>
  <w:abstractNum w:abstractNumId="3">
    <w:nsid w:val="BAEFBF6E"/>
    <w:multiLevelType w:val="multilevel"/>
    <w:tmpl w:val="BAEFBF6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D660F07B"/>
    <w:multiLevelType w:val="singleLevel"/>
    <w:tmpl w:val="D660F07B"/>
    <w:lvl w:ilvl="0" w:tentative="0">
      <w:start w:val="1"/>
      <w:numFmt w:val="decimal"/>
      <w:suff w:val="nothing"/>
      <w:lvlText w:val="%1、"/>
      <w:lvlJc w:val="left"/>
    </w:lvl>
  </w:abstractNum>
  <w:abstractNum w:abstractNumId="5">
    <w:nsid w:val="E72B6572"/>
    <w:multiLevelType w:val="singleLevel"/>
    <w:tmpl w:val="E72B6572"/>
    <w:lvl w:ilvl="0" w:tentative="0">
      <w:start w:val="4"/>
      <w:numFmt w:val="chineseCounting"/>
      <w:suff w:val="space"/>
      <w:lvlText w:val="第%1章"/>
      <w:lvlJc w:val="left"/>
      <w:rPr>
        <w:rFonts w:hint="eastAsia"/>
      </w:rPr>
    </w:lvl>
  </w:abstractNum>
  <w:abstractNum w:abstractNumId="6">
    <w:nsid w:val="F3E5131E"/>
    <w:multiLevelType w:val="singleLevel"/>
    <w:tmpl w:val="F3E5131E"/>
    <w:lvl w:ilvl="0" w:tentative="0">
      <w:start w:val="1"/>
      <w:numFmt w:val="decimal"/>
      <w:suff w:val="nothing"/>
      <w:lvlText w:val="%1、"/>
      <w:lvlJc w:val="left"/>
    </w:lvl>
  </w:abstractNum>
  <w:abstractNum w:abstractNumId="7">
    <w:nsid w:val="FBA8D877"/>
    <w:multiLevelType w:val="singleLevel"/>
    <w:tmpl w:val="FBA8D877"/>
    <w:lvl w:ilvl="0" w:tentative="0">
      <w:start w:val="3"/>
      <w:numFmt w:val="chineseCounting"/>
      <w:suff w:val="nothing"/>
      <w:lvlText w:val="%1、"/>
      <w:lvlJc w:val="left"/>
      <w:rPr>
        <w:rFonts w:hint="eastAsia"/>
      </w:rPr>
    </w:lvl>
  </w:abstractNum>
  <w:abstractNum w:abstractNumId="8">
    <w:nsid w:val="3964E114"/>
    <w:multiLevelType w:val="singleLevel"/>
    <w:tmpl w:val="3964E114"/>
    <w:lvl w:ilvl="0" w:tentative="0">
      <w:start w:val="5"/>
      <w:numFmt w:val="chineseCounting"/>
      <w:suff w:val="space"/>
      <w:lvlText w:val="第%1章"/>
      <w:lvlJc w:val="left"/>
      <w:rPr>
        <w:rFonts w:hint="eastAsia"/>
      </w:rPr>
    </w:lvl>
  </w:abstractNum>
  <w:abstractNum w:abstractNumId="9">
    <w:nsid w:val="39D67AC8"/>
    <w:multiLevelType w:val="singleLevel"/>
    <w:tmpl w:val="39D67AC8"/>
    <w:lvl w:ilvl="0" w:tentative="0">
      <w:start w:val="1"/>
      <w:numFmt w:val="decimal"/>
      <w:lvlText w:val="%1."/>
      <w:lvlJc w:val="left"/>
      <w:pPr>
        <w:tabs>
          <w:tab w:val="left" w:pos="312"/>
        </w:tabs>
      </w:pPr>
    </w:lvl>
  </w:abstractNum>
  <w:abstractNum w:abstractNumId="10">
    <w:nsid w:val="7D5E5687"/>
    <w:multiLevelType w:val="singleLevel"/>
    <w:tmpl w:val="7D5E5687"/>
    <w:lvl w:ilvl="0" w:tentative="0">
      <w:start w:val="1"/>
      <w:numFmt w:val="decimal"/>
      <w:suff w:val="nothing"/>
      <w:lvlText w:val="%1、"/>
      <w:lvlJc w:val="left"/>
    </w:lvl>
  </w:abstractNum>
  <w:num w:numId="1">
    <w:abstractNumId w:val="6"/>
  </w:num>
  <w:num w:numId="2">
    <w:abstractNumId w:val="1"/>
  </w:num>
  <w:num w:numId="3">
    <w:abstractNumId w:val="9"/>
  </w:num>
  <w:num w:numId="4">
    <w:abstractNumId w:val="5"/>
  </w:num>
  <w:num w:numId="5">
    <w:abstractNumId w:val="8"/>
  </w:num>
  <w:num w:numId="6">
    <w:abstractNumId w:val="7"/>
  </w:num>
  <w:num w:numId="7">
    <w:abstractNumId w:val="0"/>
  </w:num>
  <w:num w:numId="8">
    <w:abstractNumId w:val="4"/>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5NzA1OWQ3NzJlYmQyMTE3ZmE5ZjlhNzgyNTJjYmMifQ=="/>
  </w:docVars>
  <w:rsids>
    <w:rsidRoot w:val="00F24CD4"/>
    <w:rsid w:val="00016641"/>
    <w:rsid w:val="00023D6D"/>
    <w:rsid w:val="00030D30"/>
    <w:rsid w:val="00043144"/>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42E9E"/>
    <w:rsid w:val="00150FED"/>
    <w:rsid w:val="00162569"/>
    <w:rsid w:val="0016448A"/>
    <w:rsid w:val="0017591F"/>
    <w:rsid w:val="00177EE0"/>
    <w:rsid w:val="00185D2A"/>
    <w:rsid w:val="00185F38"/>
    <w:rsid w:val="0019223D"/>
    <w:rsid w:val="001A071D"/>
    <w:rsid w:val="001A4B04"/>
    <w:rsid w:val="001A65D1"/>
    <w:rsid w:val="001C3EE0"/>
    <w:rsid w:val="001C48F9"/>
    <w:rsid w:val="001C66E0"/>
    <w:rsid w:val="001D076C"/>
    <w:rsid w:val="001E276B"/>
    <w:rsid w:val="001F3FFA"/>
    <w:rsid w:val="001F6455"/>
    <w:rsid w:val="00220DE6"/>
    <w:rsid w:val="0022576E"/>
    <w:rsid w:val="00242E7C"/>
    <w:rsid w:val="002562A9"/>
    <w:rsid w:val="00257EE9"/>
    <w:rsid w:val="00260CE9"/>
    <w:rsid w:val="00270BE5"/>
    <w:rsid w:val="00274C87"/>
    <w:rsid w:val="00281479"/>
    <w:rsid w:val="002C1E07"/>
    <w:rsid w:val="002C5D00"/>
    <w:rsid w:val="00321BEE"/>
    <w:rsid w:val="003225BB"/>
    <w:rsid w:val="003340F4"/>
    <w:rsid w:val="0033630F"/>
    <w:rsid w:val="003637D2"/>
    <w:rsid w:val="0037724D"/>
    <w:rsid w:val="003805D0"/>
    <w:rsid w:val="003A2CB1"/>
    <w:rsid w:val="003A6119"/>
    <w:rsid w:val="003A798E"/>
    <w:rsid w:val="003B6A16"/>
    <w:rsid w:val="003D00F1"/>
    <w:rsid w:val="003F4A6D"/>
    <w:rsid w:val="004142B0"/>
    <w:rsid w:val="004227B7"/>
    <w:rsid w:val="00422F99"/>
    <w:rsid w:val="004300BC"/>
    <w:rsid w:val="0043186A"/>
    <w:rsid w:val="00482380"/>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97096"/>
    <w:rsid w:val="005C3349"/>
    <w:rsid w:val="005C3762"/>
    <w:rsid w:val="005D62FA"/>
    <w:rsid w:val="00602CB8"/>
    <w:rsid w:val="006375D2"/>
    <w:rsid w:val="00644F30"/>
    <w:rsid w:val="00647AF0"/>
    <w:rsid w:val="00650B20"/>
    <w:rsid w:val="006704EB"/>
    <w:rsid w:val="00682B15"/>
    <w:rsid w:val="00696C1C"/>
    <w:rsid w:val="006A35DB"/>
    <w:rsid w:val="006E23DF"/>
    <w:rsid w:val="006F04B3"/>
    <w:rsid w:val="006F6E5D"/>
    <w:rsid w:val="007078FC"/>
    <w:rsid w:val="007104EC"/>
    <w:rsid w:val="0071261D"/>
    <w:rsid w:val="0074119A"/>
    <w:rsid w:val="00741B2E"/>
    <w:rsid w:val="007471EF"/>
    <w:rsid w:val="0078143C"/>
    <w:rsid w:val="007F2883"/>
    <w:rsid w:val="007F2C4B"/>
    <w:rsid w:val="00832566"/>
    <w:rsid w:val="0085221E"/>
    <w:rsid w:val="00873257"/>
    <w:rsid w:val="00874B4B"/>
    <w:rsid w:val="00884752"/>
    <w:rsid w:val="008923D8"/>
    <w:rsid w:val="008B7CF4"/>
    <w:rsid w:val="008C257A"/>
    <w:rsid w:val="008C2736"/>
    <w:rsid w:val="008D5504"/>
    <w:rsid w:val="008E024C"/>
    <w:rsid w:val="008E250D"/>
    <w:rsid w:val="00904B62"/>
    <w:rsid w:val="009378D4"/>
    <w:rsid w:val="00952547"/>
    <w:rsid w:val="009848B3"/>
    <w:rsid w:val="009856BB"/>
    <w:rsid w:val="0099207E"/>
    <w:rsid w:val="00992340"/>
    <w:rsid w:val="00996796"/>
    <w:rsid w:val="00997C8E"/>
    <w:rsid w:val="009B781D"/>
    <w:rsid w:val="009C779F"/>
    <w:rsid w:val="009E4540"/>
    <w:rsid w:val="009F62FF"/>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F16F4"/>
    <w:rsid w:val="00B22B7F"/>
    <w:rsid w:val="00B2654F"/>
    <w:rsid w:val="00B72F9A"/>
    <w:rsid w:val="00B80030"/>
    <w:rsid w:val="00B83EBC"/>
    <w:rsid w:val="00B93086"/>
    <w:rsid w:val="00BB46CC"/>
    <w:rsid w:val="00BB6EFF"/>
    <w:rsid w:val="00BC758A"/>
    <w:rsid w:val="00BD6078"/>
    <w:rsid w:val="00BE4092"/>
    <w:rsid w:val="00C0745E"/>
    <w:rsid w:val="00C21E0B"/>
    <w:rsid w:val="00C27B7E"/>
    <w:rsid w:val="00C345A1"/>
    <w:rsid w:val="00C43EE5"/>
    <w:rsid w:val="00C57323"/>
    <w:rsid w:val="00C61A2C"/>
    <w:rsid w:val="00C70C0F"/>
    <w:rsid w:val="00C72133"/>
    <w:rsid w:val="00C73680"/>
    <w:rsid w:val="00C97304"/>
    <w:rsid w:val="00CA70E0"/>
    <w:rsid w:val="00CA7EEA"/>
    <w:rsid w:val="00CB5140"/>
    <w:rsid w:val="00CC04F8"/>
    <w:rsid w:val="00CC4EA0"/>
    <w:rsid w:val="00CE25FF"/>
    <w:rsid w:val="00CE2AE3"/>
    <w:rsid w:val="00CE2ED5"/>
    <w:rsid w:val="00CE5DC4"/>
    <w:rsid w:val="00CF19E6"/>
    <w:rsid w:val="00D04BBA"/>
    <w:rsid w:val="00D164D4"/>
    <w:rsid w:val="00D23952"/>
    <w:rsid w:val="00D250EE"/>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60A9C"/>
    <w:rsid w:val="00E70C4D"/>
    <w:rsid w:val="00E80FDE"/>
    <w:rsid w:val="00E846D9"/>
    <w:rsid w:val="00EB0902"/>
    <w:rsid w:val="00ED19B1"/>
    <w:rsid w:val="00ED296B"/>
    <w:rsid w:val="00EE1722"/>
    <w:rsid w:val="00EF369D"/>
    <w:rsid w:val="00F038B5"/>
    <w:rsid w:val="00F06C37"/>
    <w:rsid w:val="00F13A48"/>
    <w:rsid w:val="00F13BC3"/>
    <w:rsid w:val="00F153D1"/>
    <w:rsid w:val="00F24CD4"/>
    <w:rsid w:val="00F3547E"/>
    <w:rsid w:val="00F57104"/>
    <w:rsid w:val="00F73ACC"/>
    <w:rsid w:val="00F75D40"/>
    <w:rsid w:val="00F80386"/>
    <w:rsid w:val="00F82EA7"/>
    <w:rsid w:val="00F96656"/>
    <w:rsid w:val="00F96F60"/>
    <w:rsid w:val="00F978C6"/>
    <w:rsid w:val="00FA081C"/>
    <w:rsid w:val="00FA4AE3"/>
    <w:rsid w:val="00FC60C2"/>
    <w:rsid w:val="00FF304F"/>
    <w:rsid w:val="01350223"/>
    <w:rsid w:val="01685AF7"/>
    <w:rsid w:val="017E228E"/>
    <w:rsid w:val="01997579"/>
    <w:rsid w:val="01BB5A85"/>
    <w:rsid w:val="01C35DFF"/>
    <w:rsid w:val="01C522B0"/>
    <w:rsid w:val="01CC1A40"/>
    <w:rsid w:val="01EB45BC"/>
    <w:rsid w:val="021E0353"/>
    <w:rsid w:val="022278B2"/>
    <w:rsid w:val="02394B2D"/>
    <w:rsid w:val="02445A7A"/>
    <w:rsid w:val="025739FF"/>
    <w:rsid w:val="026E6F9B"/>
    <w:rsid w:val="02784461"/>
    <w:rsid w:val="02994018"/>
    <w:rsid w:val="02F0273C"/>
    <w:rsid w:val="03117828"/>
    <w:rsid w:val="035A1A92"/>
    <w:rsid w:val="036115CE"/>
    <w:rsid w:val="039106AD"/>
    <w:rsid w:val="03914CEF"/>
    <w:rsid w:val="03BE7AAE"/>
    <w:rsid w:val="03DD6186"/>
    <w:rsid w:val="03F4527E"/>
    <w:rsid w:val="040E6340"/>
    <w:rsid w:val="0410290D"/>
    <w:rsid w:val="04104F43"/>
    <w:rsid w:val="04161698"/>
    <w:rsid w:val="041A2F36"/>
    <w:rsid w:val="0429076D"/>
    <w:rsid w:val="042948F2"/>
    <w:rsid w:val="042C2C6A"/>
    <w:rsid w:val="04320333"/>
    <w:rsid w:val="04A37004"/>
    <w:rsid w:val="04B2316F"/>
    <w:rsid w:val="04CB5FDF"/>
    <w:rsid w:val="04F80D9E"/>
    <w:rsid w:val="05106822"/>
    <w:rsid w:val="051E7473"/>
    <w:rsid w:val="052838D4"/>
    <w:rsid w:val="052A284F"/>
    <w:rsid w:val="053A45A8"/>
    <w:rsid w:val="056A1C9B"/>
    <w:rsid w:val="056D52E8"/>
    <w:rsid w:val="0593210B"/>
    <w:rsid w:val="05976809"/>
    <w:rsid w:val="059E1945"/>
    <w:rsid w:val="05A54A82"/>
    <w:rsid w:val="05C869C2"/>
    <w:rsid w:val="05F11A75"/>
    <w:rsid w:val="05F8235F"/>
    <w:rsid w:val="06031841"/>
    <w:rsid w:val="062260D2"/>
    <w:rsid w:val="063D4CBA"/>
    <w:rsid w:val="066B5CCB"/>
    <w:rsid w:val="067A5F0E"/>
    <w:rsid w:val="06A765D7"/>
    <w:rsid w:val="06AA0FF0"/>
    <w:rsid w:val="06BA630B"/>
    <w:rsid w:val="06C62F02"/>
    <w:rsid w:val="06C75DF5"/>
    <w:rsid w:val="06D66EBD"/>
    <w:rsid w:val="06DD649D"/>
    <w:rsid w:val="06E15AD9"/>
    <w:rsid w:val="06EB6E0C"/>
    <w:rsid w:val="0733430F"/>
    <w:rsid w:val="073A38EF"/>
    <w:rsid w:val="073F4A62"/>
    <w:rsid w:val="07506C6F"/>
    <w:rsid w:val="07746E01"/>
    <w:rsid w:val="07774365"/>
    <w:rsid w:val="07E301FD"/>
    <w:rsid w:val="07E44876"/>
    <w:rsid w:val="080A5070"/>
    <w:rsid w:val="08167EB9"/>
    <w:rsid w:val="083E2F6B"/>
    <w:rsid w:val="083E4D1A"/>
    <w:rsid w:val="0854278F"/>
    <w:rsid w:val="08931509"/>
    <w:rsid w:val="08A55394"/>
    <w:rsid w:val="08A76D63"/>
    <w:rsid w:val="08B15F75"/>
    <w:rsid w:val="08B446D3"/>
    <w:rsid w:val="08B56EC5"/>
    <w:rsid w:val="08C209BC"/>
    <w:rsid w:val="08C24EFE"/>
    <w:rsid w:val="08C90A87"/>
    <w:rsid w:val="08EB4EA1"/>
    <w:rsid w:val="08FC0E5C"/>
    <w:rsid w:val="09141A78"/>
    <w:rsid w:val="091A4CC9"/>
    <w:rsid w:val="09304FAA"/>
    <w:rsid w:val="0972111F"/>
    <w:rsid w:val="09862E1C"/>
    <w:rsid w:val="098F027E"/>
    <w:rsid w:val="0992356F"/>
    <w:rsid w:val="0A083831"/>
    <w:rsid w:val="0A314B36"/>
    <w:rsid w:val="0A370AFA"/>
    <w:rsid w:val="0A543B62"/>
    <w:rsid w:val="0A704BD1"/>
    <w:rsid w:val="0AF45063"/>
    <w:rsid w:val="0AFF2E86"/>
    <w:rsid w:val="0B0957FE"/>
    <w:rsid w:val="0B2C17A1"/>
    <w:rsid w:val="0B341654"/>
    <w:rsid w:val="0B446AEB"/>
    <w:rsid w:val="0B586924"/>
    <w:rsid w:val="0B751115"/>
    <w:rsid w:val="0B760EC6"/>
    <w:rsid w:val="0B7E1CB6"/>
    <w:rsid w:val="0B955598"/>
    <w:rsid w:val="0BAF665A"/>
    <w:rsid w:val="0BB342DB"/>
    <w:rsid w:val="0BBC2B25"/>
    <w:rsid w:val="0BC51F82"/>
    <w:rsid w:val="0BCA2A97"/>
    <w:rsid w:val="0BEB340A"/>
    <w:rsid w:val="0C13651A"/>
    <w:rsid w:val="0C1F767A"/>
    <w:rsid w:val="0C2D57D1"/>
    <w:rsid w:val="0C3703FE"/>
    <w:rsid w:val="0C4A4FFD"/>
    <w:rsid w:val="0C5965C6"/>
    <w:rsid w:val="0C7E6F18"/>
    <w:rsid w:val="0C8852C6"/>
    <w:rsid w:val="0CA4630A"/>
    <w:rsid w:val="0CA75583"/>
    <w:rsid w:val="0CFC2B46"/>
    <w:rsid w:val="0D1150F2"/>
    <w:rsid w:val="0D166265"/>
    <w:rsid w:val="0D466B4A"/>
    <w:rsid w:val="0D9B10B1"/>
    <w:rsid w:val="0DAE2B79"/>
    <w:rsid w:val="0DC7755F"/>
    <w:rsid w:val="0DF02D6C"/>
    <w:rsid w:val="0DFD2A3D"/>
    <w:rsid w:val="0E034A3B"/>
    <w:rsid w:val="0E056A05"/>
    <w:rsid w:val="0E150EAB"/>
    <w:rsid w:val="0E172295"/>
    <w:rsid w:val="0E2B5D40"/>
    <w:rsid w:val="0E4211F0"/>
    <w:rsid w:val="0E6D45AA"/>
    <w:rsid w:val="0E965864"/>
    <w:rsid w:val="0E96765D"/>
    <w:rsid w:val="0EA026CC"/>
    <w:rsid w:val="0EEC569F"/>
    <w:rsid w:val="0EF820C6"/>
    <w:rsid w:val="0F093F3B"/>
    <w:rsid w:val="0F110441"/>
    <w:rsid w:val="0F492922"/>
    <w:rsid w:val="0F5512C6"/>
    <w:rsid w:val="0F665D10"/>
    <w:rsid w:val="0FA20284"/>
    <w:rsid w:val="0FB0474F"/>
    <w:rsid w:val="0FB415D5"/>
    <w:rsid w:val="10135C3C"/>
    <w:rsid w:val="10204215"/>
    <w:rsid w:val="104B3917"/>
    <w:rsid w:val="10593038"/>
    <w:rsid w:val="106D0892"/>
    <w:rsid w:val="10864733"/>
    <w:rsid w:val="10C77FA2"/>
    <w:rsid w:val="10EB3949"/>
    <w:rsid w:val="11032084"/>
    <w:rsid w:val="114446C2"/>
    <w:rsid w:val="11535CDA"/>
    <w:rsid w:val="11550D5D"/>
    <w:rsid w:val="11716160"/>
    <w:rsid w:val="117951C5"/>
    <w:rsid w:val="117A14B8"/>
    <w:rsid w:val="117B581C"/>
    <w:rsid w:val="118C2D08"/>
    <w:rsid w:val="11984DEC"/>
    <w:rsid w:val="119C707B"/>
    <w:rsid w:val="11AC0F46"/>
    <w:rsid w:val="11BE3924"/>
    <w:rsid w:val="11CB7676"/>
    <w:rsid w:val="11D87F8D"/>
    <w:rsid w:val="11FB29E1"/>
    <w:rsid w:val="1205646C"/>
    <w:rsid w:val="120915E7"/>
    <w:rsid w:val="122E4051"/>
    <w:rsid w:val="12324082"/>
    <w:rsid w:val="12541D09"/>
    <w:rsid w:val="125C471A"/>
    <w:rsid w:val="125C630B"/>
    <w:rsid w:val="126E269F"/>
    <w:rsid w:val="12A8305E"/>
    <w:rsid w:val="12A8611D"/>
    <w:rsid w:val="12B10F0A"/>
    <w:rsid w:val="12CA1FCB"/>
    <w:rsid w:val="12E57771"/>
    <w:rsid w:val="12FC5EFD"/>
    <w:rsid w:val="12FE1C75"/>
    <w:rsid w:val="13195260"/>
    <w:rsid w:val="13196AAF"/>
    <w:rsid w:val="132F0080"/>
    <w:rsid w:val="133B3CA6"/>
    <w:rsid w:val="13525B1D"/>
    <w:rsid w:val="135A334F"/>
    <w:rsid w:val="13631AD8"/>
    <w:rsid w:val="13717017"/>
    <w:rsid w:val="13BC6300"/>
    <w:rsid w:val="13C20EF5"/>
    <w:rsid w:val="13C94031"/>
    <w:rsid w:val="13CF0812"/>
    <w:rsid w:val="13EE6AF0"/>
    <w:rsid w:val="142474B9"/>
    <w:rsid w:val="1432532D"/>
    <w:rsid w:val="14432035"/>
    <w:rsid w:val="1447609C"/>
    <w:rsid w:val="144813FA"/>
    <w:rsid w:val="144C6FE7"/>
    <w:rsid w:val="144D23CD"/>
    <w:rsid w:val="14546A69"/>
    <w:rsid w:val="146124BC"/>
    <w:rsid w:val="14783611"/>
    <w:rsid w:val="14896D52"/>
    <w:rsid w:val="14905E53"/>
    <w:rsid w:val="14942891"/>
    <w:rsid w:val="14991C55"/>
    <w:rsid w:val="14A867BA"/>
    <w:rsid w:val="14A943EE"/>
    <w:rsid w:val="14CD7B51"/>
    <w:rsid w:val="14E7475B"/>
    <w:rsid w:val="15080B89"/>
    <w:rsid w:val="150A66AF"/>
    <w:rsid w:val="15175270"/>
    <w:rsid w:val="1534197E"/>
    <w:rsid w:val="158E72E0"/>
    <w:rsid w:val="15A46B04"/>
    <w:rsid w:val="15B900D5"/>
    <w:rsid w:val="15E457A9"/>
    <w:rsid w:val="15E76A4A"/>
    <w:rsid w:val="15F07F9B"/>
    <w:rsid w:val="161D0664"/>
    <w:rsid w:val="164B34E1"/>
    <w:rsid w:val="165E3157"/>
    <w:rsid w:val="16612C47"/>
    <w:rsid w:val="16773EDA"/>
    <w:rsid w:val="168801D3"/>
    <w:rsid w:val="16AA5140"/>
    <w:rsid w:val="16C3745D"/>
    <w:rsid w:val="16FBB2D8"/>
    <w:rsid w:val="170F4451"/>
    <w:rsid w:val="17154D77"/>
    <w:rsid w:val="173E6AE4"/>
    <w:rsid w:val="17441DA1"/>
    <w:rsid w:val="17542220"/>
    <w:rsid w:val="179761F4"/>
    <w:rsid w:val="179E7583"/>
    <w:rsid w:val="17A81C09"/>
    <w:rsid w:val="17AE342C"/>
    <w:rsid w:val="17C23271"/>
    <w:rsid w:val="17D52699"/>
    <w:rsid w:val="17F13B56"/>
    <w:rsid w:val="17FD074D"/>
    <w:rsid w:val="17FE0021"/>
    <w:rsid w:val="180649CC"/>
    <w:rsid w:val="181D2B9D"/>
    <w:rsid w:val="181E4380"/>
    <w:rsid w:val="18366AB4"/>
    <w:rsid w:val="18434EDA"/>
    <w:rsid w:val="187B4002"/>
    <w:rsid w:val="18B54B84"/>
    <w:rsid w:val="18BD0FB3"/>
    <w:rsid w:val="1910625E"/>
    <w:rsid w:val="19377E5F"/>
    <w:rsid w:val="1943335F"/>
    <w:rsid w:val="19ED16E8"/>
    <w:rsid w:val="1A116732"/>
    <w:rsid w:val="1A167E68"/>
    <w:rsid w:val="1A367A00"/>
    <w:rsid w:val="1A5F124B"/>
    <w:rsid w:val="1A9B5FFB"/>
    <w:rsid w:val="1AA807B0"/>
    <w:rsid w:val="1AAB623F"/>
    <w:rsid w:val="1AB84DFF"/>
    <w:rsid w:val="1ABC3B86"/>
    <w:rsid w:val="1AC15A62"/>
    <w:rsid w:val="1AD87250"/>
    <w:rsid w:val="1ADD6614"/>
    <w:rsid w:val="1AFE6CB6"/>
    <w:rsid w:val="1B021EAC"/>
    <w:rsid w:val="1B3F107D"/>
    <w:rsid w:val="1B420A0F"/>
    <w:rsid w:val="1B724FAE"/>
    <w:rsid w:val="1B73084E"/>
    <w:rsid w:val="1B762CF0"/>
    <w:rsid w:val="1B860A5A"/>
    <w:rsid w:val="1B966EEF"/>
    <w:rsid w:val="1BA333BA"/>
    <w:rsid w:val="1BAB226E"/>
    <w:rsid w:val="1BDB0DA5"/>
    <w:rsid w:val="1C085913"/>
    <w:rsid w:val="1C241E60"/>
    <w:rsid w:val="1C451422"/>
    <w:rsid w:val="1C510B08"/>
    <w:rsid w:val="1C7D0846"/>
    <w:rsid w:val="1C844F99"/>
    <w:rsid w:val="1CA53161"/>
    <w:rsid w:val="1CF57803"/>
    <w:rsid w:val="1CFF4D07"/>
    <w:rsid w:val="1D1C3424"/>
    <w:rsid w:val="1D40323B"/>
    <w:rsid w:val="1D9F5E03"/>
    <w:rsid w:val="1DA358F3"/>
    <w:rsid w:val="1DAD0F97"/>
    <w:rsid w:val="1DC43E7C"/>
    <w:rsid w:val="1DCF493A"/>
    <w:rsid w:val="1DDC0E05"/>
    <w:rsid w:val="1DE25885"/>
    <w:rsid w:val="1DEE1906"/>
    <w:rsid w:val="1DF60118"/>
    <w:rsid w:val="1E004AF3"/>
    <w:rsid w:val="1E0F2F88"/>
    <w:rsid w:val="1E396257"/>
    <w:rsid w:val="1E9179DF"/>
    <w:rsid w:val="1EB77B79"/>
    <w:rsid w:val="1EBF689B"/>
    <w:rsid w:val="1EC27FFB"/>
    <w:rsid w:val="1ED57D2E"/>
    <w:rsid w:val="1EDB5190"/>
    <w:rsid w:val="1EE60968"/>
    <w:rsid w:val="1EFB0FDF"/>
    <w:rsid w:val="1EFB350D"/>
    <w:rsid w:val="1F0028D1"/>
    <w:rsid w:val="1F122276"/>
    <w:rsid w:val="1F4849A4"/>
    <w:rsid w:val="1F5F584A"/>
    <w:rsid w:val="1F7C464D"/>
    <w:rsid w:val="1FBB612F"/>
    <w:rsid w:val="1FDF9778"/>
    <w:rsid w:val="20126D60"/>
    <w:rsid w:val="20196410"/>
    <w:rsid w:val="202A5E57"/>
    <w:rsid w:val="202C6073"/>
    <w:rsid w:val="204038CD"/>
    <w:rsid w:val="204D5FEA"/>
    <w:rsid w:val="205B24B5"/>
    <w:rsid w:val="205E0474"/>
    <w:rsid w:val="20650389"/>
    <w:rsid w:val="20653865"/>
    <w:rsid w:val="20724974"/>
    <w:rsid w:val="208732AA"/>
    <w:rsid w:val="20E701EC"/>
    <w:rsid w:val="20ED1916"/>
    <w:rsid w:val="21274A8D"/>
    <w:rsid w:val="215313DE"/>
    <w:rsid w:val="21707EAF"/>
    <w:rsid w:val="21B53E47"/>
    <w:rsid w:val="21C81DCC"/>
    <w:rsid w:val="220F79FB"/>
    <w:rsid w:val="2229482B"/>
    <w:rsid w:val="22462CF1"/>
    <w:rsid w:val="2254540E"/>
    <w:rsid w:val="228D26CE"/>
    <w:rsid w:val="22D24584"/>
    <w:rsid w:val="22D447A0"/>
    <w:rsid w:val="22E569AE"/>
    <w:rsid w:val="22E76282"/>
    <w:rsid w:val="23052BAC"/>
    <w:rsid w:val="230A7B88"/>
    <w:rsid w:val="232623FE"/>
    <w:rsid w:val="23461F2F"/>
    <w:rsid w:val="23607DE2"/>
    <w:rsid w:val="23626704"/>
    <w:rsid w:val="236E0751"/>
    <w:rsid w:val="23750201"/>
    <w:rsid w:val="23887A65"/>
    <w:rsid w:val="238E3BA3"/>
    <w:rsid w:val="23A2644A"/>
    <w:rsid w:val="23A3664D"/>
    <w:rsid w:val="23E80503"/>
    <w:rsid w:val="23F21382"/>
    <w:rsid w:val="242B6642"/>
    <w:rsid w:val="24311EAA"/>
    <w:rsid w:val="24442C50"/>
    <w:rsid w:val="246062EC"/>
    <w:rsid w:val="24BE3864"/>
    <w:rsid w:val="253F05F7"/>
    <w:rsid w:val="25401C79"/>
    <w:rsid w:val="254038D8"/>
    <w:rsid w:val="25474819"/>
    <w:rsid w:val="2566688E"/>
    <w:rsid w:val="257A162F"/>
    <w:rsid w:val="25866449"/>
    <w:rsid w:val="25956469"/>
    <w:rsid w:val="25973F8F"/>
    <w:rsid w:val="259A6743"/>
    <w:rsid w:val="259B3353"/>
    <w:rsid w:val="25A14E0E"/>
    <w:rsid w:val="25C123C2"/>
    <w:rsid w:val="26121868"/>
    <w:rsid w:val="261B4FAA"/>
    <w:rsid w:val="262C582D"/>
    <w:rsid w:val="263E1E2C"/>
    <w:rsid w:val="26812549"/>
    <w:rsid w:val="26977FBF"/>
    <w:rsid w:val="26C1158E"/>
    <w:rsid w:val="26D27249"/>
    <w:rsid w:val="26D54C47"/>
    <w:rsid w:val="27135F64"/>
    <w:rsid w:val="271D6716"/>
    <w:rsid w:val="27271343"/>
    <w:rsid w:val="27281EA0"/>
    <w:rsid w:val="27303C1F"/>
    <w:rsid w:val="273A56B3"/>
    <w:rsid w:val="2744545C"/>
    <w:rsid w:val="275B16C4"/>
    <w:rsid w:val="27750300"/>
    <w:rsid w:val="27AC5543"/>
    <w:rsid w:val="27D56FF1"/>
    <w:rsid w:val="27DA086F"/>
    <w:rsid w:val="28096C9A"/>
    <w:rsid w:val="281274AD"/>
    <w:rsid w:val="283A6B09"/>
    <w:rsid w:val="28530FE6"/>
    <w:rsid w:val="286C6BA3"/>
    <w:rsid w:val="286D0FD7"/>
    <w:rsid w:val="288F719F"/>
    <w:rsid w:val="28946B3B"/>
    <w:rsid w:val="28BE0379"/>
    <w:rsid w:val="28E16EFE"/>
    <w:rsid w:val="28ED036A"/>
    <w:rsid w:val="28F416F8"/>
    <w:rsid w:val="2916786F"/>
    <w:rsid w:val="29385A89"/>
    <w:rsid w:val="294A2B7B"/>
    <w:rsid w:val="29B02B7C"/>
    <w:rsid w:val="29DC0A3C"/>
    <w:rsid w:val="29F01EC0"/>
    <w:rsid w:val="2A092657"/>
    <w:rsid w:val="2A1F09F7"/>
    <w:rsid w:val="2A3D2C2B"/>
    <w:rsid w:val="2A585CB7"/>
    <w:rsid w:val="2A725FE5"/>
    <w:rsid w:val="2A8B7E3A"/>
    <w:rsid w:val="2A924AAB"/>
    <w:rsid w:val="2AAD252D"/>
    <w:rsid w:val="2AB729DE"/>
    <w:rsid w:val="2AC84BEB"/>
    <w:rsid w:val="2AEC1E8B"/>
    <w:rsid w:val="2AEF3F25"/>
    <w:rsid w:val="2B004385"/>
    <w:rsid w:val="2B0E3562"/>
    <w:rsid w:val="2B147E30"/>
    <w:rsid w:val="2B8C2DFF"/>
    <w:rsid w:val="2B920D55"/>
    <w:rsid w:val="2BC427BC"/>
    <w:rsid w:val="2BC43604"/>
    <w:rsid w:val="2BCA04EF"/>
    <w:rsid w:val="2BCA683F"/>
    <w:rsid w:val="2C014301"/>
    <w:rsid w:val="2C251BC9"/>
    <w:rsid w:val="2C2E1CB7"/>
    <w:rsid w:val="2C342B0E"/>
    <w:rsid w:val="2C3B3B88"/>
    <w:rsid w:val="2C3D5164"/>
    <w:rsid w:val="2C442F1C"/>
    <w:rsid w:val="2C4C2734"/>
    <w:rsid w:val="2C4D184B"/>
    <w:rsid w:val="2C7212B2"/>
    <w:rsid w:val="2CBB64A0"/>
    <w:rsid w:val="2CE81574"/>
    <w:rsid w:val="2CF10822"/>
    <w:rsid w:val="2D0A5B36"/>
    <w:rsid w:val="2D1F51E0"/>
    <w:rsid w:val="2D35709C"/>
    <w:rsid w:val="2D3A06A0"/>
    <w:rsid w:val="2D4A7B39"/>
    <w:rsid w:val="2D74105A"/>
    <w:rsid w:val="2D8032C9"/>
    <w:rsid w:val="2D9D410D"/>
    <w:rsid w:val="2DA07759"/>
    <w:rsid w:val="2DE0049D"/>
    <w:rsid w:val="2DF53A1F"/>
    <w:rsid w:val="2E0929AB"/>
    <w:rsid w:val="2E1B251B"/>
    <w:rsid w:val="2E6476BE"/>
    <w:rsid w:val="2E6E69EE"/>
    <w:rsid w:val="2E864BA1"/>
    <w:rsid w:val="2E921798"/>
    <w:rsid w:val="2E930910"/>
    <w:rsid w:val="2E955D85"/>
    <w:rsid w:val="2E984638"/>
    <w:rsid w:val="2EA4771D"/>
    <w:rsid w:val="2EED4C20"/>
    <w:rsid w:val="2EFE507F"/>
    <w:rsid w:val="2F1A59E5"/>
    <w:rsid w:val="2F320885"/>
    <w:rsid w:val="2F34284F"/>
    <w:rsid w:val="2F642A08"/>
    <w:rsid w:val="2F7215C9"/>
    <w:rsid w:val="2F7A33D3"/>
    <w:rsid w:val="2F9B0B20"/>
    <w:rsid w:val="2FBB6ACC"/>
    <w:rsid w:val="2FCA4F61"/>
    <w:rsid w:val="2FF3270A"/>
    <w:rsid w:val="30110DE2"/>
    <w:rsid w:val="301461DC"/>
    <w:rsid w:val="303669FE"/>
    <w:rsid w:val="305B6E5B"/>
    <w:rsid w:val="308928A7"/>
    <w:rsid w:val="308E41E1"/>
    <w:rsid w:val="30A25EDE"/>
    <w:rsid w:val="30DC47B7"/>
    <w:rsid w:val="30FA690C"/>
    <w:rsid w:val="312F0409"/>
    <w:rsid w:val="31334B94"/>
    <w:rsid w:val="31436D79"/>
    <w:rsid w:val="3149291E"/>
    <w:rsid w:val="315E7BB3"/>
    <w:rsid w:val="31717836"/>
    <w:rsid w:val="317F68B8"/>
    <w:rsid w:val="318C6F4C"/>
    <w:rsid w:val="31B163D9"/>
    <w:rsid w:val="31CD2AE7"/>
    <w:rsid w:val="31E14E3B"/>
    <w:rsid w:val="322B4EB9"/>
    <w:rsid w:val="322D5B11"/>
    <w:rsid w:val="324059AE"/>
    <w:rsid w:val="325D124A"/>
    <w:rsid w:val="327318E0"/>
    <w:rsid w:val="32867D78"/>
    <w:rsid w:val="32AB5B3C"/>
    <w:rsid w:val="32D700C1"/>
    <w:rsid w:val="32E60ABA"/>
    <w:rsid w:val="32EE0F67"/>
    <w:rsid w:val="32F02F31"/>
    <w:rsid w:val="33272C01"/>
    <w:rsid w:val="33274478"/>
    <w:rsid w:val="3341553A"/>
    <w:rsid w:val="33541D23"/>
    <w:rsid w:val="336054FE"/>
    <w:rsid w:val="336F654B"/>
    <w:rsid w:val="33B45D0C"/>
    <w:rsid w:val="33C57F19"/>
    <w:rsid w:val="33DF6B01"/>
    <w:rsid w:val="33FB52BF"/>
    <w:rsid w:val="341727DA"/>
    <w:rsid w:val="34183B74"/>
    <w:rsid w:val="3422536C"/>
    <w:rsid w:val="34316819"/>
    <w:rsid w:val="34721473"/>
    <w:rsid w:val="348E3489"/>
    <w:rsid w:val="34A17A33"/>
    <w:rsid w:val="34CA77B1"/>
    <w:rsid w:val="34CB5A03"/>
    <w:rsid w:val="34DC5D6B"/>
    <w:rsid w:val="34E97C37"/>
    <w:rsid w:val="35335914"/>
    <w:rsid w:val="35586B6B"/>
    <w:rsid w:val="35647C06"/>
    <w:rsid w:val="356B4AF0"/>
    <w:rsid w:val="35766452"/>
    <w:rsid w:val="357C0AAC"/>
    <w:rsid w:val="35881A53"/>
    <w:rsid w:val="35C10BB4"/>
    <w:rsid w:val="35CA0BD9"/>
    <w:rsid w:val="35FB77CA"/>
    <w:rsid w:val="362F5B1E"/>
    <w:rsid w:val="36401C52"/>
    <w:rsid w:val="364C66D0"/>
    <w:rsid w:val="36AA2B75"/>
    <w:rsid w:val="36BC1539"/>
    <w:rsid w:val="36C721FA"/>
    <w:rsid w:val="36DD1A1E"/>
    <w:rsid w:val="36F87A99"/>
    <w:rsid w:val="37106F55"/>
    <w:rsid w:val="3726286D"/>
    <w:rsid w:val="374750E9"/>
    <w:rsid w:val="37527B16"/>
    <w:rsid w:val="37661A13"/>
    <w:rsid w:val="37773C20"/>
    <w:rsid w:val="37797999"/>
    <w:rsid w:val="377A101B"/>
    <w:rsid w:val="3787198A"/>
    <w:rsid w:val="37895702"/>
    <w:rsid w:val="379C3687"/>
    <w:rsid w:val="37A442EA"/>
    <w:rsid w:val="37CB536B"/>
    <w:rsid w:val="37D97C1A"/>
    <w:rsid w:val="37E739C7"/>
    <w:rsid w:val="37F45271"/>
    <w:rsid w:val="386817BB"/>
    <w:rsid w:val="387B329C"/>
    <w:rsid w:val="388F0AF6"/>
    <w:rsid w:val="38CA1FBC"/>
    <w:rsid w:val="38E54BBA"/>
    <w:rsid w:val="391159AF"/>
    <w:rsid w:val="39180AEB"/>
    <w:rsid w:val="3936665A"/>
    <w:rsid w:val="39644A2A"/>
    <w:rsid w:val="399379B2"/>
    <w:rsid w:val="39966F3E"/>
    <w:rsid w:val="39A607ED"/>
    <w:rsid w:val="39AE31FE"/>
    <w:rsid w:val="39B12CEE"/>
    <w:rsid w:val="39E41315"/>
    <w:rsid w:val="39F94DC1"/>
    <w:rsid w:val="3A26548A"/>
    <w:rsid w:val="3A976388"/>
    <w:rsid w:val="3AAC5508"/>
    <w:rsid w:val="3AAE3D2D"/>
    <w:rsid w:val="3AB26CCA"/>
    <w:rsid w:val="3AC802EF"/>
    <w:rsid w:val="3B1D063B"/>
    <w:rsid w:val="3B4958D4"/>
    <w:rsid w:val="3BA66882"/>
    <w:rsid w:val="3BB80364"/>
    <w:rsid w:val="3BBD03F4"/>
    <w:rsid w:val="3BC65A96"/>
    <w:rsid w:val="3BD31641"/>
    <w:rsid w:val="3BE15B0C"/>
    <w:rsid w:val="3BFF2C3E"/>
    <w:rsid w:val="3C047A4D"/>
    <w:rsid w:val="3C2B322B"/>
    <w:rsid w:val="3C4147FD"/>
    <w:rsid w:val="3C5F3E57"/>
    <w:rsid w:val="3C636521"/>
    <w:rsid w:val="3C6B7ACC"/>
    <w:rsid w:val="3C931926"/>
    <w:rsid w:val="3CB510E5"/>
    <w:rsid w:val="3CB97C27"/>
    <w:rsid w:val="3CD4741F"/>
    <w:rsid w:val="3CEA7217"/>
    <w:rsid w:val="3D202BCA"/>
    <w:rsid w:val="3D2645C0"/>
    <w:rsid w:val="3D2E430E"/>
    <w:rsid w:val="3D3F0B93"/>
    <w:rsid w:val="3D401E19"/>
    <w:rsid w:val="3D683537"/>
    <w:rsid w:val="3D7A5B4B"/>
    <w:rsid w:val="3D7B1A05"/>
    <w:rsid w:val="3DA160EB"/>
    <w:rsid w:val="3DE33F6B"/>
    <w:rsid w:val="3DFF1005"/>
    <w:rsid w:val="3E042CB3"/>
    <w:rsid w:val="3E225848"/>
    <w:rsid w:val="3E281D66"/>
    <w:rsid w:val="3E2919ED"/>
    <w:rsid w:val="3E692820"/>
    <w:rsid w:val="3E6B3DB3"/>
    <w:rsid w:val="3E802B5B"/>
    <w:rsid w:val="3E8F7AA2"/>
    <w:rsid w:val="3EFB6EE5"/>
    <w:rsid w:val="3F012022"/>
    <w:rsid w:val="3F2F4DE1"/>
    <w:rsid w:val="3F516B05"/>
    <w:rsid w:val="3F62064C"/>
    <w:rsid w:val="3F7647BE"/>
    <w:rsid w:val="3F8073EA"/>
    <w:rsid w:val="3F9D7F9C"/>
    <w:rsid w:val="3FA70E1B"/>
    <w:rsid w:val="3FBD419A"/>
    <w:rsid w:val="3FED6268"/>
    <w:rsid w:val="3FEDC342"/>
    <w:rsid w:val="401376FA"/>
    <w:rsid w:val="40307062"/>
    <w:rsid w:val="405A0737"/>
    <w:rsid w:val="406C133E"/>
    <w:rsid w:val="408514D1"/>
    <w:rsid w:val="40980764"/>
    <w:rsid w:val="40AB0497"/>
    <w:rsid w:val="40B732E0"/>
    <w:rsid w:val="40BE01CA"/>
    <w:rsid w:val="40C33A32"/>
    <w:rsid w:val="40F75247"/>
    <w:rsid w:val="41055061"/>
    <w:rsid w:val="410F6C78"/>
    <w:rsid w:val="41210759"/>
    <w:rsid w:val="41361918"/>
    <w:rsid w:val="417116E0"/>
    <w:rsid w:val="41782A6F"/>
    <w:rsid w:val="41A21103"/>
    <w:rsid w:val="41E015A4"/>
    <w:rsid w:val="41F93484"/>
    <w:rsid w:val="420C1409"/>
    <w:rsid w:val="421A2E97"/>
    <w:rsid w:val="423C43F1"/>
    <w:rsid w:val="423F576B"/>
    <w:rsid w:val="427174BE"/>
    <w:rsid w:val="42876CE2"/>
    <w:rsid w:val="428D254A"/>
    <w:rsid w:val="42975177"/>
    <w:rsid w:val="42AB6E74"/>
    <w:rsid w:val="42F00D2B"/>
    <w:rsid w:val="42F92F33"/>
    <w:rsid w:val="431A1904"/>
    <w:rsid w:val="43763B0B"/>
    <w:rsid w:val="43A23DD3"/>
    <w:rsid w:val="43B117D6"/>
    <w:rsid w:val="43B12268"/>
    <w:rsid w:val="43C20EE5"/>
    <w:rsid w:val="43DE4B89"/>
    <w:rsid w:val="440C6F05"/>
    <w:rsid w:val="441A54D9"/>
    <w:rsid w:val="441C404D"/>
    <w:rsid w:val="44226CC2"/>
    <w:rsid w:val="4436276D"/>
    <w:rsid w:val="444634F5"/>
    <w:rsid w:val="444E5D09"/>
    <w:rsid w:val="44550E45"/>
    <w:rsid w:val="445F339E"/>
    <w:rsid w:val="44703ED1"/>
    <w:rsid w:val="4475773A"/>
    <w:rsid w:val="449000D0"/>
    <w:rsid w:val="44BA794A"/>
    <w:rsid w:val="44BE7D74"/>
    <w:rsid w:val="44CC6C2E"/>
    <w:rsid w:val="44D426B2"/>
    <w:rsid w:val="45097E82"/>
    <w:rsid w:val="45232CF2"/>
    <w:rsid w:val="452436A7"/>
    <w:rsid w:val="45254284"/>
    <w:rsid w:val="45563B4C"/>
    <w:rsid w:val="45796DB6"/>
    <w:rsid w:val="45B46040"/>
    <w:rsid w:val="45CB4971"/>
    <w:rsid w:val="45F73BFF"/>
    <w:rsid w:val="45FE72BB"/>
    <w:rsid w:val="46114F0F"/>
    <w:rsid w:val="461229C6"/>
    <w:rsid w:val="46144D30"/>
    <w:rsid w:val="463C09B7"/>
    <w:rsid w:val="466E61EE"/>
    <w:rsid w:val="46805690"/>
    <w:rsid w:val="46A41E3A"/>
    <w:rsid w:val="46D63D94"/>
    <w:rsid w:val="46F96400"/>
    <w:rsid w:val="470628CB"/>
    <w:rsid w:val="47134FE8"/>
    <w:rsid w:val="4723522B"/>
    <w:rsid w:val="47263476"/>
    <w:rsid w:val="47307948"/>
    <w:rsid w:val="4734568A"/>
    <w:rsid w:val="475B65E9"/>
    <w:rsid w:val="476F0470"/>
    <w:rsid w:val="47767A51"/>
    <w:rsid w:val="47D50B06"/>
    <w:rsid w:val="48062D35"/>
    <w:rsid w:val="481903DC"/>
    <w:rsid w:val="48431CC7"/>
    <w:rsid w:val="485E2293"/>
    <w:rsid w:val="48894A52"/>
    <w:rsid w:val="48C742DC"/>
    <w:rsid w:val="48D350C3"/>
    <w:rsid w:val="490B2AF0"/>
    <w:rsid w:val="4918213C"/>
    <w:rsid w:val="49207DC7"/>
    <w:rsid w:val="495C4A24"/>
    <w:rsid w:val="49684B31"/>
    <w:rsid w:val="4968786D"/>
    <w:rsid w:val="498B0255"/>
    <w:rsid w:val="49902920"/>
    <w:rsid w:val="49A14B2D"/>
    <w:rsid w:val="49AA39E1"/>
    <w:rsid w:val="49BC54C3"/>
    <w:rsid w:val="49C32CF5"/>
    <w:rsid w:val="49E1317B"/>
    <w:rsid w:val="4A2E7CBC"/>
    <w:rsid w:val="4A56790A"/>
    <w:rsid w:val="4A660114"/>
    <w:rsid w:val="4A6923B5"/>
    <w:rsid w:val="4A6E2CCE"/>
    <w:rsid w:val="4A722025"/>
    <w:rsid w:val="4AE6198C"/>
    <w:rsid w:val="4AF339B0"/>
    <w:rsid w:val="4B107C37"/>
    <w:rsid w:val="4B1F03FF"/>
    <w:rsid w:val="4B35377F"/>
    <w:rsid w:val="4B370F67"/>
    <w:rsid w:val="4B3A6FE7"/>
    <w:rsid w:val="4B3B68BB"/>
    <w:rsid w:val="4B4C123D"/>
    <w:rsid w:val="4B5B6ED2"/>
    <w:rsid w:val="4B7A3887"/>
    <w:rsid w:val="4BA95F1B"/>
    <w:rsid w:val="4BC52D55"/>
    <w:rsid w:val="4BE64A79"/>
    <w:rsid w:val="4BEC5CFE"/>
    <w:rsid w:val="4BEC797C"/>
    <w:rsid w:val="4C0B2731"/>
    <w:rsid w:val="4C0F21ED"/>
    <w:rsid w:val="4C1A4723"/>
    <w:rsid w:val="4C320168"/>
    <w:rsid w:val="4C4062BC"/>
    <w:rsid w:val="4C417F01"/>
    <w:rsid w:val="4C4A325A"/>
    <w:rsid w:val="4C8207A3"/>
    <w:rsid w:val="4C8F3CB7"/>
    <w:rsid w:val="4CB525DD"/>
    <w:rsid w:val="4CD3324F"/>
    <w:rsid w:val="4CDB2104"/>
    <w:rsid w:val="4CDF7E46"/>
    <w:rsid w:val="4CE87A1F"/>
    <w:rsid w:val="4D0B3391"/>
    <w:rsid w:val="4D14218C"/>
    <w:rsid w:val="4D294D99"/>
    <w:rsid w:val="4D551EB6"/>
    <w:rsid w:val="4D626381"/>
    <w:rsid w:val="4D6E4D26"/>
    <w:rsid w:val="4D9C7768"/>
    <w:rsid w:val="4DAE5A6A"/>
    <w:rsid w:val="4DB03590"/>
    <w:rsid w:val="4DBC0187"/>
    <w:rsid w:val="4DD454D1"/>
    <w:rsid w:val="4DE167DD"/>
    <w:rsid w:val="4DE44FE8"/>
    <w:rsid w:val="4DF23BA9"/>
    <w:rsid w:val="4E2468B8"/>
    <w:rsid w:val="4E315298"/>
    <w:rsid w:val="4E600B13"/>
    <w:rsid w:val="4E6A7BE3"/>
    <w:rsid w:val="4E751761"/>
    <w:rsid w:val="4E83018C"/>
    <w:rsid w:val="4EB32846"/>
    <w:rsid w:val="4EF929FE"/>
    <w:rsid w:val="4EFC0A88"/>
    <w:rsid w:val="4F1A33B7"/>
    <w:rsid w:val="4F1B52F5"/>
    <w:rsid w:val="4F26273B"/>
    <w:rsid w:val="4F367AC5"/>
    <w:rsid w:val="4F412C02"/>
    <w:rsid w:val="4F4977F9"/>
    <w:rsid w:val="4F675ED1"/>
    <w:rsid w:val="4F6A6B96"/>
    <w:rsid w:val="4F7306F5"/>
    <w:rsid w:val="4F7A3E56"/>
    <w:rsid w:val="4F7F146C"/>
    <w:rsid w:val="4F9A44F8"/>
    <w:rsid w:val="4FA5088A"/>
    <w:rsid w:val="4FAD5FDA"/>
    <w:rsid w:val="4FBB14B3"/>
    <w:rsid w:val="4FD80B7D"/>
    <w:rsid w:val="4FE42555"/>
    <w:rsid w:val="5001466E"/>
    <w:rsid w:val="50025BF9"/>
    <w:rsid w:val="5061087A"/>
    <w:rsid w:val="50642410"/>
    <w:rsid w:val="506A3ECB"/>
    <w:rsid w:val="506A5C79"/>
    <w:rsid w:val="50A968A6"/>
    <w:rsid w:val="50CC0757"/>
    <w:rsid w:val="510065DD"/>
    <w:rsid w:val="511A58F1"/>
    <w:rsid w:val="51282DB0"/>
    <w:rsid w:val="513D513B"/>
    <w:rsid w:val="51A647D1"/>
    <w:rsid w:val="52233879"/>
    <w:rsid w:val="52262073"/>
    <w:rsid w:val="523D453F"/>
    <w:rsid w:val="524A3FB4"/>
    <w:rsid w:val="5251113A"/>
    <w:rsid w:val="525A3ACB"/>
    <w:rsid w:val="526B0888"/>
    <w:rsid w:val="52BE4130"/>
    <w:rsid w:val="52DE6D91"/>
    <w:rsid w:val="52E85882"/>
    <w:rsid w:val="530103EA"/>
    <w:rsid w:val="532F6D06"/>
    <w:rsid w:val="53370074"/>
    <w:rsid w:val="533C1422"/>
    <w:rsid w:val="533D58C6"/>
    <w:rsid w:val="53571ECE"/>
    <w:rsid w:val="537E739A"/>
    <w:rsid w:val="538E7ED0"/>
    <w:rsid w:val="53D855EF"/>
    <w:rsid w:val="53DC50DF"/>
    <w:rsid w:val="53ED0AB4"/>
    <w:rsid w:val="543C5B7E"/>
    <w:rsid w:val="546C6D1F"/>
    <w:rsid w:val="548B2661"/>
    <w:rsid w:val="549D56F9"/>
    <w:rsid w:val="549F610D"/>
    <w:rsid w:val="54FD0A7F"/>
    <w:rsid w:val="5503254D"/>
    <w:rsid w:val="556D0A1A"/>
    <w:rsid w:val="55856115"/>
    <w:rsid w:val="55967510"/>
    <w:rsid w:val="55DB3175"/>
    <w:rsid w:val="55E206B3"/>
    <w:rsid w:val="55E91F5E"/>
    <w:rsid w:val="55F873F7"/>
    <w:rsid w:val="560B3A5A"/>
    <w:rsid w:val="56665134"/>
    <w:rsid w:val="569021B1"/>
    <w:rsid w:val="5693215F"/>
    <w:rsid w:val="56A17F1A"/>
    <w:rsid w:val="56D737F9"/>
    <w:rsid w:val="56FF2E93"/>
    <w:rsid w:val="57007337"/>
    <w:rsid w:val="570566FB"/>
    <w:rsid w:val="571166BB"/>
    <w:rsid w:val="5718669A"/>
    <w:rsid w:val="572D2E1D"/>
    <w:rsid w:val="573174F0"/>
    <w:rsid w:val="573D15CA"/>
    <w:rsid w:val="57476D14"/>
    <w:rsid w:val="575E3FB3"/>
    <w:rsid w:val="57672F12"/>
    <w:rsid w:val="57970874"/>
    <w:rsid w:val="57A31A70"/>
    <w:rsid w:val="57CA4760"/>
    <w:rsid w:val="5805272B"/>
    <w:rsid w:val="580764A3"/>
    <w:rsid w:val="58353010"/>
    <w:rsid w:val="58522852"/>
    <w:rsid w:val="58584F50"/>
    <w:rsid w:val="58647451"/>
    <w:rsid w:val="587255C3"/>
    <w:rsid w:val="58783698"/>
    <w:rsid w:val="58B26EC7"/>
    <w:rsid w:val="58BA6694"/>
    <w:rsid w:val="58CD3249"/>
    <w:rsid w:val="58DC348C"/>
    <w:rsid w:val="58DF11CE"/>
    <w:rsid w:val="58F22CAF"/>
    <w:rsid w:val="592B4413"/>
    <w:rsid w:val="59305585"/>
    <w:rsid w:val="59480B21"/>
    <w:rsid w:val="5963158C"/>
    <w:rsid w:val="59760128"/>
    <w:rsid w:val="59803066"/>
    <w:rsid w:val="599D12DF"/>
    <w:rsid w:val="59A044B9"/>
    <w:rsid w:val="59B30690"/>
    <w:rsid w:val="59C06909"/>
    <w:rsid w:val="59E6065E"/>
    <w:rsid w:val="5A1629CD"/>
    <w:rsid w:val="5A1B4488"/>
    <w:rsid w:val="5A1E1882"/>
    <w:rsid w:val="5A1F25C7"/>
    <w:rsid w:val="5A2450EA"/>
    <w:rsid w:val="5A486232"/>
    <w:rsid w:val="5A4A5AF5"/>
    <w:rsid w:val="5A4B3A12"/>
    <w:rsid w:val="5A5B2AD6"/>
    <w:rsid w:val="5A64198B"/>
    <w:rsid w:val="5A816A9E"/>
    <w:rsid w:val="5A84202D"/>
    <w:rsid w:val="5AA32F2A"/>
    <w:rsid w:val="5AA4447D"/>
    <w:rsid w:val="5AB3021C"/>
    <w:rsid w:val="5ABA17E4"/>
    <w:rsid w:val="5ABD6BA3"/>
    <w:rsid w:val="5ABF613D"/>
    <w:rsid w:val="5AC62DF4"/>
    <w:rsid w:val="5AE12FDB"/>
    <w:rsid w:val="5AF251E8"/>
    <w:rsid w:val="5AFF7905"/>
    <w:rsid w:val="5B060B3A"/>
    <w:rsid w:val="5B2B24A8"/>
    <w:rsid w:val="5B8B6571"/>
    <w:rsid w:val="5B8C73EB"/>
    <w:rsid w:val="5B90055D"/>
    <w:rsid w:val="5BB47D8A"/>
    <w:rsid w:val="5BCFBEFA"/>
    <w:rsid w:val="5BD40D92"/>
    <w:rsid w:val="5BD60666"/>
    <w:rsid w:val="5C0276AD"/>
    <w:rsid w:val="5C4F0418"/>
    <w:rsid w:val="5C5679F9"/>
    <w:rsid w:val="5C9B540C"/>
    <w:rsid w:val="5C9B6914"/>
    <w:rsid w:val="5CAE513F"/>
    <w:rsid w:val="5CB36BF9"/>
    <w:rsid w:val="5CCB5CF1"/>
    <w:rsid w:val="5D0C00B7"/>
    <w:rsid w:val="5D260822"/>
    <w:rsid w:val="5D2E6280"/>
    <w:rsid w:val="5D323FC2"/>
    <w:rsid w:val="5D4B0BE0"/>
    <w:rsid w:val="5D4B6E32"/>
    <w:rsid w:val="5D6B1282"/>
    <w:rsid w:val="5D775E79"/>
    <w:rsid w:val="5D885990"/>
    <w:rsid w:val="5D956FF3"/>
    <w:rsid w:val="5DA14CA4"/>
    <w:rsid w:val="5DBF5C0A"/>
    <w:rsid w:val="5DE43074"/>
    <w:rsid w:val="5DEB2E02"/>
    <w:rsid w:val="5DF41277"/>
    <w:rsid w:val="5DFE5C52"/>
    <w:rsid w:val="5E2558D5"/>
    <w:rsid w:val="5E4B16FA"/>
    <w:rsid w:val="5E4C2E61"/>
    <w:rsid w:val="5E543AC4"/>
    <w:rsid w:val="5E5E4943"/>
    <w:rsid w:val="5E604B5F"/>
    <w:rsid w:val="5E785A05"/>
    <w:rsid w:val="5E941380"/>
    <w:rsid w:val="5EB50A07"/>
    <w:rsid w:val="5EC02E3B"/>
    <w:rsid w:val="5EC818D1"/>
    <w:rsid w:val="5F1C0EB4"/>
    <w:rsid w:val="5F1D035A"/>
    <w:rsid w:val="5F3937BE"/>
    <w:rsid w:val="5F396F5F"/>
    <w:rsid w:val="5F526256"/>
    <w:rsid w:val="5F5A15AE"/>
    <w:rsid w:val="5F6366B5"/>
    <w:rsid w:val="5F645F89"/>
    <w:rsid w:val="5F700DD2"/>
    <w:rsid w:val="5FAF875C"/>
    <w:rsid w:val="5FBC0587"/>
    <w:rsid w:val="5FD2383A"/>
    <w:rsid w:val="5FE570CA"/>
    <w:rsid w:val="5FFBDC7B"/>
    <w:rsid w:val="5FFC5BC2"/>
    <w:rsid w:val="601E25DC"/>
    <w:rsid w:val="602C4CF9"/>
    <w:rsid w:val="60612792"/>
    <w:rsid w:val="60692C88"/>
    <w:rsid w:val="609C15A0"/>
    <w:rsid w:val="60A26DEB"/>
    <w:rsid w:val="60AD6EA0"/>
    <w:rsid w:val="60C211B9"/>
    <w:rsid w:val="61040DDC"/>
    <w:rsid w:val="6129748A"/>
    <w:rsid w:val="612D18A0"/>
    <w:rsid w:val="61324169"/>
    <w:rsid w:val="614B4ACA"/>
    <w:rsid w:val="615838CB"/>
    <w:rsid w:val="615C160D"/>
    <w:rsid w:val="618669D1"/>
    <w:rsid w:val="619C4100"/>
    <w:rsid w:val="61A30FEA"/>
    <w:rsid w:val="61AB5205"/>
    <w:rsid w:val="61B76844"/>
    <w:rsid w:val="61BD000C"/>
    <w:rsid w:val="61FC0E51"/>
    <w:rsid w:val="62083543"/>
    <w:rsid w:val="62231FBA"/>
    <w:rsid w:val="62377985"/>
    <w:rsid w:val="624665A5"/>
    <w:rsid w:val="625422E5"/>
    <w:rsid w:val="6266437B"/>
    <w:rsid w:val="628C7CD0"/>
    <w:rsid w:val="6299063F"/>
    <w:rsid w:val="62A86D6B"/>
    <w:rsid w:val="62BB05B6"/>
    <w:rsid w:val="62BE2E26"/>
    <w:rsid w:val="62E53885"/>
    <w:rsid w:val="62EA49F7"/>
    <w:rsid w:val="62F12229"/>
    <w:rsid w:val="630C48EC"/>
    <w:rsid w:val="63402869"/>
    <w:rsid w:val="63537F38"/>
    <w:rsid w:val="637349EC"/>
    <w:rsid w:val="637F5A87"/>
    <w:rsid w:val="63807109"/>
    <w:rsid w:val="63911317"/>
    <w:rsid w:val="63C57BFC"/>
    <w:rsid w:val="63D74F7B"/>
    <w:rsid w:val="63DF02D4"/>
    <w:rsid w:val="63F800F4"/>
    <w:rsid w:val="63FD075A"/>
    <w:rsid w:val="64033FC2"/>
    <w:rsid w:val="642F544C"/>
    <w:rsid w:val="645446EA"/>
    <w:rsid w:val="645B0956"/>
    <w:rsid w:val="6468666D"/>
    <w:rsid w:val="647C601E"/>
    <w:rsid w:val="64836EB1"/>
    <w:rsid w:val="64A05CB5"/>
    <w:rsid w:val="64B73FFC"/>
    <w:rsid w:val="64C86FBA"/>
    <w:rsid w:val="64CE2822"/>
    <w:rsid w:val="64F83738"/>
    <w:rsid w:val="64FE5585"/>
    <w:rsid w:val="65405B73"/>
    <w:rsid w:val="65510D5D"/>
    <w:rsid w:val="65511A03"/>
    <w:rsid w:val="65AD1404"/>
    <w:rsid w:val="65C854C3"/>
    <w:rsid w:val="65E41BD1"/>
    <w:rsid w:val="65EB7404"/>
    <w:rsid w:val="65EE45C9"/>
    <w:rsid w:val="65EF30FE"/>
    <w:rsid w:val="66033642"/>
    <w:rsid w:val="660B3602"/>
    <w:rsid w:val="661A55F3"/>
    <w:rsid w:val="665C2657"/>
    <w:rsid w:val="66602909"/>
    <w:rsid w:val="666429AA"/>
    <w:rsid w:val="66884C53"/>
    <w:rsid w:val="66B141AA"/>
    <w:rsid w:val="67550FD9"/>
    <w:rsid w:val="67627252"/>
    <w:rsid w:val="676463C0"/>
    <w:rsid w:val="678E16D0"/>
    <w:rsid w:val="679631B0"/>
    <w:rsid w:val="67BF28F6"/>
    <w:rsid w:val="67C82386"/>
    <w:rsid w:val="67CE48E7"/>
    <w:rsid w:val="67E73BFB"/>
    <w:rsid w:val="680926AC"/>
    <w:rsid w:val="6821710D"/>
    <w:rsid w:val="683E1A6D"/>
    <w:rsid w:val="68605EEA"/>
    <w:rsid w:val="686F65EC"/>
    <w:rsid w:val="687011B3"/>
    <w:rsid w:val="68755967"/>
    <w:rsid w:val="687922FA"/>
    <w:rsid w:val="687C1304"/>
    <w:rsid w:val="68863282"/>
    <w:rsid w:val="689E250C"/>
    <w:rsid w:val="68A35D74"/>
    <w:rsid w:val="68A51AEC"/>
    <w:rsid w:val="68B327D3"/>
    <w:rsid w:val="68DB3760"/>
    <w:rsid w:val="690F51B7"/>
    <w:rsid w:val="69272501"/>
    <w:rsid w:val="693B767D"/>
    <w:rsid w:val="6948013B"/>
    <w:rsid w:val="694C2425"/>
    <w:rsid w:val="694D7B54"/>
    <w:rsid w:val="694E7A85"/>
    <w:rsid w:val="697257F6"/>
    <w:rsid w:val="69913E1E"/>
    <w:rsid w:val="6994390F"/>
    <w:rsid w:val="69BA15C7"/>
    <w:rsid w:val="69D106BF"/>
    <w:rsid w:val="69D56401"/>
    <w:rsid w:val="69E331D0"/>
    <w:rsid w:val="6A0171F6"/>
    <w:rsid w:val="6A0B5AC9"/>
    <w:rsid w:val="6A132A85"/>
    <w:rsid w:val="6A7774B8"/>
    <w:rsid w:val="6A84653E"/>
    <w:rsid w:val="6A9F256B"/>
    <w:rsid w:val="6ABA7708"/>
    <w:rsid w:val="6ABB67D3"/>
    <w:rsid w:val="6ABD413D"/>
    <w:rsid w:val="6ADE3093"/>
    <w:rsid w:val="6AF40B09"/>
    <w:rsid w:val="6AFFCE1C"/>
    <w:rsid w:val="6B1C3BBC"/>
    <w:rsid w:val="6B234F4A"/>
    <w:rsid w:val="6B791801"/>
    <w:rsid w:val="6B99750F"/>
    <w:rsid w:val="6BAE0CB8"/>
    <w:rsid w:val="6C0D11B2"/>
    <w:rsid w:val="6C4909E0"/>
    <w:rsid w:val="6C722D8B"/>
    <w:rsid w:val="6C7353BC"/>
    <w:rsid w:val="6C79791D"/>
    <w:rsid w:val="6CBE5332"/>
    <w:rsid w:val="6CCF5389"/>
    <w:rsid w:val="6CE34991"/>
    <w:rsid w:val="6CFA39F2"/>
    <w:rsid w:val="6D082649"/>
    <w:rsid w:val="6D2D20B0"/>
    <w:rsid w:val="6D3671B7"/>
    <w:rsid w:val="6D633D24"/>
    <w:rsid w:val="6D7442E5"/>
    <w:rsid w:val="6D877A12"/>
    <w:rsid w:val="6D9C0FE4"/>
    <w:rsid w:val="6DB77BCC"/>
    <w:rsid w:val="6E0258B9"/>
    <w:rsid w:val="6E22598D"/>
    <w:rsid w:val="6E8615AC"/>
    <w:rsid w:val="6E8D72AA"/>
    <w:rsid w:val="6E9D582D"/>
    <w:rsid w:val="6EB16F6E"/>
    <w:rsid w:val="6EC425A0"/>
    <w:rsid w:val="6ED07197"/>
    <w:rsid w:val="6ED30A35"/>
    <w:rsid w:val="6EDF5173"/>
    <w:rsid w:val="6EEA46FD"/>
    <w:rsid w:val="6EF015E7"/>
    <w:rsid w:val="6EF54E4F"/>
    <w:rsid w:val="6F060E0B"/>
    <w:rsid w:val="6F4162E7"/>
    <w:rsid w:val="6F503DBF"/>
    <w:rsid w:val="6F616041"/>
    <w:rsid w:val="6F685621"/>
    <w:rsid w:val="6F927E36"/>
    <w:rsid w:val="6F99623C"/>
    <w:rsid w:val="6FA81A3C"/>
    <w:rsid w:val="6FB940CF"/>
    <w:rsid w:val="6FD14DC4"/>
    <w:rsid w:val="6FEF7AF1"/>
    <w:rsid w:val="6FF70753"/>
    <w:rsid w:val="6FFE5F86"/>
    <w:rsid w:val="700B573B"/>
    <w:rsid w:val="7012558D"/>
    <w:rsid w:val="70452B16"/>
    <w:rsid w:val="706D22F9"/>
    <w:rsid w:val="707B3132"/>
    <w:rsid w:val="708C763F"/>
    <w:rsid w:val="708D0677"/>
    <w:rsid w:val="70A8705E"/>
    <w:rsid w:val="70B14278"/>
    <w:rsid w:val="70BC0AB7"/>
    <w:rsid w:val="70CF7294"/>
    <w:rsid w:val="70D867FE"/>
    <w:rsid w:val="711F7F62"/>
    <w:rsid w:val="7121017E"/>
    <w:rsid w:val="713C0B14"/>
    <w:rsid w:val="718F50E7"/>
    <w:rsid w:val="71CA7BA9"/>
    <w:rsid w:val="71D074AE"/>
    <w:rsid w:val="71DE7B8B"/>
    <w:rsid w:val="722D66AE"/>
    <w:rsid w:val="724C3A9C"/>
    <w:rsid w:val="725956F5"/>
    <w:rsid w:val="7271448E"/>
    <w:rsid w:val="72726A36"/>
    <w:rsid w:val="7298621E"/>
    <w:rsid w:val="72A414C0"/>
    <w:rsid w:val="72AF5EFB"/>
    <w:rsid w:val="72B0293D"/>
    <w:rsid w:val="72B84F4A"/>
    <w:rsid w:val="72BA1C74"/>
    <w:rsid w:val="72C93C83"/>
    <w:rsid w:val="73025D8D"/>
    <w:rsid w:val="73480F08"/>
    <w:rsid w:val="7349576A"/>
    <w:rsid w:val="73607BE6"/>
    <w:rsid w:val="736B2CCA"/>
    <w:rsid w:val="7386251A"/>
    <w:rsid w:val="73972979"/>
    <w:rsid w:val="73D019E7"/>
    <w:rsid w:val="73F43B4B"/>
    <w:rsid w:val="74081181"/>
    <w:rsid w:val="7417146C"/>
    <w:rsid w:val="74253AE1"/>
    <w:rsid w:val="7429582C"/>
    <w:rsid w:val="74312486"/>
    <w:rsid w:val="744D0862"/>
    <w:rsid w:val="74512B28"/>
    <w:rsid w:val="74850A24"/>
    <w:rsid w:val="74C374EF"/>
    <w:rsid w:val="74C4154C"/>
    <w:rsid w:val="74C652C4"/>
    <w:rsid w:val="74D84FF7"/>
    <w:rsid w:val="750202C6"/>
    <w:rsid w:val="75062D05"/>
    <w:rsid w:val="7507584A"/>
    <w:rsid w:val="75145ABE"/>
    <w:rsid w:val="752972CF"/>
    <w:rsid w:val="75472D8D"/>
    <w:rsid w:val="75565D41"/>
    <w:rsid w:val="75575F1C"/>
    <w:rsid w:val="75644ADD"/>
    <w:rsid w:val="75B555D9"/>
    <w:rsid w:val="7614205F"/>
    <w:rsid w:val="761479B4"/>
    <w:rsid w:val="761A519B"/>
    <w:rsid w:val="7620741F"/>
    <w:rsid w:val="762340C6"/>
    <w:rsid w:val="763D3B4D"/>
    <w:rsid w:val="765A280D"/>
    <w:rsid w:val="765E777E"/>
    <w:rsid w:val="766E5C13"/>
    <w:rsid w:val="76961786"/>
    <w:rsid w:val="76AA29C3"/>
    <w:rsid w:val="76AB0347"/>
    <w:rsid w:val="76AF247D"/>
    <w:rsid w:val="76BD6253"/>
    <w:rsid w:val="76C30980"/>
    <w:rsid w:val="76CE656D"/>
    <w:rsid w:val="76D661A1"/>
    <w:rsid w:val="772F0D4F"/>
    <w:rsid w:val="77493F8A"/>
    <w:rsid w:val="775D17E4"/>
    <w:rsid w:val="77768EA8"/>
    <w:rsid w:val="777C7EBC"/>
    <w:rsid w:val="777F7DA9"/>
    <w:rsid w:val="779223F2"/>
    <w:rsid w:val="77C35AEB"/>
    <w:rsid w:val="77C93D96"/>
    <w:rsid w:val="77DFFAD1"/>
    <w:rsid w:val="77E617D9"/>
    <w:rsid w:val="77FA6202"/>
    <w:rsid w:val="78144598"/>
    <w:rsid w:val="781F4CEB"/>
    <w:rsid w:val="7836060C"/>
    <w:rsid w:val="783C3AEF"/>
    <w:rsid w:val="78564BB1"/>
    <w:rsid w:val="787D038F"/>
    <w:rsid w:val="78852686"/>
    <w:rsid w:val="78882890"/>
    <w:rsid w:val="78AC2A23"/>
    <w:rsid w:val="78B56A54"/>
    <w:rsid w:val="78CF4795"/>
    <w:rsid w:val="791F131F"/>
    <w:rsid w:val="79202AC9"/>
    <w:rsid w:val="79206F6D"/>
    <w:rsid w:val="79400193"/>
    <w:rsid w:val="794B6EF7"/>
    <w:rsid w:val="795409C4"/>
    <w:rsid w:val="796C31B8"/>
    <w:rsid w:val="79792D56"/>
    <w:rsid w:val="797D616D"/>
    <w:rsid w:val="799A0ACD"/>
    <w:rsid w:val="79EB1329"/>
    <w:rsid w:val="79EE4DDF"/>
    <w:rsid w:val="7A3B4794"/>
    <w:rsid w:val="7A543209"/>
    <w:rsid w:val="7A74066E"/>
    <w:rsid w:val="7A957C11"/>
    <w:rsid w:val="7AA339B1"/>
    <w:rsid w:val="7AB91427"/>
    <w:rsid w:val="7AC06311"/>
    <w:rsid w:val="7ACF310D"/>
    <w:rsid w:val="7ADF33E3"/>
    <w:rsid w:val="7AFF32B2"/>
    <w:rsid w:val="7B292109"/>
    <w:rsid w:val="7B334D35"/>
    <w:rsid w:val="7B5F1FCE"/>
    <w:rsid w:val="7B66335D"/>
    <w:rsid w:val="7B7D4202"/>
    <w:rsid w:val="7B9652C4"/>
    <w:rsid w:val="7B9D6653"/>
    <w:rsid w:val="7BAE07F2"/>
    <w:rsid w:val="7BB7BBBD"/>
    <w:rsid w:val="7BDF773E"/>
    <w:rsid w:val="7C1F175E"/>
    <w:rsid w:val="7C63164A"/>
    <w:rsid w:val="7C86506C"/>
    <w:rsid w:val="7CB023B6"/>
    <w:rsid w:val="7CBB3234"/>
    <w:rsid w:val="7D060228"/>
    <w:rsid w:val="7D072223"/>
    <w:rsid w:val="7D2376F2"/>
    <w:rsid w:val="7D337C89"/>
    <w:rsid w:val="7D3E6C4C"/>
    <w:rsid w:val="7D4C6582"/>
    <w:rsid w:val="7D8A0E59"/>
    <w:rsid w:val="7DB80DA2"/>
    <w:rsid w:val="7DBF4FA6"/>
    <w:rsid w:val="7DC651C8"/>
    <w:rsid w:val="7DC83905"/>
    <w:rsid w:val="7DD5FE74"/>
    <w:rsid w:val="7DFC3B04"/>
    <w:rsid w:val="7DFC3B42"/>
    <w:rsid w:val="7DFD057E"/>
    <w:rsid w:val="7DFF880D"/>
    <w:rsid w:val="7E105802"/>
    <w:rsid w:val="7E353C4D"/>
    <w:rsid w:val="7E4454AB"/>
    <w:rsid w:val="7E492AC2"/>
    <w:rsid w:val="7E5971A9"/>
    <w:rsid w:val="7E7538B7"/>
    <w:rsid w:val="7E926217"/>
    <w:rsid w:val="7ED246B2"/>
    <w:rsid w:val="7EF43063"/>
    <w:rsid w:val="7F0C5FC9"/>
    <w:rsid w:val="7F111831"/>
    <w:rsid w:val="7F3217A8"/>
    <w:rsid w:val="7F3D2627"/>
    <w:rsid w:val="7F583CA8"/>
    <w:rsid w:val="7F5F6901"/>
    <w:rsid w:val="7F681A51"/>
    <w:rsid w:val="7F6A7194"/>
    <w:rsid w:val="7F8C009A"/>
    <w:rsid w:val="7F9F508F"/>
    <w:rsid w:val="7FB7CC7B"/>
    <w:rsid w:val="7FBF303C"/>
    <w:rsid w:val="7FC864FE"/>
    <w:rsid w:val="7FCF6FF7"/>
    <w:rsid w:val="7FF7C71E"/>
    <w:rsid w:val="7FFFC4A7"/>
    <w:rsid w:val="89DFBF2A"/>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qFormat/>
    <w:uiPriority w:val="9"/>
    <w:pPr>
      <w:keepNext/>
      <w:keepLines/>
      <w:autoSpaceDE w:val="0"/>
      <w:autoSpaceDN w:val="0"/>
      <w:adjustRightInd w:val="0"/>
      <w:spacing w:before="360" w:after="120"/>
      <w:jc w:val="left"/>
      <w:outlineLvl w:val="2"/>
    </w:pPr>
    <w:rPr>
      <w:rFonts w:ascii="宋体"/>
      <w:b/>
      <w:szCs w:val="20"/>
      <w:u w:val="single"/>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szCs w:val="21"/>
    </w:rPr>
  </w:style>
  <w:style w:type="paragraph" w:styleId="5">
    <w:name w:val="Normal Indent"/>
    <w:basedOn w:val="1"/>
    <w:qFormat/>
    <w:uiPriority w:val="0"/>
    <w:pPr>
      <w:ind w:firstLine="420"/>
    </w:pPr>
    <w:rPr>
      <w:szCs w:val="21"/>
    </w:rPr>
  </w:style>
  <w:style w:type="paragraph" w:styleId="8">
    <w:name w:val="toc 7"/>
    <w:basedOn w:val="1"/>
    <w:next w:val="1"/>
    <w:unhideWhenUsed/>
    <w:qFormat/>
    <w:uiPriority w:val="39"/>
    <w:pPr>
      <w:ind w:left="1260"/>
      <w:jc w:val="left"/>
    </w:pPr>
    <w:rPr>
      <w:sz w:val="18"/>
      <w:szCs w:val="18"/>
    </w:rPr>
  </w:style>
  <w:style w:type="paragraph" w:styleId="9">
    <w:name w:val="Document Map"/>
    <w:basedOn w:val="1"/>
    <w:link w:val="46"/>
    <w:unhideWhenUsed/>
    <w:qFormat/>
    <w:uiPriority w:val="99"/>
    <w:rPr>
      <w:rFonts w:ascii="宋体"/>
      <w:sz w:val="18"/>
      <w:szCs w:val="18"/>
    </w:rPr>
  </w:style>
  <w:style w:type="paragraph" w:styleId="10">
    <w:name w:val="annotation text"/>
    <w:basedOn w:val="1"/>
    <w:link w:val="47"/>
    <w:unhideWhenUsed/>
    <w:qFormat/>
    <w:uiPriority w:val="99"/>
    <w:pPr>
      <w:jc w:val="left"/>
    </w:pPr>
  </w:style>
  <w:style w:type="paragraph" w:styleId="11">
    <w:name w:val="Body Text"/>
    <w:basedOn w:val="1"/>
    <w:link w:val="38"/>
    <w:qFormat/>
    <w:uiPriority w:val="99"/>
    <w:pPr>
      <w:spacing w:after="120"/>
    </w:pPr>
  </w:style>
  <w:style w:type="paragraph" w:styleId="12">
    <w:name w:val="Body Text Indent"/>
    <w:basedOn w:val="1"/>
    <w:next w:val="1"/>
    <w:qFormat/>
    <w:uiPriority w:val="0"/>
    <w:pPr>
      <w:spacing w:after="120"/>
      <w:ind w:left="420"/>
    </w:pPr>
    <w:rPr>
      <w:rFonts w:ascii="Calibri" w:hAnsi="Calibri"/>
    </w:rPr>
  </w:style>
  <w:style w:type="paragraph" w:styleId="13">
    <w:name w:val="index 4"/>
    <w:basedOn w:val="1"/>
    <w:next w:val="1"/>
    <w:unhideWhenUsed/>
    <w:qFormat/>
    <w:uiPriority w:val="99"/>
    <w:pPr>
      <w:ind w:firstLine="200" w:firstLineChars="200"/>
    </w:pPr>
  </w:style>
  <w:style w:type="paragraph" w:styleId="14">
    <w:name w:val="Body Text Indent 2"/>
    <w:basedOn w:val="1"/>
    <w:qFormat/>
    <w:uiPriority w:val="0"/>
    <w:pPr>
      <w:spacing w:after="120" w:line="480" w:lineRule="auto"/>
      <w:ind w:left="420" w:leftChars="200"/>
    </w:pPr>
  </w:style>
  <w:style w:type="paragraph" w:styleId="15">
    <w:name w:val="Balloon Text"/>
    <w:basedOn w:val="1"/>
    <w:link w:val="45"/>
    <w:semiHidden/>
    <w:unhideWhenUsed/>
    <w:qFormat/>
    <w:uiPriority w:val="99"/>
    <w:rPr>
      <w:sz w:val="18"/>
      <w:szCs w:val="18"/>
    </w:rPr>
  </w:style>
  <w:style w:type="paragraph" w:styleId="16">
    <w:name w:val="footer"/>
    <w:basedOn w:val="1"/>
    <w:link w:val="44"/>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style>
  <w:style w:type="paragraph" w:styleId="18">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next w:val="1"/>
    <w:qFormat/>
    <w:uiPriority w:val="0"/>
    <w:pPr>
      <w:ind w:left="420" w:hanging="420"/>
    </w:pPr>
    <w:rPr>
      <w:rFonts w:ascii="Arial" w:hAnsi="Arial" w:eastAsia="楷体_GB2312"/>
      <w:sz w:val="28"/>
    </w:rPr>
  </w:style>
  <w:style w:type="paragraph" w:styleId="20">
    <w:name w:val="Body Text Indent 3"/>
    <w:basedOn w:val="1"/>
    <w:link w:val="39"/>
    <w:qFormat/>
    <w:uiPriority w:val="99"/>
    <w:pPr>
      <w:ind w:left="645" w:firstLine="645"/>
    </w:pPr>
    <w:rPr>
      <w:rFonts w:ascii="Arial" w:hAnsi="Arial" w:eastAsia="仿宋_GB2312"/>
      <w:color w:val="FFFF00"/>
      <w:sz w:val="32"/>
      <w:szCs w:val="20"/>
    </w:rPr>
  </w:style>
  <w:style w:type="paragraph" w:styleId="21">
    <w:name w:val="toc 2"/>
    <w:basedOn w:val="1"/>
    <w:next w:val="1"/>
    <w:qFormat/>
    <w:uiPriority w:val="39"/>
    <w:pPr>
      <w:ind w:left="210"/>
      <w:jc w:val="left"/>
    </w:pPr>
    <w:rPr>
      <w:smallCaps/>
      <w:sz w:val="20"/>
      <w:szCs w:val="20"/>
    </w:rPr>
  </w:style>
  <w:style w:type="paragraph" w:styleId="22">
    <w:name w:val="Body Text 2"/>
    <w:basedOn w:val="1"/>
    <w:qFormat/>
    <w:uiPriority w:val="99"/>
    <w:rPr>
      <w:rFonts w:eastAsia="仿宋_GB2312"/>
      <w:color w:val="000000"/>
    </w:rPr>
  </w:style>
  <w:style w:type="paragraph" w:styleId="23">
    <w:name w:val="Normal (Web)"/>
    <w:basedOn w:val="1"/>
    <w:qFormat/>
    <w:uiPriority w:val="99"/>
    <w:pPr>
      <w:spacing w:before="150" w:after="150" w:line="480" w:lineRule="auto"/>
      <w:jc w:val="left"/>
    </w:pPr>
    <w:rPr>
      <w:rFonts w:hint="eastAsia" w:ascii="宋体" w:hAnsi="宋体"/>
      <w:color w:val="000000"/>
    </w:rPr>
  </w:style>
  <w:style w:type="paragraph" w:styleId="24">
    <w:name w:val="annotation subject"/>
    <w:basedOn w:val="10"/>
    <w:next w:val="10"/>
    <w:link w:val="48"/>
    <w:semiHidden/>
    <w:unhideWhenUsed/>
    <w:qFormat/>
    <w:uiPriority w:val="99"/>
    <w:rPr>
      <w:b/>
      <w:bCs/>
    </w:rPr>
  </w:style>
  <w:style w:type="paragraph" w:styleId="25">
    <w:name w:val="Body Text First Indent"/>
    <w:basedOn w:val="11"/>
    <w:qFormat/>
    <w:uiPriority w:val="0"/>
    <w:pPr>
      <w:spacing w:line="360" w:lineRule="auto"/>
      <w:ind w:firstLine="200" w:firstLineChars="200"/>
    </w:pPr>
    <w:rPr>
      <w:rFonts w:ascii="仿宋_GB2312" w:hAnsi="Arial" w:eastAsia="仿宋_GB2312"/>
      <w:sz w:val="30"/>
      <w:szCs w:val="30"/>
    </w:rPr>
  </w:style>
  <w:style w:type="paragraph" w:styleId="26">
    <w:name w:val="Body Text First Indent 2"/>
    <w:basedOn w:val="12"/>
    <w:next w:val="5"/>
    <w:qFormat/>
    <w:uiPriority w:val="0"/>
    <w:pPr>
      <w:spacing w:after="0" w:line="360" w:lineRule="auto"/>
      <w:ind w:left="0" w:firstLine="420"/>
    </w:pPr>
    <w:rPr>
      <w:rFonts w:ascii="宋体" w:hAnsi="宋体"/>
      <w:sz w:val="20"/>
      <w:szCs w:val="20"/>
    </w:rPr>
  </w:style>
  <w:style w:type="table" w:styleId="28">
    <w:name w:val="Table Grid"/>
    <w:basedOn w:val="2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rPr>
  </w:style>
  <w:style w:type="character" w:styleId="31">
    <w:name w:val="Hyperlink"/>
    <w:qFormat/>
    <w:uiPriority w:val="99"/>
    <w:rPr>
      <w:rFonts w:cs="Times New Roman"/>
      <w:color w:val="336699"/>
      <w:sz w:val="18"/>
      <w:u w:val="none"/>
    </w:rPr>
  </w:style>
  <w:style w:type="character" w:styleId="32">
    <w:name w:val="annotation reference"/>
    <w:basedOn w:val="29"/>
    <w:semiHidden/>
    <w:unhideWhenUsed/>
    <w:qFormat/>
    <w:uiPriority w:val="99"/>
    <w:rPr>
      <w:sz w:val="21"/>
      <w:szCs w:val="21"/>
    </w:rPr>
  </w:style>
  <w:style w:type="paragraph" w:customStyle="1" w:styleId="33">
    <w:name w:val="正文1"/>
    <w:basedOn w:val="1"/>
    <w:next w:val="1"/>
    <w:qFormat/>
    <w:uiPriority w:val="0"/>
    <w:pPr>
      <w:ind w:firstLine="425"/>
    </w:pPr>
    <w:rPr>
      <w:rFonts w:ascii="Calibri" w:hAnsi="Calibri"/>
      <w:szCs w:val="20"/>
    </w:rPr>
  </w:style>
  <w:style w:type="paragraph" w:customStyle="1" w:styleId="34">
    <w:name w:val="首行缩进"/>
    <w:basedOn w:val="1"/>
    <w:qFormat/>
    <w:uiPriority w:val="0"/>
    <w:pPr>
      <w:spacing w:line="360" w:lineRule="auto"/>
      <w:ind w:firstLine="480"/>
    </w:pPr>
    <w:rPr>
      <w:rFonts w:hAnsi="宋体" w:cs="宋体"/>
    </w:rPr>
  </w:style>
  <w:style w:type="paragraph" w:customStyle="1" w:styleId="3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6">
    <w:name w:val="正文文本 Char"/>
    <w:basedOn w:val="29"/>
    <w:semiHidden/>
    <w:qFormat/>
    <w:uiPriority w:val="99"/>
    <w:rPr>
      <w:rFonts w:ascii="Times New Roman" w:hAnsi="Times New Roman" w:eastAsia="宋体" w:cs="Times New Roman"/>
      <w:kern w:val="0"/>
      <w:sz w:val="24"/>
      <w:szCs w:val="24"/>
    </w:rPr>
  </w:style>
  <w:style w:type="character" w:customStyle="1" w:styleId="37">
    <w:name w:val="正文文本缩进 3 Char"/>
    <w:basedOn w:val="29"/>
    <w:semiHidden/>
    <w:qFormat/>
    <w:uiPriority w:val="99"/>
    <w:rPr>
      <w:rFonts w:ascii="Times New Roman" w:hAnsi="Times New Roman" w:eastAsia="宋体" w:cs="Times New Roman"/>
      <w:kern w:val="0"/>
      <w:sz w:val="16"/>
      <w:szCs w:val="16"/>
    </w:rPr>
  </w:style>
  <w:style w:type="character" w:customStyle="1" w:styleId="38">
    <w:name w:val="正文文本 字符"/>
    <w:link w:val="11"/>
    <w:qFormat/>
    <w:locked/>
    <w:uiPriority w:val="99"/>
    <w:rPr>
      <w:rFonts w:ascii="Times New Roman" w:hAnsi="Times New Roman" w:eastAsia="宋体" w:cs="Times New Roman"/>
      <w:kern w:val="0"/>
      <w:sz w:val="24"/>
      <w:szCs w:val="24"/>
    </w:rPr>
  </w:style>
  <w:style w:type="character" w:customStyle="1" w:styleId="39">
    <w:name w:val="正文文本缩进 3 字符"/>
    <w:link w:val="20"/>
    <w:qFormat/>
    <w:locked/>
    <w:uiPriority w:val="99"/>
    <w:rPr>
      <w:rFonts w:ascii="Arial" w:hAnsi="Arial" w:eastAsia="仿宋_GB2312" w:cs="Times New Roman"/>
      <w:color w:val="FFFF00"/>
      <w:kern w:val="0"/>
      <w:sz w:val="32"/>
      <w:szCs w:val="20"/>
    </w:rPr>
  </w:style>
  <w:style w:type="paragraph" w:customStyle="1" w:styleId="40">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41">
    <w:name w:val="WPS Plain"/>
    <w:qFormat/>
    <w:uiPriority w:val="0"/>
    <w:rPr>
      <w:rFonts w:ascii="Times New Roman" w:hAnsi="Times New Roman" w:eastAsia="宋体" w:cs="Times New Roman"/>
      <w:lang w:val="en-US" w:eastAsia="zh-CN" w:bidi="ar-SA"/>
    </w:rPr>
  </w:style>
  <w:style w:type="paragraph" w:styleId="42">
    <w:name w:val="List Paragraph"/>
    <w:basedOn w:val="1"/>
    <w:qFormat/>
    <w:uiPriority w:val="34"/>
    <w:pPr>
      <w:ind w:firstLine="420" w:firstLineChars="200"/>
    </w:pPr>
    <w:rPr>
      <w:rFonts w:eastAsia="Times New Roman"/>
    </w:rPr>
  </w:style>
  <w:style w:type="character" w:customStyle="1" w:styleId="43">
    <w:name w:val="页眉 字符"/>
    <w:basedOn w:val="29"/>
    <w:link w:val="18"/>
    <w:qFormat/>
    <w:uiPriority w:val="99"/>
    <w:rPr>
      <w:rFonts w:ascii="Times New Roman" w:hAnsi="Times New Roman" w:eastAsia="宋体" w:cs="Times New Roman"/>
      <w:sz w:val="18"/>
      <w:szCs w:val="18"/>
    </w:rPr>
  </w:style>
  <w:style w:type="character" w:customStyle="1" w:styleId="44">
    <w:name w:val="页脚 字符"/>
    <w:basedOn w:val="29"/>
    <w:link w:val="16"/>
    <w:qFormat/>
    <w:uiPriority w:val="99"/>
    <w:rPr>
      <w:rFonts w:ascii="Times New Roman" w:hAnsi="Times New Roman" w:eastAsia="宋体" w:cs="Times New Roman"/>
      <w:sz w:val="18"/>
      <w:szCs w:val="18"/>
    </w:rPr>
  </w:style>
  <w:style w:type="character" w:customStyle="1" w:styleId="45">
    <w:name w:val="批注框文本 字符"/>
    <w:basedOn w:val="29"/>
    <w:link w:val="15"/>
    <w:semiHidden/>
    <w:qFormat/>
    <w:uiPriority w:val="99"/>
    <w:rPr>
      <w:rFonts w:ascii="Times New Roman" w:hAnsi="Times New Roman" w:eastAsia="宋体" w:cs="Times New Roman"/>
      <w:sz w:val="18"/>
      <w:szCs w:val="18"/>
    </w:rPr>
  </w:style>
  <w:style w:type="character" w:customStyle="1" w:styleId="46">
    <w:name w:val="文档结构图 字符"/>
    <w:basedOn w:val="29"/>
    <w:link w:val="9"/>
    <w:qFormat/>
    <w:uiPriority w:val="99"/>
    <w:rPr>
      <w:rFonts w:ascii="宋体" w:hAnsi="Times New Roman" w:eastAsia="宋体" w:cs="Times New Roman"/>
      <w:sz w:val="18"/>
      <w:szCs w:val="18"/>
    </w:rPr>
  </w:style>
  <w:style w:type="character" w:customStyle="1" w:styleId="47">
    <w:name w:val="批注文字 字符"/>
    <w:basedOn w:val="29"/>
    <w:link w:val="10"/>
    <w:qFormat/>
    <w:uiPriority w:val="99"/>
    <w:rPr>
      <w:rFonts w:ascii="Times New Roman" w:hAnsi="Times New Roman" w:eastAsia="宋体" w:cs="Times New Roman"/>
      <w:sz w:val="24"/>
      <w:szCs w:val="24"/>
    </w:rPr>
  </w:style>
  <w:style w:type="character" w:customStyle="1" w:styleId="48">
    <w:name w:val="批注主题 字符"/>
    <w:basedOn w:val="47"/>
    <w:link w:val="24"/>
    <w:semiHidden/>
    <w:qFormat/>
    <w:uiPriority w:val="99"/>
    <w:rPr>
      <w:rFonts w:ascii="Times New Roman" w:hAnsi="Times New Roman" w:eastAsia="宋体" w:cs="Times New Roman"/>
      <w:b/>
      <w:bCs/>
      <w:sz w:val="24"/>
      <w:szCs w:val="24"/>
    </w:rPr>
  </w:style>
  <w:style w:type="paragraph" w:customStyle="1" w:styleId="49">
    <w:name w:val="正文首行缩进2字符"/>
    <w:basedOn w:val="1"/>
    <w:qFormat/>
    <w:uiPriority w:val="0"/>
    <w:pPr>
      <w:ind w:firstLine="482"/>
    </w:pPr>
  </w:style>
  <w:style w:type="character" w:customStyle="1" w:styleId="50">
    <w:name w:val="current"/>
    <w:basedOn w:val="29"/>
    <w:qFormat/>
    <w:uiPriority w:val="0"/>
    <w:rPr>
      <w:b/>
      <w:bCs/>
      <w:color w:val="05A7D8"/>
      <w:sz w:val="18"/>
      <w:szCs w:val="18"/>
    </w:rPr>
  </w:style>
  <w:style w:type="character" w:customStyle="1" w:styleId="51">
    <w:name w:val="l-btn-left"/>
    <w:basedOn w:val="29"/>
    <w:qFormat/>
    <w:uiPriority w:val="0"/>
  </w:style>
  <w:style w:type="character" w:customStyle="1" w:styleId="52">
    <w:name w:val="l-btn-text36"/>
    <w:basedOn w:val="29"/>
    <w:qFormat/>
    <w:uiPriority w:val="0"/>
  </w:style>
  <w:style w:type="character" w:customStyle="1" w:styleId="53">
    <w:name w:val="l-btn-text"/>
    <w:basedOn w:val="29"/>
    <w:qFormat/>
    <w:uiPriority w:val="0"/>
  </w:style>
  <w:style w:type="character" w:customStyle="1" w:styleId="54">
    <w:name w:val="grame"/>
    <w:basedOn w:val="29"/>
    <w:qFormat/>
    <w:uiPriority w:val="0"/>
  </w:style>
  <w:style w:type="paragraph" w:customStyle="1" w:styleId="55">
    <w:name w:val="标准文本"/>
    <w:basedOn w:val="1"/>
    <w:qFormat/>
    <w:uiPriority w:val="0"/>
    <w:pPr>
      <w:spacing w:line="360" w:lineRule="auto"/>
      <w:ind w:firstLine="480" w:firstLineChars="200"/>
    </w:pPr>
    <w:rPr>
      <w:rFonts w:cs="宋体"/>
      <w:szCs w:val="20"/>
    </w:rPr>
  </w:style>
  <w:style w:type="paragraph" w:customStyle="1" w:styleId="56">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7">
    <w:name w:val="Table Paragraph"/>
    <w:basedOn w:val="1"/>
    <w:qFormat/>
    <w:uiPriority w:val="99"/>
  </w:style>
  <w:style w:type="paragraph" w:customStyle="1" w:styleId="58">
    <w:name w:val="普通正文"/>
    <w:basedOn w:val="1"/>
    <w:qFormat/>
    <w:uiPriority w:val="0"/>
    <w:pPr>
      <w:adjustRightInd w:val="0"/>
      <w:spacing w:line="360" w:lineRule="auto"/>
      <w:ind w:firstLine="480"/>
      <w:jc w:val="left"/>
    </w:pPr>
    <w:rPr>
      <w:rFonts w:ascii="Arial" w:hAnsi="Arial"/>
    </w:rPr>
  </w:style>
  <w:style w:type="paragraph" w:customStyle="1" w:styleId="59">
    <w:name w:val="正文缩进11"/>
    <w:basedOn w:val="1"/>
    <w:qFormat/>
    <w:uiPriority w:val="99"/>
    <w:rPr>
      <w:sz w:val="20"/>
      <w:szCs w:val="20"/>
    </w:rPr>
  </w:style>
  <w:style w:type="paragraph" w:customStyle="1" w:styleId="60">
    <w:name w:val="1.1.1.1"/>
    <w:qFormat/>
    <w:uiPriority w:val="0"/>
    <w:pPr>
      <w:keepLines/>
      <w:spacing w:line="520" w:lineRule="exact"/>
      <w:ind w:firstLine="200"/>
      <w:outlineLvl w:val="3"/>
    </w:pPr>
    <w:rPr>
      <w:rFonts w:ascii="Times New Roman" w:hAnsi="Times New Roman" w:eastAsia="方正仿宋_GBK" w:cs="Times New Roman"/>
      <w:b/>
      <w:sz w:val="24"/>
      <w:szCs w:val="22"/>
      <w:lang w:val="en-US" w:eastAsia="zh-CN" w:bidi="ar-SA"/>
    </w:rPr>
  </w:style>
  <w:style w:type="paragraph" w:customStyle="1" w:styleId="61">
    <w:name w:val="仿宋GBK正文"/>
    <w:basedOn w:val="1"/>
    <w:qFormat/>
    <w:uiPriority w:val="0"/>
  </w:style>
  <w:style w:type="paragraph" w:customStyle="1" w:styleId="62">
    <w:name w:val="WPSOffice手动目录 1"/>
    <w:qFormat/>
    <w:uiPriority w:val="0"/>
    <w:rPr>
      <w:rFonts w:ascii="Times New Roman" w:hAnsi="Times New Roman" w:eastAsia="宋体" w:cs="Times New Roman"/>
      <w:lang w:val="en-US" w:eastAsia="zh-CN" w:bidi="ar-SA"/>
    </w:rPr>
  </w:style>
  <w:style w:type="paragraph" w:customStyle="1" w:styleId="6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4">
    <w:name w:val="列出段落2"/>
    <w:basedOn w:val="1"/>
    <w:qFormat/>
    <w:uiPriority w:val="99"/>
    <w:pPr>
      <w:spacing w:line="360" w:lineRule="auto"/>
      <w:ind w:firstLine="420" w:firstLineChars="200"/>
    </w:pPr>
    <w:rPr>
      <w:rFonts w:ascii="Calibri" w:hAnsi="Calibri" w:cs="Calibri"/>
    </w:rPr>
  </w:style>
  <w:style w:type="paragraph" w:customStyle="1" w:styleId="65">
    <w:name w:val="标题 11"/>
    <w:basedOn w:val="1"/>
    <w:next w:val="1"/>
    <w:qFormat/>
    <w:uiPriority w:val="0"/>
    <w:pPr>
      <w:keepNext/>
      <w:keepLines/>
      <w:spacing w:before="340" w:after="330" w:line="576" w:lineRule="auto"/>
      <w:outlineLvl w:val="0"/>
    </w:pPr>
    <w:rPr>
      <w:b/>
      <w:bCs/>
      <w:sz w:val="44"/>
      <w:szCs w:val="44"/>
    </w:rPr>
  </w:style>
  <w:style w:type="character" w:customStyle="1" w:styleId="66">
    <w:name w:val="NormalCharacter"/>
    <w:qFormat/>
    <w:uiPriority w:val="0"/>
    <w:rPr>
      <w:rFonts w:ascii="Times New Roman" w:hAnsi="Times New Roman" w:eastAsia="宋体" w:cs="Times New Roman"/>
    </w:rPr>
  </w:style>
  <w:style w:type="paragraph" w:customStyle="1" w:styleId="67">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68">
    <w:name w:val="正文首行缩进 21"/>
    <w:basedOn w:val="69"/>
    <w:unhideWhenUsed/>
    <w:qFormat/>
    <w:uiPriority w:val="0"/>
    <w:pPr>
      <w:spacing w:after="0" w:line="360" w:lineRule="auto"/>
      <w:ind w:left="0" w:firstLine="420"/>
    </w:pPr>
    <w:rPr>
      <w:rFonts w:ascii="宋体" w:hAnsi="宋体"/>
      <w:szCs w:val="20"/>
    </w:rPr>
  </w:style>
  <w:style w:type="paragraph" w:customStyle="1" w:styleId="69">
    <w:name w:val="正文文本缩进11"/>
    <w:basedOn w:val="1"/>
    <w:unhideWhenUsed/>
    <w:qFormat/>
    <w:uiPriority w:val="99"/>
    <w:pPr>
      <w:spacing w:after="120"/>
      <w:ind w:left="420"/>
    </w:pPr>
  </w:style>
  <w:style w:type="character" w:customStyle="1" w:styleId="70">
    <w:name w:val="font41"/>
    <w:basedOn w:val="29"/>
    <w:qFormat/>
    <w:uiPriority w:val="0"/>
    <w:rPr>
      <w:rFonts w:hint="eastAsia" w:ascii="仿宋" w:hAnsi="仿宋" w:eastAsia="仿宋" w:cs="仿宋"/>
      <w:b/>
      <w:bCs/>
      <w:color w:val="000000"/>
      <w:sz w:val="24"/>
      <w:szCs w:val="24"/>
      <w:u w:val="none"/>
    </w:rPr>
  </w:style>
  <w:style w:type="paragraph" w:customStyle="1" w:styleId="71">
    <w:name w:val="正文 A"/>
    <w:qFormat/>
    <w:uiPriority w:val="0"/>
    <w:pPr>
      <w:widowControl w:val="0"/>
      <w:jc w:val="both"/>
    </w:pPr>
    <w:rPr>
      <w:rFonts w:ascii="Times New Roman" w:hAnsi="Times New Roman" w:eastAsia="Calibri" w:cs="Calibri"/>
      <w:color w:val="000000"/>
      <w:kern w:val="2"/>
      <w:sz w:val="21"/>
      <w:szCs w:val="21"/>
      <w:u w:val="none" w:color="000000"/>
      <w:lang w:val="en-US" w:eastAsia="zh-CN" w:bidi="ar-SA"/>
    </w:rPr>
  </w:style>
  <w:style w:type="paragraph" w:customStyle="1" w:styleId="72">
    <w:name w:val="正文缩进1111"/>
    <w:basedOn w:val="1"/>
    <w:qFormat/>
    <w:uiPriority w:val="0"/>
    <w:pPr>
      <w:ind w:firstLine="420"/>
      <w:jc w:val="left"/>
    </w:pPr>
    <w:rPr>
      <w:rFonts w:ascii="宋体"/>
      <w:sz w:val="24"/>
    </w:rPr>
  </w:style>
  <w:style w:type="paragraph" w:customStyle="1" w:styleId="73">
    <w:name w:val="_Style 50"/>
    <w:basedOn w:val="1"/>
    <w:next w:val="74"/>
    <w:qFormat/>
    <w:uiPriority w:val="34"/>
    <w:pPr>
      <w:ind w:firstLine="420"/>
    </w:pPr>
    <w:rPr>
      <w:szCs w:val="22"/>
    </w:rPr>
  </w:style>
  <w:style w:type="paragraph" w:customStyle="1" w:styleId="74">
    <w:name w:val="列出段落"/>
    <w:basedOn w:val="1"/>
    <w:qFormat/>
    <w:uiPriority w:val="34"/>
    <w:pPr>
      <w:ind w:firstLine="420"/>
    </w:pPr>
    <w:rPr>
      <w:rFonts w:ascii="Calibri" w:hAnsi="Calibri"/>
      <w:szCs w:val="22"/>
    </w:rPr>
  </w:style>
  <w:style w:type="character" w:customStyle="1" w:styleId="75">
    <w:name w:val="font61"/>
    <w:basedOn w:val="29"/>
    <w:qFormat/>
    <w:uiPriority w:val="0"/>
    <w:rPr>
      <w:rFonts w:hint="eastAsia" w:ascii="宋体" w:hAnsi="宋体" w:eastAsia="宋体" w:cs="宋体"/>
      <w:color w:val="000000"/>
      <w:sz w:val="20"/>
      <w:szCs w:val="20"/>
      <w:u w:val="none"/>
    </w:rPr>
  </w:style>
  <w:style w:type="character" w:customStyle="1" w:styleId="76">
    <w:name w:val="font132"/>
    <w:basedOn w:val="29"/>
    <w:qFormat/>
    <w:uiPriority w:val="0"/>
    <w:rPr>
      <w:rFonts w:hint="eastAsia" w:ascii="微软雅黑" w:hAnsi="微软雅黑" w:eastAsia="微软雅黑" w:cs="微软雅黑"/>
      <w:color w:val="000000"/>
      <w:sz w:val="20"/>
      <w:szCs w:val="20"/>
      <w:u w:val="none"/>
    </w:rPr>
  </w:style>
  <w:style w:type="character" w:customStyle="1" w:styleId="77">
    <w:name w:val="font31"/>
    <w:basedOn w:val="29"/>
    <w:qFormat/>
    <w:uiPriority w:val="0"/>
    <w:rPr>
      <w:rFonts w:hint="eastAsia" w:ascii="宋体" w:hAnsi="宋体" w:eastAsia="宋体" w:cs="宋体"/>
      <w:color w:val="000000"/>
      <w:sz w:val="20"/>
      <w:szCs w:val="20"/>
      <w:u w:val="none"/>
    </w:rPr>
  </w:style>
  <w:style w:type="character" w:customStyle="1" w:styleId="78">
    <w:name w:val="font21"/>
    <w:basedOn w:val="2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49</Pages>
  <Words>9180</Words>
  <Characters>9973</Characters>
  <Lines>167</Lines>
  <Paragraphs>47</Paragraphs>
  <TotalTime>58</TotalTime>
  <ScaleCrop>false</ScaleCrop>
  <LinksUpToDate>false</LinksUpToDate>
  <CharactersWithSpaces>11693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2024-11-18T05:21:00Z</dcterms:created>
  <dc:creator>阙美霞</dc:creator>
  <cp:lastModifiedBy>ALICE</cp:lastModifiedBy>
  <cp:lastPrinted>2024-12-04T03:53:00Z</cp:lastPrinted>
  <dcterms:modified xsi:type="dcterms:W3CDTF">2026-07-13T08:43:57Z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392259E65A2A4B159D84C7DDEFFB0FAC_13</vt:lpwstr>
  </property>
  <property fmtid="{D5CDD505-2E9C-101B-9397-08002B2CF9AE}" pid="4" name="KSOTemplateDocerSaveRecord">
    <vt:lpwstr>eyJoZGlkIjoiOGE5MmVmYzZiMjM1MzQ5ZDljZjg5ZmRjZGI2MDU0MWUiLCJ1c2VySWQiOiIyNTI1ODcxNzMifQ==</vt:lpwstr>
  </property>
</Properties>
</file>