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F3F0E7">
      <w:pPr>
        <w:spacing w:line="360" w:lineRule="auto"/>
        <w:ind w:firstLine="420"/>
        <w:jc w:val="right"/>
        <w:rPr>
          <w:rFonts w:ascii="宋体" w:hAnsi="宋体" w:cs="宋体"/>
          <w:color w:val="auto"/>
          <w:sz w:val="28"/>
          <w:szCs w:val="20"/>
          <w:highlight w:val="none"/>
        </w:rPr>
      </w:pPr>
      <w:bookmarkStart w:id="0" w:name="_Toc528771312"/>
      <w:bookmarkStart w:id="1" w:name="_Toc27744861"/>
    </w:p>
    <w:p w14:paraId="097C1512">
      <w:pPr>
        <w:pStyle w:val="48"/>
        <w:jc w:val="center"/>
        <w:rPr>
          <w:rFonts w:eastAsia="黑体"/>
          <w:color w:val="auto"/>
          <w:highlight w:val="none"/>
        </w:rPr>
      </w:pPr>
      <w:r>
        <w:rPr>
          <w:rFonts w:hint="eastAsia" w:ascii="黑体" w:hAnsi="宋体" w:eastAsia="黑体"/>
          <w:color w:val="auto"/>
          <w:sz w:val="52"/>
          <w:szCs w:val="52"/>
          <w:highlight w:val="none"/>
        </w:rPr>
        <w:t>2026-2028年度南京市不动产登记窗口前置扫描服务项目</w:t>
      </w:r>
    </w:p>
    <w:p w14:paraId="6AC6B84F">
      <w:pPr>
        <w:pStyle w:val="48"/>
        <w:rPr>
          <w:color w:val="auto"/>
          <w:highlight w:val="none"/>
        </w:rPr>
      </w:pPr>
    </w:p>
    <w:p w14:paraId="3824FF22">
      <w:pPr>
        <w:pStyle w:val="48"/>
        <w:rPr>
          <w:color w:val="auto"/>
          <w:highlight w:val="none"/>
        </w:rPr>
      </w:pPr>
    </w:p>
    <w:p w14:paraId="22BC55D6">
      <w:pPr>
        <w:pStyle w:val="48"/>
        <w:rPr>
          <w:color w:val="auto"/>
          <w:highlight w:val="none"/>
        </w:rPr>
      </w:pPr>
    </w:p>
    <w:p w14:paraId="3173FB2A">
      <w:pPr>
        <w:tabs>
          <w:tab w:val="left" w:pos="390"/>
          <w:tab w:val="center" w:pos="4404"/>
        </w:tabs>
        <w:jc w:val="center"/>
        <w:rPr>
          <w:rFonts w:ascii="黑体" w:hAnsi="宋体" w:eastAsia="黑体"/>
          <w:b/>
          <w:bCs/>
          <w:color w:val="auto"/>
          <w:sz w:val="76"/>
          <w:szCs w:val="76"/>
          <w:highlight w:val="none"/>
        </w:rPr>
      </w:pPr>
      <w:r>
        <w:rPr>
          <w:rFonts w:hint="eastAsia" w:ascii="宋体" w:hAnsi="宋体" w:cs="宋体"/>
          <w:b/>
          <w:bCs/>
          <w:color w:val="auto"/>
          <w:sz w:val="76"/>
          <w:szCs w:val="76"/>
          <w:highlight w:val="none"/>
        </w:rPr>
        <w:t>竞争性磋商文件</w:t>
      </w:r>
      <w:bookmarkStart w:id="53" w:name="_GoBack"/>
      <w:bookmarkEnd w:id="53"/>
    </w:p>
    <w:p w14:paraId="401FD787">
      <w:pPr>
        <w:pStyle w:val="6"/>
        <w:rPr>
          <w:color w:val="auto"/>
          <w:highlight w:val="none"/>
        </w:rPr>
      </w:pPr>
    </w:p>
    <w:p w14:paraId="69442A50">
      <w:pPr>
        <w:pStyle w:val="6"/>
        <w:rPr>
          <w:color w:val="auto"/>
          <w:highlight w:val="none"/>
        </w:rPr>
      </w:pPr>
    </w:p>
    <w:p w14:paraId="4456F8F2">
      <w:pPr>
        <w:jc w:val="center"/>
        <w:rPr>
          <w:rFonts w:hint="eastAsia" w:ascii="宋体" w:hAnsi="宋体" w:cs="宋体"/>
          <w:color w:val="auto"/>
          <w:sz w:val="36"/>
          <w:szCs w:val="36"/>
          <w:highlight w:val="none"/>
        </w:rPr>
      </w:pPr>
      <w:r>
        <w:rPr>
          <w:rFonts w:hint="eastAsia" w:ascii="宋体" w:hAnsi="宋体" w:cs="宋体"/>
          <w:color w:val="auto"/>
          <w:sz w:val="36"/>
          <w:szCs w:val="20"/>
          <w:highlight w:val="none"/>
        </w:rPr>
        <w:t>项目编号</w:t>
      </w:r>
      <w:r>
        <w:rPr>
          <w:rFonts w:hint="eastAsia" w:ascii="宋体" w:hAnsi="宋体" w:cs="宋体"/>
          <w:color w:val="auto"/>
          <w:sz w:val="36"/>
          <w:szCs w:val="36"/>
          <w:highlight w:val="none"/>
        </w:rPr>
        <w:t>：</w:t>
      </w:r>
      <w:r>
        <w:rPr>
          <w:rFonts w:hint="eastAsia" w:ascii="宋体" w:hAnsi="宋体" w:cs="宋体"/>
          <w:i w:val="0"/>
          <w:iCs w:val="0"/>
          <w:caps w:val="0"/>
          <w:color w:val="auto"/>
          <w:spacing w:val="0"/>
          <w:sz w:val="36"/>
          <w:szCs w:val="20"/>
          <w:highlight w:val="none"/>
          <w:shd w:val="clear"/>
          <w:lang w:eastAsia="zh-CN"/>
        </w:rPr>
        <w:t>JSZC-320100-JSHY-C2026-0128</w:t>
      </w:r>
    </w:p>
    <w:p w14:paraId="39108812">
      <w:pPr>
        <w:jc w:val="center"/>
        <w:rPr>
          <w:rFonts w:ascii="宋体" w:hAnsi="宋体" w:cs="宋体"/>
          <w:color w:val="auto"/>
          <w:sz w:val="40"/>
          <w:szCs w:val="40"/>
          <w:highlight w:val="none"/>
        </w:rPr>
      </w:pPr>
      <w:r>
        <w:rPr>
          <w:rFonts w:hint="eastAsia" w:ascii="宋体" w:hAnsi="宋体" w:cs="宋体"/>
          <w:color w:val="auto"/>
          <w:sz w:val="36"/>
          <w:szCs w:val="36"/>
          <w:highlight w:val="none"/>
        </w:rPr>
        <w:t>采购代理机构内部编号：1009-2640HOLLY80T</w:t>
      </w:r>
      <w:r>
        <w:rPr>
          <w:rFonts w:hint="eastAsia" w:ascii="宋体" w:hAnsi="宋体" w:cs="宋体"/>
          <w:color w:val="auto"/>
          <w:sz w:val="40"/>
          <w:szCs w:val="40"/>
          <w:highlight w:val="none"/>
        </w:rPr>
        <w:t xml:space="preserve">  </w:t>
      </w:r>
    </w:p>
    <w:p w14:paraId="49F87FB1">
      <w:pPr>
        <w:rPr>
          <w:rFonts w:ascii="黑体" w:hAnsi="宋体" w:eastAsia="黑体"/>
          <w:color w:val="auto"/>
          <w:sz w:val="32"/>
          <w:highlight w:val="none"/>
        </w:rPr>
      </w:pPr>
    </w:p>
    <w:p w14:paraId="47C14EAB">
      <w:pPr>
        <w:rPr>
          <w:rFonts w:ascii="黑体" w:hAnsi="宋体" w:eastAsia="黑体"/>
          <w:color w:val="auto"/>
          <w:sz w:val="32"/>
          <w:highlight w:val="none"/>
        </w:rPr>
      </w:pPr>
    </w:p>
    <w:p w14:paraId="24C36E8D">
      <w:pPr>
        <w:rPr>
          <w:rFonts w:ascii="黑体" w:hAnsi="宋体" w:eastAsia="黑体"/>
          <w:color w:val="auto"/>
          <w:sz w:val="44"/>
          <w:highlight w:val="none"/>
        </w:rPr>
      </w:pPr>
    </w:p>
    <w:p w14:paraId="75CA841C">
      <w:pPr>
        <w:pStyle w:val="271"/>
        <w:ind w:firstLine="0"/>
        <w:rPr>
          <w:rFonts w:ascii="黑体" w:hAnsi="宋体" w:eastAsia="黑体"/>
          <w:color w:val="auto"/>
          <w:sz w:val="32"/>
          <w:highlight w:val="none"/>
        </w:rPr>
      </w:pPr>
    </w:p>
    <w:p w14:paraId="28BEBE3D">
      <w:pPr>
        <w:pStyle w:val="271"/>
        <w:ind w:firstLine="0"/>
        <w:rPr>
          <w:rFonts w:ascii="黑体" w:hAnsi="宋体" w:eastAsia="黑体"/>
          <w:color w:val="auto"/>
          <w:sz w:val="32"/>
          <w:highlight w:val="none"/>
        </w:rPr>
      </w:pPr>
    </w:p>
    <w:p w14:paraId="1199F3FF">
      <w:pPr>
        <w:pStyle w:val="271"/>
        <w:ind w:firstLine="0"/>
        <w:rPr>
          <w:rFonts w:ascii="黑体" w:hAnsi="宋体" w:eastAsia="黑体"/>
          <w:color w:val="auto"/>
          <w:sz w:val="32"/>
          <w:highlight w:val="none"/>
        </w:rPr>
      </w:pPr>
    </w:p>
    <w:p w14:paraId="500F5692">
      <w:pPr>
        <w:pStyle w:val="271"/>
        <w:ind w:firstLine="0"/>
        <w:rPr>
          <w:rFonts w:ascii="黑体" w:hAnsi="宋体" w:eastAsia="黑体"/>
          <w:color w:val="auto"/>
          <w:sz w:val="32"/>
          <w:highlight w:val="none"/>
        </w:rPr>
      </w:pPr>
    </w:p>
    <w:p w14:paraId="248D8E5D">
      <w:pPr>
        <w:rPr>
          <w:rFonts w:ascii="黑体" w:hAnsi="宋体" w:eastAsia="黑体"/>
          <w:color w:val="auto"/>
          <w:sz w:val="32"/>
          <w:highlight w:val="none"/>
        </w:rPr>
      </w:pPr>
    </w:p>
    <w:p w14:paraId="28C7111A">
      <w:pPr>
        <w:pStyle w:val="302"/>
        <w:rPr>
          <w:color w:val="auto"/>
          <w:highlight w:val="none"/>
          <w:lang w:eastAsia="zh-CN"/>
        </w:rPr>
      </w:pPr>
    </w:p>
    <w:p w14:paraId="73AF9AF0">
      <w:pPr>
        <w:spacing w:line="480" w:lineRule="auto"/>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采购单位：南京市规划和自然资源局</w:t>
      </w:r>
    </w:p>
    <w:p w14:paraId="1666EE06">
      <w:pPr>
        <w:spacing w:line="480" w:lineRule="auto"/>
        <w:ind w:firstLine="643"/>
        <w:rPr>
          <w:rFonts w:ascii="宋体" w:hAnsi="宋体" w:cs="宋体"/>
          <w:b/>
          <w:bCs/>
          <w:color w:val="auto"/>
          <w:sz w:val="32"/>
          <w:szCs w:val="32"/>
          <w:highlight w:val="none"/>
        </w:rPr>
      </w:pPr>
      <w:r>
        <w:rPr>
          <w:rFonts w:hint="eastAsia" w:ascii="宋体" w:hAnsi="宋体" w:cs="宋体"/>
          <w:b/>
          <w:bCs/>
          <w:color w:val="auto"/>
          <w:sz w:val="32"/>
          <w:szCs w:val="32"/>
          <w:highlight w:val="none"/>
        </w:rPr>
        <w:t>采购代理机构：江苏弘业国际技术工程有限公司</w:t>
      </w:r>
    </w:p>
    <w:p w14:paraId="70890C17">
      <w:pPr>
        <w:spacing w:line="480" w:lineRule="auto"/>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二〇二六年</w:t>
      </w:r>
      <w:r>
        <w:rPr>
          <w:rFonts w:hint="eastAsia" w:ascii="宋体" w:hAnsi="宋体" w:cs="宋体"/>
          <w:b/>
          <w:bCs/>
          <w:color w:val="auto"/>
          <w:sz w:val="32"/>
          <w:szCs w:val="32"/>
          <w:highlight w:val="none"/>
          <w:lang w:val="en-US" w:eastAsia="zh-CN"/>
        </w:rPr>
        <w:t>七</w:t>
      </w:r>
      <w:r>
        <w:rPr>
          <w:rFonts w:hint="eastAsia" w:ascii="宋体" w:hAnsi="宋体" w:cs="宋体"/>
          <w:b/>
          <w:bCs/>
          <w:color w:val="auto"/>
          <w:sz w:val="32"/>
          <w:szCs w:val="32"/>
          <w:highlight w:val="none"/>
        </w:rPr>
        <w:t>月</w:t>
      </w:r>
    </w:p>
    <w:p w14:paraId="406FE5AA">
      <w:pPr>
        <w:spacing w:line="360" w:lineRule="auto"/>
        <w:jc w:val="center"/>
        <w:rPr>
          <w:rFonts w:ascii="宋体" w:hAnsi="宋体" w:cs="宋体"/>
          <w:b/>
          <w:bCs/>
          <w:color w:val="auto"/>
          <w:sz w:val="36"/>
          <w:highlight w:val="none"/>
        </w:rPr>
      </w:pPr>
    </w:p>
    <w:p w14:paraId="47E2CE9E">
      <w:pPr>
        <w:rPr>
          <w:rFonts w:ascii="宋体" w:hAnsi="宋体" w:cs="宋体"/>
          <w:b/>
          <w:bCs/>
          <w:color w:val="auto"/>
          <w:sz w:val="32"/>
          <w:highlight w:val="none"/>
        </w:rPr>
      </w:pPr>
      <w:r>
        <w:rPr>
          <w:rFonts w:hint="eastAsia" w:ascii="宋体" w:hAnsi="宋体" w:cs="宋体"/>
          <w:b/>
          <w:bCs/>
          <w:color w:val="auto"/>
          <w:sz w:val="32"/>
          <w:highlight w:val="none"/>
        </w:rPr>
        <w:br w:type="page" w:clear="all"/>
      </w:r>
    </w:p>
    <w:p w14:paraId="057314B5">
      <w:pPr>
        <w:spacing w:line="360" w:lineRule="auto"/>
        <w:jc w:val="center"/>
        <w:rPr>
          <w:rFonts w:ascii="宋体" w:hAnsi="宋体" w:cs="宋体"/>
          <w:b/>
          <w:bCs/>
          <w:color w:val="auto"/>
          <w:sz w:val="32"/>
          <w:highlight w:val="none"/>
        </w:rPr>
      </w:pPr>
      <w:r>
        <w:rPr>
          <w:rFonts w:hint="eastAsia" w:ascii="宋体" w:hAnsi="宋体" w:cs="宋体"/>
          <w:b/>
          <w:bCs/>
          <w:color w:val="auto"/>
          <w:sz w:val="32"/>
          <w:highlight w:val="none"/>
        </w:rPr>
        <w:t>目 录</w:t>
      </w:r>
    </w:p>
    <w:p w14:paraId="3BB57E1A">
      <w:pPr>
        <w:spacing w:line="480" w:lineRule="auto"/>
        <w:jc w:val="center"/>
        <w:rPr>
          <w:rFonts w:ascii="宋体" w:hAnsi="宋体" w:cs="宋体"/>
          <w:b/>
          <w:bCs/>
          <w:color w:val="auto"/>
          <w:sz w:val="32"/>
          <w:highlight w:val="none"/>
        </w:rPr>
      </w:pPr>
    </w:p>
    <w:p w14:paraId="2EE132E7">
      <w:pPr>
        <w:pStyle w:val="265"/>
        <w:tabs>
          <w:tab w:val="right" w:leader="dot" w:pos="8296"/>
        </w:tabs>
        <w:spacing w:line="480" w:lineRule="auto"/>
        <w:jc w:val="center"/>
        <w:rPr>
          <w:rFonts w:ascii="宋体" w:hAnsi="宋体" w:cs="宋体"/>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第一章 竞争性磋商采购公告</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_Toc109304962 \h </w:instrText>
      </w:r>
      <w:r>
        <w:rPr>
          <w:rFonts w:hint="eastAsia" w:ascii="宋体" w:hAnsi="宋体" w:cs="宋体"/>
          <w:color w:val="auto"/>
          <w:highlight w:val="none"/>
        </w:rPr>
        <w:fldChar w:fldCharType="separate"/>
      </w:r>
      <w:r>
        <w:rPr>
          <w:rFonts w:hint="eastAsia" w:ascii="宋体" w:hAnsi="宋体" w:cs="宋体"/>
          <w:color w:val="auto"/>
          <w:highlight w:val="none"/>
        </w:rPr>
        <w:t>3</w:t>
      </w:r>
      <w:r>
        <w:rPr>
          <w:rFonts w:hint="eastAsia" w:ascii="宋体" w:hAnsi="宋体" w:cs="宋体"/>
          <w:color w:val="auto"/>
          <w:highlight w:val="none"/>
        </w:rPr>
        <w:fldChar w:fldCharType="end"/>
      </w:r>
    </w:p>
    <w:p w14:paraId="0A488689">
      <w:pPr>
        <w:pStyle w:val="265"/>
        <w:tabs>
          <w:tab w:val="right" w:leader="dot" w:pos="8296"/>
        </w:tabs>
        <w:spacing w:line="480" w:lineRule="auto"/>
        <w:jc w:val="center"/>
        <w:rPr>
          <w:rFonts w:ascii="宋体" w:hAnsi="宋体" w:cs="宋体"/>
          <w:color w:val="auto"/>
          <w:highlight w:val="none"/>
        </w:rPr>
      </w:pPr>
      <w:r>
        <w:rPr>
          <w:rFonts w:hint="eastAsia" w:ascii="宋体" w:hAnsi="宋体" w:cs="宋体"/>
          <w:color w:val="auto"/>
          <w:highlight w:val="none"/>
        </w:rPr>
        <w:t>第二章 磋商须知</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_Toc109304972 \h </w:instrText>
      </w:r>
      <w:r>
        <w:rPr>
          <w:rFonts w:hint="eastAsia" w:ascii="宋体" w:hAnsi="宋体" w:cs="宋体"/>
          <w:color w:val="auto"/>
          <w:highlight w:val="none"/>
        </w:rPr>
        <w:fldChar w:fldCharType="separate"/>
      </w:r>
      <w:r>
        <w:rPr>
          <w:rFonts w:hint="eastAsia" w:ascii="宋体" w:hAnsi="宋体" w:cs="宋体"/>
          <w:color w:val="auto"/>
          <w:highlight w:val="none"/>
        </w:rPr>
        <w:t>8</w:t>
      </w:r>
      <w:r>
        <w:rPr>
          <w:rFonts w:hint="eastAsia" w:ascii="宋体" w:hAnsi="宋体" w:cs="宋体"/>
          <w:color w:val="auto"/>
          <w:highlight w:val="none"/>
        </w:rPr>
        <w:fldChar w:fldCharType="end"/>
      </w:r>
    </w:p>
    <w:p w14:paraId="3F4A0AB3">
      <w:pPr>
        <w:pStyle w:val="265"/>
        <w:tabs>
          <w:tab w:val="right" w:leader="dot" w:pos="8296"/>
        </w:tabs>
        <w:spacing w:line="480" w:lineRule="auto"/>
        <w:jc w:val="center"/>
        <w:rPr>
          <w:rFonts w:ascii="宋体" w:hAnsi="宋体" w:cs="宋体"/>
          <w:color w:val="auto"/>
          <w:highlight w:val="none"/>
        </w:rPr>
      </w:pPr>
      <w:r>
        <w:rPr>
          <w:rFonts w:hint="eastAsia" w:ascii="宋体" w:hAnsi="宋体" w:cs="宋体"/>
          <w:color w:val="auto"/>
          <w:highlight w:val="none"/>
        </w:rPr>
        <w:t>第三章 合同条款及格式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_Toc109304973 \h </w:instrText>
      </w:r>
      <w:r>
        <w:rPr>
          <w:rFonts w:hint="eastAsia" w:ascii="宋体" w:hAnsi="宋体" w:cs="宋体"/>
          <w:color w:val="auto"/>
          <w:highlight w:val="none"/>
        </w:rPr>
        <w:fldChar w:fldCharType="separate"/>
      </w:r>
      <w:r>
        <w:rPr>
          <w:rFonts w:hint="eastAsia" w:ascii="宋体" w:hAnsi="宋体" w:cs="宋体"/>
          <w:color w:val="auto"/>
          <w:highlight w:val="none"/>
        </w:rPr>
        <w:t>19</w:t>
      </w:r>
      <w:r>
        <w:rPr>
          <w:rFonts w:hint="eastAsia" w:ascii="宋体" w:hAnsi="宋体" w:cs="宋体"/>
          <w:color w:val="auto"/>
          <w:highlight w:val="none"/>
        </w:rPr>
        <w:fldChar w:fldCharType="end"/>
      </w:r>
    </w:p>
    <w:p w14:paraId="2D69198D">
      <w:pPr>
        <w:pStyle w:val="265"/>
        <w:tabs>
          <w:tab w:val="right" w:leader="dot" w:pos="8296"/>
        </w:tabs>
        <w:spacing w:line="480" w:lineRule="auto"/>
        <w:jc w:val="center"/>
        <w:rPr>
          <w:rFonts w:ascii="宋体" w:hAnsi="宋体" w:cs="宋体"/>
          <w:color w:val="auto"/>
          <w:highlight w:val="none"/>
        </w:rPr>
      </w:pPr>
      <w:r>
        <w:rPr>
          <w:rFonts w:hint="eastAsia" w:ascii="宋体" w:hAnsi="宋体" w:cs="宋体"/>
          <w:color w:val="auto"/>
          <w:highlight w:val="none"/>
        </w:rPr>
        <w:t>第四章 项目需求</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_Toc109304974 \h </w:instrText>
      </w:r>
      <w:r>
        <w:rPr>
          <w:rFonts w:hint="eastAsia" w:ascii="宋体" w:hAnsi="宋体" w:cs="宋体"/>
          <w:color w:val="auto"/>
          <w:highlight w:val="none"/>
        </w:rPr>
        <w:fldChar w:fldCharType="separate"/>
      </w:r>
      <w:r>
        <w:rPr>
          <w:rFonts w:hint="eastAsia" w:ascii="宋体" w:hAnsi="宋体" w:cs="宋体"/>
          <w:color w:val="auto"/>
          <w:highlight w:val="none"/>
        </w:rPr>
        <w:t>20</w:t>
      </w:r>
      <w:r>
        <w:rPr>
          <w:rFonts w:hint="eastAsia" w:ascii="宋体" w:hAnsi="宋体" w:cs="宋体"/>
          <w:color w:val="auto"/>
          <w:highlight w:val="none"/>
        </w:rPr>
        <w:fldChar w:fldCharType="end"/>
      </w:r>
    </w:p>
    <w:p w14:paraId="6C1CE7BA">
      <w:pPr>
        <w:pStyle w:val="265"/>
        <w:tabs>
          <w:tab w:val="right" w:leader="dot" w:pos="8296"/>
        </w:tabs>
        <w:spacing w:line="480" w:lineRule="auto"/>
        <w:jc w:val="center"/>
        <w:rPr>
          <w:rFonts w:ascii="宋体" w:hAnsi="宋体" w:cs="宋体"/>
          <w:color w:val="auto"/>
          <w:highlight w:val="none"/>
        </w:rPr>
      </w:pPr>
      <w:r>
        <w:rPr>
          <w:rFonts w:hint="eastAsia" w:ascii="宋体" w:hAnsi="宋体" w:cs="宋体"/>
          <w:color w:val="auto"/>
          <w:highlight w:val="none"/>
        </w:rPr>
        <w:t>第五章 评审方法及评审标准</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_Toc109304975 \h </w:instrText>
      </w:r>
      <w:r>
        <w:rPr>
          <w:rFonts w:hint="eastAsia" w:ascii="宋体" w:hAnsi="宋体" w:cs="宋体"/>
          <w:color w:val="auto"/>
          <w:highlight w:val="none"/>
        </w:rPr>
        <w:fldChar w:fldCharType="separate"/>
      </w:r>
      <w:r>
        <w:rPr>
          <w:rFonts w:hint="eastAsia" w:ascii="宋体" w:hAnsi="宋体" w:cs="宋体"/>
          <w:color w:val="auto"/>
          <w:highlight w:val="none"/>
        </w:rPr>
        <w:t>32</w:t>
      </w:r>
      <w:r>
        <w:rPr>
          <w:rFonts w:hint="eastAsia" w:ascii="宋体" w:hAnsi="宋体" w:cs="宋体"/>
          <w:color w:val="auto"/>
          <w:highlight w:val="none"/>
        </w:rPr>
        <w:fldChar w:fldCharType="end"/>
      </w:r>
    </w:p>
    <w:p w14:paraId="163E0894">
      <w:pPr>
        <w:pStyle w:val="265"/>
        <w:tabs>
          <w:tab w:val="right" w:leader="dot" w:pos="8296"/>
        </w:tabs>
        <w:spacing w:line="480" w:lineRule="auto"/>
        <w:jc w:val="center"/>
        <w:rPr>
          <w:rFonts w:ascii="宋体" w:hAnsi="宋体" w:cs="宋体"/>
          <w:color w:val="auto"/>
          <w:highlight w:val="none"/>
        </w:rPr>
      </w:pPr>
      <w:r>
        <w:rPr>
          <w:rFonts w:hint="eastAsia" w:ascii="宋体" w:hAnsi="宋体" w:cs="宋体"/>
          <w:color w:val="auto"/>
          <w:highlight w:val="none"/>
        </w:rPr>
        <w:t>第六章 竞争性磋商响应文件格式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_Toc109304976 \h </w:instrText>
      </w:r>
      <w:r>
        <w:rPr>
          <w:rFonts w:hint="eastAsia" w:ascii="宋体" w:hAnsi="宋体" w:cs="宋体"/>
          <w:color w:val="auto"/>
          <w:highlight w:val="none"/>
        </w:rPr>
        <w:fldChar w:fldCharType="separate"/>
      </w:r>
      <w:r>
        <w:rPr>
          <w:rFonts w:hint="eastAsia" w:ascii="宋体" w:hAnsi="宋体" w:cs="宋体"/>
          <w:color w:val="auto"/>
          <w:highlight w:val="none"/>
        </w:rPr>
        <w:t>38</w:t>
      </w:r>
      <w:r>
        <w:rPr>
          <w:rFonts w:hint="eastAsia" w:ascii="宋体" w:hAnsi="宋体" w:cs="宋体"/>
          <w:color w:val="auto"/>
          <w:highlight w:val="none"/>
        </w:rPr>
        <w:fldChar w:fldCharType="end"/>
      </w:r>
    </w:p>
    <w:p w14:paraId="529888F8">
      <w:pPr>
        <w:spacing w:line="480" w:lineRule="auto"/>
        <w:jc w:val="center"/>
        <w:rPr>
          <w:rFonts w:ascii="宋体" w:hAnsi="宋体" w:cs="宋体"/>
          <w:color w:val="auto"/>
          <w:sz w:val="28"/>
          <w:highlight w:val="none"/>
        </w:rPr>
      </w:pPr>
      <w:r>
        <w:rPr>
          <w:rFonts w:hint="eastAsia" w:ascii="宋体" w:hAnsi="宋体" w:cs="宋体"/>
          <w:color w:val="auto"/>
          <w:sz w:val="28"/>
          <w:highlight w:val="none"/>
        </w:rPr>
        <w:fldChar w:fldCharType="end"/>
      </w:r>
    </w:p>
    <w:p w14:paraId="7224F71F">
      <w:pPr>
        <w:spacing w:line="360" w:lineRule="auto"/>
        <w:rPr>
          <w:rFonts w:ascii="宋体" w:hAnsi="宋体" w:cs="宋体"/>
          <w:color w:val="auto"/>
          <w:highlight w:val="none"/>
        </w:rPr>
      </w:pPr>
    </w:p>
    <w:p w14:paraId="1AB2BCE8">
      <w:pPr>
        <w:pStyle w:val="237"/>
        <w:spacing w:line="360" w:lineRule="auto"/>
        <w:jc w:val="center"/>
        <w:rPr>
          <w:rFonts w:ascii="宋体" w:hAnsi="宋体" w:cs="宋体"/>
          <w:color w:val="auto"/>
          <w:sz w:val="36"/>
          <w:szCs w:val="36"/>
          <w:highlight w:val="none"/>
        </w:rPr>
      </w:pPr>
      <w:r>
        <w:rPr>
          <w:rFonts w:hint="eastAsia" w:ascii="宋体" w:hAnsi="宋体" w:cs="宋体"/>
          <w:color w:val="auto"/>
          <w:sz w:val="36"/>
          <w:szCs w:val="36"/>
          <w:highlight w:val="none"/>
        </w:rPr>
        <w:br w:type="page" w:clear="all"/>
      </w:r>
      <w:bookmarkStart w:id="2" w:name="_Toc109304962"/>
      <w:r>
        <w:rPr>
          <w:rFonts w:hint="eastAsia" w:ascii="宋体" w:hAnsi="宋体" w:cs="宋体"/>
          <w:color w:val="auto"/>
          <w:szCs w:val="36"/>
          <w:highlight w:val="none"/>
        </w:rPr>
        <w:t>第一章 竞争性磋商公告</w:t>
      </w:r>
      <w:bookmarkEnd w:id="2"/>
    </w:p>
    <w:p w14:paraId="2FB354A3">
      <w:pPr>
        <w:pBdr>
          <w:top w:val="single" w:color="000000" w:sz="4" w:space="1"/>
          <w:left w:val="single" w:color="000000" w:sz="4" w:space="4"/>
          <w:bottom w:val="single" w:color="000000" w:sz="4" w:space="1"/>
          <w:right w:val="single" w:color="000000" w:sz="4" w:space="4"/>
        </w:pBdr>
        <w:spacing w:line="360" w:lineRule="auto"/>
        <w:ind w:firstLine="422"/>
        <w:rPr>
          <w:rFonts w:ascii="宋体" w:hAnsi="宋体" w:cs="宋体"/>
          <w:b/>
          <w:color w:val="auto"/>
          <w:sz w:val="24"/>
          <w:szCs w:val="24"/>
          <w:highlight w:val="none"/>
        </w:rPr>
      </w:pPr>
      <w:r>
        <w:rPr>
          <w:rFonts w:hint="eastAsia" w:ascii="宋体" w:hAnsi="宋体" w:cs="宋体"/>
          <w:b/>
          <w:color w:val="auto"/>
          <w:sz w:val="24"/>
          <w:szCs w:val="24"/>
          <w:highlight w:val="none"/>
        </w:rPr>
        <w:t>项目概况</w:t>
      </w:r>
    </w:p>
    <w:p w14:paraId="1E97638E">
      <w:pPr>
        <w:pBdr>
          <w:top w:val="single" w:color="000000" w:sz="4" w:space="1"/>
          <w:left w:val="single" w:color="000000" w:sz="4" w:space="4"/>
          <w:bottom w:val="single" w:color="000000" w:sz="4" w:space="1"/>
          <w:right w:val="single" w:color="000000" w:sz="4" w:space="4"/>
        </w:pBd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u w:val="single"/>
          <w:lang w:val="zh-CN"/>
        </w:rPr>
        <w:t>南京市规划和自然资源局2026 -2028年度南京市不动产登记窗口前置扫描服务项目</w:t>
      </w:r>
      <w:r>
        <w:rPr>
          <w:rFonts w:hint="eastAsia" w:ascii="宋体" w:hAnsi="宋体" w:cs="宋体"/>
          <w:color w:val="auto"/>
          <w:sz w:val="24"/>
          <w:szCs w:val="24"/>
          <w:highlight w:val="none"/>
        </w:rPr>
        <w:t>的潜在供应商可在江苏政府采购网苏采云系统下载采购文件，并于</w:t>
      </w:r>
      <w:bookmarkStart w:id="3" w:name="XMTBJSR_1"/>
      <w:r>
        <w:rPr>
          <w:rFonts w:hint="eastAsia" w:ascii="宋体" w:hAnsi="宋体" w:cs="宋体"/>
          <w:bCs/>
          <w:color w:val="auto"/>
          <w:sz w:val="24"/>
          <w:szCs w:val="24"/>
          <w:highlight w:val="none"/>
          <w:u w:val="single"/>
        </w:rPr>
        <w:t>2026年</w:t>
      </w:r>
      <w:r>
        <w:rPr>
          <w:rFonts w:hint="eastAsia" w:ascii="宋体" w:hAnsi="宋体" w:cs="宋体"/>
          <w:bCs/>
          <w:color w:val="auto"/>
          <w:sz w:val="24"/>
          <w:szCs w:val="24"/>
          <w:highlight w:val="none"/>
          <w:u w:val="single"/>
          <w:lang w:val="en-US" w:eastAsia="zh-CN"/>
        </w:rPr>
        <w:t>7</w:t>
      </w:r>
      <w:r>
        <w:rPr>
          <w:rFonts w:hint="eastAsia" w:ascii="宋体" w:hAnsi="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15</w:t>
      </w:r>
      <w:r>
        <w:rPr>
          <w:rFonts w:hint="eastAsia" w:ascii="宋体" w:hAnsi="宋体" w:cs="宋体"/>
          <w:bCs/>
          <w:color w:val="auto"/>
          <w:sz w:val="24"/>
          <w:szCs w:val="24"/>
          <w:highlight w:val="none"/>
          <w:u w:val="single"/>
        </w:rPr>
        <w:t>日14点30分</w:t>
      </w:r>
      <w:bookmarkEnd w:id="3"/>
      <w:r>
        <w:rPr>
          <w:rFonts w:hint="eastAsia" w:ascii="宋体" w:hAnsi="宋体" w:cs="宋体"/>
          <w:bCs/>
          <w:color w:val="auto"/>
          <w:sz w:val="24"/>
          <w:szCs w:val="24"/>
          <w:highlight w:val="none"/>
        </w:rPr>
        <w:t>（北京时间）前提交响应文件</w:t>
      </w:r>
      <w:r>
        <w:rPr>
          <w:rFonts w:hint="eastAsia" w:ascii="宋体" w:hAnsi="宋体" w:cs="宋体"/>
          <w:color w:val="auto"/>
          <w:sz w:val="24"/>
          <w:szCs w:val="24"/>
          <w:highlight w:val="none"/>
        </w:rPr>
        <w:t>。</w:t>
      </w:r>
    </w:p>
    <w:p w14:paraId="6C5F4DD5">
      <w:pPr>
        <w:pStyle w:val="239"/>
        <w:spacing w:before="0" w:after="0" w:line="360" w:lineRule="auto"/>
        <w:ind w:firstLine="422"/>
        <w:rPr>
          <w:rFonts w:ascii="宋体" w:hAnsi="宋体" w:cs="宋体"/>
          <w:bCs w:val="0"/>
          <w:color w:val="auto"/>
          <w:sz w:val="24"/>
          <w:szCs w:val="24"/>
          <w:highlight w:val="none"/>
        </w:rPr>
      </w:pPr>
      <w:bookmarkStart w:id="4" w:name="_Toc109304963"/>
      <w:r>
        <w:rPr>
          <w:rFonts w:hint="eastAsia" w:ascii="宋体" w:hAnsi="宋体" w:cs="宋体"/>
          <w:bCs w:val="0"/>
          <w:color w:val="auto"/>
          <w:sz w:val="24"/>
          <w:szCs w:val="24"/>
          <w:highlight w:val="none"/>
        </w:rPr>
        <w:t>一、项目基本情况</w:t>
      </w:r>
      <w:bookmarkEnd w:id="4"/>
    </w:p>
    <w:p w14:paraId="0455E7DE">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1.项目编号：</w:t>
      </w:r>
      <w:r>
        <w:rPr>
          <w:rFonts w:hint="eastAsia" w:ascii="Segoe UI" w:hAnsi="Segoe UI" w:cs="Segoe UI"/>
          <w:i w:val="0"/>
          <w:iCs w:val="0"/>
          <w:caps w:val="0"/>
          <w:color w:val="auto"/>
          <w:spacing w:val="0"/>
          <w:sz w:val="21"/>
          <w:szCs w:val="21"/>
          <w:highlight w:val="none"/>
          <w:shd w:val="clear" w:fill="FFFFFF"/>
          <w:lang w:eastAsia="zh-CN"/>
        </w:rPr>
        <w:t>JSZC-320100-JSHY-C2026-0128</w:t>
      </w:r>
      <w:r>
        <w:rPr>
          <w:rFonts w:hint="eastAsia" w:ascii="宋体" w:hAnsi="宋体" w:cs="宋体"/>
          <w:color w:val="auto"/>
          <w:sz w:val="24"/>
          <w:szCs w:val="24"/>
          <w:highlight w:val="none"/>
        </w:rPr>
        <w:t>（采购代理机构内部编号：1009-2640HOLLY80T ）</w:t>
      </w:r>
    </w:p>
    <w:p w14:paraId="70F7C330">
      <w:pPr>
        <w:spacing w:line="360" w:lineRule="auto"/>
        <w:ind w:firstLine="420"/>
        <w:rPr>
          <w:rFonts w:ascii="宋体" w:hAnsi="宋体" w:cs="宋体"/>
          <w:color w:val="auto"/>
          <w:sz w:val="24"/>
          <w:szCs w:val="24"/>
          <w:highlight w:val="none"/>
          <w:lang w:val="zh-CN"/>
        </w:rPr>
      </w:pPr>
      <w:r>
        <w:rPr>
          <w:rFonts w:hint="eastAsia" w:ascii="宋体" w:hAnsi="宋体" w:cs="宋体"/>
          <w:color w:val="auto"/>
          <w:sz w:val="24"/>
          <w:szCs w:val="24"/>
          <w:highlight w:val="none"/>
        </w:rPr>
        <w:t>2.项目名称：</w:t>
      </w:r>
      <w:r>
        <w:rPr>
          <w:rFonts w:hint="eastAsia" w:ascii="宋体" w:hAnsi="宋体" w:cs="宋体"/>
          <w:color w:val="auto"/>
          <w:sz w:val="24"/>
          <w:szCs w:val="24"/>
          <w:highlight w:val="none"/>
          <w:lang w:val="zh-CN"/>
        </w:rPr>
        <w:t>2026-2028年度南京市不动产登记窗口前置扫描服务项目</w:t>
      </w:r>
    </w:p>
    <w:p w14:paraId="67A0C77B">
      <w:pPr>
        <w:spacing w:line="360" w:lineRule="auto"/>
        <w:ind w:firstLine="420"/>
        <w:rPr>
          <w:rFonts w:ascii="宋体" w:hAnsi="宋体" w:cs="宋体"/>
          <w:color w:val="auto"/>
          <w:sz w:val="24"/>
          <w:szCs w:val="24"/>
          <w:highlight w:val="none"/>
        </w:rPr>
      </w:pPr>
      <w:bookmarkStart w:id="5" w:name="_Toc109304964"/>
      <w:r>
        <w:rPr>
          <w:rFonts w:hint="eastAsia" w:ascii="宋体" w:hAnsi="宋体" w:cs="宋体"/>
          <w:color w:val="auto"/>
          <w:sz w:val="24"/>
          <w:szCs w:val="24"/>
          <w:highlight w:val="none"/>
        </w:rPr>
        <w:t>3.采购方式：竞争性磋商</w:t>
      </w:r>
    </w:p>
    <w:p w14:paraId="1F3433A8">
      <w:pPr>
        <w:spacing w:line="360" w:lineRule="auto"/>
        <w:ind w:firstLine="420"/>
        <w:rPr>
          <w:rFonts w:ascii="宋体" w:hAnsi="宋体" w:cs="宋体"/>
          <w:color w:val="auto"/>
          <w:sz w:val="24"/>
          <w:szCs w:val="24"/>
          <w:highlight w:val="none"/>
        </w:rPr>
      </w:pPr>
      <w:r>
        <w:rPr>
          <w:rFonts w:ascii="宋体" w:hAnsi="宋体" w:cs="宋体"/>
          <w:color w:val="auto"/>
          <w:sz w:val="24"/>
          <w:szCs w:val="24"/>
          <w:highlight w:val="none"/>
        </w:rPr>
        <w:t>4.</w:t>
      </w:r>
      <w:r>
        <w:rPr>
          <w:rFonts w:hint="eastAsia" w:ascii="宋体" w:hAnsi="宋体" w:cs="宋体"/>
          <w:color w:val="auto"/>
          <w:sz w:val="24"/>
          <w:szCs w:val="24"/>
          <w:highlight w:val="none"/>
          <w:lang w:val="zh-CN"/>
        </w:rPr>
        <w:t>预算金额：</w:t>
      </w:r>
      <w:r>
        <w:rPr>
          <w:rFonts w:ascii="宋体" w:hAnsi="宋体" w:cs="宋体"/>
          <w:color w:val="auto"/>
          <w:sz w:val="24"/>
          <w:szCs w:val="24"/>
          <w:highlight w:val="none"/>
        </w:rPr>
        <w:t>1</w:t>
      </w:r>
      <w:r>
        <w:rPr>
          <w:rFonts w:hint="eastAsia" w:ascii="宋体" w:hAnsi="宋体" w:cs="宋体"/>
          <w:color w:val="auto"/>
          <w:sz w:val="24"/>
          <w:szCs w:val="24"/>
          <w:highlight w:val="none"/>
          <w:lang w:val="en-US" w:eastAsia="zh-CN"/>
        </w:rPr>
        <w:t>92</w:t>
      </w:r>
      <w:r>
        <w:rPr>
          <w:rFonts w:hint="eastAsia" w:ascii="宋体" w:hAnsi="宋体" w:cs="宋体"/>
          <w:color w:val="auto"/>
          <w:sz w:val="24"/>
          <w:szCs w:val="24"/>
          <w:highlight w:val="none"/>
        </w:rPr>
        <w:t>万元</w:t>
      </w:r>
    </w:p>
    <w:p w14:paraId="60503E8E">
      <w:pPr>
        <w:spacing w:line="360" w:lineRule="auto"/>
        <w:ind w:firstLine="420"/>
        <w:rPr>
          <w:rFonts w:ascii="宋体" w:hAnsi="宋体" w:cs="宋体"/>
          <w:color w:val="auto"/>
          <w:sz w:val="24"/>
          <w:szCs w:val="24"/>
          <w:highlight w:val="none"/>
          <w:lang w:val="zh-CN"/>
        </w:rPr>
      </w:pPr>
      <w:r>
        <w:rPr>
          <w:rFonts w:ascii="宋体" w:hAnsi="宋体" w:cs="宋体"/>
          <w:color w:val="auto"/>
          <w:sz w:val="24"/>
          <w:szCs w:val="24"/>
          <w:highlight w:val="none"/>
        </w:rPr>
        <w:t>5.</w:t>
      </w:r>
      <w:r>
        <w:rPr>
          <w:rFonts w:hint="eastAsia" w:ascii="宋体" w:hAnsi="宋体" w:cs="宋体"/>
          <w:color w:val="auto"/>
          <w:sz w:val="24"/>
          <w:szCs w:val="24"/>
          <w:highlight w:val="none"/>
          <w:lang w:val="zh-CN"/>
        </w:rPr>
        <w:t>最高限价：</w:t>
      </w:r>
      <w:r>
        <w:rPr>
          <w:rFonts w:ascii="宋体" w:hAnsi="宋体" w:cs="宋体"/>
          <w:color w:val="auto"/>
          <w:sz w:val="24"/>
          <w:szCs w:val="24"/>
          <w:highlight w:val="none"/>
        </w:rPr>
        <w:t>135</w:t>
      </w:r>
      <w:r>
        <w:rPr>
          <w:rFonts w:hint="eastAsia" w:ascii="宋体" w:hAnsi="宋体" w:cs="宋体"/>
          <w:color w:val="auto"/>
          <w:sz w:val="24"/>
          <w:szCs w:val="24"/>
          <w:highlight w:val="none"/>
        </w:rPr>
        <w:t>万元</w:t>
      </w:r>
      <w:r>
        <w:rPr>
          <w:rFonts w:ascii="宋体" w:hAnsi="宋体" w:cs="宋体"/>
          <w:color w:val="auto"/>
          <w:sz w:val="24"/>
          <w:szCs w:val="24"/>
          <w:highlight w:val="none"/>
        </w:rPr>
        <w:t>/3年</w:t>
      </w:r>
    </w:p>
    <w:p w14:paraId="23154B90">
      <w:pPr>
        <w:widowControl/>
        <w:spacing w:line="360" w:lineRule="auto"/>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6.采购需求：</w:t>
      </w:r>
      <w:bookmarkStart w:id="6" w:name="OLE_LINK4"/>
      <w:r>
        <w:rPr>
          <w:rFonts w:hint="eastAsia" w:ascii="宋体" w:hAnsi="宋体" w:cs="宋体"/>
          <w:color w:val="auto"/>
          <w:sz w:val="24"/>
          <w:szCs w:val="24"/>
          <w:highlight w:val="none"/>
          <w:lang w:val="zh-CN"/>
        </w:rPr>
        <w:t>南京市规划和自然资源局2026-2028年度南京市不动产登记窗口前置扫描服务项目。</w:t>
      </w:r>
      <w:bookmarkEnd w:id="6"/>
    </w:p>
    <w:p w14:paraId="0F964845">
      <w:pPr>
        <w:spacing w:line="360" w:lineRule="auto"/>
        <w:ind w:firstLine="420"/>
        <w:rPr>
          <w:rFonts w:ascii="宋体" w:hAnsi="宋体" w:cs="宋体"/>
          <w:color w:val="auto"/>
          <w:sz w:val="24"/>
          <w:szCs w:val="24"/>
          <w:highlight w:val="none"/>
          <w:u w:val="single"/>
        </w:rPr>
      </w:pPr>
      <w:r>
        <w:rPr>
          <w:rFonts w:hint="eastAsia" w:ascii="宋体" w:hAnsi="宋体" w:cs="宋体"/>
          <w:color w:val="auto"/>
          <w:sz w:val="24"/>
          <w:szCs w:val="24"/>
          <w:highlight w:val="none"/>
        </w:rPr>
        <w:t>7.合同履行期限：</w:t>
      </w:r>
      <w:r>
        <w:rPr>
          <w:rFonts w:hint="eastAsia" w:ascii="宋体" w:hAnsi="宋体" w:cs="宋体"/>
          <w:color w:val="auto"/>
          <w:sz w:val="24"/>
          <w:szCs w:val="24"/>
          <w:highlight w:val="none"/>
          <w:lang w:val="zh-CN"/>
        </w:rPr>
        <w:t>服务期</w:t>
      </w:r>
      <w:r>
        <w:rPr>
          <w:rFonts w:ascii="宋体" w:hAnsi="宋体" w:cs="宋体"/>
          <w:color w:val="auto"/>
          <w:sz w:val="24"/>
          <w:szCs w:val="24"/>
          <w:highlight w:val="none"/>
        </w:rPr>
        <w:t>3</w:t>
      </w:r>
      <w:r>
        <w:rPr>
          <w:rFonts w:hint="eastAsia" w:ascii="宋体" w:hAnsi="宋体" w:cs="宋体"/>
          <w:color w:val="auto"/>
          <w:sz w:val="24"/>
          <w:szCs w:val="24"/>
          <w:highlight w:val="none"/>
          <w:lang w:val="zh-CN"/>
        </w:rPr>
        <w:t>年</w:t>
      </w:r>
    </w:p>
    <w:p w14:paraId="7FA83F53">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8.本项目不接收联合体响应。</w:t>
      </w:r>
    </w:p>
    <w:p w14:paraId="5662EE8D">
      <w:pPr>
        <w:pStyle w:val="239"/>
        <w:spacing w:before="0" w:after="0" w:line="360" w:lineRule="auto"/>
        <w:ind w:firstLine="422"/>
        <w:rPr>
          <w:rFonts w:ascii="宋体" w:hAnsi="宋体" w:cs="宋体"/>
          <w:bCs w:val="0"/>
          <w:color w:val="auto"/>
          <w:sz w:val="24"/>
          <w:szCs w:val="24"/>
          <w:highlight w:val="none"/>
        </w:rPr>
      </w:pPr>
      <w:r>
        <w:rPr>
          <w:rFonts w:hint="eastAsia" w:ascii="宋体" w:hAnsi="宋体" w:cs="宋体"/>
          <w:bCs w:val="0"/>
          <w:color w:val="auto"/>
          <w:sz w:val="24"/>
          <w:szCs w:val="24"/>
          <w:highlight w:val="none"/>
        </w:rPr>
        <w:t>二、申请人的资格要求：</w:t>
      </w:r>
      <w:bookmarkEnd w:id="5"/>
    </w:p>
    <w:p w14:paraId="0AB903A9">
      <w:pPr>
        <w:widowControl/>
        <w:spacing w:line="360" w:lineRule="auto"/>
        <w:ind w:firstLine="482"/>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（一）满足《中华人民共和国政府采购法》第二十二条规定：</w:t>
      </w:r>
    </w:p>
    <w:p w14:paraId="5832902C">
      <w:pPr>
        <w:widowControl/>
        <w:spacing w:line="360" w:lineRule="auto"/>
        <w:ind w:firstLine="482"/>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bookmarkStart w:id="7" w:name="OLE_LINK9"/>
      <w:r>
        <w:rPr>
          <w:rFonts w:hint="eastAsia" w:ascii="宋体" w:hAnsi="宋体" w:cs="宋体"/>
          <w:color w:val="auto"/>
          <w:sz w:val="24"/>
          <w:szCs w:val="24"/>
          <w:highlight w:val="none"/>
          <w:lang w:bidi="ar"/>
        </w:rPr>
        <w:t>具有独立承担民事责任的能力（提供法人或者其他组织的营业执照等证明文件；供应商为自然人的，提供其身份证）</w:t>
      </w:r>
      <w:bookmarkEnd w:id="7"/>
      <w:r>
        <w:rPr>
          <w:rFonts w:hint="eastAsia" w:ascii="宋体" w:hAnsi="宋体" w:cs="宋体"/>
          <w:color w:val="auto"/>
          <w:sz w:val="24"/>
          <w:szCs w:val="24"/>
          <w:highlight w:val="none"/>
          <w:lang w:bidi="ar"/>
        </w:rPr>
        <w:t>；</w:t>
      </w:r>
    </w:p>
    <w:p w14:paraId="2382E879">
      <w:pPr>
        <w:widowControl/>
        <w:spacing w:line="360" w:lineRule="auto"/>
        <w:ind w:firstLine="482"/>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(2）</w:t>
      </w:r>
      <w:bookmarkStart w:id="8" w:name="OLE_LINK10"/>
      <w:r>
        <w:rPr>
          <w:rFonts w:hint="eastAsia" w:ascii="宋体" w:hAnsi="宋体" w:cs="宋体"/>
          <w:color w:val="auto"/>
          <w:sz w:val="24"/>
          <w:szCs w:val="24"/>
          <w:highlight w:val="none"/>
          <w:lang w:bidi="ar"/>
        </w:rPr>
        <w:t>具有良好的商业信誉和健全的财务会计制度（提供 2025年度财务报告，至少包含资产负债表、利润表（或收入费用表），或投标截止时间前六个月内银行出具的资信证明；成立不满一年的无须提供）</w:t>
      </w:r>
      <w:bookmarkEnd w:id="8"/>
      <w:r>
        <w:rPr>
          <w:rFonts w:hint="eastAsia" w:ascii="宋体" w:hAnsi="宋体" w:cs="宋体"/>
          <w:color w:val="auto"/>
          <w:sz w:val="24"/>
          <w:szCs w:val="24"/>
          <w:highlight w:val="none"/>
          <w:lang w:bidi="ar"/>
        </w:rPr>
        <w:t>；</w:t>
      </w:r>
    </w:p>
    <w:p w14:paraId="5030CA74">
      <w:pPr>
        <w:widowControl/>
        <w:spacing w:line="360" w:lineRule="auto"/>
        <w:ind w:firstLine="482"/>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(3）</w:t>
      </w:r>
      <w:bookmarkStart w:id="9" w:name="OLE_LINK11"/>
      <w:r>
        <w:rPr>
          <w:rFonts w:hint="eastAsia" w:ascii="宋体" w:hAnsi="宋体" w:cs="宋体"/>
          <w:color w:val="auto"/>
          <w:sz w:val="24"/>
          <w:szCs w:val="24"/>
          <w:highlight w:val="none"/>
          <w:lang w:bidi="ar"/>
        </w:rPr>
        <w:t>具有履行合同所必需的设备和专业技术能力（供应商根据履行采购项目合同需要，提供履行合同所必需的设备和专业技术能力的声明函或证明材料）</w:t>
      </w:r>
      <w:bookmarkEnd w:id="9"/>
      <w:r>
        <w:rPr>
          <w:rFonts w:hint="eastAsia" w:ascii="宋体" w:hAnsi="宋体" w:cs="宋体"/>
          <w:color w:val="auto"/>
          <w:sz w:val="24"/>
          <w:szCs w:val="24"/>
          <w:highlight w:val="none"/>
          <w:lang w:bidi="ar"/>
        </w:rPr>
        <w:t>；</w:t>
      </w:r>
    </w:p>
    <w:p w14:paraId="09422116">
      <w:pPr>
        <w:widowControl/>
        <w:spacing w:line="360" w:lineRule="auto"/>
        <w:ind w:firstLine="482"/>
        <w:jc w:val="left"/>
        <w:rPr>
          <w:rFonts w:ascii="宋体" w:hAnsi="宋体" w:cs="宋体"/>
          <w:color w:val="auto"/>
          <w:sz w:val="24"/>
          <w:szCs w:val="24"/>
          <w:highlight w:val="none"/>
          <w:lang w:bidi="ar"/>
        </w:rPr>
      </w:pPr>
      <w:r>
        <w:rPr>
          <w:rFonts w:ascii="宋体" w:hAnsi="宋体" w:cs="宋体"/>
          <w:color w:val="auto"/>
          <w:sz w:val="24"/>
          <w:szCs w:val="24"/>
          <w:highlight w:val="none"/>
          <w:lang w:bidi="ar"/>
        </w:rPr>
        <w:t>(4）</w:t>
      </w:r>
      <w:bookmarkStart w:id="10" w:name="OLE_LINK12"/>
      <w:r>
        <w:rPr>
          <w:rFonts w:hint="eastAsia" w:ascii="宋体" w:hAnsi="宋体" w:cs="宋体"/>
          <w:color w:val="auto"/>
          <w:sz w:val="24"/>
          <w:szCs w:val="24"/>
          <w:highlight w:val="none"/>
          <w:lang w:bidi="ar"/>
        </w:rPr>
        <w:t>有依法缴纳税收和社会保障资金的良好记录（提供</w:t>
      </w:r>
      <w:r>
        <w:rPr>
          <w:rFonts w:ascii="宋体" w:hAnsi="宋体" w:cs="宋体"/>
          <w:color w:val="auto"/>
          <w:sz w:val="24"/>
          <w:szCs w:val="24"/>
          <w:highlight w:val="none"/>
          <w:lang w:bidi="ar"/>
        </w:rPr>
        <w:t>2026</w:t>
      </w:r>
      <w:r>
        <w:rPr>
          <w:rFonts w:hint="eastAsia" w:ascii="宋体" w:hAnsi="宋体" w:cs="宋体"/>
          <w:color w:val="auto"/>
          <w:sz w:val="24"/>
          <w:szCs w:val="24"/>
          <w:highlight w:val="none"/>
          <w:lang w:bidi="ar"/>
        </w:rPr>
        <w:t>年</w:t>
      </w:r>
      <w:r>
        <w:rPr>
          <w:rFonts w:ascii="宋体" w:hAnsi="宋体" w:cs="宋体"/>
          <w:color w:val="auto"/>
          <w:sz w:val="24"/>
          <w:szCs w:val="24"/>
          <w:highlight w:val="none"/>
          <w:lang w:bidi="ar"/>
        </w:rPr>
        <w:t>1</w:t>
      </w:r>
      <w:r>
        <w:rPr>
          <w:rFonts w:hint="eastAsia" w:ascii="宋体" w:hAnsi="宋体" w:cs="宋体"/>
          <w:color w:val="auto"/>
          <w:sz w:val="24"/>
          <w:szCs w:val="24"/>
          <w:highlight w:val="none"/>
          <w:lang w:bidi="ar"/>
        </w:rPr>
        <w:t>月至今）中任一月份的依法缴纳税收和社会保险费的相关材料（提供相关主管部门证明或银行代扣证明的复印件，根据国家相关政策免缴或迟缴的需提供相关证明材料）</w:t>
      </w:r>
      <w:bookmarkEnd w:id="10"/>
      <w:r>
        <w:rPr>
          <w:rFonts w:ascii="宋体" w:hAnsi="宋体" w:cs="宋体"/>
          <w:color w:val="auto"/>
          <w:sz w:val="24"/>
          <w:szCs w:val="24"/>
          <w:highlight w:val="none"/>
          <w:lang w:bidi="ar"/>
        </w:rPr>
        <w:t>;</w:t>
      </w:r>
    </w:p>
    <w:p w14:paraId="66675A20">
      <w:pPr>
        <w:widowControl/>
        <w:spacing w:line="360" w:lineRule="auto"/>
        <w:ind w:firstLine="482"/>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(5）</w:t>
      </w:r>
      <w:bookmarkStart w:id="11" w:name="OLE_LINK13"/>
      <w:r>
        <w:rPr>
          <w:rFonts w:hint="eastAsia" w:ascii="宋体" w:hAnsi="宋体" w:cs="宋体"/>
          <w:color w:val="auto"/>
          <w:sz w:val="24"/>
          <w:szCs w:val="24"/>
          <w:highlight w:val="none"/>
          <w:lang w:bidi="ar"/>
        </w:rPr>
        <w:t>参加政府采购活动前三年内，在经营活动中没有重大违法记录（提供承诺书）</w:t>
      </w:r>
      <w:bookmarkEnd w:id="11"/>
      <w:r>
        <w:rPr>
          <w:rFonts w:hint="eastAsia" w:ascii="宋体" w:hAnsi="宋体" w:cs="宋体"/>
          <w:color w:val="auto"/>
          <w:sz w:val="24"/>
          <w:szCs w:val="24"/>
          <w:highlight w:val="none"/>
          <w:lang w:bidi="ar"/>
        </w:rPr>
        <w:t>；</w:t>
      </w:r>
    </w:p>
    <w:p w14:paraId="72E35AAF">
      <w:pPr>
        <w:widowControl/>
        <w:spacing w:line="360" w:lineRule="auto"/>
        <w:ind w:firstLine="482"/>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(6）</w:t>
      </w:r>
      <w:bookmarkStart w:id="12" w:name="OLE_LINK14"/>
      <w:r>
        <w:rPr>
          <w:rFonts w:hint="eastAsia" w:ascii="宋体" w:hAnsi="宋体" w:cs="宋体"/>
          <w:color w:val="auto"/>
          <w:sz w:val="24"/>
          <w:szCs w:val="24"/>
          <w:highlight w:val="none"/>
          <w:lang w:bidi="ar"/>
        </w:rPr>
        <w:t>法律、行政法规规定的其他条件;</w:t>
      </w:r>
      <w:bookmarkEnd w:id="12"/>
    </w:p>
    <w:p w14:paraId="0CAECD9D">
      <w:pPr>
        <w:widowControl/>
        <w:spacing w:line="360" w:lineRule="auto"/>
        <w:ind w:firstLine="482"/>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(7)</w:t>
      </w:r>
      <w:bookmarkStart w:id="13" w:name="OLE_LINK15"/>
      <w:r>
        <w:rPr>
          <w:rFonts w:hint="eastAsia" w:ascii="宋体" w:hAnsi="宋体" w:cs="宋体"/>
          <w:color w:val="auto"/>
          <w:sz w:val="24"/>
          <w:szCs w:val="24"/>
          <w:highlight w:val="none"/>
          <w:lang w:bidi="ar"/>
        </w:rPr>
        <w:t>南京市政府采购供应商信用记录表暨信用承诺书。</w:t>
      </w:r>
      <w:bookmarkEnd w:id="13"/>
    </w:p>
    <w:p w14:paraId="6D949AFA">
      <w:pPr>
        <w:spacing w:line="360" w:lineRule="auto"/>
        <w:ind w:firstLine="420"/>
        <w:rPr>
          <w:rFonts w:ascii="宋体" w:hAnsi="宋体" w:cs="宋体"/>
          <w:bCs/>
          <w:iCs/>
          <w:color w:val="auto"/>
          <w:sz w:val="24"/>
          <w:szCs w:val="24"/>
          <w:highlight w:val="none"/>
        </w:rPr>
      </w:pPr>
      <w:r>
        <w:rPr>
          <w:rFonts w:hint="eastAsia" w:ascii="宋体" w:hAnsi="宋体" w:cs="宋体"/>
          <w:color w:val="auto"/>
          <w:sz w:val="24"/>
          <w:szCs w:val="24"/>
          <w:highlight w:val="none"/>
        </w:rPr>
        <w:t>（二）落实政府采购政策需满足的资格要求：</w:t>
      </w:r>
      <w:bookmarkStart w:id="14" w:name="OLE_LINK16"/>
      <w:bookmarkStart w:id="15" w:name="OLE_LINK3"/>
      <w:r>
        <w:rPr>
          <w:rFonts w:hint="eastAsia" w:ascii="宋体" w:hAnsi="宋体" w:cs="宋体"/>
          <w:color w:val="auto"/>
          <w:sz w:val="24"/>
          <w:szCs w:val="24"/>
          <w:highlight w:val="none"/>
        </w:rPr>
        <w:t>本项目为非预留份额的采购项目或采购包，执行价格扣除优惠政策，具体详见第五章评分标准</w:t>
      </w:r>
      <w:bookmarkEnd w:id="14"/>
      <w:bookmarkEnd w:id="15"/>
    </w:p>
    <w:p w14:paraId="78231472">
      <w:pPr>
        <w:widowControl/>
        <w:spacing w:line="360" w:lineRule="auto"/>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（三）本项目的特定资格要求：</w:t>
      </w:r>
    </w:p>
    <w:p w14:paraId="5F3F47F7">
      <w:pPr>
        <w:widowControl/>
        <w:spacing w:line="360" w:lineRule="auto"/>
        <w:ind w:firstLine="440"/>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bookmarkStart w:id="16" w:name="OLE_LINK17"/>
      <w:r>
        <w:rPr>
          <w:rFonts w:hint="eastAsia" w:ascii="宋体" w:hAnsi="宋体" w:cs="宋体"/>
          <w:color w:val="auto"/>
          <w:sz w:val="24"/>
          <w:szCs w:val="24"/>
          <w:highlight w:val="none"/>
          <w:lang w:bidi="ar"/>
        </w:rPr>
        <w:t>未被“信用中国”网站（www.creditchina.gov.cn）列入失信被执行人、重大税收违法案件当事人名单、政府采购严重失信行为记录名单。</w:t>
      </w:r>
      <w:bookmarkEnd w:id="16"/>
    </w:p>
    <w:p w14:paraId="477C6C75">
      <w:pPr>
        <w:widowControl/>
        <w:spacing w:line="360" w:lineRule="auto"/>
        <w:ind w:firstLine="440"/>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2.</w:t>
      </w:r>
      <w:bookmarkStart w:id="17" w:name="OLE_LINK18"/>
      <w:r>
        <w:rPr>
          <w:rFonts w:hint="eastAsia" w:ascii="宋体" w:hAnsi="宋体" w:cs="宋体"/>
          <w:color w:val="auto"/>
          <w:sz w:val="24"/>
          <w:szCs w:val="24"/>
          <w:highlight w:val="none"/>
          <w:lang w:bidi="ar"/>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bookmarkEnd w:id="17"/>
    </w:p>
    <w:p w14:paraId="441D3505">
      <w:pPr>
        <w:pStyle w:val="239"/>
        <w:spacing w:before="0" w:after="0" w:line="360" w:lineRule="auto"/>
        <w:ind w:firstLine="422"/>
        <w:rPr>
          <w:rFonts w:ascii="宋体" w:hAnsi="宋体" w:cs="宋体"/>
          <w:bCs w:val="0"/>
          <w:color w:val="auto"/>
          <w:sz w:val="24"/>
          <w:szCs w:val="24"/>
          <w:highlight w:val="none"/>
        </w:rPr>
      </w:pPr>
      <w:bookmarkStart w:id="18" w:name="_Toc109304965"/>
      <w:r>
        <w:rPr>
          <w:rFonts w:hint="eastAsia" w:ascii="宋体" w:hAnsi="宋体" w:cs="宋体"/>
          <w:bCs w:val="0"/>
          <w:color w:val="auto"/>
          <w:sz w:val="24"/>
          <w:szCs w:val="24"/>
          <w:highlight w:val="none"/>
        </w:rPr>
        <w:t>三、获取采购文件</w:t>
      </w:r>
      <w:bookmarkEnd w:id="18"/>
    </w:p>
    <w:p w14:paraId="076A3DF8">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1.时间：自磋商文件公告发布之日起5个工作日</w:t>
      </w:r>
    </w:p>
    <w:p w14:paraId="092C0791">
      <w:pPr>
        <w:spacing w:line="360" w:lineRule="auto"/>
        <w:ind w:firstLine="422"/>
        <w:rPr>
          <w:rFonts w:ascii="宋体" w:hAnsi="宋体" w:cs="宋体"/>
          <w:b/>
          <w:bCs/>
          <w:color w:val="auto"/>
          <w:sz w:val="24"/>
          <w:szCs w:val="24"/>
          <w:highlight w:val="none"/>
        </w:rPr>
      </w:pPr>
      <w:r>
        <w:rPr>
          <w:rFonts w:hint="eastAsia" w:ascii="宋体" w:hAnsi="宋体" w:cs="宋体"/>
          <w:b/>
          <w:bCs/>
          <w:color w:val="auto"/>
          <w:sz w:val="24"/>
          <w:szCs w:val="24"/>
          <w:highlight w:val="none"/>
        </w:rPr>
        <w:t>2.获取方式：本项目采用网上注册登记方式。</w:t>
      </w:r>
    </w:p>
    <w:p w14:paraId="096EA58C">
      <w:pPr>
        <w:spacing w:line="360" w:lineRule="auto"/>
        <w:ind w:firstLine="422"/>
        <w:rPr>
          <w:rFonts w:ascii="宋体" w:hAnsi="宋体" w:cs="宋体"/>
          <w:b/>
          <w:bCs/>
          <w:color w:val="auto"/>
          <w:sz w:val="24"/>
          <w:szCs w:val="24"/>
          <w:highlight w:val="none"/>
        </w:rPr>
      </w:pPr>
      <w:r>
        <w:rPr>
          <w:rFonts w:hint="eastAsia" w:ascii="宋体" w:hAnsi="宋体" w:cs="宋体"/>
          <w:b/>
          <w:bCs/>
          <w:color w:val="auto"/>
          <w:sz w:val="24"/>
          <w:szCs w:val="24"/>
          <w:highlight w:val="none"/>
        </w:rPr>
        <w:t>3.潜在供应商访问政府采购管理交易系统（苏采云）的网络地址和方法：</w:t>
      </w:r>
    </w:p>
    <w:p w14:paraId="284575A6">
      <w:pPr>
        <w:spacing w:line="360" w:lineRule="auto"/>
        <w:ind w:firstLine="422"/>
        <w:rPr>
          <w:rFonts w:ascii="宋体" w:hAnsi="宋体" w:cs="宋体"/>
          <w:b/>
          <w:bCs/>
          <w:color w:val="auto"/>
          <w:sz w:val="24"/>
          <w:szCs w:val="24"/>
          <w:highlight w:val="none"/>
        </w:rPr>
      </w:pPr>
      <w:bookmarkStart w:id="19" w:name="OLE_LINK1"/>
      <w:bookmarkStart w:id="20" w:name="_Toc109304966"/>
      <w:r>
        <w:rPr>
          <w:rFonts w:hint="eastAsia" w:ascii="宋体" w:hAnsi="宋体" w:cs="宋体"/>
          <w:b/>
          <w:bCs/>
          <w:color w:val="auto"/>
          <w:sz w:val="24"/>
          <w:szCs w:val="24"/>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p>
    <w:p w14:paraId="57DED50D">
      <w:pPr>
        <w:spacing w:line="360" w:lineRule="auto"/>
        <w:ind w:firstLine="422"/>
        <w:rPr>
          <w:rFonts w:ascii="宋体" w:hAnsi="宋体" w:cs="宋体"/>
          <w:b/>
          <w:bCs/>
          <w:color w:val="auto"/>
          <w:sz w:val="24"/>
          <w:szCs w:val="24"/>
          <w:highlight w:val="none"/>
        </w:rPr>
      </w:pPr>
      <w:r>
        <w:rPr>
          <w:rFonts w:hint="eastAsia" w:ascii="宋体" w:hAnsi="宋体" w:cs="宋体"/>
          <w:b/>
          <w:bCs/>
          <w:color w:val="auto"/>
          <w:sz w:val="24"/>
          <w:szCs w:val="24"/>
          <w:highlight w:val="none"/>
        </w:rPr>
        <w:t>（2）“CA数字证书”的获取：供应商需办理CA锁，“苏采云”系统目前仅支持“苏采云”系统下的政务CA，省内各地区办理的“苏采云”系统下的政务CA全省通用。</w:t>
      </w:r>
    </w:p>
    <w:p w14:paraId="65F8171A">
      <w:pPr>
        <w:spacing w:line="360" w:lineRule="auto"/>
        <w:ind w:firstLine="422"/>
        <w:rPr>
          <w:rFonts w:ascii="宋体" w:hAnsi="宋体" w:cs="宋体"/>
          <w:b/>
          <w:bCs/>
          <w:color w:val="auto"/>
          <w:sz w:val="24"/>
          <w:szCs w:val="24"/>
          <w:highlight w:val="none"/>
        </w:rPr>
      </w:pPr>
      <w:r>
        <w:rPr>
          <w:rFonts w:hint="eastAsia" w:ascii="宋体" w:hAnsi="宋体" w:cs="宋体"/>
          <w:b/>
          <w:bCs/>
          <w:color w:val="auto"/>
          <w:sz w:val="24"/>
          <w:szCs w:val="24"/>
          <w:highlight w:val="none"/>
        </w:rPr>
        <w:t>（3）“CA数字证书”的办理材料以及供应商操作手册详见：http://jsxcmm.com/help/gys.html。</w:t>
      </w:r>
    </w:p>
    <w:p w14:paraId="4F99CFC4">
      <w:pPr>
        <w:spacing w:line="360" w:lineRule="auto"/>
        <w:ind w:firstLine="422"/>
        <w:rPr>
          <w:rFonts w:ascii="宋体" w:hAnsi="宋体" w:cs="宋体"/>
          <w:b/>
          <w:bCs/>
          <w:color w:val="auto"/>
          <w:sz w:val="24"/>
          <w:szCs w:val="24"/>
          <w:highlight w:val="none"/>
        </w:rPr>
      </w:pPr>
      <w:r>
        <w:rPr>
          <w:rFonts w:hint="eastAsia" w:ascii="宋体" w:hAnsi="宋体" w:cs="宋体"/>
          <w:b/>
          <w:bCs/>
          <w:color w:val="auto"/>
          <w:sz w:val="24"/>
          <w:szCs w:val="24"/>
          <w:highlight w:val="none"/>
        </w:rPr>
        <w:t>（4）潜在供应商访问“苏采云”系统的网络地址和方法：“苏采云”系统的网址：http://jszfcg.jsczt.cn/jszc/login。</w:t>
      </w:r>
    </w:p>
    <w:p w14:paraId="57406421">
      <w:pPr>
        <w:spacing w:line="360" w:lineRule="auto"/>
        <w:ind w:firstLine="422"/>
        <w:rPr>
          <w:rFonts w:ascii="宋体" w:hAnsi="宋体" w:cs="宋体"/>
          <w:b/>
          <w:bCs/>
          <w:color w:val="auto"/>
          <w:sz w:val="24"/>
          <w:szCs w:val="24"/>
          <w:highlight w:val="none"/>
        </w:rPr>
      </w:pPr>
      <w:r>
        <w:rPr>
          <w:rFonts w:hint="eastAsia" w:ascii="宋体" w:hAnsi="宋体" w:cs="宋体"/>
          <w:b/>
          <w:bCs/>
          <w:color w:val="auto"/>
          <w:sz w:val="24"/>
          <w:szCs w:val="24"/>
          <w:highlight w:val="none"/>
        </w:rPr>
        <w:t>（5）采购文件（后缀名为“.kedt”）、供应商操作手册及政府采购客户端工具也可通过“苏采云”系统--已报名项目--报名详情页面内相应链接进行下载。</w:t>
      </w:r>
    </w:p>
    <w:p w14:paraId="5742FED9">
      <w:pPr>
        <w:spacing w:line="360" w:lineRule="auto"/>
        <w:ind w:firstLine="422"/>
        <w:rPr>
          <w:rFonts w:ascii="宋体" w:hAnsi="宋体" w:cs="宋体"/>
          <w:b/>
          <w:bCs/>
          <w:color w:val="auto"/>
          <w:sz w:val="24"/>
          <w:szCs w:val="24"/>
          <w:highlight w:val="none"/>
        </w:rPr>
      </w:pPr>
      <w:r>
        <w:rPr>
          <w:rFonts w:hint="eastAsia" w:ascii="宋体" w:hAnsi="宋体" w:cs="宋体"/>
          <w:b/>
          <w:bCs/>
          <w:color w:val="auto"/>
          <w:sz w:val="24"/>
          <w:szCs w:val="24"/>
          <w:highlight w:val="none"/>
        </w:rPr>
        <w:t>（6）采购代理机构将数据电文形式的采购文件加载至“苏采云”系统，供潜在供应商下载或者查阅。    </w:t>
      </w:r>
    </w:p>
    <w:p w14:paraId="3AE30AB7">
      <w:pPr>
        <w:spacing w:line="360" w:lineRule="auto"/>
        <w:ind w:firstLine="422"/>
        <w:rPr>
          <w:rFonts w:ascii="宋体" w:hAnsi="宋体" w:cs="宋体"/>
          <w:b/>
          <w:bCs/>
          <w:color w:val="auto"/>
          <w:sz w:val="24"/>
          <w:szCs w:val="24"/>
          <w:highlight w:val="none"/>
        </w:rPr>
      </w:pPr>
      <w:r>
        <w:rPr>
          <w:rFonts w:hint="eastAsia" w:ascii="宋体" w:hAnsi="宋体" w:cs="宋体"/>
          <w:b/>
          <w:bCs/>
          <w:color w:val="auto"/>
          <w:sz w:val="24"/>
          <w:szCs w:val="24"/>
          <w:highlight w:val="none"/>
        </w:rPr>
        <w:t>（7）苏采云系统使用谷歌浏览器参与不见面开标。</w:t>
      </w:r>
      <w:bookmarkEnd w:id="19"/>
    </w:p>
    <w:p w14:paraId="6E80E4A8">
      <w:pPr>
        <w:pStyle w:val="239"/>
        <w:spacing w:before="0" w:after="0" w:line="360" w:lineRule="auto"/>
        <w:ind w:firstLine="422"/>
        <w:rPr>
          <w:rFonts w:ascii="宋体" w:hAnsi="宋体" w:cs="宋体"/>
          <w:bCs w:val="0"/>
          <w:color w:val="auto"/>
          <w:sz w:val="24"/>
          <w:szCs w:val="24"/>
          <w:highlight w:val="none"/>
        </w:rPr>
      </w:pPr>
      <w:r>
        <w:rPr>
          <w:rFonts w:hint="eastAsia" w:ascii="宋体" w:hAnsi="宋体" w:cs="宋体"/>
          <w:bCs w:val="0"/>
          <w:color w:val="auto"/>
          <w:sz w:val="24"/>
          <w:szCs w:val="24"/>
          <w:highlight w:val="none"/>
        </w:rPr>
        <w:t>四、响应文件提交</w:t>
      </w:r>
      <w:bookmarkEnd w:id="20"/>
    </w:p>
    <w:p w14:paraId="54256AEC">
      <w:pPr>
        <w:spacing w:line="360" w:lineRule="auto"/>
        <w:ind w:firstLine="420"/>
        <w:rPr>
          <w:rFonts w:ascii="宋体" w:hAnsi="宋体" w:cs="宋体"/>
          <w:color w:val="auto"/>
          <w:sz w:val="24"/>
          <w:szCs w:val="24"/>
          <w:highlight w:val="none"/>
          <w:u w:val="single"/>
        </w:rPr>
      </w:pPr>
      <w:r>
        <w:rPr>
          <w:rFonts w:hint="eastAsia" w:ascii="宋体" w:hAnsi="宋体" w:cs="宋体"/>
          <w:color w:val="auto"/>
          <w:sz w:val="24"/>
          <w:szCs w:val="24"/>
          <w:highlight w:val="none"/>
        </w:rPr>
        <w:t>1.截止时间：</w:t>
      </w:r>
      <w:r>
        <w:rPr>
          <w:rFonts w:hint="eastAsia" w:ascii="宋体" w:hAnsi="宋体" w:cs="宋体"/>
          <w:bCs/>
          <w:color w:val="auto"/>
          <w:sz w:val="24"/>
          <w:szCs w:val="24"/>
          <w:highlight w:val="none"/>
          <w:u w:val="single"/>
        </w:rPr>
        <w:t>2026年</w:t>
      </w:r>
      <w:r>
        <w:rPr>
          <w:rFonts w:hint="eastAsia" w:ascii="宋体" w:hAnsi="宋体" w:cs="宋体"/>
          <w:bCs/>
          <w:color w:val="auto"/>
          <w:sz w:val="24"/>
          <w:szCs w:val="24"/>
          <w:highlight w:val="none"/>
          <w:u w:val="single"/>
          <w:lang w:val="en-US" w:eastAsia="zh-CN"/>
        </w:rPr>
        <w:t>7</w:t>
      </w:r>
      <w:r>
        <w:rPr>
          <w:rFonts w:hint="eastAsia" w:ascii="宋体" w:hAnsi="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15</w:t>
      </w:r>
      <w:r>
        <w:rPr>
          <w:rFonts w:hint="eastAsia" w:ascii="宋体" w:hAnsi="宋体" w:cs="宋体"/>
          <w:bCs/>
          <w:color w:val="auto"/>
          <w:sz w:val="24"/>
          <w:szCs w:val="24"/>
          <w:highlight w:val="none"/>
          <w:u w:val="single"/>
        </w:rPr>
        <w:t>日14点30分</w:t>
      </w:r>
      <w:r>
        <w:rPr>
          <w:rFonts w:hint="eastAsia" w:ascii="宋体" w:hAnsi="宋体" w:cs="宋体"/>
          <w:color w:val="auto"/>
          <w:sz w:val="24"/>
          <w:szCs w:val="24"/>
          <w:highlight w:val="none"/>
        </w:rPr>
        <w:t>（北京时间）</w:t>
      </w:r>
    </w:p>
    <w:p w14:paraId="74904AA4">
      <w:pPr>
        <w:spacing w:line="360" w:lineRule="auto"/>
        <w:ind w:firstLine="420"/>
        <w:rPr>
          <w:rFonts w:ascii="宋体" w:hAnsi="宋体" w:cs="宋体"/>
          <w:color w:val="auto"/>
          <w:sz w:val="24"/>
          <w:szCs w:val="24"/>
          <w:highlight w:val="none"/>
          <w:u w:val="single"/>
        </w:rPr>
      </w:pPr>
      <w:r>
        <w:rPr>
          <w:rFonts w:hint="eastAsia" w:ascii="宋体" w:hAnsi="宋体" w:cs="宋体"/>
          <w:color w:val="auto"/>
          <w:sz w:val="24"/>
          <w:szCs w:val="24"/>
          <w:highlight w:val="none"/>
        </w:rPr>
        <w:t>2.投标地点：“苏采云”系统（网址： http://jszfcg.jsczt.cn/）</w:t>
      </w:r>
    </w:p>
    <w:p w14:paraId="4F076E4D">
      <w:pPr>
        <w:pStyle w:val="239"/>
        <w:spacing w:before="0" w:after="0" w:line="360" w:lineRule="auto"/>
        <w:ind w:firstLine="422"/>
        <w:rPr>
          <w:rFonts w:ascii="宋体" w:hAnsi="宋体" w:cs="宋体"/>
          <w:bCs w:val="0"/>
          <w:color w:val="auto"/>
          <w:sz w:val="24"/>
          <w:szCs w:val="24"/>
          <w:highlight w:val="none"/>
        </w:rPr>
      </w:pPr>
      <w:bookmarkStart w:id="21" w:name="_Toc109304967"/>
      <w:r>
        <w:rPr>
          <w:rFonts w:hint="eastAsia" w:ascii="宋体" w:hAnsi="宋体" w:cs="宋体"/>
          <w:bCs w:val="0"/>
          <w:color w:val="auto"/>
          <w:sz w:val="24"/>
          <w:szCs w:val="24"/>
          <w:highlight w:val="none"/>
        </w:rPr>
        <w:t>五、开启</w:t>
      </w:r>
      <w:bookmarkEnd w:id="21"/>
    </w:p>
    <w:p w14:paraId="1F37E6B3">
      <w:pPr>
        <w:pStyle w:val="24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1.时间：</w:t>
      </w:r>
      <w:r>
        <w:rPr>
          <w:rFonts w:hint="eastAsia" w:ascii="宋体" w:hAnsi="宋体" w:cs="宋体"/>
          <w:bCs/>
          <w:color w:val="auto"/>
          <w:sz w:val="24"/>
          <w:szCs w:val="24"/>
          <w:highlight w:val="none"/>
          <w:u w:val="single"/>
        </w:rPr>
        <w:t>2026年</w:t>
      </w:r>
      <w:r>
        <w:rPr>
          <w:rFonts w:hint="eastAsia" w:ascii="宋体" w:hAnsi="宋体" w:cs="宋体"/>
          <w:bCs/>
          <w:color w:val="auto"/>
          <w:sz w:val="24"/>
          <w:szCs w:val="24"/>
          <w:highlight w:val="none"/>
          <w:u w:val="single"/>
          <w:lang w:val="en-US" w:eastAsia="zh-CN"/>
        </w:rPr>
        <w:t>7</w:t>
      </w:r>
      <w:r>
        <w:rPr>
          <w:rFonts w:hint="eastAsia" w:ascii="宋体" w:hAnsi="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15</w:t>
      </w:r>
      <w:r>
        <w:rPr>
          <w:rFonts w:hint="eastAsia" w:ascii="宋体" w:hAnsi="宋体" w:cs="宋体"/>
          <w:bCs/>
          <w:color w:val="auto"/>
          <w:sz w:val="24"/>
          <w:szCs w:val="24"/>
          <w:highlight w:val="none"/>
          <w:u w:val="single"/>
        </w:rPr>
        <w:t>日14点30分</w:t>
      </w:r>
      <w:r>
        <w:rPr>
          <w:rFonts w:hint="eastAsia" w:ascii="宋体" w:hAnsi="宋体" w:cs="宋体"/>
          <w:bCs/>
          <w:color w:val="auto"/>
          <w:sz w:val="24"/>
          <w:szCs w:val="24"/>
          <w:highlight w:val="none"/>
        </w:rPr>
        <w:t>（北京时间）</w:t>
      </w:r>
    </w:p>
    <w:p w14:paraId="4C8E6BFB">
      <w:pPr>
        <w:spacing w:line="360" w:lineRule="auto"/>
        <w:ind w:firstLine="420"/>
        <w:rPr>
          <w:rFonts w:ascii="宋体" w:hAnsi="宋体" w:cs="宋体"/>
          <w:bCs/>
          <w:color w:val="auto"/>
          <w:sz w:val="24"/>
          <w:szCs w:val="24"/>
          <w:highlight w:val="none"/>
        </w:rPr>
      </w:pPr>
      <w:r>
        <w:rPr>
          <w:rFonts w:hint="eastAsia" w:ascii="宋体" w:hAnsi="宋体" w:cs="宋体"/>
          <w:bCs/>
          <w:color w:val="auto"/>
          <w:sz w:val="24"/>
          <w:szCs w:val="24"/>
          <w:highlight w:val="none"/>
        </w:rPr>
        <w:t>2.开标地点：“苏采云”系统（网址： http://jszfcg.jsczt.cn/）</w:t>
      </w:r>
    </w:p>
    <w:p w14:paraId="475D3A48">
      <w:pPr>
        <w:pStyle w:val="239"/>
        <w:spacing w:before="0" w:after="0" w:line="360" w:lineRule="auto"/>
        <w:ind w:firstLine="422"/>
        <w:rPr>
          <w:rFonts w:ascii="宋体" w:hAnsi="宋体" w:cs="宋体"/>
          <w:bCs w:val="0"/>
          <w:color w:val="auto"/>
          <w:sz w:val="24"/>
          <w:szCs w:val="24"/>
          <w:highlight w:val="none"/>
        </w:rPr>
      </w:pPr>
      <w:bookmarkStart w:id="22" w:name="_Toc109304968"/>
      <w:r>
        <w:rPr>
          <w:rFonts w:hint="eastAsia" w:ascii="宋体" w:hAnsi="宋体" w:cs="宋体"/>
          <w:bCs w:val="0"/>
          <w:color w:val="auto"/>
          <w:sz w:val="24"/>
          <w:szCs w:val="24"/>
          <w:highlight w:val="none"/>
        </w:rPr>
        <w:t>六、公告期限</w:t>
      </w:r>
      <w:bookmarkEnd w:id="22"/>
    </w:p>
    <w:p w14:paraId="04DC75F4">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自本公告发布之日起3个工作日。</w:t>
      </w:r>
    </w:p>
    <w:p w14:paraId="13DD101F">
      <w:pPr>
        <w:pStyle w:val="239"/>
        <w:spacing w:before="0" w:after="0" w:line="360" w:lineRule="auto"/>
        <w:ind w:firstLine="422"/>
        <w:rPr>
          <w:rFonts w:ascii="宋体" w:hAnsi="宋体" w:cs="宋体"/>
          <w:color w:val="auto"/>
          <w:sz w:val="24"/>
          <w:szCs w:val="24"/>
          <w:highlight w:val="none"/>
        </w:rPr>
      </w:pPr>
      <w:bookmarkStart w:id="23" w:name="_Toc109304971"/>
      <w:r>
        <w:rPr>
          <w:rFonts w:hint="eastAsia" w:ascii="宋体" w:hAnsi="宋体" w:cs="宋体"/>
          <w:color w:val="auto"/>
          <w:sz w:val="24"/>
          <w:szCs w:val="24"/>
          <w:highlight w:val="none"/>
        </w:rPr>
        <w:t>七、其他</w:t>
      </w:r>
      <w:bookmarkEnd w:id="23"/>
      <w:r>
        <w:rPr>
          <w:rFonts w:hint="eastAsia" w:ascii="宋体" w:hAnsi="宋体" w:cs="宋体"/>
          <w:color w:val="auto"/>
          <w:sz w:val="24"/>
          <w:szCs w:val="24"/>
          <w:highlight w:val="none"/>
        </w:rPr>
        <w:t>补充事宜</w:t>
      </w:r>
    </w:p>
    <w:p w14:paraId="371CA03F">
      <w:pPr>
        <w:pBdr>
          <w:top w:val="none" w:color="000000" w:sz="0" w:space="0"/>
          <w:left w:val="none" w:color="000000" w:sz="0" w:space="0"/>
          <w:bottom w:val="none" w:color="000000" w:sz="0" w:space="0"/>
          <w:right w:val="none" w:color="000000" w:sz="0" w:space="0"/>
        </w:pBdr>
        <w:spacing w:line="85" w:lineRule="atLeast"/>
        <w:ind w:firstLine="422"/>
        <w:rPr>
          <w:rFonts w:ascii="宋体" w:hAnsi="宋体" w:cs="宋体"/>
          <w:color w:val="auto"/>
          <w:sz w:val="24"/>
          <w:szCs w:val="24"/>
          <w:highlight w:val="none"/>
        </w:rPr>
      </w:pPr>
      <w:r>
        <w:rPr>
          <w:rFonts w:hint="eastAsia" w:ascii="宋体" w:hAnsi="宋体" w:cs="宋体"/>
          <w:color w:val="auto"/>
          <w:sz w:val="24"/>
          <w:szCs w:val="24"/>
          <w:highlight w:val="none"/>
        </w:rPr>
        <w:t>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206CD9D8">
      <w:pPr>
        <w:pBdr>
          <w:top w:val="none" w:color="000000" w:sz="0" w:space="0"/>
          <w:left w:val="none" w:color="000000" w:sz="0" w:space="0"/>
          <w:bottom w:val="none" w:color="000000" w:sz="0" w:space="0"/>
          <w:right w:val="none" w:color="000000" w:sz="0" w:space="0"/>
        </w:pBdr>
        <w:spacing w:line="85" w:lineRule="atLeast"/>
        <w:ind w:firstLine="422"/>
        <w:rPr>
          <w:rFonts w:ascii="宋体" w:hAnsi="宋体" w:cs="宋体"/>
          <w:color w:val="auto"/>
          <w:sz w:val="24"/>
          <w:szCs w:val="24"/>
          <w:highlight w:val="none"/>
        </w:rPr>
      </w:pPr>
      <w:r>
        <w:rPr>
          <w:rFonts w:hint="eastAsia" w:ascii="宋体" w:hAnsi="宋体" w:cs="宋体"/>
          <w:color w:val="auto"/>
          <w:sz w:val="24"/>
          <w:szCs w:val="24"/>
          <w:highlight w:val="none"/>
        </w:rPr>
        <w:t>2.供应商如确定参加磋商，可自行下载采购文件及有关资料，按照《操作手册》进行注册，领取CA和办理电子签章，并按《操作手册》要求制作、上传电子响应文件。</w:t>
      </w:r>
    </w:p>
    <w:p w14:paraId="302C36AF">
      <w:pPr>
        <w:pBdr>
          <w:top w:val="none" w:color="000000" w:sz="0" w:space="0"/>
          <w:left w:val="none" w:color="000000" w:sz="0" w:space="0"/>
          <w:bottom w:val="none" w:color="000000" w:sz="0" w:space="0"/>
          <w:right w:val="none" w:color="000000" w:sz="0" w:space="0"/>
        </w:pBdr>
        <w:spacing w:line="85" w:lineRule="atLeast"/>
        <w:ind w:firstLine="422"/>
        <w:rPr>
          <w:rFonts w:ascii="宋体" w:hAnsi="宋体" w:cs="宋体"/>
          <w:color w:val="auto"/>
          <w:sz w:val="24"/>
          <w:szCs w:val="24"/>
          <w:highlight w:val="none"/>
        </w:rPr>
      </w:pPr>
      <w:r>
        <w:rPr>
          <w:rFonts w:hint="eastAsia" w:ascii="宋体" w:hAnsi="宋体" w:cs="宋体"/>
          <w:color w:val="auto"/>
          <w:sz w:val="24"/>
          <w:szCs w:val="24"/>
          <w:highlight w:val="none"/>
        </w:rPr>
        <w:t>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1801FFE6">
      <w:pPr>
        <w:pBdr>
          <w:top w:val="none" w:color="000000" w:sz="0" w:space="0"/>
          <w:left w:val="none" w:color="000000" w:sz="0" w:space="0"/>
          <w:bottom w:val="none" w:color="000000" w:sz="0" w:space="0"/>
          <w:right w:val="none" w:color="000000" w:sz="0" w:space="0"/>
        </w:pBdr>
        <w:spacing w:line="85" w:lineRule="atLeast"/>
        <w:ind w:firstLine="422"/>
        <w:rPr>
          <w:rFonts w:ascii="宋体" w:hAnsi="宋体" w:cs="宋体"/>
          <w:color w:val="auto"/>
          <w:sz w:val="24"/>
          <w:szCs w:val="24"/>
          <w:highlight w:val="none"/>
        </w:rPr>
      </w:pPr>
      <w:r>
        <w:rPr>
          <w:rFonts w:hint="eastAsia" w:ascii="宋体" w:hAnsi="宋体" w:cs="宋体"/>
          <w:color w:val="auto"/>
          <w:sz w:val="24"/>
          <w:szCs w:val="24"/>
          <w:highlight w:val="none"/>
        </w:rPr>
        <w:t>4.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68CF6405">
      <w:pPr>
        <w:pBdr>
          <w:top w:val="none" w:color="000000" w:sz="0" w:space="0"/>
          <w:left w:val="none" w:color="000000" w:sz="0" w:space="0"/>
          <w:bottom w:val="none" w:color="000000" w:sz="0" w:space="0"/>
          <w:right w:val="none" w:color="000000" w:sz="0" w:space="0"/>
        </w:pBdr>
        <w:spacing w:line="85" w:lineRule="atLeast"/>
        <w:ind w:firstLine="422"/>
        <w:rPr>
          <w:rFonts w:ascii="宋体" w:hAnsi="宋体" w:cs="宋体"/>
          <w:color w:val="auto"/>
          <w:sz w:val="24"/>
          <w:szCs w:val="24"/>
          <w:highlight w:val="none"/>
        </w:rPr>
      </w:pPr>
      <w:r>
        <w:rPr>
          <w:rFonts w:hint="eastAsia" w:ascii="宋体" w:hAnsi="宋体" w:cs="宋体"/>
          <w:color w:val="auto"/>
          <w:sz w:val="24"/>
          <w:szCs w:val="24"/>
          <w:highlight w:val="none"/>
        </w:rPr>
        <w:t>5.供应商对于投标产品的包装应按照“财办库〔2020〕123号《关于印发《商品包装政府采购需求标准（试行）》、《快递包装政府采购需求标准（试行）》的通知》”执行。</w:t>
      </w:r>
    </w:p>
    <w:p w14:paraId="5DDFAB92">
      <w:pPr>
        <w:pBdr>
          <w:top w:val="none" w:color="000000" w:sz="0" w:space="0"/>
          <w:left w:val="none" w:color="000000" w:sz="0" w:space="0"/>
          <w:bottom w:val="none" w:color="000000" w:sz="0" w:space="0"/>
          <w:right w:val="none" w:color="000000" w:sz="0" w:space="0"/>
        </w:pBdr>
        <w:spacing w:line="85" w:lineRule="atLeast"/>
        <w:ind w:firstLine="422"/>
        <w:rPr>
          <w:rFonts w:ascii="宋体" w:hAnsi="宋体" w:cs="宋体"/>
          <w:color w:val="auto"/>
          <w:sz w:val="24"/>
          <w:szCs w:val="24"/>
          <w:highlight w:val="none"/>
        </w:rPr>
      </w:pPr>
      <w:r>
        <w:rPr>
          <w:rFonts w:hint="eastAsia" w:ascii="宋体" w:hAnsi="宋体" w:cs="宋体"/>
          <w:color w:val="auto"/>
          <w:sz w:val="24"/>
          <w:szCs w:val="24"/>
          <w:highlight w:val="none"/>
        </w:rPr>
        <w:t>6.落实政府采购《绿色建筑和绿色建材政府采购需求标准》（财库〔2022〕35号文）和《政府采购支持绿色建材促进建筑品质提升政策项目实施指南》（财办库〔2023〕52号）文件标准。</w:t>
      </w:r>
    </w:p>
    <w:p w14:paraId="4314D968">
      <w:pPr>
        <w:pBdr>
          <w:top w:val="none" w:color="000000" w:sz="0" w:space="0"/>
          <w:left w:val="none" w:color="000000" w:sz="0" w:space="0"/>
          <w:bottom w:val="none" w:color="000000" w:sz="0" w:space="0"/>
          <w:right w:val="none" w:color="000000" w:sz="0" w:space="0"/>
        </w:pBdr>
        <w:spacing w:line="85" w:lineRule="atLeast"/>
        <w:ind w:firstLine="422"/>
        <w:rPr>
          <w:rFonts w:ascii="宋体" w:hAnsi="宋体" w:cs="宋体"/>
          <w:color w:val="auto"/>
          <w:sz w:val="24"/>
          <w:szCs w:val="24"/>
          <w:highlight w:val="none"/>
        </w:rPr>
      </w:pPr>
      <w:r>
        <w:rPr>
          <w:rFonts w:hint="eastAsia" w:ascii="宋体" w:hAnsi="宋体" w:cs="宋体"/>
          <w:color w:val="auto"/>
          <w:sz w:val="24"/>
          <w:szCs w:val="24"/>
          <w:highlight w:val="none"/>
        </w:rPr>
        <w:t>7.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37ACD3A">
      <w:pPr>
        <w:pBdr>
          <w:top w:val="none" w:color="000000" w:sz="0" w:space="0"/>
          <w:left w:val="none" w:color="000000" w:sz="0" w:space="0"/>
          <w:bottom w:val="none" w:color="000000" w:sz="0" w:space="0"/>
          <w:right w:val="none" w:color="000000" w:sz="0" w:space="0"/>
        </w:pBdr>
        <w:spacing w:line="85" w:lineRule="atLeast"/>
        <w:ind w:firstLine="422"/>
        <w:rPr>
          <w:rFonts w:ascii="宋体" w:hAnsi="宋体" w:cs="宋体"/>
          <w:color w:val="auto"/>
          <w:sz w:val="24"/>
          <w:szCs w:val="24"/>
          <w:highlight w:val="none"/>
        </w:rPr>
      </w:pPr>
      <w:r>
        <w:rPr>
          <w:rFonts w:hint="eastAsia" w:ascii="宋体" w:hAnsi="宋体" w:cs="宋体"/>
          <w:color w:val="auto"/>
          <w:sz w:val="24"/>
          <w:szCs w:val="24"/>
          <w:highlight w:val="none"/>
        </w:rPr>
        <w:t>8.本次采购不收取保证金。</w:t>
      </w:r>
    </w:p>
    <w:p w14:paraId="3E03286C">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auto"/>
          <w:sz w:val="24"/>
          <w:szCs w:val="24"/>
          <w:highlight w:val="none"/>
        </w:rPr>
      </w:pPr>
      <w:r>
        <w:rPr>
          <w:rFonts w:hint="eastAsia" w:ascii="宋体" w:hAnsi="宋体" w:cs="宋体"/>
          <w:color w:val="auto"/>
          <w:sz w:val="24"/>
          <w:szCs w:val="24"/>
          <w:highlight w:val="none"/>
        </w:rPr>
        <w:t>9.拒绝下述供应商参加本次采购活动：</w:t>
      </w:r>
    </w:p>
    <w:p w14:paraId="3CDE27D4">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auto"/>
          <w:sz w:val="24"/>
          <w:szCs w:val="24"/>
          <w:highlight w:val="none"/>
        </w:rPr>
      </w:pPr>
      <w:r>
        <w:rPr>
          <w:rFonts w:hint="eastAsia" w:ascii="宋体" w:hAnsi="宋体" w:cs="宋体"/>
          <w:color w:val="auto"/>
          <w:sz w:val="24"/>
          <w:szCs w:val="24"/>
          <w:highlight w:val="none"/>
        </w:rPr>
        <w:t>（1）供应商单位负责人为同一人或者存在直接控股、管理关系的不同供应商，不得参加同一合同项下的政府采购活动；</w:t>
      </w:r>
    </w:p>
    <w:p w14:paraId="69B86ECA">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auto"/>
          <w:sz w:val="24"/>
          <w:szCs w:val="24"/>
          <w:highlight w:val="none"/>
        </w:rPr>
      </w:pPr>
      <w:r>
        <w:rPr>
          <w:rFonts w:hint="eastAsia" w:ascii="宋体" w:hAnsi="宋体" w:cs="宋体"/>
          <w:color w:val="auto"/>
          <w:sz w:val="24"/>
          <w:szCs w:val="24"/>
          <w:highlight w:val="none"/>
        </w:rPr>
        <w:t>（2）为采购项目提供整体设计、规范编制或者项目管理、监理、检测等服务的供应商，不得参加本项目的采购活动；</w:t>
      </w:r>
    </w:p>
    <w:p w14:paraId="160F41C1">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auto"/>
          <w:sz w:val="24"/>
          <w:szCs w:val="24"/>
          <w:highlight w:val="none"/>
        </w:rPr>
      </w:pPr>
      <w:r>
        <w:rPr>
          <w:rFonts w:hint="eastAsia" w:ascii="宋体" w:hAnsi="宋体" w:cs="宋体"/>
          <w:color w:val="auto"/>
          <w:sz w:val="24"/>
          <w:szCs w:val="24"/>
          <w:highlight w:val="none"/>
        </w:rPr>
        <w:t>10.现场考察、答疑时间：采购人不统一组织，有需要的供应商自行考察；</w:t>
      </w:r>
    </w:p>
    <w:p w14:paraId="0981C81A">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auto"/>
          <w:sz w:val="24"/>
          <w:szCs w:val="24"/>
          <w:highlight w:val="none"/>
        </w:rPr>
      </w:pPr>
      <w:r>
        <w:rPr>
          <w:rFonts w:hint="eastAsia" w:ascii="宋体" w:hAnsi="宋体" w:cs="宋体"/>
          <w:color w:val="auto"/>
          <w:sz w:val="24"/>
          <w:szCs w:val="24"/>
          <w:highlight w:val="none"/>
        </w:rPr>
        <w:t>11.根据《关于在政府采购活动中推行信用承诺制的通知》宁财购通〔2021〕5号规定，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要求完成注册），然后在“信用记录”模块页面点击“信用记录打印”下载本单位《南京市政府采购供应商信用记录表暨信用承诺书》，由法人签字并盖单位公章，提交在响应文件中。</w:t>
      </w:r>
    </w:p>
    <w:p w14:paraId="337C5B70">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auto"/>
          <w:sz w:val="24"/>
          <w:szCs w:val="24"/>
          <w:highlight w:val="none"/>
        </w:rPr>
      </w:pPr>
      <w:r>
        <w:rPr>
          <w:rFonts w:hint="eastAsia" w:ascii="宋体" w:hAnsi="宋体" w:cs="宋体"/>
          <w:color w:val="auto"/>
          <w:sz w:val="24"/>
          <w:szCs w:val="24"/>
          <w:highlight w:val="none"/>
        </w:rPr>
        <w:t>在政府采购资格审查环节，供应商只需提供书面《南京市政府采购供应商信用记录表暨信用承诺书》，即可替代以下证明材料： </w:t>
      </w:r>
    </w:p>
    <w:p w14:paraId="04E2AE7A">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auto"/>
          <w:sz w:val="24"/>
          <w:szCs w:val="24"/>
          <w:highlight w:val="none"/>
        </w:rPr>
      </w:pPr>
      <w:r>
        <w:rPr>
          <w:rFonts w:hint="eastAsia" w:ascii="宋体" w:hAnsi="宋体" w:cs="宋体"/>
          <w:color w:val="auto"/>
          <w:sz w:val="24"/>
          <w:szCs w:val="24"/>
          <w:highlight w:val="none"/>
        </w:rPr>
        <w:t>（1）符合国家相关规定的财务状况报告； </w:t>
      </w:r>
    </w:p>
    <w:p w14:paraId="01A78DBC">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auto"/>
          <w:sz w:val="24"/>
          <w:szCs w:val="24"/>
          <w:highlight w:val="none"/>
        </w:rPr>
      </w:pPr>
      <w:r>
        <w:rPr>
          <w:rFonts w:hint="eastAsia" w:ascii="宋体" w:hAnsi="宋体" w:cs="宋体"/>
          <w:color w:val="auto"/>
          <w:sz w:val="24"/>
          <w:szCs w:val="24"/>
          <w:highlight w:val="none"/>
        </w:rPr>
        <w:t>（2）依法缴纳税收的证明材料； </w:t>
      </w:r>
    </w:p>
    <w:p w14:paraId="6D6BA373">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auto"/>
          <w:sz w:val="24"/>
          <w:szCs w:val="24"/>
          <w:highlight w:val="none"/>
        </w:rPr>
      </w:pPr>
      <w:r>
        <w:rPr>
          <w:rFonts w:hint="eastAsia" w:ascii="宋体" w:hAnsi="宋体" w:cs="宋体"/>
          <w:color w:val="auto"/>
          <w:sz w:val="24"/>
          <w:szCs w:val="24"/>
          <w:highlight w:val="none"/>
        </w:rPr>
        <w:t>（3）依法缴纳社会保障资金的证明材料； </w:t>
      </w:r>
    </w:p>
    <w:p w14:paraId="7EC6675E">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auto"/>
          <w:sz w:val="24"/>
          <w:szCs w:val="24"/>
          <w:highlight w:val="none"/>
        </w:rPr>
      </w:pPr>
      <w:r>
        <w:rPr>
          <w:rFonts w:hint="eastAsia" w:ascii="宋体" w:hAnsi="宋体" w:cs="宋体"/>
          <w:color w:val="auto"/>
          <w:sz w:val="24"/>
          <w:szCs w:val="24"/>
          <w:highlight w:val="none"/>
        </w:rPr>
        <w:t>（4）具备履行政府采购合同所必需的设备和专业技术能力的证明材料； </w:t>
      </w:r>
    </w:p>
    <w:p w14:paraId="38B0BF3B">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auto"/>
          <w:sz w:val="24"/>
          <w:szCs w:val="24"/>
          <w:highlight w:val="none"/>
        </w:rPr>
      </w:pPr>
      <w:r>
        <w:rPr>
          <w:rFonts w:hint="eastAsia" w:ascii="宋体" w:hAnsi="宋体" w:cs="宋体"/>
          <w:color w:val="auto"/>
          <w:sz w:val="24"/>
          <w:szCs w:val="24"/>
          <w:highlight w:val="none"/>
        </w:rPr>
        <w:t>（5）参加政府采购活动前三年内在经营活动中没有重大违法记录的证明材料； </w:t>
      </w:r>
    </w:p>
    <w:p w14:paraId="7EFD166A">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auto"/>
          <w:sz w:val="24"/>
          <w:szCs w:val="24"/>
          <w:highlight w:val="none"/>
        </w:rPr>
      </w:pPr>
      <w:r>
        <w:rPr>
          <w:rFonts w:hint="eastAsia" w:ascii="宋体" w:hAnsi="宋体" w:cs="宋体"/>
          <w:color w:val="auto"/>
          <w:sz w:val="24"/>
          <w:szCs w:val="24"/>
          <w:highlight w:val="none"/>
        </w:rPr>
        <w:t>（6）未被列入失信被执行人、重大税收违法失信主体、政府采购严重违法失信行为记录名单的证明材料。 </w:t>
      </w:r>
    </w:p>
    <w:p w14:paraId="75DD2FAD">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auto"/>
          <w:sz w:val="24"/>
          <w:szCs w:val="24"/>
          <w:highlight w:val="none"/>
        </w:rPr>
      </w:pPr>
      <w:r>
        <w:rPr>
          <w:rFonts w:hint="eastAsia" w:ascii="宋体" w:hAnsi="宋体" w:cs="宋体"/>
          <w:color w:val="auto"/>
          <w:sz w:val="24"/>
          <w:szCs w:val="24"/>
          <w:highlight w:val="none"/>
        </w:rPr>
        <w:t>供应商在中标（成交）后，应按采购文件要求，将上述由信用承诺书替代的证明材料提交采购人或采购代理机构核验。经核验无误后，由采购人或采购代理机构发出中标（成交）通知书。 </w:t>
      </w:r>
    </w:p>
    <w:p w14:paraId="6B93B754">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auto"/>
          <w:sz w:val="24"/>
          <w:szCs w:val="24"/>
          <w:highlight w:val="none"/>
        </w:rPr>
      </w:pPr>
      <w:r>
        <w:rPr>
          <w:rFonts w:hint="eastAsia" w:ascii="宋体" w:hAnsi="宋体" w:cs="宋体"/>
          <w:color w:val="auto"/>
          <w:sz w:val="24"/>
          <w:szCs w:val="24"/>
          <w:highlight w:val="none"/>
        </w:rPr>
        <w:t>供应商涉及以下情形的，不适用信用承诺： </w:t>
      </w:r>
    </w:p>
    <w:p w14:paraId="5A28F627">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auto"/>
          <w:sz w:val="24"/>
          <w:szCs w:val="24"/>
          <w:highlight w:val="none"/>
        </w:rPr>
      </w:pPr>
      <w:r>
        <w:rPr>
          <w:rFonts w:hint="eastAsia" w:ascii="宋体" w:hAnsi="宋体" w:cs="宋体"/>
          <w:color w:val="auto"/>
          <w:sz w:val="24"/>
          <w:szCs w:val="24"/>
          <w:highlight w:val="none"/>
        </w:rPr>
        <w:t>（1）供应商被列入严重失信主体名单； </w:t>
      </w:r>
    </w:p>
    <w:p w14:paraId="2F30A59C">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auto"/>
          <w:sz w:val="24"/>
          <w:szCs w:val="24"/>
          <w:highlight w:val="none"/>
        </w:rPr>
      </w:pPr>
      <w:r>
        <w:rPr>
          <w:rFonts w:hint="eastAsia" w:ascii="宋体" w:hAnsi="宋体" w:cs="宋体"/>
          <w:color w:val="auto"/>
          <w:sz w:val="24"/>
          <w:szCs w:val="24"/>
          <w:highlight w:val="none"/>
        </w:rPr>
        <w:t>（2）被相关监管部门作出行政处罚且尚在处罚有效期内； </w:t>
      </w:r>
    </w:p>
    <w:p w14:paraId="06D3726A">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auto"/>
          <w:sz w:val="24"/>
          <w:szCs w:val="24"/>
          <w:highlight w:val="none"/>
        </w:rPr>
      </w:pPr>
      <w:r>
        <w:rPr>
          <w:rFonts w:hint="eastAsia" w:ascii="宋体" w:hAnsi="宋体" w:cs="宋体"/>
          <w:color w:val="auto"/>
          <w:sz w:val="24"/>
          <w:szCs w:val="24"/>
          <w:highlight w:val="none"/>
        </w:rPr>
        <w:t>（3）其他法律、行政法规规定的不适用信用承诺的情形。 </w:t>
      </w:r>
    </w:p>
    <w:p w14:paraId="0DA0B81D">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auto"/>
          <w:sz w:val="24"/>
          <w:szCs w:val="24"/>
          <w:highlight w:val="none"/>
        </w:rPr>
      </w:pPr>
      <w:r>
        <w:rPr>
          <w:rFonts w:hint="eastAsia" w:ascii="宋体" w:hAnsi="宋体" w:cs="宋体"/>
          <w:color w:val="auto"/>
          <w:sz w:val="24"/>
          <w:szCs w:val="24"/>
          <w:highlight w:val="none"/>
        </w:rPr>
        <w:t>供应商对信用承诺内容的真实性、合法性、有效性负责。如作出虚假信用承诺，视同为“提供虚假材料谋取中标、成交”的违法行为。</w:t>
      </w:r>
    </w:p>
    <w:p w14:paraId="78E55F52">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auto"/>
          <w:sz w:val="24"/>
          <w:szCs w:val="24"/>
          <w:highlight w:val="none"/>
        </w:rPr>
      </w:pPr>
      <w:r>
        <w:rPr>
          <w:rFonts w:hint="eastAsia" w:ascii="宋体" w:hAnsi="宋体" w:cs="宋体"/>
          <w:color w:val="auto"/>
          <w:sz w:val="24"/>
          <w:szCs w:val="24"/>
          <w:highlight w:val="none"/>
        </w:rPr>
        <w:t>12.有关本次采购的事项若存在变动或修改，敬请及时关注“江苏政府采购网”发布的信息。</w:t>
      </w:r>
    </w:p>
    <w:p w14:paraId="4A02D203">
      <w:pPr>
        <w:pStyle w:val="239"/>
        <w:spacing w:before="0" w:after="0" w:line="360" w:lineRule="auto"/>
        <w:ind w:firstLine="422"/>
        <w:rPr>
          <w:rFonts w:ascii="宋体" w:hAnsi="宋体" w:cs="宋体"/>
          <w:color w:val="auto"/>
          <w:sz w:val="24"/>
          <w:szCs w:val="24"/>
          <w:highlight w:val="none"/>
        </w:rPr>
      </w:pPr>
      <w:bookmarkStart w:id="24" w:name="_Toc109304969"/>
      <w:r>
        <w:rPr>
          <w:rFonts w:hint="eastAsia" w:ascii="宋体" w:hAnsi="宋体" w:cs="宋体"/>
          <w:color w:val="auto"/>
          <w:sz w:val="24"/>
          <w:szCs w:val="24"/>
          <w:highlight w:val="none"/>
        </w:rPr>
        <w:t>八、</w:t>
      </w:r>
      <w:bookmarkEnd w:id="24"/>
      <w:r>
        <w:rPr>
          <w:rFonts w:hint="eastAsia" w:ascii="宋体" w:hAnsi="宋体" w:cs="宋体"/>
          <w:color w:val="auto"/>
          <w:sz w:val="24"/>
          <w:szCs w:val="24"/>
          <w:highlight w:val="none"/>
        </w:rPr>
        <w:t>对本次采购提出询问，请按以下方式联系</w:t>
      </w:r>
    </w:p>
    <w:p w14:paraId="3BBAE8D6">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1.采购人信息</w:t>
      </w:r>
    </w:p>
    <w:p w14:paraId="5FC36DC4">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采购人：南京市规划和自然资源局</w:t>
      </w:r>
    </w:p>
    <w:p w14:paraId="390F5944">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采购人地址：南京市中山路171号</w:t>
      </w:r>
    </w:p>
    <w:p w14:paraId="0C1455A5">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联系方式：025-89690907</w:t>
      </w:r>
    </w:p>
    <w:p w14:paraId="4E6C2F9E">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联系人： 王工</w:t>
      </w:r>
    </w:p>
    <w:p w14:paraId="103EFF4D">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2.采购代理机构信息</w:t>
      </w:r>
    </w:p>
    <w:p w14:paraId="25F9CD5C">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名    称：江苏弘业国际技术工程有限公司</w:t>
      </w:r>
    </w:p>
    <w:p w14:paraId="3F1800D8">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地　　址：南京市中华路50号弘业大厦10楼</w:t>
      </w:r>
    </w:p>
    <w:p w14:paraId="3DCB8C85">
      <w:pPr>
        <w:autoSpaceDE w:val="0"/>
        <w:autoSpaceDN w:val="0"/>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zh-CN"/>
        </w:rPr>
        <w:t>联系方式：</w:t>
      </w:r>
      <w:r>
        <w:rPr>
          <w:rFonts w:hint="eastAsia" w:ascii="宋体" w:hAnsi="宋体" w:cs="宋体"/>
          <w:color w:val="auto"/>
          <w:sz w:val="24"/>
          <w:szCs w:val="24"/>
          <w:highlight w:val="none"/>
        </w:rPr>
        <w:t>13813997846</w:t>
      </w:r>
    </w:p>
    <w:p w14:paraId="5372D012">
      <w:pPr>
        <w:autoSpaceDE w:val="0"/>
        <w:autoSpaceDN w:val="0"/>
        <w:adjustRightInd w:val="0"/>
        <w:snapToGrid w:val="0"/>
        <w:spacing w:line="360" w:lineRule="auto"/>
        <w:ind w:firstLine="480" w:firstLineChars="20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3.项目联系方式</w:t>
      </w:r>
    </w:p>
    <w:p w14:paraId="07F6B15E">
      <w:pPr>
        <w:autoSpaceDE w:val="0"/>
        <w:autoSpaceDN w:val="0"/>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zh-CN"/>
        </w:rPr>
        <w:t>项目联系人：</w:t>
      </w:r>
      <w:r>
        <w:rPr>
          <w:rFonts w:hint="eastAsia" w:ascii="宋体" w:hAnsi="宋体" w:cs="宋体"/>
          <w:color w:val="auto"/>
          <w:sz w:val="24"/>
          <w:szCs w:val="24"/>
          <w:highlight w:val="none"/>
        </w:rPr>
        <w:t>陆俊华</w:t>
      </w:r>
    </w:p>
    <w:p w14:paraId="5506D5F7">
      <w:pPr>
        <w:autoSpaceDE w:val="0"/>
        <w:autoSpaceDN w:val="0"/>
        <w:adjustRightInd w:val="0"/>
        <w:snapToGrid w:val="0"/>
        <w:spacing w:line="360" w:lineRule="auto"/>
        <w:ind w:firstLine="480" w:firstLineChars="200"/>
        <w:rPr>
          <w:rFonts w:ascii="宋体" w:hAnsi="宋体" w:cs="宋体"/>
          <w:b/>
          <w:bCs/>
          <w:color w:val="auto"/>
          <w:sz w:val="24"/>
          <w:szCs w:val="24"/>
          <w:highlight w:val="none"/>
        </w:rPr>
      </w:pPr>
      <w:r>
        <w:rPr>
          <w:rFonts w:hint="eastAsia" w:ascii="宋体" w:hAnsi="宋体" w:cs="宋体"/>
          <w:color w:val="auto"/>
          <w:sz w:val="24"/>
          <w:szCs w:val="24"/>
          <w:highlight w:val="none"/>
          <w:lang w:val="zh-CN"/>
        </w:rPr>
        <w:t>电　　 话：025-52278306</w:t>
      </w:r>
    </w:p>
    <w:p w14:paraId="6F2718A6">
      <w:pPr>
        <w:spacing w:line="360" w:lineRule="auto"/>
        <w:ind w:firstLine="480"/>
        <w:rPr>
          <w:rFonts w:ascii="宋体" w:hAnsi="宋体" w:cs="宋体"/>
          <w:color w:val="auto"/>
          <w:highlight w:val="none"/>
        </w:rPr>
      </w:pPr>
    </w:p>
    <w:p w14:paraId="1D8DF750">
      <w:pPr>
        <w:spacing w:line="360" w:lineRule="auto"/>
        <w:ind w:firstLine="420"/>
        <w:rPr>
          <w:rFonts w:ascii="宋体" w:hAnsi="宋体" w:cs="宋体"/>
          <w:bCs/>
          <w:color w:val="auto"/>
          <w:szCs w:val="21"/>
          <w:highlight w:val="none"/>
          <w:lang w:val="zh-CN"/>
        </w:rPr>
      </w:pPr>
    </w:p>
    <w:p w14:paraId="2C08F023">
      <w:pPr>
        <w:pStyle w:val="237"/>
        <w:spacing w:line="360" w:lineRule="auto"/>
        <w:jc w:val="center"/>
        <w:rPr>
          <w:rFonts w:ascii="宋体" w:hAnsi="宋体" w:cs="宋体"/>
          <w:color w:val="auto"/>
          <w:highlight w:val="none"/>
        </w:rPr>
      </w:pPr>
      <w:r>
        <w:rPr>
          <w:rFonts w:hint="eastAsia" w:ascii="宋体" w:hAnsi="宋体" w:cs="宋体"/>
          <w:color w:val="auto"/>
          <w:sz w:val="36"/>
          <w:highlight w:val="none"/>
        </w:rPr>
        <w:br w:type="page" w:clear="all"/>
      </w:r>
      <w:bookmarkStart w:id="25" w:name="_Toc109304972"/>
      <w:r>
        <w:rPr>
          <w:rFonts w:hint="eastAsia" w:ascii="宋体" w:hAnsi="宋体" w:cs="宋体"/>
          <w:color w:val="auto"/>
          <w:highlight w:val="none"/>
        </w:rPr>
        <w:t>第二章 磋商须知</w:t>
      </w:r>
      <w:bookmarkEnd w:id="25"/>
    </w:p>
    <w:p w14:paraId="140AD313">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1、采购方式</w:t>
      </w:r>
    </w:p>
    <w:p w14:paraId="0178D72A">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1.1 本次采购采取竞争性磋商方式，本采购文件仅适用于本采购项目。</w:t>
      </w:r>
    </w:p>
    <w:p w14:paraId="6004E6DA">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2、供应商</w:t>
      </w:r>
    </w:p>
    <w:p w14:paraId="4E373127">
      <w:pPr>
        <w:spacing w:line="360" w:lineRule="auto"/>
        <w:ind w:firstLine="422"/>
        <w:rPr>
          <w:rFonts w:ascii="宋体" w:hAnsi="宋体" w:cs="宋体"/>
          <w:color w:val="auto"/>
          <w:sz w:val="24"/>
          <w:szCs w:val="24"/>
          <w:highlight w:val="none"/>
        </w:rPr>
      </w:pPr>
      <w:r>
        <w:rPr>
          <w:rFonts w:hint="eastAsia" w:ascii="宋体" w:hAnsi="宋体" w:cs="宋体"/>
          <w:color w:val="auto"/>
          <w:sz w:val="24"/>
          <w:szCs w:val="24"/>
          <w:highlight w:val="none"/>
        </w:rPr>
        <w:t>2.1 参加竞争性磋商的供应商以下简称“供应商”，是指参加磋商并符合采购文件规定资格条件的法人、其他组织或者自然人。</w:t>
      </w:r>
    </w:p>
    <w:p w14:paraId="6CDA5132">
      <w:pPr>
        <w:spacing w:line="360" w:lineRule="auto"/>
        <w:ind w:firstLine="422"/>
        <w:rPr>
          <w:rFonts w:ascii="宋体" w:hAnsi="宋体" w:cs="宋体"/>
          <w:color w:val="auto"/>
          <w:sz w:val="24"/>
          <w:szCs w:val="24"/>
          <w:highlight w:val="none"/>
        </w:rPr>
      </w:pPr>
      <w:r>
        <w:rPr>
          <w:rFonts w:hint="eastAsia" w:ascii="宋体" w:hAnsi="宋体" w:cs="宋体"/>
          <w:color w:val="auto"/>
          <w:sz w:val="24"/>
          <w:szCs w:val="24"/>
          <w:highlight w:val="none"/>
        </w:rPr>
        <w:t>2.2合格的供应商</w:t>
      </w:r>
    </w:p>
    <w:p w14:paraId="09F1295F">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2.2.1 满足采购公告中供应商的资格条件要求的规定。</w:t>
      </w:r>
    </w:p>
    <w:p w14:paraId="4F651184">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2.2.2 满足本文件实质性条款的规定。</w:t>
      </w:r>
    </w:p>
    <w:p w14:paraId="0D1824DC">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3、适用法律</w:t>
      </w:r>
    </w:p>
    <w:p w14:paraId="2D534E94">
      <w:pPr>
        <w:spacing w:line="360" w:lineRule="auto"/>
        <w:ind w:firstLine="422"/>
        <w:rPr>
          <w:rFonts w:ascii="宋体" w:hAnsi="宋体" w:cs="宋体"/>
          <w:color w:val="auto"/>
          <w:sz w:val="24"/>
          <w:szCs w:val="24"/>
          <w:highlight w:val="none"/>
        </w:rPr>
      </w:pPr>
      <w:r>
        <w:rPr>
          <w:rFonts w:hint="eastAsia" w:ascii="宋体" w:hAnsi="宋体" w:cs="宋体"/>
          <w:color w:val="auto"/>
          <w:sz w:val="24"/>
          <w:szCs w:val="24"/>
          <w:highlight w:val="none"/>
        </w:rPr>
        <w:t>3.1 本次采购及由此产生的合同受中华人民共和国有关的法律法规制约和保护。</w:t>
      </w:r>
    </w:p>
    <w:p w14:paraId="4DF52FB1">
      <w:pPr>
        <w:spacing w:line="360" w:lineRule="auto"/>
        <w:ind w:firstLine="420"/>
        <w:rPr>
          <w:rFonts w:ascii="宋体" w:hAnsi="宋体"/>
          <w:color w:val="auto"/>
          <w:sz w:val="24"/>
          <w:szCs w:val="24"/>
          <w:highlight w:val="none"/>
        </w:rPr>
      </w:pPr>
      <w:r>
        <w:rPr>
          <w:rFonts w:hint="eastAsia" w:ascii="宋体" w:hAnsi="宋体" w:cs="宋体"/>
          <w:color w:val="auto"/>
          <w:sz w:val="24"/>
          <w:szCs w:val="24"/>
          <w:highlight w:val="none"/>
        </w:rPr>
        <w:t>4、磋商费用：根据采购人与采购代理机构的委托代理协议约定，成交供应商须按以下标准和规定向采购代理机构交纳成交服务费</w:t>
      </w:r>
      <w:r>
        <w:rPr>
          <w:rFonts w:hint="eastAsia" w:ascii="宋体" w:hAnsi="宋体"/>
          <w:color w:val="auto"/>
          <w:sz w:val="24"/>
          <w:szCs w:val="24"/>
          <w:highlight w:val="none"/>
        </w:rPr>
        <w:t>：</w:t>
      </w:r>
    </w:p>
    <w:p w14:paraId="39612F15">
      <w:pPr>
        <w:spacing w:line="360" w:lineRule="auto"/>
        <w:ind w:firstLine="420"/>
        <w:rPr>
          <w:rFonts w:ascii="宋体" w:hAnsi="宋体" w:cs="宋体"/>
          <w:color w:val="auto"/>
          <w:sz w:val="24"/>
          <w:szCs w:val="24"/>
          <w:highlight w:val="none"/>
        </w:rPr>
      </w:pPr>
      <w:r>
        <w:rPr>
          <w:rFonts w:hint="eastAsia" w:ascii="宋体" w:hAnsi="宋体"/>
          <w:color w:val="auto"/>
          <w:sz w:val="24"/>
          <w:szCs w:val="24"/>
          <w:highlight w:val="none"/>
        </w:rPr>
        <w:t>（1）以计价格（2002）1980号文规定标准计取</w:t>
      </w:r>
      <w:r>
        <w:rPr>
          <w:rFonts w:hint="eastAsia" w:ascii="宋体" w:hAnsi="宋体" w:cs="宋体"/>
          <w:color w:val="auto"/>
          <w:sz w:val="24"/>
          <w:szCs w:val="24"/>
          <w:highlight w:val="none"/>
        </w:rPr>
        <w:t>：</w:t>
      </w:r>
    </w:p>
    <w:p w14:paraId="6EE49F80">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（2）成交服务费币种与投标货币的币种相同</w:t>
      </w:r>
    </w:p>
    <w:p w14:paraId="7AC3FD30">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（3）成交服务费的交纳方式：电汇方式</w:t>
      </w:r>
    </w:p>
    <w:p w14:paraId="2EDD7412">
      <w:pPr>
        <w:widowControl/>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账户信息：</w:t>
      </w:r>
    </w:p>
    <w:p w14:paraId="3B127962">
      <w:pPr>
        <w:widowControl/>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户    名：江苏弘业国际技术工程有限公司</w:t>
      </w:r>
    </w:p>
    <w:p w14:paraId="02A32091">
      <w:pPr>
        <w:widowControl/>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开户银行：中国银行南京市中华路支行   </w:t>
      </w:r>
    </w:p>
    <w:p w14:paraId="21DA06E0">
      <w:pPr>
        <w:widowControl/>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账    号：527460884999</w:t>
      </w:r>
    </w:p>
    <w:p w14:paraId="62B34261">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5、采购文件的约束力</w:t>
      </w:r>
    </w:p>
    <w:p w14:paraId="5BADA052">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5.1 供应商一旦参加本项目采购活动，即被认为接受了本采购文件的规定和约束。</w:t>
      </w:r>
    </w:p>
    <w:p w14:paraId="4FDEBD06">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6、采购文件构成</w:t>
      </w:r>
    </w:p>
    <w:p w14:paraId="7078612E">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6.1 采购文件有以下部分组成：</w:t>
      </w:r>
    </w:p>
    <w:p w14:paraId="0255F35B">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（1）采购公告</w:t>
      </w:r>
    </w:p>
    <w:p w14:paraId="52FB2203">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（2）磋商须知</w:t>
      </w:r>
      <w:r>
        <w:rPr>
          <w:rFonts w:hint="eastAsia" w:ascii="宋体" w:hAnsi="宋体" w:cs="宋体"/>
          <w:color w:val="auto"/>
          <w:sz w:val="24"/>
          <w:szCs w:val="24"/>
          <w:highlight w:val="none"/>
        </w:rPr>
        <w:tab/>
      </w:r>
    </w:p>
    <w:p w14:paraId="0F20E297">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（3）合同条款及格式</w:t>
      </w:r>
    </w:p>
    <w:p w14:paraId="7C49BFE2">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（4）项目需求</w:t>
      </w:r>
    </w:p>
    <w:p w14:paraId="3ED0B121">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（5）评审方法与评审标准</w:t>
      </w:r>
    </w:p>
    <w:p w14:paraId="26668AAE">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（6）竞争性磋商响应文件格式</w:t>
      </w:r>
    </w:p>
    <w:p w14:paraId="1ABEC3AE">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请仔细检查采购文件是否齐全，如有缺漏请立即与代理机构联系解决。</w:t>
      </w:r>
    </w:p>
    <w:p w14:paraId="695A4118">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6.2 采购的最小单位是包。采购服务数量及技术要求中未分包的，供应商对要求提供的服务不得部分响应；采购服务数量及技术要求中已经分包的，应当以包为单位响应。</w:t>
      </w:r>
    </w:p>
    <w:p w14:paraId="45748C5A">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6.3 采购文件如果要求供应商提交备选响应方案的，供应商可以提交备选方案；否则，备选方案将被拒绝。</w:t>
      </w:r>
    </w:p>
    <w:p w14:paraId="040C7596">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16640625">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7、采购文件的澄清</w:t>
      </w:r>
    </w:p>
    <w:p w14:paraId="081EF527">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7.1 任何要求对采购文件进行澄清的供应商，应在提交首次响应文件截止时间至少5日前按采购公告中的通讯地址，以书面形式通知代理机构。</w:t>
      </w:r>
    </w:p>
    <w:p w14:paraId="5A6946BA">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8、采购文件的修改</w:t>
      </w:r>
    </w:p>
    <w:p w14:paraId="59AC69D6">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p>
    <w:p w14:paraId="2670379D">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8.2采购文件的修改将在“江苏政府采购网”公布，补充文件将作为采购文件的组成部分，并对供应商具有约束力。</w:t>
      </w:r>
    </w:p>
    <w:p w14:paraId="6F22C998">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9、采购文件的语言、度量衡单位、货币</w:t>
      </w:r>
    </w:p>
    <w:p w14:paraId="4AF1449A">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9.1供应商提交的响应文件以及供应商与代理机构就有关磋商的所有来往通知、函件和文件均应使用简体中文。</w:t>
      </w:r>
    </w:p>
    <w:p w14:paraId="59EA4D70">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9.2 除技术性能另有规定外，采购文件所使用的度量衡单位，均须采用国家法定计量单位。</w:t>
      </w:r>
    </w:p>
    <w:p w14:paraId="161CBAC3">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9.3采购文件中的服务单价和总价无特殊规定的采用人民币报价，以元为单位标注。采购文件中另有规定的按规定执行。</w:t>
      </w:r>
    </w:p>
    <w:p w14:paraId="0F73C25D">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10、响应文件构成</w:t>
      </w:r>
    </w:p>
    <w:p w14:paraId="0AE475EC">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10.1磋商文件由以下部分组成</w:t>
      </w:r>
    </w:p>
    <w:p w14:paraId="577C13B7">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（1）资格审查响应对照表</w:t>
      </w:r>
    </w:p>
    <w:p w14:paraId="19909056">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（2）符合性审查响应对照表</w:t>
      </w:r>
    </w:p>
    <w:p w14:paraId="00004072">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（3）磋商响应报价表 </w:t>
      </w:r>
    </w:p>
    <w:p w14:paraId="091B5943">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（4）技术参数响应及偏离表 </w:t>
      </w:r>
    </w:p>
    <w:p w14:paraId="6DF71F5C">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（5）商务条款响应及偏离表 </w:t>
      </w:r>
    </w:p>
    <w:p w14:paraId="1DE9BA51">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（6）其他 （供应商认为有必要提供的声明和文件，如有自拟并自行添加）</w:t>
      </w:r>
    </w:p>
    <w:p w14:paraId="2FC62B60">
      <w:pPr>
        <w:spacing w:line="360" w:lineRule="auto"/>
        <w:ind w:firstLine="422"/>
        <w:rPr>
          <w:rFonts w:ascii="宋体" w:hAnsi="宋体" w:cs="宋体"/>
          <w:color w:val="auto"/>
          <w:sz w:val="24"/>
          <w:szCs w:val="24"/>
          <w:highlight w:val="none"/>
        </w:rPr>
      </w:pPr>
      <w:r>
        <w:rPr>
          <w:rFonts w:hint="eastAsia" w:ascii="宋体" w:hAnsi="宋体" w:cs="宋体"/>
          <w:color w:val="auto"/>
          <w:sz w:val="24"/>
          <w:szCs w:val="24"/>
          <w:highlight w:val="none"/>
        </w:rPr>
        <w:t>10.2 供应商应当根据采购文件要求编制响应文件，响应文件应对采购文件提出的要求和条件作出响应，并在相应的响应文件中逐条标明满足与否。</w:t>
      </w:r>
    </w:p>
    <w:p w14:paraId="12CC1F91">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11、证明供应商资格及符合采购文件规定的文件</w:t>
      </w:r>
    </w:p>
    <w:p w14:paraId="35758AE8">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11.1供应商应按要求提交资格证明文件及符合采购文件规定的文件。</w:t>
      </w:r>
    </w:p>
    <w:p w14:paraId="63998B35">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11.2供应商应提交证明其有资格参加磋商和成交后有能力独立履行合同的文件。</w:t>
      </w:r>
    </w:p>
    <w:p w14:paraId="6542296B">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11.3供应商除必须具有履行合同所需提供的产品或服务的能力外，还必须具备相应的财务、技术方面的能力。</w:t>
      </w:r>
    </w:p>
    <w:p w14:paraId="471C28BE">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11.4供应商应提交根据合同要求提供的证明服务质量合格以及符合采购文件规定的证明文件。</w:t>
      </w:r>
    </w:p>
    <w:p w14:paraId="699A9122">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11.5证明供应商所提供服务与采购文件的要求相一致的文件可以是手册、图纸、文字资料和数据。</w:t>
      </w:r>
    </w:p>
    <w:p w14:paraId="38CAD7EA">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12、磋商响应报价表</w:t>
      </w:r>
    </w:p>
    <w:p w14:paraId="3C317C2D">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12.1 供应商应按照采购文件规定格式填报磋商响应报价表，每项服务只允许有一个报价，任何有选择的报价将不予接受。</w:t>
      </w:r>
    </w:p>
    <w:p w14:paraId="1D140693">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12.2 标的物</w:t>
      </w:r>
    </w:p>
    <w:p w14:paraId="0A2D4E84">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采购人需求的服务供应、安装，调试及有关技术服务等。</w:t>
      </w:r>
    </w:p>
    <w:p w14:paraId="3FEF620D">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12.3其它费用处理</w:t>
      </w:r>
    </w:p>
    <w:p w14:paraId="75CA4697">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采购文件未列明，而供应商认为必需的费用也需列入报价。</w:t>
      </w:r>
    </w:p>
    <w:p w14:paraId="541AE75C">
      <w:pPr>
        <w:spacing w:line="360" w:lineRule="auto"/>
        <w:ind w:firstLine="422"/>
        <w:rPr>
          <w:rFonts w:ascii="宋体" w:hAnsi="宋体" w:cs="宋体"/>
          <w:color w:val="auto"/>
          <w:sz w:val="24"/>
          <w:szCs w:val="24"/>
          <w:highlight w:val="none"/>
        </w:rPr>
      </w:pPr>
      <w:r>
        <w:rPr>
          <w:rFonts w:hint="eastAsia" w:ascii="宋体" w:hAnsi="宋体" w:cs="宋体"/>
          <w:color w:val="auto"/>
          <w:sz w:val="24"/>
          <w:szCs w:val="24"/>
          <w:highlight w:val="none"/>
        </w:rPr>
        <w:t>13、技术参数响应及偏离表、商务条款响应及偏离表及磋商服务说明</w:t>
      </w:r>
    </w:p>
    <w:p w14:paraId="43DD31C4">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13.1 对采购文件中的技术与商务条款要求逐项作出响应或偏离，并说明原因；</w:t>
      </w:r>
    </w:p>
    <w:p w14:paraId="324A9048">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13.2 提供参加本项目类似案例简介；</w:t>
      </w:r>
    </w:p>
    <w:p w14:paraId="738088F7">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13.3 详细阐述所投服务的主要组成部分、功能设计、实现思路及关键技术；</w:t>
      </w:r>
    </w:p>
    <w:p w14:paraId="69C43105">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13.4 供应商认为需要的其他技术文件或说明。</w:t>
      </w:r>
    </w:p>
    <w:p w14:paraId="5616E9D6">
      <w:pPr>
        <w:spacing w:line="360" w:lineRule="auto"/>
        <w:ind w:firstLine="422"/>
        <w:rPr>
          <w:rFonts w:ascii="宋体" w:hAnsi="宋体" w:cs="宋体"/>
          <w:color w:val="auto"/>
          <w:sz w:val="24"/>
          <w:szCs w:val="24"/>
          <w:highlight w:val="none"/>
        </w:rPr>
      </w:pPr>
      <w:r>
        <w:rPr>
          <w:rFonts w:hint="eastAsia" w:ascii="宋体" w:hAnsi="宋体" w:cs="宋体"/>
          <w:color w:val="auto"/>
          <w:sz w:val="24"/>
          <w:szCs w:val="24"/>
          <w:highlight w:val="none"/>
        </w:rPr>
        <w:t>14、服务承诺及售后服务机构、人员的情况介绍</w:t>
      </w:r>
    </w:p>
    <w:p w14:paraId="317E8E0D">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14.1供应商的服务承诺应按不低于采购文件中商务要求的标准。</w:t>
      </w:r>
    </w:p>
    <w:p w14:paraId="7249DB6A">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14.2提供供应商有关售后服务的管理制度、售后服务机构的分布情况、售后服务人员的数量、素质、技术水平及售后服务的反应能力。</w:t>
      </w:r>
    </w:p>
    <w:p w14:paraId="502E8F0C">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15、磋商响应函</w:t>
      </w:r>
    </w:p>
    <w:p w14:paraId="6C5F1F9C">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15.1 供应商应按照政府采购交易管理系统提供的格式完整、正确填写磋商响应函。</w:t>
      </w:r>
    </w:p>
    <w:p w14:paraId="334753A6">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16、磋商响应有效期</w:t>
      </w:r>
    </w:p>
    <w:p w14:paraId="5594B451">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16.1 磋商响应有效期为代理机构规定的响应文件接收截止时间后</w:t>
      </w:r>
      <w:r>
        <w:rPr>
          <w:rFonts w:hint="eastAsia" w:ascii="宋体" w:hAnsi="宋体" w:cs="宋体"/>
          <w:color w:val="auto"/>
          <w:sz w:val="24"/>
          <w:szCs w:val="24"/>
          <w:highlight w:val="none"/>
          <w:u w:val="single"/>
        </w:rPr>
        <w:t>六十（60）天</w:t>
      </w:r>
      <w:r>
        <w:rPr>
          <w:rFonts w:hint="eastAsia" w:ascii="宋体" w:hAnsi="宋体" w:cs="宋体"/>
          <w:color w:val="auto"/>
          <w:sz w:val="24"/>
          <w:szCs w:val="24"/>
          <w:highlight w:val="none"/>
        </w:rPr>
        <w:t>。磋商响应有效期比规定短的将被视为非实质性响应性而予以拒绝。</w:t>
      </w:r>
    </w:p>
    <w:p w14:paraId="56E13C48">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14:paraId="45CDA52A">
      <w:pPr>
        <w:spacing w:line="360" w:lineRule="auto"/>
        <w:ind w:firstLine="420"/>
        <w:rPr>
          <w:rFonts w:ascii="宋体" w:hAnsi="宋体" w:cs="宋体"/>
          <w:color w:val="auto"/>
          <w:sz w:val="24"/>
          <w:szCs w:val="24"/>
          <w:highlight w:val="none"/>
        </w:rPr>
      </w:pPr>
      <w:bookmarkStart w:id="26" w:name="_Toc20823297"/>
      <w:bookmarkStart w:id="27" w:name="_Toc16938541"/>
      <w:r>
        <w:rPr>
          <w:rFonts w:hint="eastAsia" w:ascii="宋体" w:hAnsi="宋体" w:cs="宋体"/>
          <w:color w:val="auto"/>
          <w:sz w:val="24"/>
          <w:szCs w:val="24"/>
          <w:highlight w:val="none"/>
        </w:rPr>
        <w:t>17、响应文件</w:t>
      </w:r>
      <w:bookmarkEnd w:id="26"/>
      <w:bookmarkEnd w:id="27"/>
      <w:r>
        <w:rPr>
          <w:rFonts w:hint="eastAsia" w:ascii="宋体" w:hAnsi="宋体" w:cs="宋体"/>
          <w:color w:val="auto"/>
          <w:sz w:val="24"/>
          <w:szCs w:val="24"/>
          <w:highlight w:val="none"/>
        </w:rPr>
        <w:t>的递交</w:t>
      </w:r>
    </w:p>
    <w:p w14:paraId="009B81D6">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17.1 电子响应文件的递交供应商应当按照《操作手册》规定，在磋商响应截止时间前制作并上传电子响应文件。</w:t>
      </w:r>
      <w:bookmarkStart w:id="28" w:name="_Toc20823298"/>
      <w:bookmarkStart w:id="29" w:name="_Toc16938542"/>
    </w:p>
    <w:p w14:paraId="734B17AC">
      <w:pPr>
        <w:spacing w:line="360" w:lineRule="auto"/>
        <w:ind w:firstLine="422"/>
        <w:rPr>
          <w:rFonts w:ascii="宋体" w:hAnsi="宋体" w:cs="宋体"/>
          <w:color w:val="auto"/>
          <w:sz w:val="24"/>
          <w:szCs w:val="24"/>
          <w:highlight w:val="none"/>
        </w:rPr>
      </w:pPr>
      <w:r>
        <w:rPr>
          <w:rFonts w:hint="eastAsia" w:ascii="宋体" w:hAnsi="宋体" w:cs="宋体"/>
          <w:color w:val="auto"/>
          <w:sz w:val="24"/>
          <w:szCs w:val="24"/>
          <w:highlight w:val="none"/>
        </w:rPr>
        <w:t>17.2政府采购管理交易系统（苏采云）相关要求是本采购文件的组成部分。</w:t>
      </w:r>
    </w:p>
    <w:p w14:paraId="70A2C3BE">
      <w:pPr>
        <w:spacing w:line="360" w:lineRule="auto"/>
        <w:ind w:firstLine="422"/>
        <w:rPr>
          <w:rFonts w:ascii="宋体" w:hAnsi="宋体" w:cs="宋体"/>
          <w:color w:val="auto"/>
          <w:sz w:val="24"/>
          <w:szCs w:val="24"/>
          <w:highlight w:val="none"/>
        </w:rPr>
      </w:pPr>
      <w:r>
        <w:rPr>
          <w:rFonts w:hint="eastAsia" w:ascii="宋体" w:hAnsi="宋体" w:cs="宋体"/>
          <w:color w:val="auto"/>
          <w:sz w:val="24"/>
          <w:szCs w:val="24"/>
          <w:highlight w:val="none"/>
        </w:rPr>
        <w:t>17.3供应商应对 CA 证书妥善保管，如被他人盗用投标，因此带来的结果均由供应商自行承担。</w:t>
      </w:r>
    </w:p>
    <w:p w14:paraId="4CDF13AF">
      <w:pPr>
        <w:spacing w:line="360" w:lineRule="auto"/>
        <w:ind w:firstLine="422"/>
        <w:rPr>
          <w:rFonts w:ascii="宋体" w:hAnsi="宋体" w:cs="宋体"/>
          <w:color w:val="auto"/>
          <w:sz w:val="24"/>
          <w:szCs w:val="24"/>
          <w:highlight w:val="none"/>
        </w:rPr>
      </w:pPr>
      <w:r>
        <w:rPr>
          <w:rFonts w:hint="eastAsia" w:ascii="宋体" w:hAnsi="宋体" w:cs="宋体"/>
          <w:color w:val="auto"/>
          <w:sz w:val="24"/>
          <w:szCs w:val="24"/>
          <w:highlight w:val="none"/>
        </w:rPr>
        <w:t>17.4供应商应当对采购文件提出的要求和条件作出实质性响应，并在电子投标系统逐条应答。</w:t>
      </w:r>
    </w:p>
    <w:p w14:paraId="6BF7F953">
      <w:pPr>
        <w:spacing w:line="360" w:lineRule="auto"/>
        <w:ind w:firstLine="422"/>
        <w:rPr>
          <w:rFonts w:ascii="宋体" w:hAnsi="宋体" w:cs="宋体"/>
          <w:color w:val="auto"/>
          <w:sz w:val="24"/>
          <w:szCs w:val="24"/>
          <w:highlight w:val="none"/>
        </w:rPr>
      </w:pPr>
      <w:r>
        <w:rPr>
          <w:rFonts w:hint="eastAsia" w:ascii="宋体" w:hAnsi="宋体" w:cs="宋体"/>
          <w:color w:val="auto"/>
          <w:sz w:val="24"/>
          <w:szCs w:val="24"/>
          <w:highlight w:val="none"/>
        </w:rPr>
        <w:t>17.5供应商应对要求提供的资格证明文件（如资质证书、资格证书）、技术资料（如白皮书、彩页、手册、检测报告等）扫描上传至投标系统。</w:t>
      </w:r>
    </w:p>
    <w:p w14:paraId="4EA48659">
      <w:pPr>
        <w:spacing w:line="360" w:lineRule="auto"/>
        <w:ind w:firstLine="422"/>
        <w:rPr>
          <w:rFonts w:ascii="宋体" w:hAnsi="宋体" w:cs="宋体"/>
          <w:color w:val="auto"/>
          <w:sz w:val="24"/>
          <w:szCs w:val="24"/>
          <w:highlight w:val="none"/>
        </w:rPr>
      </w:pPr>
      <w:r>
        <w:rPr>
          <w:rFonts w:hint="eastAsia" w:ascii="宋体" w:hAnsi="宋体" w:cs="宋体"/>
          <w:color w:val="auto"/>
          <w:sz w:val="24"/>
          <w:szCs w:val="24"/>
          <w:highlight w:val="none"/>
        </w:rPr>
        <w:t>17.6各供应商应在规定时间内凭CA证书进行网上解密。</w:t>
      </w:r>
    </w:p>
    <w:p w14:paraId="69D219B6">
      <w:pPr>
        <w:spacing w:line="360" w:lineRule="auto"/>
        <w:ind w:firstLine="422"/>
        <w:rPr>
          <w:rFonts w:ascii="宋体" w:hAnsi="宋体" w:cs="宋体"/>
          <w:color w:val="auto"/>
          <w:sz w:val="24"/>
          <w:szCs w:val="24"/>
          <w:highlight w:val="none"/>
        </w:rPr>
      </w:pPr>
      <w:r>
        <w:rPr>
          <w:rFonts w:hint="eastAsia" w:ascii="宋体" w:hAnsi="宋体" w:cs="宋体"/>
          <w:color w:val="auto"/>
          <w:sz w:val="24"/>
          <w:szCs w:val="24"/>
          <w:highlight w:val="none"/>
        </w:rPr>
        <w:t>18、磋商响应截止日期</w:t>
      </w:r>
      <w:bookmarkEnd w:id="28"/>
      <w:bookmarkEnd w:id="29"/>
    </w:p>
    <w:p w14:paraId="06159352">
      <w:pPr>
        <w:spacing w:line="360" w:lineRule="auto"/>
        <w:ind w:firstLine="420"/>
        <w:rPr>
          <w:rFonts w:ascii="宋体" w:hAnsi="宋体" w:cs="宋体"/>
          <w:i/>
          <w:color w:val="auto"/>
          <w:sz w:val="24"/>
          <w:szCs w:val="24"/>
          <w:highlight w:val="none"/>
          <w:u w:val="single"/>
        </w:rPr>
      </w:pPr>
      <w:r>
        <w:rPr>
          <w:rFonts w:hint="eastAsia" w:ascii="宋体" w:hAnsi="宋体" w:cs="宋体"/>
          <w:b/>
          <w:bCs/>
          <w:i/>
          <w:color w:val="auto"/>
          <w:sz w:val="24"/>
          <w:szCs w:val="24"/>
          <w:highlight w:val="none"/>
        </w:rPr>
        <w:t xml:space="preserve">18.1 </w:t>
      </w:r>
      <w:r>
        <w:rPr>
          <w:rFonts w:hint="eastAsia" w:ascii="宋体" w:hAnsi="宋体" w:cs="宋体"/>
          <w:i/>
          <w:color w:val="auto"/>
          <w:sz w:val="24"/>
          <w:szCs w:val="24"/>
          <w:highlight w:val="none"/>
          <w:u w:val="single"/>
        </w:rPr>
        <w:t>供应商上传电子响应文件的时间不得迟于采购公告中规定的磋商响应截止时间。</w:t>
      </w:r>
    </w:p>
    <w:p w14:paraId="69101DBA">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供应商应充分考虑到网络环境、网络带宽等风险因素，如因供应商自身原因造成的电子响应文件上传不成功由供应商自行承担全部责任。</w:t>
      </w:r>
    </w:p>
    <w:p w14:paraId="4BF7FF28">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18.2 代理机构可以按照规定，通过修改采购文件延长磋商截止日期，在此情况下，供应商的所有权利和义务以及供应商受制的截止日期均应以延长后新的截止日期为准。</w:t>
      </w:r>
    </w:p>
    <w:p w14:paraId="4A1DCBDD">
      <w:pPr>
        <w:spacing w:line="360" w:lineRule="auto"/>
        <w:ind w:firstLine="420"/>
        <w:rPr>
          <w:rFonts w:ascii="宋体" w:hAnsi="宋体" w:cs="宋体"/>
          <w:color w:val="auto"/>
          <w:sz w:val="24"/>
          <w:szCs w:val="24"/>
          <w:highlight w:val="none"/>
        </w:rPr>
      </w:pPr>
      <w:bookmarkStart w:id="30" w:name="_Toc20823299"/>
      <w:bookmarkStart w:id="31" w:name="_Toc16938543"/>
      <w:r>
        <w:rPr>
          <w:rFonts w:hint="eastAsia" w:ascii="宋体" w:hAnsi="宋体" w:cs="宋体"/>
          <w:color w:val="auto"/>
          <w:sz w:val="24"/>
          <w:szCs w:val="24"/>
          <w:highlight w:val="none"/>
        </w:rPr>
        <w:t>19、响应文件</w:t>
      </w:r>
      <w:bookmarkEnd w:id="30"/>
      <w:bookmarkEnd w:id="31"/>
      <w:r>
        <w:rPr>
          <w:rFonts w:hint="eastAsia" w:ascii="宋体" w:hAnsi="宋体" w:cs="宋体"/>
          <w:color w:val="auto"/>
          <w:sz w:val="24"/>
          <w:szCs w:val="24"/>
          <w:highlight w:val="none"/>
        </w:rPr>
        <w:t>的拒收</w:t>
      </w:r>
    </w:p>
    <w:p w14:paraId="51D90755">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19.1代理机构拒绝接收在其规定的磋商截止时间后上传的任何响应文件。</w:t>
      </w:r>
    </w:p>
    <w:p w14:paraId="763169F1">
      <w:pPr>
        <w:spacing w:line="360" w:lineRule="auto"/>
        <w:ind w:firstLine="420"/>
        <w:rPr>
          <w:rFonts w:ascii="宋体" w:hAnsi="宋体" w:cs="宋体"/>
          <w:color w:val="auto"/>
          <w:sz w:val="24"/>
          <w:szCs w:val="24"/>
          <w:highlight w:val="none"/>
        </w:rPr>
      </w:pPr>
      <w:bookmarkStart w:id="32" w:name="_Toc20823300"/>
      <w:bookmarkStart w:id="33" w:name="_Toc16938544"/>
      <w:r>
        <w:rPr>
          <w:rFonts w:hint="eastAsia" w:ascii="宋体" w:hAnsi="宋体" w:cs="宋体"/>
          <w:color w:val="auto"/>
          <w:sz w:val="24"/>
          <w:szCs w:val="24"/>
          <w:highlight w:val="none"/>
        </w:rPr>
        <w:t>20、响应文件的撤回和修改</w:t>
      </w:r>
      <w:bookmarkEnd w:id="32"/>
      <w:bookmarkEnd w:id="33"/>
    </w:p>
    <w:p w14:paraId="27300D7D">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20.1 响应文件的撤回</w:t>
      </w:r>
    </w:p>
    <w:p w14:paraId="3B2766E1">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20.1.1 电子响应文件的撤回</w:t>
      </w:r>
    </w:p>
    <w:p w14:paraId="7B62FD45">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供应商可在磋商截止时间前，撤回其电子响应文件，具体操作方法见《操作手册》。</w:t>
      </w:r>
    </w:p>
    <w:p w14:paraId="6148693A">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20.1.2 供应商撤回电子响应文件，则认为其不再参与本项目磋商谈判。</w:t>
      </w:r>
    </w:p>
    <w:p w14:paraId="315997E8">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20.2 响应文件的修改</w:t>
      </w:r>
    </w:p>
    <w:p w14:paraId="51319F2C">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供应商可在磋商截止时间前，对其电子响应文件进行修改，具体操作方法见《操作手册》。</w:t>
      </w:r>
    </w:p>
    <w:p w14:paraId="038E6C85">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20.3 在磋商截止时间之后，供应商不得对其电子响应文件作任何修改。</w:t>
      </w:r>
    </w:p>
    <w:p w14:paraId="2A5BA3B2">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20.4 在磋商截止时间至采购文件中规定的磋商有效期满之间的这段时间内，供应商不得撤回其响应文件。</w:t>
      </w:r>
    </w:p>
    <w:p w14:paraId="21A24AD4">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21、磋商</w:t>
      </w:r>
    </w:p>
    <w:p w14:paraId="57E71268">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21.1 代理机构将在采购公告中规定的时间和地点组织磋商开始仪式。供应商应当按照《操作手册》规定，参加磋商活动。</w:t>
      </w:r>
    </w:p>
    <w:p w14:paraId="3B34BF3A">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21.2供应商在磋商过程中涉及到的响应文件解密等工作，应按照《操作手册》规定执行。</w:t>
      </w:r>
    </w:p>
    <w:p w14:paraId="67F0B22E">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22、磋商小组</w:t>
      </w:r>
    </w:p>
    <w:p w14:paraId="4E4402C2">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22.1 磋商开始后，代理机构将立即组织磋商小组进行评审。</w:t>
      </w:r>
    </w:p>
    <w:p w14:paraId="579BA127">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22.2磋商小组由采购人代表和有关技术、经济等方面的专家组成，且人员构成符合政府采购有关规定。</w:t>
      </w:r>
    </w:p>
    <w:p w14:paraId="40D6F4E2">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22.3磋商小组独立工作，负责评审有效响应文件并确定成交候选供应商。</w:t>
      </w:r>
    </w:p>
    <w:p w14:paraId="2E90E22D">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23、评审过程的保密与公正</w:t>
      </w:r>
    </w:p>
    <w:p w14:paraId="65BFF238">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23.1评审专家应当遵守评审工作纪律，不得泄露评审情况和评审中获悉的商业秘密。</w:t>
      </w:r>
    </w:p>
    <w:p w14:paraId="10E52799">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23.2在评审过程中，供应商不得以任何行为影响评审过程，否则其响应文件将被作为无效响应文件。</w:t>
      </w:r>
    </w:p>
    <w:p w14:paraId="5146BDC2">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23.3 在评审期间，代理机构将设专门工作人员与供应商联系。</w:t>
      </w:r>
    </w:p>
    <w:p w14:paraId="6F0E31DB">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23.4 代理机构和磋商小组不向未成交的供应商解释未成交原因，也不公布评审过程中的相关细节。</w:t>
      </w:r>
    </w:p>
    <w:p w14:paraId="7FA03159">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24、磋商的澄清</w:t>
      </w:r>
    </w:p>
    <w:p w14:paraId="7EE9F39A">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24.1评审期间，磋商小组要求供应商澄清、说明或者更正响应文件以电子函件形式提交但并非对每个供应商都作澄清要求。</w:t>
      </w:r>
    </w:p>
    <w:p w14:paraId="45FD6409">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24.2接到磋商小组澄清要求的供应商应按磋商小组规定的时间和格式在”政府采购管理交易系统（苏采云）”中做出澄清，澄清的内容作为响应文件的补充部分。具体操作方式见《操作手册》。</w:t>
      </w:r>
    </w:p>
    <w:p w14:paraId="596D9565">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24.3 接到磋商小组澄清要求的供应商如未按规定做出澄清，其风险由供应商自行承担。</w:t>
      </w:r>
    </w:p>
    <w:p w14:paraId="1A383A0F">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25、对响应文件的初审</w:t>
      </w:r>
    </w:p>
    <w:p w14:paraId="56E89CED">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25.1响应文件初审分为资格审查和符合性审查。</w:t>
      </w:r>
    </w:p>
    <w:p w14:paraId="3E2F029F">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25.1.1资格审查：依据法律法规和采购文件的规定，对响应文件中的资格证明文件进行审查。以确定供应商是否具备参加磋商的资格。</w:t>
      </w:r>
    </w:p>
    <w:p w14:paraId="1F4BE723">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25.1.2符合性检查：依据采购文件的规定，由磋商小组从响应文件的有效性、完整性和对采购文件的响应程度进行审查，以确定是否对采购文件的实质性要求作出响应。</w:t>
      </w:r>
    </w:p>
    <w:p w14:paraId="4424C572">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25.1.3 未通过资格审查或符合性审查的供应商，代理机构将在”政府采购管理交易系统（苏采云）”中告知未通过资格审查或符合性审查的原因，评审结束后，代理机构将不再告知未通过资格审查或符合性审查的原因。</w:t>
      </w:r>
    </w:p>
    <w:p w14:paraId="75F497F6">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25.2在详细评审之前，磋商小组将首先审查每份响应文件是否实质性响应了采购文件的要求。实质性响应的响应文件应该是与采购文件要求的全部条款、条件和规格相符，没有重大偏离或保留。</w:t>
      </w:r>
    </w:p>
    <w:p w14:paraId="50BA1AE2">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p>
    <w:p w14:paraId="7B992214">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25.3如果响应文件实质上没有响应采购文件的要求，磋商小组将予以拒绝，供应商不得通过修改或撤销不合要求的偏离或保留而使其响应文件成为实质性响应的文件。</w:t>
      </w:r>
    </w:p>
    <w:p w14:paraId="030E9D42">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25.4 供应商在开、评标全过程中应保持通讯畅通，并安排专人与代理机构及磋商小组联系。</w:t>
      </w:r>
    </w:p>
    <w:p w14:paraId="7D70B63A">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26、磋商程序及评审方法和标准</w:t>
      </w:r>
    </w:p>
    <w:p w14:paraId="62FE6EDB">
      <w:pPr>
        <w:spacing w:line="360" w:lineRule="auto"/>
        <w:ind w:firstLine="422"/>
        <w:rPr>
          <w:rFonts w:ascii="宋体" w:hAnsi="宋体" w:cs="宋体"/>
          <w:color w:val="auto"/>
          <w:sz w:val="24"/>
          <w:szCs w:val="24"/>
          <w:highlight w:val="none"/>
        </w:rPr>
      </w:pPr>
      <w:r>
        <w:rPr>
          <w:rFonts w:hint="eastAsia" w:ascii="宋体" w:hAnsi="宋体" w:cs="宋体"/>
          <w:color w:val="auto"/>
          <w:sz w:val="24"/>
          <w:szCs w:val="24"/>
          <w:highlight w:val="none"/>
        </w:rPr>
        <w:t>26.1磋商程序</w:t>
      </w:r>
    </w:p>
    <w:p w14:paraId="2E54D758">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26.1.1 对于通过资格性和符合性审查的供应商，磋商小组所有成员将集中与单一供应商在”政府采购管理交易系统（苏采云）”中分别进行磋商。</w:t>
      </w:r>
    </w:p>
    <w:p w14:paraId="34508908">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p>
    <w:p w14:paraId="3649A331">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26.1.2 采购文件能够详细列明采购标的的技术、服务要求的，磋商结束后，磋商小组将要求所有实质性响应的供应商在规定时间内提交最后报价。</w:t>
      </w:r>
    </w:p>
    <w:p w14:paraId="31540C5D">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3C7E79FD">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6424D9F3">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26.1.3 供应商未在磋商小组规定的时间内完成最后报价的视为放弃磋商，其响应按无效响应处理。最后报价须加盖电子签章。已提交响应文件的供应商，在提交最后报价之前，可以根据磋商情况退出磋商。</w:t>
      </w:r>
    </w:p>
    <w:p w14:paraId="1DA8DDCF">
      <w:pPr>
        <w:spacing w:line="360" w:lineRule="auto"/>
        <w:ind w:firstLine="422"/>
        <w:rPr>
          <w:rFonts w:ascii="宋体" w:hAnsi="宋体" w:cs="宋体"/>
          <w:color w:val="auto"/>
          <w:sz w:val="24"/>
          <w:szCs w:val="24"/>
          <w:highlight w:val="none"/>
        </w:rPr>
      </w:pPr>
      <w:r>
        <w:rPr>
          <w:rFonts w:hint="eastAsia" w:ascii="宋体" w:hAnsi="宋体" w:cs="宋体"/>
          <w:color w:val="auto"/>
          <w:sz w:val="24"/>
          <w:szCs w:val="24"/>
          <w:highlight w:val="none"/>
        </w:rPr>
        <w:t>26.2 评审方法和标准</w:t>
      </w:r>
    </w:p>
    <w:p w14:paraId="7710EB2C">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26.2.1评审方法。经磋商确定最终采购需求和提交最后报价的供应商后，由磋商小组采用综合评分法对提交最后报价的供应商的响应文件和最后报价进行综合评分。</w:t>
      </w:r>
    </w:p>
    <w:p w14:paraId="6C425D96">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EFABB6B">
      <w:pPr>
        <w:spacing w:line="360" w:lineRule="auto"/>
        <w:ind w:firstLine="422"/>
        <w:rPr>
          <w:rFonts w:ascii="宋体" w:hAnsi="宋体" w:cs="宋体"/>
          <w:color w:val="auto"/>
          <w:sz w:val="24"/>
          <w:szCs w:val="24"/>
          <w:highlight w:val="none"/>
        </w:rPr>
      </w:pPr>
      <w:r>
        <w:rPr>
          <w:rFonts w:hint="eastAsia" w:ascii="宋体" w:hAnsi="宋体" w:cs="宋体"/>
          <w:color w:val="auto"/>
          <w:sz w:val="24"/>
          <w:szCs w:val="24"/>
          <w:highlight w:val="none"/>
        </w:rPr>
        <w:t>26.2.2评审标准</w:t>
      </w:r>
    </w:p>
    <w:p w14:paraId="3FEAB8A9">
      <w:pPr>
        <w:spacing w:line="360" w:lineRule="auto"/>
        <w:ind w:firstLine="422"/>
        <w:rPr>
          <w:rFonts w:ascii="宋体" w:hAnsi="宋体" w:cs="宋体"/>
          <w:color w:val="auto"/>
          <w:sz w:val="24"/>
          <w:szCs w:val="24"/>
          <w:highlight w:val="none"/>
        </w:rPr>
      </w:pPr>
      <w:r>
        <w:rPr>
          <w:rFonts w:hint="eastAsia" w:ascii="宋体" w:hAnsi="宋体" w:cs="宋体"/>
          <w:color w:val="auto"/>
          <w:sz w:val="24"/>
          <w:szCs w:val="24"/>
          <w:highlight w:val="none"/>
        </w:rPr>
        <w:t>见本采购文件第五章规定。</w:t>
      </w:r>
    </w:p>
    <w:p w14:paraId="3300F9D7">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27、无效响应及采购活动终止的情况</w:t>
      </w:r>
    </w:p>
    <w:p w14:paraId="01FBE932">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27.1无效响应条款</w:t>
      </w:r>
    </w:p>
    <w:p w14:paraId="18CE8B58">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27.1.1 供应商未按照采购文件要求上传电子磋商响应文件的。</w:t>
      </w:r>
    </w:p>
    <w:p w14:paraId="280F1981">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27.1.2 供应商未成功解密电子磋商响应文件的。</w:t>
      </w:r>
    </w:p>
    <w:p w14:paraId="08EF325D">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27.1.3 供应商不具备采购文件中规定资格要求的。</w:t>
      </w:r>
    </w:p>
    <w:p w14:paraId="3B7EF647">
      <w:pPr>
        <w:spacing w:line="360" w:lineRule="auto"/>
        <w:ind w:firstLine="420"/>
        <w:rPr>
          <w:rFonts w:ascii="宋体" w:hAnsi="宋体" w:cs="宋体"/>
          <w:i/>
          <w:color w:val="auto"/>
          <w:sz w:val="24"/>
          <w:szCs w:val="24"/>
          <w:highlight w:val="none"/>
          <w:u w:val="single"/>
        </w:rPr>
      </w:pPr>
      <w:r>
        <w:rPr>
          <w:rFonts w:hint="eastAsia" w:ascii="宋体" w:hAnsi="宋体" w:cs="宋体"/>
          <w:color w:val="auto"/>
          <w:sz w:val="24"/>
          <w:szCs w:val="24"/>
          <w:highlight w:val="none"/>
        </w:rPr>
        <w:t>27.1.4 未通过符合性审查的。</w:t>
      </w:r>
    </w:p>
    <w:p w14:paraId="32E7F4F7">
      <w:pPr>
        <w:spacing w:line="360" w:lineRule="auto"/>
        <w:ind w:firstLine="420"/>
        <w:rPr>
          <w:rFonts w:ascii="宋体" w:hAnsi="宋体" w:cs="宋体"/>
          <w:i/>
          <w:color w:val="auto"/>
          <w:sz w:val="24"/>
          <w:szCs w:val="24"/>
          <w:highlight w:val="none"/>
          <w:u w:val="single"/>
        </w:rPr>
      </w:pPr>
      <w:r>
        <w:rPr>
          <w:rFonts w:hint="eastAsia" w:ascii="宋体" w:hAnsi="宋体" w:cs="宋体"/>
          <w:color w:val="auto"/>
          <w:sz w:val="24"/>
          <w:szCs w:val="24"/>
          <w:highlight w:val="none"/>
        </w:rPr>
        <w:t>27.1.5 不符合采购文件中规定的其他实质性要求和条件的（</w:t>
      </w:r>
      <w:r>
        <w:rPr>
          <w:rFonts w:hint="eastAsia" w:ascii="宋体" w:hAnsi="宋体" w:cs="宋体"/>
          <w:i/>
          <w:color w:val="auto"/>
          <w:sz w:val="24"/>
          <w:szCs w:val="24"/>
          <w:highlight w:val="none"/>
          <w:u w:val="single"/>
        </w:rPr>
        <w:t>本采购文件中斜体且有下划线部分为实质性要求和条件）。</w:t>
      </w:r>
    </w:p>
    <w:p w14:paraId="20E63FEA">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3859B89D">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27.1.7 本项目采购产品被财政部、国家发改委、生态环境部等列入“节能产品品目清单”强制采购范围，而供应商所磋商产品不在强制采购范围内的。</w:t>
      </w:r>
    </w:p>
    <w:p w14:paraId="5B9D9B40">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27.1.8 响应文件未按照采购文件要求加盖电子签章。</w:t>
      </w:r>
    </w:p>
    <w:p w14:paraId="2C9481F3">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27.1.9 其他法律、法规及本采购文件规定的属无效响应的情形。</w:t>
      </w:r>
    </w:p>
    <w:p w14:paraId="56F64390">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27.2 采购活动终止的情况：</w:t>
      </w:r>
    </w:p>
    <w:p w14:paraId="0DE5D89A">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27.2.1 因情况变化，不再符合规定的竞争性磋商采购方式适用情形的；</w:t>
      </w:r>
    </w:p>
    <w:p w14:paraId="7667B46B">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27.2.2 出现影响采购公正的违法、违规行为的；</w:t>
      </w:r>
    </w:p>
    <w:p w14:paraId="33E2EE81">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27.2.3 除本磋商文件第26.1.2条第三款规定的情形外，在采购过程中符合要求的供应商或者报价未超过采购预算的供应商不足3家的。</w:t>
      </w:r>
    </w:p>
    <w:p w14:paraId="07808882">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27.2.4 因重大变故，采购任务取消的。</w:t>
      </w:r>
    </w:p>
    <w:p w14:paraId="66C37162">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28、确定成交单位</w:t>
      </w:r>
    </w:p>
    <w:p w14:paraId="3674016B">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p>
    <w:p w14:paraId="5694F4E9">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28.2 采购人应根据磋商推荐的成交候选人，按照排序由高到低的原则确定成交供应商。</w:t>
      </w:r>
    </w:p>
    <w:p w14:paraId="6CC4FD1A">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28.3 代理机构将在“江苏政府采购网”发布成交公告，公告期限为1个工作日。</w:t>
      </w:r>
    </w:p>
    <w:p w14:paraId="0C3B3030">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28.4 若有充分证据证明，成交供应商出现下列情况之一的，一经查实，将被取消成交资格：</w:t>
      </w:r>
    </w:p>
    <w:p w14:paraId="6B0DBAE3">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28.4.1 提供虚假材料谋取成交的；</w:t>
      </w:r>
    </w:p>
    <w:p w14:paraId="279AAB32">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28.4.2 向采购人、代理机构行贿或者提供其他不正当利益的；</w:t>
      </w:r>
    </w:p>
    <w:p w14:paraId="544029C5">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28.4.3 恶意竞争，最终总报价明显低于其自身合理成本且又无法提供证明的；</w:t>
      </w:r>
    </w:p>
    <w:p w14:paraId="423B5700">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28.4.4 属于本文件规定的无效条件，但在评审过程中又未被磋商小组发现的；</w:t>
      </w:r>
    </w:p>
    <w:p w14:paraId="1FD09ED1">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28.4.5 与采购人或者其他供应商恶意串通的；</w:t>
      </w:r>
    </w:p>
    <w:p w14:paraId="45D5C73B">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28.4.6 采取不正当手段诋毁、排挤其他供应商的；</w:t>
      </w:r>
    </w:p>
    <w:p w14:paraId="4A43F4BF">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28.4.7 不符合法律、法规的规定的。</w:t>
      </w:r>
    </w:p>
    <w:p w14:paraId="1847D193">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29、质疑处理</w:t>
      </w:r>
    </w:p>
    <w:p w14:paraId="4ED5E7FA">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29.1提出质疑的供应商应当是参与所质疑项目采购活动的供应商。潜在供应商依法获取其可质疑的采购文件的，可以对采购文件提出质疑。</w:t>
      </w:r>
    </w:p>
    <w:p w14:paraId="4E6BE6E8">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对项目需求部分的质疑，潜在供应商应向采购人提出，由采购人负责答复。</w:t>
      </w:r>
    </w:p>
    <w:p w14:paraId="337B2298">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29.2供应商认为采购文件、采购过程和中标或成交结果使自己的权益受到损害的，可以在知道或应知其权益受到损害之日起7个工作日内，以书面形式向采购人或代理机构提出质疑。</w:t>
      </w:r>
    </w:p>
    <w:p w14:paraId="11E99C4B">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29.2.1对采购文件提出质疑的，应当在获取采购文件之日或者采购文件公告期限届满之日起7个工作日内提出。</w:t>
      </w:r>
    </w:p>
    <w:p w14:paraId="28DDA0A0">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29.2.2对采购过程提出质疑的，为各采购程序环节结束之日起7个工作日内提出。</w:t>
      </w:r>
    </w:p>
    <w:p w14:paraId="03B7490C">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29.2.3对成交结果提出质疑的，为成交结果公告期限届满之日起7个工作日内提出。</w:t>
      </w:r>
    </w:p>
    <w:p w14:paraId="4A08536D">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29.3供应商应在法定质疑期内一次性提出针对同一采购程序环节的质疑。供应商如在法定期限内对同一采购程序环节提出多次质疑的，代理机构、采购人将只对供应商第一次质疑作出答复。</w:t>
      </w:r>
    </w:p>
    <w:p w14:paraId="4BDF2830">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29.4质疑函必须按照《质疑函范本》及《授权委托书》要求的格式和内容进行填写。供应商如组成联合体参加磋商，则《质疑函范本》及《授权委托书》中要求签字、盖章、加盖公章之处，联合体各方均须按要求签字、盖章、加盖公章。</w:t>
      </w:r>
    </w:p>
    <w:p w14:paraId="045F2DCC">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29.5 代理机构及采购人只接收以纸质原件形式送达的质疑。</w:t>
      </w:r>
    </w:p>
    <w:p w14:paraId="03DDACE1">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采购人质疑接收人及联系方式见采购文件第一章。</w:t>
      </w:r>
    </w:p>
    <w:p w14:paraId="197F3DD6">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29.6代理机构收到质疑申请后，将对质疑的形式和内容进行审查，如质疑内容、格式不符合规定，代理机构将告知质疑人进行补正。</w:t>
      </w:r>
    </w:p>
    <w:p w14:paraId="0CEC2FC5">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29.7质疑人应当在法定质疑期限内进行补正并重新提交质疑函。</w:t>
      </w:r>
    </w:p>
    <w:p w14:paraId="6F8D0AC3">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29.8 以下情形的质疑不予受理</w:t>
      </w:r>
    </w:p>
    <w:p w14:paraId="0A37D487">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29.8.1 内容不符合《政府采购质疑和投诉办法》第十二条规定的质疑。</w:t>
      </w:r>
    </w:p>
    <w:p w14:paraId="59D2B143">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29.8.2 超出政府采购法定期限的质疑。</w:t>
      </w:r>
    </w:p>
    <w:p w14:paraId="161462A9">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29.8.3 以传真、电子邮件等方式递交的非原件形式的质疑。</w:t>
      </w:r>
    </w:p>
    <w:p w14:paraId="2D101EAA">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29.8.4 未参加磋商活动的供应商或在磋商活动中自身权益未受到损害的供应商所提出的质疑。</w:t>
      </w:r>
    </w:p>
    <w:p w14:paraId="657F6D7C">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29.8.5供应商组成联合体参加磋商，联合体中任何一方或多方未按要求签字、盖章、加盖公章的质疑。</w:t>
      </w:r>
    </w:p>
    <w:p w14:paraId="36775DBE">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2784E835">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29.10代理机构应当在收到供应商的书面质疑后7个工作日内作出答复，并以书面形式通知质疑供应商和其他有关供应商，但答复的内容不得涉及商业秘密。</w:t>
      </w:r>
    </w:p>
    <w:p w14:paraId="3F8C4BA3">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29.11质疑供应商对采购人、采购代理机构的答复不满意，或者采购人、采购代理机构未在规定时间内作出答复的，可以在答复期满后15个工作日内向同级财政部门提起投诉。</w:t>
      </w:r>
    </w:p>
    <w:p w14:paraId="6B2F6709">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29.12供应商捏造事实、提供虚假材料或者以非法手段取得证明材料进行投诉的，由财政部门列入不良行为记录名单，禁止其1至3年内参加政府采购活动。 </w:t>
      </w:r>
    </w:p>
    <w:p w14:paraId="1D3A8013">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30、成交通知书</w:t>
      </w:r>
    </w:p>
    <w:p w14:paraId="07776EDC">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30.l 成交结果确定后，代理机构将向成交供应商发出成通知书。</w:t>
      </w:r>
    </w:p>
    <w:p w14:paraId="2D0F58A0">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30.2 成交供应商可在”政府采购交易管理系统（苏采云）”成交通知书下载模块中自行下载成交通知书。</w:t>
      </w:r>
    </w:p>
    <w:p w14:paraId="448A34CC">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30.3成交通知书将是合同的一个组成部分。对采购人和成交供应商均具有法律效力。成交通知书发出后，采购人改变成交结果的，或者成交供应商放弃成交项目的，应当依法承担法律责任。</w:t>
      </w:r>
    </w:p>
    <w:p w14:paraId="28FAB44E">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31、 签订合同</w:t>
      </w:r>
    </w:p>
    <w:p w14:paraId="7FC05970">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31.l成交供应商应在成交通知书发出之日起三十日内，按照采购文件确定的事项与采购人签订政府采购合同。</w:t>
      </w:r>
    </w:p>
    <w:p w14:paraId="58487E89">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31.2 采购文件、成交供应商的响应文件及磋商过程中有关澄清、承诺文件均应作为合同附件。</w:t>
      </w:r>
    </w:p>
    <w:p w14:paraId="71E2217E">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31.3 合同在“政府采购管理交易系统（苏采云）”中签订，签订合同后，</w:t>
      </w:r>
      <w:r>
        <w:rPr>
          <w:rFonts w:hint="eastAsia" w:ascii="宋体" w:hAnsi="宋体" w:cs="宋体"/>
          <w:i/>
          <w:iCs/>
          <w:color w:val="auto"/>
          <w:sz w:val="24"/>
          <w:szCs w:val="24"/>
          <w:highlight w:val="none"/>
          <w:u w:val="single"/>
        </w:rPr>
        <w:t>成交供应商不得将货物或服务及其他服务进行转包</w:t>
      </w:r>
      <w:r>
        <w:rPr>
          <w:rFonts w:hint="eastAsia" w:ascii="宋体" w:hAnsi="宋体" w:cs="宋体"/>
          <w:color w:val="auto"/>
          <w:sz w:val="24"/>
          <w:szCs w:val="24"/>
          <w:highlight w:val="none"/>
        </w:rPr>
        <w:t>。未经采购人同意，成交供应商也不得采用分包的形式履行合同，否则采购人有权终止合同，成交供应商的履约保证金将不予退还。转包或分包造成采购人损失的，成交供应商应承担赔偿责任。</w:t>
      </w:r>
    </w:p>
    <w:p w14:paraId="6912B67E">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14:paraId="0A4002E3">
      <w:pPr>
        <w:spacing w:line="360" w:lineRule="auto"/>
        <w:ind w:firstLine="422"/>
        <w:rPr>
          <w:rFonts w:ascii="宋体" w:hAnsi="宋体" w:cs="宋体"/>
          <w:color w:val="auto"/>
          <w:sz w:val="24"/>
          <w:szCs w:val="24"/>
          <w:highlight w:val="none"/>
        </w:rPr>
      </w:pPr>
      <w:r>
        <w:rPr>
          <w:rFonts w:hint="eastAsia" w:ascii="宋体" w:hAnsi="宋体" w:cs="宋体"/>
          <w:color w:val="auto"/>
          <w:sz w:val="24"/>
          <w:szCs w:val="24"/>
          <w:highlight w:val="none"/>
        </w:rPr>
        <w:t>32、其他</w:t>
      </w:r>
    </w:p>
    <w:p w14:paraId="32B55855">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32.1 依据《政府采购促进中小企业发展管理办法》享受享受扶持政策获得政府采购合同的，小微企业不得将合同分包给大中型企业，中型企业不得将合同分包给大型企业。</w:t>
      </w:r>
    </w:p>
    <w:p w14:paraId="755556CB">
      <w:pPr>
        <w:spacing w:line="360" w:lineRule="auto"/>
        <w:rPr>
          <w:rFonts w:ascii="宋体" w:hAnsi="宋体" w:cs="宋体"/>
          <w:color w:val="auto"/>
          <w:highlight w:val="none"/>
        </w:rPr>
      </w:pPr>
    </w:p>
    <w:p w14:paraId="5BA17C9A">
      <w:pPr>
        <w:pStyle w:val="237"/>
        <w:numPr>
          <w:ilvl w:val="0"/>
          <w:numId w:val="3"/>
        </w:numPr>
        <w:spacing w:line="360" w:lineRule="auto"/>
        <w:jc w:val="center"/>
        <w:rPr>
          <w:rFonts w:ascii="宋体" w:hAnsi="宋体" w:cs="宋体"/>
          <w:color w:val="auto"/>
          <w:highlight w:val="none"/>
        </w:rPr>
      </w:pPr>
      <w:bookmarkStart w:id="34" w:name="_Toc109304973"/>
      <w:r>
        <w:rPr>
          <w:rFonts w:hint="eastAsia" w:ascii="宋体" w:hAnsi="宋体" w:cs="宋体"/>
          <w:color w:val="auto"/>
          <w:highlight w:val="none"/>
        </w:rPr>
        <w:br w:type="page" w:clear="all"/>
      </w:r>
      <w:bookmarkEnd w:id="34"/>
      <w:bookmarkStart w:id="35" w:name="_Toc109304974"/>
      <w:r>
        <w:rPr>
          <w:rFonts w:hint="eastAsia" w:ascii="宋体" w:hAnsi="宋体" w:cs="宋体"/>
          <w:color w:val="auto"/>
          <w:highlight w:val="none"/>
        </w:rPr>
        <w:t>合同条款及格式</w:t>
      </w:r>
    </w:p>
    <w:p w14:paraId="49F7E7B0">
      <w:pPr>
        <w:ind w:firstLine="1040"/>
        <w:jc w:val="center"/>
        <w:rPr>
          <w:rFonts w:eastAsia="黑体"/>
          <w:color w:val="auto"/>
          <w:sz w:val="52"/>
          <w:highlight w:val="none"/>
        </w:rPr>
      </w:pPr>
      <w:r>
        <w:rPr>
          <w:rFonts w:hint="eastAsia" w:eastAsia="黑体"/>
          <w:color w:val="auto"/>
          <w:sz w:val="52"/>
          <w:highlight w:val="none"/>
        </w:rPr>
        <w:t>南京市政府采购合同</w:t>
      </w:r>
    </w:p>
    <w:p w14:paraId="2E1A49D1">
      <w:pPr>
        <w:ind w:firstLine="1807"/>
        <w:rPr>
          <w:rFonts w:ascii="黑体" w:eastAsia="黑体"/>
          <w:b/>
          <w:color w:val="auto"/>
          <w:sz w:val="36"/>
          <w:highlight w:val="none"/>
        </w:rPr>
      </w:pPr>
    </w:p>
    <w:p w14:paraId="0E720290">
      <w:pPr>
        <w:rPr>
          <w:rFonts w:ascii="黑体" w:eastAsia="黑体"/>
          <w:b/>
          <w:color w:val="auto"/>
          <w:sz w:val="36"/>
          <w:highlight w:val="none"/>
        </w:rPr>
      </w:pPr>
    </w:p>
    <w:p w14:paraId="0DEAA211">
      <w:pPr>
        <w:ind w:firstLine="1807"/>
        <w:rPr>
          <w:rFonts w:ascii="黑体" w:eastAsia="黑体"/>
          <w:b/>
          <w:color w:val="auto"/>
          <w:sz w:val="36"/>
          <w:highlight w:val="none"/>
        </w:rPr>
      </w:pPr>
    </w:p>
    <w:p w14:paraId="48477E54">
      <w:pPr>
        <w:ind w:firstLine="1918"/>
        <w:rPr>
          <w:rFonts w:ascii="黑体" w:eastAsia="黑体"/>
          <w:b/>
          <w:color w:val="auto"/>
          <w:sz w:val="36"/>
          <w:highlight w:val="none"/>
        </w:rPr>
      </w:pPr>
      <w:r>
        <w:rPr>
          <w:rFonts w:hint="eastAsia" w:ascii="黑体" w:eastAsia="黑体"/>
          <w:b/>
          <w:color w:val="auto"/>
          <w:sz w:val="36"/>
          <w:highlight w:val="none"/>
        </w:rPr>
        <w:t>合同编号：</w:t>
      </w:r>
    </w:p>
    <w:p w14:paraId="73B56A4F">
      <w:pPr>
        <w:ind w:firstLine="1918"/>
        <w:rPr>
          <w:rFonts w:ascii="黑体" w:eastAsia="黑体"/>
          <w:b/>
          <w:color w:val="auto"/>
          <w:sz w:val="36"/>
          <w:highlight w:val="none"/>
          <w:u w:val="single"/>
        </w:rPr>
      </w:pPr>
      <w:r>
        <w:rPr>
          <w:rFonts w:hint="eastAsia" w:ascii="黑体" w:eastAsia="黑体"/>
          <w:b/>
          <w:color w:val="auto"/>
          <w:sz w:val="36"/>
          <w:highlight w:val="none"/>
        </w:rPr>
        <w:t>项目名称：</w:t>
      </w:r>
    </w:p>
    <w:p w14:paraId="417AFBE7">
      <w:pPr>
        <w:ind w:firstLine="1918"/>
        <w:rPr>
          <w:rFonts w:ascii="黑体" w:eastAsia="黑体"/>
          <w:b/>
          <w:color w:val="auto"/>
          <w:sz w:val="36"/>
          <w:highlight w:val="none"/>
          <w:u w:val="single"/>
        </w:rPr>
      </w:pPr>
      <w:r>
        <w:rPr>
          <w:rFonts w:hint="eastAsia" w:ascii="黑体" w:eastAsia="黑体"/>
          <w:b/>
          <w:color w:val="auto"/>
          <w:sz w:val="36"/>
          <w:highlight w:val="none"/>
        </w:rPr>
        <w:t>采购人：</w:t>
      </w:r>
    </w:p>
    <w:p w14:paraId="127DF354">
      <w:pPr>
        <w:ind w:firstLine="1916"/>
        <w:rPr>
          <w:rFonts w:ascii="黑体" w:eastAsia="黑体"/>
          <w:b/>
          <w:color w:val="auto"/>
          <w:sz w:val="36"/>
          <w:highlight w:val="none"/>
        </w:rPr>
      </w:pPr>
      <w:r>
        <w:rPr>
          <w:rFonts w:hint="eastAsia" w:ascii="黑体" w:eastAsia="黑体"/>
          <w:b/>
          <w:color w:val="auto"/>
          <w:sz w:val="36"/>
          <w:highlight w:val="none"/>
        </w:rPr>
        <w:t>供应商：</w:t>
      </w:r>
    </w:p>
    <w:p w14:paraId="3A2225EC">
      <w:pPr>
        <w:ind w:firstLine="1916"/>
        <w:rPr>
          <w:rFonts w:ascii="黑体" w:eastAsia="黑体"/>
          <w:b/>
          <w:color w:val="auto"/>
          <w:sz w:val="36"/>
          <w:highlight w:val="none"/>
        </w:rPr>
      </w:pPr>
      <w:r>
        <w:rPr>
          <w:rFonts w:hint="eastAsia" w:ascii="黑体" w:eastAsia="黑体"/>
          <w:b/>
          <w:color w:val="auto"/>
          <w:sz w:val="36"/>
          <w:highlight w:val="none"/>
        </w:rPr>
        <w:t>签订日期：</w:t>
      </w:r>
    </w:p>
    <w:p w14:paraId="7A01478E">
      <w:pPr>
        <w:rPr>
          <w:rFonts w:ascii="黑体" w:eastAsia="黑体"/>
          <w:color w:val="auto"/>
          <w:sz w:val="36"/>
          <w:highlight w:val="none"/>
        </w:rPr>
      </w:pPr>
    </w:p>
    <w:p w14:paraId="1B2628C0">
      <w:pPr>
        <w:rPr>
          <w:rFonts w:ascii="黑体" w:eastAsia="黑体"/>
          <w:color w:val="auto"/>
          <w:sz w:val="36"/>
          <w:highlight w:val="none"/>
        </w:rPr>
      </w:pPr>
    </w:p>
    <w:p w14:paraId="5E06637E">
      <w:pPr>
        <w:rPr>
          <w:rFonts w:ascii="黑体" w:eastAsia="黑体"/>
          <w:color w:val="auto"/>
          <w:sz w:val="36"/>
          <w:highlight w:val="none"/>
        </w:rPr>
      </w:pPr>
    </w:p>
    <w:p w14:paraId="7F0FF613">
      <w:pPr>
        <w:pStyle w:val="15"/>
        <w:rPr>
          <w:color w:val="auto"/>
          <w:highlight w:val="none"/>
        </w:rPr>
      </w:pPr>
    </w:p>
    <w:p w14:paraId="6F9A0376">
      <w:pPr>
        <w:jc w:val="center"/>
        <w:rPr>
          <w:rFonts w:ascii="黑体" w:eastAsia="黑体"/>
          <w:b/>
          <w:color w:val="auto"/>
          <w:sz w:val="36"/>
          <w:highlight w:val="none"/>
        </w:rPr>
      </w:pPr>
      <w:r>
        <w:rPr>
          <w:rFonts w:hint="eastAsia" w:ascii="黑体" w:eastAsia="黑体"/>
          <w:b/>
          <w:color w:val="auto"/>
          <w:sz w:val="36"/>
          <w:highlight w:val="none"/>
        </w:rPr>
        <w:t>南京市工商行政管理局</w:t>
      </w:r>
    </w:p>
    <w:p w14:paraId="5E7D3682">
      <w:pPr>
        <w:jc w:val="center"/>
        <w:rPr>
          <w:rFonts w:ascii="黑体" w:eastAsia="黑体"/>
          <w:b/>
          <w:color w:val="auto"/>
          <w:sz w:val="36"/>
          <w:highlight w:val="none"/>
        </w:rPr>
      </w:pPr>
    </w:p>
    <w:p w14:paraId="3D265D7D">
      <w:pPr>
        <w:jc w:val="center"/>
        <w:rPr>
          <w:rFonts w:ascii="黑体" w:eastAsia="黑体"/>
          <w:b/>
          <w:color w:val="auto"/>
          <w:sz w:val="36"/>
          <w:highlight w:val="none"/>
        </w:rPr>
      </w:pPr>
      <w:r>
        <w:rPr>
          <w:rFonts w:hint="eastAsia" w:ascii="黑体" w:eastAsia="黑体"/>
          <w:b/>
          <w:color w:val="auto"/>
          <w:sz w:val="36"/>
          <w:highlight w:val="none"/>
        </w:rPr>
        <w:t>南京市财政局监制</w:t>
      </w:r>
    </w:p>
    <w:p w14:paraId="49D0052D">
      <w:pPr>
        <w:pStyle w:val="15"/>
        <w:rPr>
          <w:color w:val="auto"/>
          <w:highlight w:val="none"/>
          <w:lang w:val="zh-CN"/>
        </w:rPr>
      </w:pPr>
    </w:p>
    <w:p w14:paraId="3C67622E">
      <w:pPr>
        <w:rPr>
          <w:rFonts w:asciiTheme="minorEastAsia" w:hAnsiTheme="minorEastAsia"/>
          <w:color w:val="auto"/>
          <w:szCs w:val="21"/>
          <w:highlight w:val="none"/>
        </w:rPr>
      </w:pPr>
      <w:r>
        <w:rPr>
          <w:rFonts w:hint="eastAsia" w:asciiTheme="minorEastAsia" w:hAnsiTheme="minorEastAsia"/>
          <w:color w:val="auto"/>
          <w:szCs w:val="21"/>
          <w:highlight w:val="none"/>
        </w:rPr>
        <w:br w:type="page"/>
      </w:r>
    </w:p>
    <w:p w14:paraId="7027E324">
      <w:pPr>
        <w:spacing w:line="360" w:lineRule="auto"/>
        <w:ind w:firstLine="420"/>
        <w:contextualSpacing/>
        <w:rPr>
          <w:rFonts w:ascii="宋体" w:hAnsi="宋体" w:cs="宋体"/>
          <w:color w:val="auto"/>
          <w:sz w:val="24"/>
          <w:szCs w:val="24"/>
          <w:highlight w:val="none"/>
        </w:rPr>
      </w:pPr>
      <w:r>
        <w:rPr>
          <w:rFonts w:hint="eastAsia" w:ascii="宋体" w:hAnsi="宋体" w:cs="宋体"/>
          <w:color w:val="auto"/>
          <w:sz w:val="24"/>
          <w:szCs w:val="24"/>
          <w:highlight w:val="none"/>
        </w:rPr>
        <w:t>政府采购计划号：</w:t>
      </w:r>
    </w:p>
    <w:tbl>
      <w:tblPr>
        <w:tblStyle w:val="40"/>
        <w:tblW w:w="9286" w:type="dxa"/>
        <w:tblInd w:w="0" w:type="dxa"/>
        <w:tblLayout w:type="fixed"/>
        <w:tblCellMar>
          <w:top w:w="0" w:type="dxa"/>
          <w:left w:w="108" w:type="dxa"/>
          <w:bottom w:w="0" w:type="dxa"/>
          <w:right w:w="108" w:type="dxa"/>
        </w:tblCellMar>
      </w:tblPr>
      <w:tblGrid>
        <w:gridCol w:w="4643"/>
        <w:gridCol w:w="4643"/>
      </w:tblGrid>
      <w:tr w14:paraId="0A9FC66F">
        <w:tblPrEx>
          <w:tblCellMar>
            <w:top w:w="0" w:type="dxa"/>
            <w:left w:w="108" w:type="dxa"/>
            <w:bottom w:w="0" w:type="dxa"/>
            <w:right w:w="108" w:type="dxa"/>
          </w:tblCellMar>
        </w:tblPrEx>
        <w:tc>
          <w:tcPr>
            <w:tcW w:w="4643" w:type="dxa"/>
            <w:tcBorders>
              <w:top w:val="nil"/>
              <w:left w:val="nil"/>
              <w:bottom w:val="nil"/>
              <w:right w:val="nil"/>
            </w:tcBorders>
          </w:tcPr>
          <w:p w14:paraId="39C7FB81">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采购人（以下称甲方）：</w:t>
            </w:r>
          </w:p>
        </w:tc>
        <w:tc>
          <w:tcPr>
            <w:tcW w:w="4643" w:type="dxa"/>
            <w:tcBorders>
              <w:top w:val="nil"/>
              <w:left w:val="nil"/>
              <w:bottom w:val="nil"/>
              <w:right w:val="nil"/>
            </w:tcBorders>
          </w:tcPr>
          <w:p w14:paraId="52DE51C5">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供应商：（以下称乙方）</w:t>
            </w:r>
          </w:p>
        </w:tc>
      </w:tr>
      <w:tr w14:paraId="4C1B6420">
        <w:tblPrEx>
          <w:tblCellMar>
            <w:top w:w="0" w:type="dxa"/>
            <w:left w:w="108" w:type="dxa"/>
            <w:bottom w:w="0" w:type="dxa"/>
            <w:right w:w="108" w:type="dxa"/>
          </w:tblCellMar>
        </w:tblPrEx>
        <w:tc>
          <w:tcPr>
            <w:tcW w:w="4643" w:type="dxa"/>
            <w:tcBorders>
              <w:top w:val="nil"/>
              <w:left w:val="nil"/>
              <w:bottom w:val="nil"/>
              <w:right w:val="nil"/>
            </w:tcBorders>
          </w:tcPr>
          <w:p w14:paraId="7FA6E179">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住所地：</w:t>
            </w:r>
          </w:p>
        </w:tc>
        <w:tc>
          <w:tcPr>
            <w:tcW w:w="4643" w:type="dxa"/>
            <w:tcBorders>
              <w:top w:val="nil"/>
              <w:left w:val="nil"/>
              <w:bottom w:val="nil"/>
              <w:right w:val="nil"/>
            </w:tcBorders>
          </w:tcPr>
          <w:p w14:paraId="286133EF">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住所地：</w:t>
            </w:r>
          </w:p>
        </w:tc>
      </w:tr>
    </w:tbl>
    <w:p w14:paraId="37637431">
      <w:pPr>
        <w:spacing w:line="360" w:lineRule="auto"/>
        <w:ind w:firstLine="420"/>
        <w:contextualSpacing/>
        <w:rPr>
          <w:rFonts w:ascii="宋体" w:hAnsi="宋体" w:cs="宋体"/>
          <w:color w:val="auto"/>
          <w:sz w:val="24"/>
          <w:szCs w:val="24"/>
          <w:highlight w:val="none"/>
        </w:rPr>
      </w:pPr>
      <w:r>
        <w:rPr>
          <w:rFonts w:hint="eastAsia" w:ascii="宋体" w:hAnsi="宋体" w:cs="宋体"/>
          <w:color w:val="auto"/>
          <w:sz w:val="24"/>
          <w:szCs w:val="24"/>
          <w:highlight w:val="none"/>
        </w:rPr>
        <w:t>根据《中华人民共和国政府采购法》、《中华人民共和国民法典》等法律法规的规定，甲乙双方按照采购结果签订本合同，就乙方承担甲方的</w:t>
      </w:r>
      <w:r>
        <w:rPr>
          <w:rFonts w:hint="eastAsia" w:ascii="宋体" w:hAnsi="宋体" w:cs="宋体"/>
          <w:color w:val="auto"/>
          <w:sz w:val="24"/>
          <w:szCs w:val="24"/>
          <w:highlight w:val="none"/>
          <w:u w:val="single"/>
        </w:rPr>
        <w:t>2026-2028年度南京市不动产登记窗口前置扫描服务</w:t>
      </w:r>
      <w:r>
        <w:rPr>
          <w:rFonts w:hint="eastAsia" w:ascii="宋体" w:hAnsi="宋体" w:cs="宋体"/>
          <w:color w:val="auto"/>
          <w:sz w:val="24"/>
          <w:szCs w:val="24"/>
          <w:highlight w:val="none"/>
        </w:rPr>
        <w:t>有关事务达成如下协议。</w:t>
      </w:r>
    </w:p>
    <w:p w14:paraId="0B3370F3">
      <w:pPr>
        <w:tabs>
          <w:tab w:val="left" w:pos="1134"/>
          <w:tab w:val="left" w:pos="1418"/>
        </w:tabs>
        <w:spacing w:line="360" w:lineRule="auto"/>
        <w:ind w:firstLine="422"/>
        <w:contextualSpacing/>
        <w:rPr>
          <w:rFonts w:ascii="宋体" w:hAnsi="宋体" w:cs="宋体"/>
          <w:b/>
          <w:color w:val="auto"/>
          <w:sz w:val="24"/>
          <w:szCs w:val="24"/>
          <w:highlight w:val="none"/>
        </w:rPr>
      </w:pPr>
      <w:r>
        <w:rPr>
          <w:rFonts w:hint="eastAsia" w:ascii="宋体" w:hAnsi="宋体" w:cs="宋体"/>
          <w:b/>
          <w:color w:val="auto"/>
          <w:sz w:val="24"/>
          <w:szCs w:val="24"/>
          <w:highlight w:val="none"/>
        </w:rPr>
        <w:t>第一条合同标的</w:t>
      </w:r>
    </w:p>
    <w:p w14:paraId="6B175CBF">
      <w:pPr>
        <w:tabs>
          <w:tab w:val="left" w:pos="1134"/>
          <w:tab w:val="left" w:pos="1418"/>
        </w:tabs>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1、乙方根据甲方需求提供下列服务：</w:t>
      </w:r>
      <w:r>
        <w:rPr>
          <w:rFonts w:hint="eastAsia" w:ascii="宋体" w:hAnsi="宋体" w:cs="宋体"/>
          <w:color w:val="auto"/>
          <w:sz w:val="24"/>
          <w:szCs w:val="24"/>
          <w:highlight w:val="none"/>
          <w:u w:val="single"/>
        </w:rPr>
        <w:t>2026-2028年度南京市不动产登记窗口前置扫描服务</w:t>
      </w:r>
      <w:r>
        <w:rPr>
          <w:rFonts w:hint="eastAsia" w:ascii="宋体" w:hAnsi="宋体" w:cs="宋体"/>
          <w:color w:val="auto"/>
          <w:sz w:val="24"/>
          <w:szCs w:val="24"/>
          <w:highlight w:val="none"/>
        </w:rPr>
        <w:t>。</w:t>
      </w:r>
    </w:p>
    <w:p w14:paraId="1868368A">
      <w:pPr>
        <w:tabs>
          <w:tab w:val="left" w:pos="1134"/>
          <w:tab w:val="left" w:pos="1418"/>
        </w:tabs>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2、具体服务内容：为满足市本级登记受理窗口非立等可取案件的无纸化流转审核工作需要，即收件后立即通过扫描方式，将纸质材料转化为影像文件，挂接到业务网上，纸质案袋不再流转，审核人员通过业务系统审阅相关材料影像文件，完成审核登簿工作。</w:t>
      </w:r>
    </w:p>
    <w:p w14:paraId="5F647915">
      <w:pPr>
        <w:tabs>
          <w:tab w:val="left" w:pos="1134"/>
          <w:tab w:val="left" w:pos="1418"/>
        </w:tabs>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前置扫描覆盖业务类型：除大宗批量案件、非公证继承案件、下队调查案件外需提交审核部门的案件。</w:t>
      </w:r>
    </w:p>
    <w:p w14:paraId="41202882">
      <w:pPr>
        <w:tabs>
          <w:tab w:val="left" w:pos="1134"/>
          <w:tab w:val="left" w:pos="1418"/>
        </w:tabs>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前置扫描仅扫描资料图像并按要求的顺序导入相应业务案件管理系统，不进行条目著录，且须在收到资料后1小时内完成。归档扫描须区分证书、证明、其他等三类不动产登记纸质资料进行整理、编页、扫描、建库，导入采购人档案管理系统，完成档案著录、挂接、整理装订、上架入库以及对应档案数字化整合等归档工作。</w:t>
      </w:r>
    </w:p>
    <w:p w14:paraId="39EC73C4">
      <w:pPr>
        <w:tabs>
          <w:tab w:val="left" w:pos="1134"/>
          <w:tab w:val="left" w:pos="1418"/>
        </w:tabs>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3、具体工作数量：</w:t>
      </w:r>
      <w:r>
        <w:rPr>
          <w:rFonts w:hint="eastAsia" w:ascii="宋体" w:hAnsi="宋体" w:cs="宋体"/>
          <w:color w:val="auto"/>
          <w:sz w:val="24"/>
          <w:szCs w:val="24"/>
          <w:highlight w:val="none"/>
          <w:u w:val="single"/>
        </w:rPr>
        <w:t>2026-2028</w:t>
      </w:r>
      <w:r>
        <w:rPr>
          <w:rFonts w:hint="eastAsia" w:ascii="宋体" w:hAnsi="宋体" w:cs="宋体"/>
          <w:color w:val="auto"/>
          <w:sz w:val="24"/>
          <w:szCs w:val="24"/>
          <w:highlight w:val="none"/>
        </w:rPr>
        <w:t>三年不动产登记中心受理窗口收件的部分流程来案资料。</w:t>
      </w:r>
    </w:p>
    <w:p w14:paraId="34F3660F">
      <w:pPr>
        <w:tabs>
          <w:tab w:val="left" w:pos="1134"/>
          <w:tab w:val="left" w:pos="1418"/>
        </w:tabs>
        <w:spacing w:line="360" w:lineRule="auto"/>
        <w:ind w:firstLine="422"/>
        <w:contextualSpacing/>
        <w:rPr>
          <w:rFonts w:ascii="宋体" w:hAnsi="宋体" w:cs="宋体"/>
          <w:b/>
          <w:color w:val="auto"/>
          <w:sz w:val="24"/>
          <w:szCs w:val="24"/>
          <w:highlight w:val="none"/>
        </w:rPr>
      </w:pPr>
      <w:r>
        <w:rPr>
          <w:rFonts w:hint="eastAsia" w:ascii="宋体" w:hAnsi="宋体" w:cs="宋体"/>
          <w:b/>
          <w:color w:val="auto"/>
          <w:sz w:val="24"/>
          <w:szCs w:val="24"/>
          <w:highlight w:val="none"/>
        </w:rPr>
        <w:t>第二条 合同总价款</w:t>
      </w:r>
    </w:p>
    <w:p w14:paraId="27A1521E">
      <w:pPr>
        <w:tabs>
          <w:tab w:val="left" w:pos="1134"/>
          <w:tab w:val="left" w:pos="1418"/>
        </w:tabs>
        <w:spacing w:line="360" w:lineRule="auto"/>
        <w:ind w:firstLine="420"/>
        <w:contextualSpacing/>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1、本合同项下签约合同价为</w:t>
      </w:r>
      <w:r>
        <w:rPr>
          <w:rFonts w:hint="eastAsia" w:ascii="宋体" w:hAnsi="宋体" w:cs="宋体"/>
          <w:color w:val="auto"/>
          <w:sz w:val="24"/>
          <w:szCs w:val="24"/>
          <w:highlight w:val="non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万</w:t>
      </w:r>
      <w:r>
        <w:rPr>
          <w:rFonts w:hint="eastAsia" w:ascii="宋体" w:hAnsi="宋体" w:cs="宋体"/>
          <w:color w:val="auto"/>
          <w:sz w:val="24"/>
          <w:szCs w:val="24"/>
          <w:highlight w:val="none"/>
          <w:u w:val="single"/>
          <w:lang w:val="zh-CN"/>
        </w:rPr>
        <w:t>元</w:t>
      </w:r>
      <w:r>
        <w:rPr>
          <w:rFonts w:hint="eastAsia" w:ascii="宋体" w:hAnsi="宋体" w:cs="宋体"/>
          <w:color w:val="auto"/>
          <w:sz w:val="24"/>
          <w:szCs w:val="24"/>
          <w:highlight w:val="none"/>
          <w:lang w:val="zh-CN"/>
        </w:rPr>
        <w:t>（大写）人民币。</w:t>
      </w:r>
    </w:p>
    <w:p w14:paraId="0F858DA4">
      <w:pPr>
        <w:tabs>
          <w:tab w:val="left" w:pos="1134"/>
          <w:tab w:val="left" w:pos="1418"/>
        </w:tabs>
        <w:spacing w:line="360" w:lineRule="auto"/>
        <w:ind w:firstLine="420"/>
        <w:contextualSpacing/>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2、本合同总价款包含完成本服务项目发生的所有含税费用、支付给员工的工资和国家强制缴纳的各种社会保障资金，以及供应商认为需要的其他费用等。</w:t>
      </w:r>
    </w:p>
    <w:p w14:paraId="0CAB70A0">
      <w:pPr>
        <w:tabs>
          <w:tab w:val="left" w:pos="1134"/>
          <w:tab w:val="left" w:pos="1418"/>
        </w:tabs>
        <w:spacing w:line="360" w:lineRule="auto"/>
        <w:ind w:firstLine="420"/>
        <w:contextualSpacing/>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3、本合同总价款还包含乙方应当提供的伴随服务/售后维保服务费用。</w:t>
      </w:r>
    </w:p>
    <w:p w14:paraId="39E921D9">
      <w:pPr>
        <w:tabs>
          <w:tab w:val="left" w:pos="1134"/>
          <w:tab w:val="left" w:pos="1418"/>
        </w:tabs>
        <w:spacing w:line="360" w:lineRule="auto"/>
        <w:ind w:firstLine="422"/>
        <w:contextualSpacing/>
        <w:jc w:val="left"/>
        <w:rPr>
          <w:rFonts w:ascii="宋体" w:hAnsi="宋体" w:cs="宋体"/>
          <w:b/>
          <w:color w:val="auto"/>
          <w:sz w:val="24"/>
          <w:szCs w:val="24"/>
          <w:highlight w:val="none"/>
        </w:rPr>
      </w:pPr>
      <w:r>
        <w:rPr>
          <w:rFonts w:hint="eastAsia" w:ascii="宋体" w:hAnsi="宋体" w:cs="宋体"/>
          <w:b/>
          <w:color w:val="auto"/>
          <w:sz w:val="24"/>
          <w:szCs w:val="24"/>
          <w:highlight w:val="none"/>
        </w:rPr>
        <w:t>第三条 质量要求</w:t>
      </w:r>
      <w:r>
        <w:rPr>
          <w:rFonts w:hint="eastAsia" w:ascii="宋体" w:hAnsi="宋体" w:cs="宋体"/>
          <w:b/>
          <w:color w:val="auto"/>
          <w:sz w:val="24"/>
          <w:szCs w:val="24"/>
          <w:highlight w:val="none"/>
        </w:rPr>
        <w:tab/>
      </w:r>
    </w:p>
    <w:p w14:paraId="1B4D7141">
      <w:pPr>
        <w:tabs>
          <w:tab w:val="left" w:pos="1134"/>
          <w:tab w:val="left" w:pos="1418"/>
        </w:tabs>
        <w:spacing w:line="360" w:lineRule="auto"/>
        <w:ind w:firstLine="420"/>
        <w:contextualSpacing/>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1、乙方每天向甲方提交当天进入系统的数字化影像对应的不动产登记来案的数字化影像数据。</w:t>
      </w:r>
    </w:p>
    <w:p w14:paraId="480EEC77">
      <w:pPr>
        <w:tabs>
          <w:tab w:val="left" w:pos="1134"/>
          <w:tab w:val="left" w:pos="1418"/>
        </w:tabs>
        <w:spacing w:line="360" w:lineRule="auto"/>
        <w:ind w:firstLine="420"/>
        <w:contextualSpacing/>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2、按照本项目的技术要求，乙方每天自行核查数据检验范围中的加工数据并做好自查质检，漏扫、错扫等均视为不合格。不合格的必须及时返工合格后上传提交。</w:t>
      </w:r>
    </w:p>
    <w:p w14:paraId="281BD4F9">
      <w:pPr>
        <w:tabs>
          <w:tab w:val="left" w:pos="1134"/>
          <w:tab w:val="left" w:pos="1418"/>
        </w:tabs>
        <w:spacing w:line="360" w:lineRule="auto"/>
        <w:ind w:firstLine="420"/>
        <w:contextualSpacing/>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3、</w:t>
      </w:r>
      <w:r>
        <w:rPr>
          <w:rFonts w:hint="eastAsia" w:ascii="宋体" w:hAnsi="宋体"/>
          <w:color w:val="auto"/>
          <w:sz w:val="24"/>
          <w:highlight w:val="none"/>
        </w:rPr>
        <w:t>采购人按10%的比例抽查加工完成扫描的资料</w:t>
      </w:r>
      <w:r>
        <w:rPr>
          <w:rFonts w:hint="eastAsia" w:ascii="宋体" w:hAnsi="宋体" w:cs="宋体"/>
          <w:color w:val="auto"/>
          <w:sz w:val="24"/>
          <w:szCs w:val="24"/>
          <w:highlight w:val="none"/>
          <w:lang w:val="zh-CN"/>
        </w:rPr>
        <w:t xml:space="preserve">，检查内容包括对图像质量、图像和实体的对应、图像属性的质量、图像与属性的对应、数据完整性等。如果在影像利用中发现质量错误的，甲方将实体资料退回给乙方，由乙方重新进行处理或加工后再行移交。 </w:t>
      </w:r>
    </w:p>
    <w:p w14:paraId="092E8BEC">
      <w:pPr>
        <w:tabs>
          <w:tab w:val="left" w:pos="1134"/>
          <w:tab w:val="left" w:pos="1418"/>
        </w:tabs>
        <w:spacing w:line="360" w:lineRule="auto"/>
        <w:ind w:firstLine="420"/>
        <w:contextualSpacing/>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4、扫描质检项目：实体资料是否扫描完整、是否漏扫或多扫；扫描顺序是否与实体资料一致；图像是否清晰；图像是否进行方向调整处理等；案件对应挂接是否正确一致；以及其他需要检查的项目。</w:t>
      </w:r>
    </w:p>
    <w:p w14:paraId="350D8523">
      <w:pPr>
        <w:tabs>
          <w:tab w:val="left" w:pos="1134"/>
          <w:tab w:val="left" w:pos="1418"/>
        </w:tabs>
        <w:spacing w:line="360" w:lineRule="auto"/>
        <w:ind w:firstLine="422"/>
        <w:contextualSpacing/>
        <w:jc w:val="left"/>
        <w:rPr>
          <w:rFonts w:ascii="宋体" w:hAnsi="宋体" w:cs="宋体"/>
          <w:b/>
          <w:color w:val="auto"/>
          <w:sz w:val="24"/>
          <w:szCs w:val="24"/>
          <w:highlight w:val="none"/>
        </w:rPr>
      </w:pPr>
      <w:r>
        <w:rPr>
          <w:rFonts w:hint="eastAsia" w:ascii="宋体" w:hAnsi="宋体" w:cs="宋体"/>
          <w:b/>
          <w:color w:val="auto"/>
          <w:sz w:val="24"/>
          <w:szCs w:val="24"/>
          <w:highlight w:val="none"/>
        </w:rPr>
        <w:t>第四条 具体工作内容</w:t>
      </w:r>
    </w:p>
    <w:p w14:paraId="675D8D41">
      <w:pPr>
        <w:tabs>
          <w:tab w:val="left" w:pos="1134"/>
          <w:tab w:val="left" w:pos="1418"/>
        </w:tabs>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（一）采购人派人对中标供应商加工人员进行培训，培训期大约一周，并在项目实施过程中提供业务指导和质检。发现问题时，双方应积极处理，及时协调解决。</w:t>
      </w:r>
    </w:p>
    <w:p w14:paraId="1FEA9D9F">
      <w:pPr>
        <w:tabs>
          <w:tab w:val="left" w:pos="1134"/>
          <w:tab w:val="left" w:pos="1418"/>
        </w:tabs>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（二）日常加工过程中，中标供应商应严格执行采购人提出的各项技术要求。</w:t>
      </w:r>
    </w:p>
    <w:p w14:paraId="09B8D585">
      <w:pPr>
        <w:tabs>
          <w:tab w:val="left" w:pos="1134"/>
          <w:tab w:val="left" w:pos="1418"/>
        </w:tabs>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（三）加工交接要求</w:t>
      </w:r>
    </w:p>
    <w:p w14:paraId="2A55F608">
      <w:pPr>
        <w:tabs>
          <w:tab w:val="left" w:pos="1134"/>
          <w:tab w:val="left" w:pos="1418"/>
        </w:tabs>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1、严格执行来案资料交接手续，采购人窗口收件人员将收件来案资料及时移交给中标供应商，通过智能流转或人工交接，做好与上下作业环节的交接和记录，保证整理扫描后的妥善保管。</w:t>
      </w:r>
    </w:p>
    <w:p w14:paraId="592737EC">
      <w:pPr>
        <w:tabs>
          <w:tab w:val="left" w:pos="1134"/>
          <w:tab w:val="left" w:pos="1418"/>
        </w:tabs>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2、资料整理扫描开始和结束时，扫描人都必须认真核对清点纸质材料和扫描图像的数量，保证两者的一致性和完整性。</w:t>
      </w:r>
    </w:p>
    <w:p w14:paraId="68BF0575">
      <w:pPr>
        <w:tabs>
          <w:tab w:val="left" w:pos="1134"/>
          <w:tab w:val="left" w:pos="1418"/>
        </w:tabs>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3、日常加工过程中，中标供应商要协助采购人做好来案资料的临时保管、日常临时查档及向档案部门移交归档工作。</w:t>
      </w:r>
    </w:p>
    <w:p w14:paraId="1556031E">
      <w:pPr>
        <w:tabs>
          <w:tab w:val="left" w:pos="1134"/>
          <w:tab w:val="left" w:pos="1418"/>
        </w:tabs>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4、资料整理扫描过程中发现无法处理的有资料错漏的情况，应及时反馈给采购方相关工作人员进行处理，并做好资料异常情况记录。</w:t>
      </w:r>
    </w:p>
    <w:p w14:paraId="1C678F00">
      <w:pPr>
        <w:tabs>
          <w:tab w:val="left" w:pos="1134"/>
          <w:tab w:val="left" w:pos="1418"/>
        </w:tabs>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（四）整理要求</w:t>
      </w:r>
    </w:p>
    <w:p w14:paraId="635AE41D">
      <w:pPr>
        <w:tabs>
          <w:tab w:val="left" w:pos="1134"/>
          <w:tab w:val="left" w:pos="1418"/>
        </w:tabs>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要符合采购人提出的对来案资料排序等相关要求。</w:t>
      </w:r>
    </w:p>
    <w:p w14:paraId="6B363CA3">
      <w:pPr>
        <w:tabs>
          <w:tab w:val="left" w:pos="1134"/>
          <w:tab w:val="left" w:pos="1418"/>
        </w:tabs>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1、资料整理采用人工方式。</w:t>
      </w:r>
    </w:p>
    <w:p w14:paraId="0BD41E41">
      <w:pPr>
        <w:tabs>
          <w:tab w:val="left" w:pos="1134"/>
          <w:tab w:val="left" w:pos="1418"/>
        </w:tabs>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2、资料整理过程中不得改变原始资料纸质载体的原貌，不得损坏原载体和字迹及其他历史痕迹，不得造成文字信息和其他历史痕迹的位移、消褪扩散。</w:t>
      </w:r>
    </w:p>
    <w:p w14:paraId="0A9A34ED">
      <w:pPr>
        <w:tabs>
          <w:tab w:val="left" w:pos="1134"/>
          <w:tab w:val="left" w:pos="1418"/>
        </w:tabs>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3、资料材料纸张破损严重的，应适当裱贴后扫描；污损霉变严重的，应用信封单独装放，待后期归档整理时再行处理。</w:t>
      </w:r>
    </w:p>
    <w:p w14:paraId="5CB9C4DC">
      <w:pPr>
        <w:tabs>
          <w:tab w:val="left" w:pos="1134"/>
          <w:tab w:val="left" w:pos="1418"/>
        </w:tabs>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4、原已规范装订的公证书等有火漆印的收件材料，不能拆分。</w:t>
      </w:r>
    </w:p>
    <w:p w14:paraId="492EA02F">
      <w:pPr>
        <w:tabs>
          <w:tab w:val="left" w:pos="1134"/>
          <w:tab w:val="left" w:pos="1418"/>
        </w:tabs>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5、中标供应商和采购方工作人员都要做好日常指导和检查，并在资料整理检查记录册上记录整理扫描处理情况、处理时间等。</w:t>
      </w:r>
    </w:p>
    <w:p w14:paraId="66A2780B">
      <w:pPr>
        <w:tabs>
          <w:tab w:val="left" w:pos="1134"/>
          <w:tab w:val="left" w:pos="1418"/>
        </w:tabs>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（五）扫描要求</w:t>
      </w:r>
    </w:p>
    <w:p w14:paraId="46D0124A">
      <w:pPr>
        <w:tabs>
          <w:tab w:val="left" w:pos="1134"/>
          <w:tab w:val="left" w:pos="1418"/>
        </w:tabs>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1、扫描仪基本要求：采用A3幅面高速扫描仪和平板扫描仪彩色扫描仪配合完成。光学分辨率不低于300dpi，高速扫描仪为双面扫描，扫描速度不低于50页/分钟（A4），平板扫描仪扫描速度不大于10秒/页（A3）。</w:t>
      </w:r>
    </w:p>
    <w:p w14:paraId="564A73DB">
      <w:pPr>
        <w:tabs>
          <w:tab w:val="left" w:pos="1134"/>
          <w:tab w:val="left" w:pos="1418"/>
        </w:tabs>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2、资料扫描方式： A3幅面及以下的资料须采用一次性扫描的方式形成数字化图像文件。大于A3幅面的资料可通过拍照或多次扫描进行图像拼接的方式形成数字化图像文件。</w:t>
      </w:r>
    </w:p>
    <w:p w14:paraId="51E7D81B">
      <w:pPr>
        <w:tabs>
          <w:tab w:val="left" w:pos="1134"/>
          <w:tab w:val="left" w:pos="1418"/>
        </w:tabs>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3、资料扫描存储及压缩方式：彩色JPEG格式。分辨率大于等于200dpi。对于收件资料字迹过淡的，应根据实际情况适当调高分辨率及调整其他相关参数，以保证扫描的图像清晰可读为原则。</w:t>
      </w:r>
    </w:p>
    <w:p w14:paraId="4A459031">
      <w:pPr>
        <w:tabs>
          <w:tab w:val="left" w:pos="1134"/>
          <w:tab w:val="left" w:pos="1418"/>
        </w:tabs>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4、资料扫描命名方式：资料扫描图像材料的命名应确保其唯一性，并应与资料来案号形成对应，便于追溯查找相应的纸质资料。</w:t>
      </w:r>
    </w:p>
    <w:p w14:paraId="43AA5293">
      <w:pPr>
        <w:tabs>
          <w:tab w:val="left" w:pos="1134"/>
          <w:tab w:val="left" w:pos="1418"/>
        </w:tabs>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5、数字化图像名称要求：要符合采购人提出的对来案资料命名等相关要求。</w:t>
      </w:r>
    </w:p>
    <w:p w14:paraId="74870A94">
      <w:pPr>
        <w:tabs>
          <w:tab w:val="left" w:pos="1134"/>
          <w:tab w:val="left" w:pos="1418"/>
        </w:tabs>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（六）图像处理要求：</w:t>
      </w:r>
    </w:p>
    <w:p w14:paraId="56BEC789">
      <w:pPr>
        <w:tabs>
          <w:tab w:val="left" w:pos="1134"/>
          <w:tab w:val="left" w:pos="1418"/>
        </w:tabs>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要对通过扫描取得的资料图像要进行必要的处理（如：旋转、去噪、去边、去污、调整亮度和对比度等）确保数字化图像资料不重复、不遗漏、清晰无边、不倾斜、无污点、与实物案件资料保持实质性一致、符合正常阅览角度。</w:t>
      </w:r>
    </w:p>
    <w:p w14:paraId="73786222">
      <w:pPr>
        <w:tabs>
          <w:tab w:val="left" w:pos="1134"/>
          <w:tab w:val="left" w:pos="1418"/>
        </w:tabs>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七）对窗口收件来案的扫描成果属于过程性数字化成果，要求扫描内容齐全、准确，并在一个小时内，通过内部网络及时导入案件业务管理系统，对应挂接在于相应的来案号业务流程中，保证案件业务及时流转、实现无纸化审核和规定时限内办结。</w:t>
      </w:r>
    </w:p>
    <w:p w14:paraId="20612F1C">
      <w:pPr>
        <w:tabs>
          <w:tab w:val="left" w:pos="1134"/>
          <w:tab w:val="left" w:pos="1418"/>
        </w:tabs>
        <w:spacing w:line="360" w:lineRule="auto"/>
        <w:ind w:firstLine="422"/>
        <w:contextualSpacing/>
        <w:jc w:val="left"/>
        <w:rPr>
          <w:rFonts w:ascii="宋体" w:hAnsi="宋体" w:cs="宋体"/>
          <w:b/>
          <w:color w:val="auto"/>
          <w:sz w:val="24"/>
          <w:szCs w:val="24"/>
          <w:highlight w:val="none"/>
        </w:rPr>
      </w:pPr>
      <w:r>
        <w:rPr>
          <w:rFonts w:hint="eastAsia" w:ascii="宋体" w:hAnsi="宋体" w:cs="宋体"/>
          <w:b/>
          <w:color w:val="auto"/>
          <w:sz w:val="24"/>
          <w:szCs w:val="24"/>
          <w:highlight w:val="none"/>
        </w:rPr>
        <w:t>第五条组成本合同的有关文件</w:t>
      </w:r>
    </w:p>
    <w:p w14:paraId="737F1371">
      <w:pPr>
        <w:tabs>
          <w:tab w:val="left" w:pos="1134"/>
          <w:tab w:val="left" w:pos="1418"/>
        </w:tabs>
        <w:spacing w:line="360" w:lineRule="auto"/>
        <w:ind w:firstLine="420"/>
        <w:contextualSpacing/>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下列关于</w:t>
      </w:r>
      <w:r>
        <w:rPr>
          <w:rFonts w:hint="eastAsia" w:ascii="宋体" w:hAnsi="宋体" w:cs="宋体"/>
          <w:color w:val="auto"/>
          <w:sz w:val="24"/>
          <w:szCs w:val="24"/>
          <w:highlight w:val="none"/>
          <w:u w:val="single"/>
          <w:lang w:val="zh-CN"/>
        </w:rPr>
        <w:t>2026-2028年度南京市不动产登记窗口前置扫描服务</w:t>
      </w:r>
      <w:r>
        <w:rPr>
          <w:rFonts w:hint="eastAsia" w:ascii="宋体" w:hAnsi="宋体" w:cs="宋体"/>
          <w:color w:val="auto"/>
          <w:sz w:val="24"/>
          <w:szCs w:val="24"/>
          <w:highlight w:val="none"/>
          <w:lang w:val="zh-CN"/>
        </w:rPr>
        <w:t>的采购、响应文件或与本次采购活动方式相适应的文件及有关附件是本合同不可分割的组成部分，与本合同具有同等法律效力，这些文件包括但不限于：</w:t>
      </w:r>
    </w:p>
    <w:p w14:paraId="702437E5">
      <w:pPr>
        <w:tabs>
          <w:tab w:val="left" w:pos="1134"/>
          <w:tab w:val="left" w:pos="1418"/>
        </w:tabs>
        <w:spacing w:line="360" w:lineRule="auto"/>
        <w:ind w:firstLine="420"/>
        <w:contextualSpacing/>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1、采购文件及乙方的响应文件；</w:t>
      </w:r>
    </w:p>
    <w:p w14:paraId="1DB0C2B8">
      <w:pPr>
        <w:tabs>
          <w:tab w:val="left" w:pos="1134"/>
          <w:tab w:val="left" w:pos="1418"/>
        </w:tabs>
        <w:spacing w:line="360" w:lineRule="auto"/>
        <w:ind w:firstLine="420"/>
        <w:contextualSpacing/>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2、技术条款偏离表；</w:t>
      </w:r>
    </w:p>
    <w:p w14:paraId="288B398B">
      <w:pPr>
        <w:tabs>
          <w:tab w:val="left" w:pos="1134"/>
          <w:tab w:val="left" w:pos="1418"/>
        </w:tabs>
        <w:spacing w:line="360" w:lineRule="auto"/>
        <w:ind w:firstLine="420"/>
        <w:contextualSpacing/>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4、投标承诺/服务承诺；</w:t>
      </w:r>
    </w:p>
    <w:p w14:paraId="20632F2B">
      <w:pPr>
        <w:tabs>
          <w:tab w:val="left" w:pos="1134"/>
          <w:tab w:val="left" w:pos="1418"/>
        </w:tabs>
        <w:spacing w:line="360" w:lineRule="auto"/>
        <w:ind w:firstLine="420"/>
        <w:contextualSpacing/>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5、中标通知书；</w:t>
      </w:r>
    </w:p>
    <w:p w14:paraId="5912ABEF">
      <w:pPr>
        <w:tabs>
          <w:tab w:val="left" w:pos="1134"/>
          <w:tab w:val="left" w:pos="1418"/>
        </w:tabs>
        <w:spacing w:line="360" w:lineRule="auto"/>
        <w:ind w:firstLine="420"/>
        <w:contextualSpacing/>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6、甲乙双方商定的其他文件等。</w:t>
      </w:r>
    </w:p>
    <w:p w14:paraId="1D373F1A">
      <w:pPr>
        <w:tabs>
          <w:tab w:val="left" w:pos="1134"/>
          <w:tab w:val="left" w:pos="1418"/>
        </w:tabs>
        <w:spacing w:line="360" w:lineRule="auto"/>
        <w:ind w:firstLine="422"/>
        <w:contextualSpacing/>
        <w:jc w:val="left"/>
        <w:rPr>
          <w:rFonts w:ascii="宋体" w:hAnsi="宋体" w:cs="宋体"/>
          <w:b/>
          <w:color w:val="auto"/>
          <w:sz w:val="24"/>
          <w:szCs w:val="24"/>
          <w:highlight w:val="none"/>
        </w:rPr>
      </w:pPr>
      <w:r>
        <w:rPr>
          <w:rFonts w:hint="eastAsia" w:ascii="宋体" w:hAnsi="宋体" w:cs="宋体"/>
          <w:b/>
          <w:color w:val="auto"/>
          <w:sz w:val="24"/>
          <w:szCs w:val="24"/>
          <w:highlight w:val="none"/>
        </w:rPr>
        <w:t>第六条权利保证</w:t>
      </w:r>
    </w:p>
    <w:p w14:paraId="1ECEF7DA">
      <w:pPr>
        <w:spacing w:line="360" w:lineRule="auto"/>
        <w:ind w:firstLine="420"/>
        <w:contextualSpacing/>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（1）甲方有权对乙方扫描成果进行检查监督，并提出意见和建议。</w:t>
      </w:r>
    </w:p>
    <w:p w14:paraId="7AA7DDC3">
      <w:pPr>
        <w:spacing w:line="360" w:lineRule="auto"/>
        <w:ind w:firstLine="420"/>
        <w:contextualSpacing/>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（2）甲方应按本合同规定支付合同款。</w:t>
      </w:r>
    </w:p>
    <w:p w14:paraId="43CE4C09">
      <w:pPr>
        <w:spacing w:line="360" w:lineRule="auto"/>
        <w:ind w:firstLine="420"/>
        <w:contextualSpacing/>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2、乙方责任与义务</w:t>
      </w:r>
    </w:p>
    <w:p w14:paraId="313B5028">
      <w:pPr>
        <w:spacing w:line="360" w:lineRule="auto"/>
        <w:ind w:firstLine="420"/>
        <w:contextualSpacing/>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（1）按相关行业标准及甲方要求进行服务并提交服务成果，成果质量由乙方负责。</w:t>
      </w:r>
    </w:p>
    <w:p w14:paraId="52049757">
      <w:pPr>
        <w:spacing w:line="360" w:lineRule="auto"/>
        <w:ind w:firstLine="420"/>
        <w:contextualSpacing/>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（2）乙方应保证甲方在使用该服务或其任何一部分时不受第三方提出侵犯其专利权、版权、商标权或其他权利的起诉。一旦出现侵权，乙方应承担全部责任。</w:t>
      </w:r>
    </w:p>
    <w:p w14:paraId="5F25E43E">
      <w:pPr>
        <w:spacing w:line="360" w:lineRule="auto"/>
        <w:ind w:firstLine="422"/>
        <w:contextualSpacing/>
        <w:jc w:val="left"/>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第七条</w:t>
      </w:r>
      <w:r>
        <w:rPr>
          <w:rFonts w:hint="eastAsia" w:ascii="宋体" w:hAnsi="宋体" w:cs="宋体"/>
          <w:b/>
          <w:color w:val="auto"/>
          <w:sz w:val="24"/>
          <w:szCs w:val="24"/>
          <w:highlight w:val="none"/>
        </w:rPr>
        <w:t>交付</w:t>
      </w:r>
    </w:p>
    <w:p w14:paraId="57196DDB">
      <w:pPr>
        <w:tabs>
          <w:tab w:val="left" w:pos="1134"/>
          <w:tab w:val="left" w:pos="1418"/>
        </w:tabs>
        <w:spacing w:line="360" w:lineRule="auto"/>
        <w:ind w:firstLine="525"/>
        <w:contextualSpacing/>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（一）要求乙方自合同签订之日起实施，做好各项人员和设备准备，必须按时开展窗口收件前置扫描工作。</w:t>
      </w:r>
    </w:p>
    <w:p w14:paraId="77051858">
      <w:pPr>
        <w:tabs>
          <w:tab w:val="left" w:pos="1134"/>
          <w:tab w:val="left" w:pos="1418"/>
        </w:tabs>
        <w:spacing w:line="360" w:lineRule="auto"/>
        <w:ind w:firstLine="525"/>
        <w:contextualSpacing/>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（二）乙方应根据甲方要求，充分计划，配备充足的人力及设备等资源，保障中标项目及时、按时完成。具体要求如下：</w:t>
      </w:r>
    </w:p>
    <w:p w14:paraId="138215FB">
      <w:pPr>
        <w:tabs>
          <w:tab w:val="left" w:pos="1134"/>
          <w:tab w:val="left" w:pos="1418"/>
        </w:tabs>
        <w:spacing w:line="360" w:lineRule="auto"/>
        <w:ind w:firstLine="105"/>
        <w:contextualSpacing/>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对窗口前置扫描要求必须在1小时内完成。</w:t>
      </w:r>
    </w:p>
    <w:p w14:paraId="7F3E4747">
      <w:pPr>
        <w:tabs>
          <w:tab w:val="left" w:pos="1134"/>
          <w:tab w:val="left" w:pos="1418"/>
        </w:tabs>
        <w:spacing w:line="360" w:lineRule="auto"/>
        <w:ind w:firstLine="105"/>
        <w:contextualSpacing/>
        <w:rPr>
          <w:rFonts w:ascii="宋体" w:hAnsi="宋体" w:cs="宋体"/>
          <w:b/>
          <w:color w:val="auto"/>
          <w:sz w:val="24"/>
          <w:szCs w:val="24"/>
          <w:highlight w:val="none"/>
        </w:rPr>
      </w:pPr>
      <w:r>
        <w:rPr>
          <w:rFonts w:hint="eastAsia" w:ascii="宋体" w:hAnsi="宋体" w:cs="宋体"/>
          <w:b/>
          <w:color w:val="auto"/>
          <w:sz w:val="24"/>
          <w:szCs w:val="24"/>
          <w:highlight w:val="none"/>
        </w:rPr>
        <w:t>第八条 履约保证金</w:t>
      </w:r>
    </w:p>
    <w:p w14:paraId="7D8A4531">
      <w:pPr>
        <w:spacing w:line="360" w:lineRule="auto"/>
        <w:ind w:firstLine="420"/>
        <w:contextualSpacing/>
        <w:rPr>
          <w:rFonts w:ascii="宋体" w:hAnsi="宋体" w:cs="宋体"/>
          <w:color w:val="auto"/>
          <w:sz w:val="24"/>
          <w:szCs w:val="24"/>
          <w:highlight w:val="none"/>
        </w:rPr>
      </w:pPr>
      <w:r>
        <w:rPr>
          <w:rFonts w:hint="eastAsia" w:ascii="宋体" w:hAnsi="宋体" w:cs="宋体"/>
          <w:color w:val="auto"/>
          <w:sz w:val="24"/>
          <w:szCs w:val="24"/>
          <w:highlight w:val="none"/>
        </w:rPr>
        <w:t>无</w:t>
      </w:r>
    </w:p>
    <w:p w14:paraId="2F80989E">
      <w:pPr>
        <w:tabs>
          <w:tab w:val="left" w:pos="1134"/>
          <w:tab w:val="left" w:pos="1418"/>
        </w:tabs>
        <w:spacing w:line="360" w:lineRule="auto"/>
        <w:ind w:firstLine="105"/>
        <w:contextualSpacing/>
        <w:rPr>
          <w:rFonts w:ascii="宋体" w:hAnsi="宋体" w:cs="宋体"/>
          <w:b/>
          <w:color w:val="auto"/>
          <w:sz w:val="24"/>
          <w:szCs w:val="24"/>
          <w:highlight w:val="none"/>
        </w:rPr>
      </w:pPr>
      <w:r>
        <w:rPr>
          <w:rFonts w:hint="eastAsia" w:ascii="宋体" w:hAnsi="宋体" w:cs="宋体"/>
          <w:b/>
          <w:color w:val="auto"/>
          <w:sz w:val="24"/>
          <w:szCs w:val="24"/>
          <w:highlight w:val="none"/>
        </w:rPr>
        <w:t>第九条 合同款支付</w:t>
      </w:r>
    </w:p>
    <w:p w14:paraId="0630F816">
      <w:pPr>
        <w:spacing w:line="360" w:lineRule="auto"/>
        <w:ind w:firstLine="480" w:firstLineChars="200"/>
        <w:contextualSpacing/>
        <w:rPr>
          <w:rFonts w:ascii="宋体" w:hAnsi="宋体" w:cs="宋体"/>
          <w:color w:val="auto"/>
          <w:sz w:val="24"/>
          <w:szCs w:val="24"/>
          <w:highlight w:val="none"/>
        </w:rPr>
      </w:pPr>
      <w:r>
        <w:rPr>
          <w:rFonts w:ascii="宋体" w:hAnsi="宋体" w:cs="宋体"/>
          <w:color w:val="auto"/>
          <w:sz w:val="24"/>
          <w:szCs w:val="24"/>
          <w:highlight w:val="none"/>
        </w:rPr>
        <w:t>1、本合同项下所有款项均以人民币支付。</w:t>
      </w:r>
    </w:p>
    <w:p w14:paraId="6B22F8DC">
      <w:pPr>
        <w:snapToGrid w:val="0"/>
        <w:spacing w:line="30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2、付款方式：合同签订之日起六月内支付合同总额的30%；项目第一、二年度工作完成并移交采购人成果后一个月内分别支付合同总额的20%；项目验收合格后两个月内支付合同总额的30%。</w:t>
      </w:r>
    </w:p>
    <w:p w14:paraId="465FE61F">
      <w:pPr>
        <w:spacing w:line="360" w:lineRule="auto"/>
        <w:ind w:firstLine="420"/>
        <w:contextualSpacing/>
        <w:rPr>
          <w:rFonts w:ascii="宋体" w:hAnsi="宋体" w:cs="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rPr>
        <w:t>、甲方每次按合同约定付款前，乙方均应向甲方出具正式、合法的发票，否则甲方有权延迟付款，并不产生违约责任。</w:t>
      </w:r>
    </w:p>
    <w:p w14:paraId="4BCE55B2">
      <w:pPr>
        <w:spacing w:line="360" w:lineRule="auto"/>
        <w:ind w:firstLine="420"/>
        <w:contextualSpacing/>
        <w:rPr>
          <w:rFonts w:ascii="宋体" w:hAnsi="宋体" w:cs="宋体"/>
          <w:color w:val="auto"/>
          <w:sz w:val="24"/>
          <w:szCs w:val="24"/>
          <w:highlight w:val="none"/>
        </w:rPr>
      </w:pPr>
      <w:r>
        <w:rPr>
          <w:rFonts w:hint="eastAsia" w:ascii="宋体" w:hAnsi="宋体" w:cs="宋体"/>
          <w:color w:val="auto"/>
          <w:sz w:val="24"/>
          <w:szCs w:val="24"/>
          <w:highlight w:val="none"/>
        </w:rPr>
        <w:t>4、本合同执行中相关的一切税费均由乙方负担。</w:t>
      </w:r>
    </w:p>
    <w:p w14:paraId="5F8397D9">
      <w:pPr>
        <w:tabs>
          <w:tab w:val="left" w:pos="1134"/>
          <w:tab w:val="left" w:pos="1418"/>
        </w:tabs>
        <w:spacing w:line="360" w:lineRule="auto"/>
        <w:ind w:firstLine="200"/>
        <w:contextualSpacing/>
        <w:rPr>
          <w:rFonts w:ascii="宋体" w:hAnsi="宋体" w:cs="宋体"/>
          <w:b/>
          <w:color w:val="auto"/>
          <w:sz w:val="24"/>
          <w:szCs w:val="24"/>
          <w:highlight w:val="none"/>
        </w:rPr>
      </w:pPr>
      <w:r>
        <w:rPr>
          <w:rFonts w:hint="eastAsia" w:ascii="宋体" w:hAnsi="宋体" w:cs="宋体"/>
          <w:b/>
          <w:color w:val="auto"/>
          <w:sz w:val="24"/>
          <w:szCs w:val="24"/>
          <w:highlight w:val="none"/>
        </w:rPr>
        <w:t>第十条 违约索赔与赔偿</w:t>
      </w:r>
    </w:p>
    <w:p w14:paraId="19316EA5">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1、乙方造成资料遗失的，按10万元／卷赔偿。</w:t>
      </w:r>
    </w:p>
    <w:p w14:paraId="478A6821">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2、乙方前置扫描环节漏扫，被甲方检查发现的，按100元／页扣减合同支付金额，并在发现后1个小时内完成补扫；乙方不遵守工作规则产生资料污损的，先进行修复，并按1000元／页扣减合同金额；无法修复的，按10万元/卷赔偿。</w:t>
      </w:r>
    </w:p>
    <w:p w14:paraId="54210699">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3、赔偿金归甲方所有。</w:t>
      </w:r>
    </w:p>
    <w:p w14:paraId="76D8DDFE">
      <w:pPr>
        <w:spacing w:line="360" w:lineRule="auto"/>
        <w:ind w:firstLine="420"/>
        <w:contextualSpacing/>
        <w:jc w:val="left"/>
        <w:rPr>
          <w:rFonts w:ascii="宋体" w:hAnsi="宋体" w:cs="宋体"/>
          <w:color w:val="auto"/>
          <w:sz w:val="24"/>
          <w:szCs w:val="24"/>
          <w:highlight w:val="none"/>
          <w:lang w:val="zh-CN"/>
        </w:rPr>
      </w:pPr>
      <w:r>
        <w:rPr>
          <w:rFonts w:hint="eastAsia" w:ascii="宋体" w:hAnsi="宋体" w:cs="宋体"/>
          <w:color w:val="auto"/>
          <w:sz w:val="24"/>
          <w:szCs w:val="24"/>
          <w:highlight w:val="none"/>
        </w:rPr>
        <w:t>4、如因乙方质量问题遇翻工和补做情况的，由乙方负责无条件返工和补做；如因甲方的软件系统产生质量问题，乙方在甲方解决问题的前提下给予返工和补做，由此产生的违约金不计入乙方</w:t>
      </w:r>
      <w:r>
        <w:rPr>
          <w:rFonts w:hint="eastAsia" w:ascii="宋体" w:hAnsi="宋体" w:cs="宋体"/>
          <w:color w:val="auto"/>
          <w:sz w:val="24"/>
          <w:szCs w:val="24"/>
          <w:highlight w:val="none"/>
          <w:lang w:val="zh-CN"/>
        </w:rPr>
        <w:t>。</w:t>
      </w:r>
    </w:p>
    <w:p w14:paraId="0F75AF54">
      <w:pPr>
        <w:spacing w:line="360" w:lineRule="auto"/>
        <w:ind w:firstLine="200"/>
        <w:contextualSpacing/>
        <w:jc w:val="left"/>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第十一条 </w:t>
      </w:r>
      <w:r>
        <w:rPr>
          <w:rFonts w:hint="eastAsia" w:ascii="宋体" w:hAnsi="宋体" w:cs="宋体"/>
          <w:b/>
          <w:color w:val="auto"/>
          <w:sz w:val="24"/>
          <w:szCs w:val="24"/>
          <w:highlight w:val="none"/>
        </w:rPr>
        <w:t>不可抗力</w:t>
      </w:r>
    </w:p>
    <w:p w14:paraId="445D9E42">
      <w:pPr>
        <w:spacing w:line="360" w:lineRule="auto"/>
        <w:ind w:firstLine="420"/>
        <w:contextualSpacing/>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 如果本合同任何一方因受不可抗力事件影响而未能履行其在本合同下的全部或部分义务，该义务的履行在不可抗力事件妨碍其履行期间应予中止。</w:t>
      </w:r>
    </w:p>
    <w:p w14:paraId="6AC8B73B">
      <w:pPr>
        <w:spacing w:line="360" w:lineRule="auto"/>
        <w:ind w:firstLine="420"/>
        <w:contextualSpacing/>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 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w:t>
      </w:r>
    </w:p>
    <w:p w14:paraId="29AE7F9B">
      <w:pPr>
        <w:spacing w:line="360" w:lineRule="auto"/>
        <w:ind w:firstLine="420"/>
        <w:contextualSpacing/>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3. 当事人迟延履行后发生不可抗力的，不能免除责任。</w:t>
      </w:r>
    </w:p>
    <w:p w14:paraId="0D120A85">
      <w:pPr>
        <w:spacing w:line="360" w:lineRule="auto"/>
        <w:ind w:firstLine="200"/>
        <w:contextualSpacing/>
        <w:jc w:val="left"/>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第十二条 </w:t>
      </w:r>
      <w:r>
        <w:rPr>
          <w:rFonts w:hint="eastAsia" w:ascii="宋体" w:hAnsi="宋体" w:cs="宋体"/>
          <w:b/>
          <w:color w:val="auto"/>
          <w:sz w:val="24"/>
          <w:szCs w:val="24"/>
          <w:highlight w:val="none"/>
        </w:rPr>
        <w:t>争议的解决</w:t>
      </w:r>
    </w:p>
    <w:p w14:paraId="2D6A9625">
      <w:pPr>
        <w:spacing w:line="360" w:lineRule="auto"/>
        <w:ind w:firstLine="200"/>
        <w:contextualSpacing/>
        <w:rPr>
          <w:rFonts w:ascii="宋体" w:hAnsi="宋体" w:cs="宋体"/>
          <w:color w:val="auto"/>
          <w:sz w:val="24"/>
          <w:szCs w:val="24"/>
          <w:highlight w:val="none"/>
        </w:rPr>
      </w:pPr>
      <w:r>
        <w:rPr>
          <w:rFonts w:hint="eastAsia" w:ascii="宋体" w:hAnsi="宋体" w:cs="宋体"/>
          <w:color w:val="auto"/>
          <w:sz w:val="24"/>
          <w:szCs w:val="24"/>
          <w:highlight w:val="none"/>
        </w:rPr>
        <w:t>　　本合同在履行中发生争议，由甲、乙双方协商解决。协商不成时，甲、乙双方同意提交南京仲裁委员会仲裁，仲裁裁决是终局的，对双方均有约束力。</w:t>
      </w:r>
    </w:p>
    <w:p w14:paraId="28C76D20">
      <w:pPr>
        <w:spacing w:line="360" w:lineRule="auto"/>
        <w:ind w:firstLine="200"/>
        <w:contextualSpacing/>
        <w:rPr>
          <w:rFonts w:ascii="宋体" w:hAnsi="宋体" w:cs="宋体"/>
          <w:b/>
          <w:color w:val="auto"/>
          <w:sz w:val="24"/>
          <w:szCs w:val="24"/>
          <w:highlight w:val="none"/>
        </w:rPr>
      </w:pPr>
      <w:r>
        <w:rPr>
          <w:rFonts w:hint="eastAsia" w:ascii="宋体" w:hAnsi="宋体" w:cs="宋体"/>
          <w:b/>
          <w:color w:val="auto"/>
          <w:sz w:val="24"/>
          <w:szCs w:val="24"/>
          <w:highlight w:val="none"/>
        </w:rPr>
        <w:t>第十三条 其它</w:t>
      </w:r>
    </w:p>
    <w:p w14:paraId="7A8DA215">
      <w:pPr>
        <w:spacing w:line="360" w:lineRule="auto"/>
        <w:ind w:firstLine="200"/>
        <w:contextualSpacing/>
        <w:rPr>
          <w:rFonts w:ascii="宋体" w:hAnsi="宋体" w:cs="宋体"/>
          <w:color w:val="auto"/>
          <w:sz w:val="24"/>
          <w:szCs w:val="24"/>
          <w:highlight w:val="none"/>
        </w:rPr>
      </w:pPr>
      <w:r>
        <w:rPr>
          <w:rFonts w:hint="eastAsia" w:ascii="宋体" w:hAnsi="宋体" w:cs="宋体"/>
          <w:color w:val="auto"/>
          <w:sz w:val="24"/>
          <w:szCs w:val="24"/>
          <w:highlight w:val="none"/>
        </w:rPr>
        <w:t>1. 本合同之附件及实施方案均为本合同不可分割之部分。</w:t>
      </w:r>
    </w:p>
    <w:p w14:paraId="20D03ACB">
      <w:pPr>
        <w:spacing w:line="360" w:lineRule="auto"/>
        <w:ind w:firstLine="200"/>
        <w:contextualSpacing/>
        <w:rPr>
          <w:rFonts w:ascii="宋体" w:hAnsi="宋体" w:cs="宋体"/>
          <w:color w:val="auto"/>
          <w:sz w:val="24"/>
          <w:szCs w:val="24"/>
          <w:highlight w:val="none"/>
        </w:rPr>
      </w:pPr>
      <w:r>
        <w:rPr>
          <w:rFonts w:hint="eastAsia" w:ascii="宋体" w:hAnsi="宋体" w:cs="宋体"/>
          <w:color w:val="auto"/>
          <w:sz w:val="24"/>
          <w:szCs w:val="24"/>
          <w:highlight w:val="none"/>
        </w:rPr>
        <w:t>2. 本合同未尽事宜，由甲、乙双方另行议定，并签订补充协议。补充协议与本合同不一致的，以补充协议为准。</w:t>
      </w:r>
    </w:p>
    <w:p w14:paraId="2BBBB309">
      <w:pPr>
        <w:spacing w:line="360" w:lineRule="auto"/>
        <w:ind w:firstLine="200"/>
        <w:contextualSpacing/>
        <w:rPr>
          <w:rFonts w:ascii="宋体" w:hAnsi="宋体" w:cs="宋体"/>
          <w:color w:val="auto"/>
          <w:sz w:val="24"/>
          <w:szCs w:val="24"/>
          <w:highlight w:val="none"/>
        </w:rPr>
      </w:pPr>
      <w:r>
        <w:rPr>
          <w:rFonts w:hint="eastAsia" w:ascii="宋体" w:hAnsi="宋体" w:cs="宋体"/>
          <w:color w:val="auto"/>
          <w:sz w:val="24"/>
          <w:szCs w:val="24"/>
          <w:highlight w:val="none"/>
        </w:rPr>
        <w:t>3. 本合同及其附件和补充协议中未规定的事项，均遵照中华人民共和国有关法律、法规执行。</w:t>
      </w:r>
    </w:p>
    <w:p w14:paraId="2F8B0E4E">
      <w:pPr>
        <w:spacing w:line="360" w:lineRule="auto"/>
        <w:ind w:firstLine="200"/>
        <w:contextualSpacing/>
        <w:rPr>
          <w:rFonts w:ascii="宋体" w:hAnsi="宋体" w:cs="宋体"/>
          <w:color w:val="auto"/>
          <w:sz w:val="24"/>
          <w:szCs w:val="24"/>
          <w:highlight w:val="none"/>
        </w:rPr>
      </w:pPr>
      <w:r>
        <w:rPr>
          <w:rFonts w:hint="eastAsia" w:ascii="宋体" w:hAnsi="宋体" w:cs="宋体"/>
          <w:color w:val="auto"/>
          <w:sz w:val="24"/>
          <w:szCs w:val="24"/>
          <w:highlight w:val="none"/>
        </w:rPr>
        <w:t>4. 本合同连同附件一式</w:t>
      </w:r>
      <w:r>
        <w:rPr>
          <w:rFonts w:hint="eastAsia" w:ascii="宋体" w:hAnsi="宋体" w:cs="宋体"/>
          <w:color w:val="auto"/>
          <w:sz w:val="24"/>
          <w:szCs w:val="24"/>
          <w:highlight w:val="none"/>
          <w:u w:val="single"/>
        </w:rPr>
        <w:t>肆</w:t>
      </w:r>
      <w:r>
        <w:rPr>
          <w:rFonts w:hint="eastAsia" w:ascii="宋体" w:hAnsi="宋体" w:cs="宋体"/>
          <w:color w:val="auto"/>
          <w:sz w:val="24"/>
          <w:szCs w:val="24"/>
          <w:highlight w:val="none"/>
        </w:rPr>
        <w:t>份，甲方执</w:t>
      </w:r>
      <w:r>
        <w:rPr>
          <w:rFonts w:hint="eastAsia" w:ascii="宋体" w:hAnsi="宋体" w:cs="宋体"/>
          <w:color w:val="auto"/>
          <w:sz w:val="24"/>
          <w:szCs w:val="24"/>
          <w:highlight w:val="none"/>
          <w:u w:val="single"/>
        </w:rPr>
        <w:t>贰</w:t>
      </w:r>
      <w:r>
        <w:rPr>
          <w:rFonts w:hint="eastAsia" w:ascii="宋体" w:hAnsi="宋体" w:cs="宋体"/>
          <w:color w:val="auto"/>
          <w:sz w:val="24"/>
          <w:szCs w:val="24"/>
          <w:highlight w:val="none"/>
        </w:rPr>
        <w:t>份，乙方执</w:t>
      </w:r>
      <w:r>
        <w:rPr>
          <w:rFonts w:hint="eastAsia" w:ascii="宋体" w:hAnsi="宋体" w:cs="宋体"/>
          <w:color w:val="auto"/>
          <w:sz w:val="24"/>
          <w:szCs w:val="24"/>
          <w:highlight w:val="none"/>
          <w:u w:val="single"/>
        </w:rPr>
        <w:t>贰</w:t>
      </w:r>
      <w:r>
        <w:rPr>
          <w:rFonts w:hint="eastAsia" w:ascii="宋体" w:hAnsi="宋体" w:cs="宋体"/>
          <w:color w:val="auto"/>
          <w:sz w:val="24"/>
          <w:szCs w:val="24"/>
          <w:highlight w:val="none"/>
        </w:rPr>
        <w:t>份，均具有同等法律效力。本合同自双方签字并盖章之日起生效。</w:t>
      </w:r>
    </w:p>
    <w:p w14:paraId="0D2BFF5D">
      <w:pPr>
        <w:spacing w:line="360" w:lineRule="auto"/>
        <w:ind w:firstLine="200"/>
        <w:contextualSpacing/>
        <w:rPr>
          <w:rFonts w:ascii="宋体" w:hAnsi="宋体" w:cs="宋体"/>
          <w:color w:val="auto"/>
          <w:sz w:val="24"/>
          <w:szCs w:val="24"/>
          <w:highlight w:val="none"/>
        </w:rPr>
      </w:pPr>
    </w:p>
    <w:p w14:paraId="33D87753">
      <w:pPr>
        <w:tabs>
          <w:tab w:val="right" w:pos="5880"/>
        </w:tabs>
        <w:spacing w:line="400" w:lineRule="exact"/>
        <w:ind w:firstLine="420"/>
        <w:contextualSpacing/>
        <w:rPr>
          <w:rFonts w:ascii="宋体" w:hAnsi="宋体" w:cs="宋体"/>
          <w:color w:val="auto"/>
          <w:sz w:val="24"/>
          <w:szCs w:val="24"/>
          <w:highlight w:val="none"/>
        </w:rPr>
      </w:pPr>
    </w:p>
    <w:p w14:paraId="4481C922">
      <w:pPr>
        <w:tabs>
          <w:tab w:val="right" w:pos="5880"/>
        </w:tabs>
        <w:spacing w:line="400" w:lineRule="exact"/>
        <w:ind w:firstLine="420"/>
        <w:contextualSpacing/>
        <w:rPr>
          <w:rFonts w:ascii="宋体" w:hAnsi="宋体" w:cs="宋体"/>
          <w:color w:val="auto"/>
          <w:sz w:val="24"/>
          <w:szCs w:val="24"/>
          <w:highlight w:val="none"/>
        </w:rPr>
      </w:pPr>
      <w:r>
        <w:rPr>
          <w:rFonts w:hint="eastAsia" w:ascii="宋体" w:hAnsi="宋体" w:cs="宋体"/>
          <w:color w:val="auto"/>
          <w:sz w:val="24"/>
          <w:szCs w:val="24"/>
          <w:highlight w:val="none"/>
        </w:rPr>
        <w:t>甲方：南京市规划和自然资源局（盖章）</w:t>
      </w:r>
    </w:p>
    <w:p w14:paraId="769983B8">
      <w:pPr>
        <w:tabs>
          <w:tab w:val="right" w:pos="5880"/>
        </w:tabs>
        <w:spacing w:line="400" w:lineRule="exact"/>
        <w:ind w:firstLine="420"/>
        <w:contextualSpacing/>
        <w:rPr>
          <w:rFonts w:ascii="宋体" w:hAnsi="宋体" w:cs="宋体"/>
          <w:color w:val="auto"/>
          <w:sz w:val="24"/>
          <w:szCs w:val="24"/>
          <w:highlight w:val="none"/>
        </w:rPr>
      </w:pPr>
      <w:r>
        <w:rPr>
          <w:rFonts w:hint="eastAsia" w:ascii="宋体" w:hAnsi="宋体" w:cs="宋体"/>
          <w:color w:val="auto"/>
          <w:sz w:val="24"/>
          <w:szCs w:val="24"/>
          <w:highlight w:val="none"/>
        </w:rPr>
        <w:t>法定代表人/委托代理人：</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rPr>
        <w:t>（签字）</w:t>
      </w:r>
    </w:p>
    <w:p w14:paraId="4A94723B">
      <w:pPr>
        <w:tabs>
          <w:tab w:val="right" w:pos="5880"/>
        </w:tabs>
        <w:spacing w:line="400" w:lineRule="exact"/>
        <w:ind w:firstLine="420"/>
        <w:contextualSpacing/>
        <w:rPr>
          <w:rFonts w:ascii="宋体" w:hAnsi="宋体" w:cs="宋体"/>
          <w:color w:val="auto"/>
          <w:sz w:val="24"/>
          <w:szCs w:val="24"/>
          <w:highlight w:val="none"/>
        </w:rPr>
      </w:pPr>
      <w:r>
        <w:rPr>
          <w:rFonts w:hint="eastAsia" w:ascii="宋体" w:hAnsi="宋体" w:cs="宋体"/>
          <w:color w:val="auto"/>
          <w:sz w:val="24"/>
          <w:szCs w:val="24"/>
          <w:highlight w:val="none"/>
        </w:rPr>
        <w:t>签字日期：年月日</w:t>
      </w:r>
    </w:p>
    <w:p w14:paraId="7E5598F8">
      <w:pPr>
        <w:tabs>
          <w:tab w:val="right" w:pos="5880"/>
        </w:tabs>
        <w:spacing w:line="400" w:lineRule="exact"/>
        <w:ind w:firstLine="420"/>
        <w:contextualSpacing/>
        <w:rPr>
          <w:rFonts w:ascii="宋体" w:hAnsi="宋体" w:cs="宋体"/>
          <w:color w:val="auto"/>
          <w:sz w:val="24"/>
          <w:szCs w:val="24"/>
          <w:highlight w:val="none"/>
        </w:rPr>
      </w:pPr>
      <w:r>
        <w:rPr>
          <w:rFonts w:hint="eastAsia" w:ascii="宋体" w:hAnsi="宋体" w:cs="宋体"/>
          <w:color w:val="auto"/>
          <w:sz w:val="24"/>
          <w:szCs w:val="24"/>
          <w:highlight w:val="none"/>
        </w:rPr>
        <w:t>签字地点：</w:t>
      </w:r>
      <w:r>
        <w:rPr>
          <w:rFonts w:hint="eastAsia" w:ascii="宋体" w:hAnsi="宋体" w:cs="宋体"/>
          <w:color w:val="auto"/>
          <w:sz w:val="24"/>
          <w:szCs w:val="24"/>
          <w:highlight w:val="none"/>
          <w:u w:val="single"/>
        </w:rPr>
        <w:t>南京</w:t>
      </w:r>
    </w:p>
    <w:p w14:paraId="4D8A02BE">
      <w:pPr>
        <w:tabs>
          <w:tab w:val="right" w:pos="5880"/>
        </w:tabs>
        <w:spacing w:line="400" w:lineRule="exact"/>
        <w:ind w:firstLine="420"/>
        <w:contextualSpacing/>
        <w:rPr>
          <w:rFonts w:ascii="宋体" w:hAnsi="宋体" w:cs="宋体"/>
          <w:color w:val="auto"/>
          <w:sz w:val="24"/>
          <w:szCs w:val="24"/>
          <w:highlight w:val="none"/>
        </w:rPr>
      </w:pPr>
    </w:p>
    <w:p w14:paraId="6B5F8309">
      <w:pPr>
        <w:tabs>
          <w:tab w:val="right" w:pos="5880"/>
        </w:tabs>
        <w:spacing w:line="400" w:lineRule="exact"/>
        <w:ind w:firstLine="420"/>
        <w:contextualSpacing/>
        <w:rPr>
          <w:rFonts w:ascii="宋体" w:hAnsi="宋体" w:cs="宋体"/>
          <w:color w:val="auto"/>
          <w:sz w:val="24"/>
          <w:szCs w:val="24"/>
          <w:highlight w:val="none"/>
        </w:rPr>
      </w:pPr>
      <w:r>
        <w:rPr>
          <w:rFonts w:hint="eastAsia" w:ascii="宋体" w:hAnsi="宋体" w:cs="宋体"/>
          <w:color w:val="auto"/>
          <w:sz w:val="24"/>
          <w:szCs w:val="24"/>
          <w:highlight w:val="none"/>
        </w:rPr>
        <w:t>乙方：（盖章）</w:t>
      </w:r>
    </w:p>
    <w:p w14:paraId="0A6654E4">
      <w:pPr>
        <w:tabs>
          <w:tab w:val="right" w:pos="5040"/>
        </w:tabs>
        <w:spacing w:line="400" w:lineRule="exact"/>
        <w:ind w:firstLine="420"/>
        <w:contextualSpacing/>
        <w:rPr>
          <w:rFonts w:ascii="宋体" w:hAnsi="宋体" w:cs="宋体"/>
          <w:color w:val="auto"/>
          <w:sz w:val="24"/>
          <w:szCs w:val="24"/>
          <w:highlight w:val="none"/>
          <w:u w:val="single"/>
        </w:rPr>
      </w:pPr>
      <w:r>
        <w:rPr>
          <w:rFonts w:hint="eastAsia" w:ascii="宋体" w:hAnsi="宋体" w:cs="宋体"/>
          <w:color w:val="auto"/>
          <w:sz w:val="24"/>
          <w:szCs w:val="24"/>
          <w:highlight w:val="none"/>
        </w:rPr>
        <w:t>开户银行：</w:t>
      </w:r>
    </w:p>
    <w:p w14:paraId="43F0E4A0">
      <w:pPr>
        <w:tabs>
          <w:tab w:val="right" w:pos="5040"/>
        </w:tabs>
        <w:spacing w:line="400" w:lineRule="exact"/>
        <w:ind w:firstLine="420"/>
        <w:contextualSpacing/>
        <w:rPr>
          <w:rFonts w:ascii="宋体" w:hAnsi="宋体" w:cs="宋体"/>
          <w:color w:val="auto"/>
          <w:sz w:val="24"/>
          <w:szCs w:val="24"/>
          <w:highlight w:val="none"/>
        </w:rPr>
      </w:pPr>
      <w:r>
        <w:rPr>
          <w:rFonts w:hint="eastAsia" w:ascii="宋体" w:hAnsi="宋体" w:cs="宋体"/>
          <w:color w:val="auto"/>
          <w:sz w:val="24"/>
          <w:szCs w:val="24"/>
          <w:highlight w:val="none"/>
        </w:rPr>
        <w:t>帐号：</w:t>
      </w:r>
    </w:p>
    <w:p w14:paraId="314707E4">
      <w:pPr>
        <w:tabs>
          <w:tab w:val="right" w:pos="5880"/>
        </w:tabs>
        <w:spacing w:line="400" w:lineRule="exact"/>
        <w:ind w:firstLine="420"/>
        <w:contextualSpacing/>
        <w:rPr>
          <w:rFonts w:ascii="宋体" w:hAnsi="宋体" w:cs="宋体"/>
          <w:color w:val="auto"/>
          <w:sz w:val="24"/>
          <w:szCs w:val="24"/>
          <w:highlight w:val="none"/>
        </w:rPr>
      </w:pPr>
      <w:r>
        <w:rPr>
          <w:rFonts w:hint="eastAsia" w:ascii="宋体" w:hAnsi="宋体" w:cs="宋体"/>
          <w:color w:val="auto"/>
          <w:sz w:val="24"/>
          <w:szCs w:val="24"/>
          <w:highlight w:val="none"/>
        </w:rPr>
        <w:t>法定代表人/委托代理人：</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rPr>
        <w:t>（签字）</w:t>
      </w:r>
    </w:p>
    <w:p w14:paraId="0F667144">
      <w:pPr>
        <w:tabs>
          <w:tab w:val="right" w:pos="5880"/>
        </w:tabs>
        <w:spacing w:line="400" w:lineRule="exact"/>
        <w:ind w:firstLine="420"/>
        <w:contextualSpacing/>
        <w:rPr>
          <w:rFonts w:ascii="宋体" w:hAnsi="宋体" w:cs="宋体"/>
          <w:color w:val="auto"/>
          <w:sz w:val="24"/>
          <w:szCs w:val="24"/>
          <w:highlight w:val="none"/>
        </w:rPr>
      </w:pPr>
      <w:r>
        <w:rPr>
          <w:rFonts w:hint="eastAsia" w:ascii="宋体" w:hAnsi="宋体" w:cs="宋体"/>
          <w:color w:val="auto"/>
          <w:sz w:val="24"/>
          <w:szCs w:val="24"/>
          <w:highlight w:val="none"/>
        </w:rPr>
        <w:t>签字日期：年月日</w:t>
      </w:r>
    </w:p>
    <w:p w14:paraId="61CB81BB">
      <w:pPr>
        <w:tabs>
          <w:tab w:val="right" w:pos="5880"/>
        </w:tabs>
        <w:spacing w:line="400" w:lineRule="exact"/>
        <w:ind w:firstLine="420"/>
        <w:contextualSpacing/>
        <w:rPr>
          <w:rFonts w:ascii="宋体" w:hAnsi="宋体" w:cs="宋体"/>
          <w:color w:val="auto"/>
          <w:sz w:val="24"/>
          <w:szCs w:val="24"/>
          <w:highlight w:val="none"/>
        </w:rPr>
      </w:pPr>
      <w:r>
        <w:rPr>
          <w:rFonts w:hint="eastAsia" w:ascii="宋体" w:hAnsi="宋体" w:cs="宋体"/>
          <w:color w:val="auto"/>
          <w:sz w:val="24"/>
          <w:szCs w:val="24"/>
          <w:highlight w:val="none"/>
        </w:rPr>
        <w:t>签字地点：</w:t>
      </w:r>
      <w:r>
        <w:rPr>
          <w:rFonts w:hint="eastAsia" w:ascii="宋体" w:hAnsi="宋体" w:cs="宋体"/>
          <w:color w:val="auto"/>
          <w:sz w:val="24"/>
          <w:szCs w:val="24"/>
          <w:highlight w:val="none"/>
          <w:u w:val="single"/>
        </w:rPr>
        <w:t>南京</w:t>
      </w:r>
    </w:p>
    <w:p w14:paraId="619A678D">
      <w:pPr>
        <w:rPr>
          <w:color w:val="auto"/>
          <w:highlight w:val="none"/>
        </w:rPr>
      </w:pPr>
    </w:p>
    <w:p w14:paraId="1CBE2D11">
      <w:pPr>
        <w:rPr>
          <w:rFonts w:ascii="宋体" w:hAnsi="宋体" w:cs="宋体"/>
          <w:color w:val="auto"/>
          <w:highlight w:val="none"/>
        </w:rPr>
      </w:pPr>
      <w:r>
        <w:rPr>
          <w:rFonts w:hint="eastAsia" w:ascii="宋体" w:hAnsi="宋体" w:cs="宋体"/>
          <w:color w:val="auto"/>
          <w:highlight w:val="none"/>
        </w:rPr>
        <w:br w:type="page"/>
      </w:r>
    </w:p>
    <w:p w14:paraId="2F483E78">
      <w:pPr>
        <w:pStyle w:val="237"/>
        <w:numPr>
          <w:ilvl w:val="0"/>
          <w:numId w:val="4"/>
        </w:numPr>
        <w:spacing w:line="360" w:lineRule="auto"/>
        <w:jc w:val="center"/>
        <w:rPr>
          <w:rFonts w:ascii="宋体" w:hAnsi="宋体" w:cs="宋体"/>
          <w:color w:val="auto"/>
          <w:highlight w:val="none"/>
        </w:rPr>
      </w:pPr>
      <w:r>
        <w:rPr>
          <w:rFonts w:hint="eastAsia" w:ascii="宋体" w:hAnsi="宋体" w:cs="宋体"/>
          <w:color w:val="auto"/>
          <w:highlight w:val="none"/>
        </w:rPr>
        <w:t>项目需求</w:t>
      </w:r>
      <w:bookmarkEnd w:id="35"/>
    </w:p>
    <w:p w14:paraId="4A390F8A">
      <w:pPr>
        <w:autoSpaceDE w:val="0"/>
        <w:autoSpaceDN w:val="0"/>
        <w:adjustRightInd w:val="0"/>
        <w:snapToGrid w:val="0"/>
        <w:spacing w:line="360" w:lineRule="auto"/>
        <w:ind w:firstLine="472" w:firstLineChars="196"/>
        <w:outlineLvl w:val="1"/>
        <w:rPr>
          <w:rFonts w:ascii="宋体" w:hAnsi="宋体"/>
          <w:b/>
          <w:bCs/>
          <w:color w:val="auto"/>
          <w:sz w:val="24"/>
          <w:szCs w:val="24"/>
          <w:highlight w:val="none"/>
        </w:rPr>
      </w:pPr>
      <w:r>
        <w:rPr>
          <w:rFonts w:hint="eastAsia" w:ascii="宋体" w:hAnsi="宋体"/>
          <w:b/>
          <w:bCs/>
          <w:color w:val="auto"/>
          <w:sz w:val="24"/>
          <w:szCs w:val="24"/>
          <w:highlight w:val="none"/>
        </w:rPr>
        <w:t>一、项目背景</w:t>
      </w:r>
    </w:p>
    <w:p w14:paraId="29368ADE">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为满足市本级登记受理窗口非立等可取案件的无纸化流转审核工作需要，即收件后立即通过扫描方式，将纸质材料转化为影像文件，挂接到业务网上，纸质案袋不再流转，审核人员通过业务系统审阅相关材料影像文件，完成审核登簿工作。自2017年9月起，南京市规划和自然资源局持续开展窗口前置扫描工作，并顺利实施。</w:t>
      </w:r>
    </w:p>
    <w:p w14:paraId="2D5A402C">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前置扫描覆盖业务类型：除大宗批量案件、非公证继承案件、下队调查案件外需提交审核部门的案件。</w:t>
      </w:r>
    </w:p>
    <w:p w14:paraId="072EC495">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前置扫描仅扫描资料图像并按要求的顺序导入相应业务案件管理系统，不进行条目著录，且须在收到资料后1小时内完成。归档扫描须区分证书、证明、其他等三类不动产登记纸质资料进行整理、编页、扫描、建库，导入采购人档案管理系统，完成档案著录、挂接、整理装订、上架入库以及对应档案数字化整合等归档工作。</w:t>
      </w:r>
    </w:p>
    <w:p w14:paraId="7C490103">
      <w:pPr>
        <w:autoSpaceDE w:val="0"/>
        <w:autoSpaceDN w:val="0"/>
        <w:adjustRightInd w:val="0"/>
        <w:snapToGrid w:val="0"/>
        <w:spacing w:line="360" w:lineRule="auto"/>
        <w:ind w:firstLine="472" w:firstLineChars="196"/>
        <w:outlineLvl w:val="1"/>
        <w:rPr>
          <w:rFonts w:ascii="宋体" w:hAnsi="宋体"/>
          <w:color w:val="auto"/>
          <w:sz w:val="24"/>
          <w:szCs w:val="24"/>
          <w:highlight w:val="none"/>
        </w:rPr>
      </w:pPr>
      <w:r>
        <w:rPr>
          <w:rFonts w:hint="eastAsia" w:ascii="宋体" w:hAnsi="宋体"/>
          <w:b/>
          <w:bCs/>
          <w:color w:val="auto"/>
          <w:sz w:val="24"/>
          <w:szCs w:val="24"/>
          <w:highlight w:val="none"/>
        </w:rPr>
        <w:t>二、采购</w:t>
      </w:r>
      <w:r>
        <w:rPr>
          <w:rFonts w:hint="eastAsia" w:ascii="宋体" w:hAnsi="宋体"/>
          <w:b/>
          <w:color w:val="auto"/>
          <w:sz w:val="24"/>
          <w:szCs w:val="24"/>
          <w:highlight w:val="none"/>
        </w:rPr>
        <w:t>主要内容</w:t>
      </w:r>
    </w:p>
    <w:p w14:paraId="2AB4655B">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对市不动产登记中心受理窗口收件的部分流程来案的资料当天全部完成数字化扫描，A3幅面以下要求一次扫描完成，并将扫描图像按采购方要求的顺序导入采购人相应的业务案件管理系统，不进行条目著录。及时保证案件实现无纸化流转和审核。并协助窗口部门向档案部门进行扫描后来案资料的移交归档。</w:t>
      </w:r>
    </w:p>
    <w:p w14:paraId="436A39F3">
      <w:pPr>
        <w:spacing w:line="360" w:lineRule="auto"/>
        <w:ind w:firstLine="482" w:firstLineChars="200"/>
        <w:rPr>
          <w:rFonts w:ascii="宋体" w:hAnsi="宋体"/>
          <w:b/>
          <w:color w:val="auto"/>
          <w:sz w:val="24"/>
          <w:szCs w:val="24"/>
          <w:highlight w:val="none"/>
        </w:rPr>
      </w:pPr>
      <w:r>
        <w:rPr>
          <w:rFonts w:hint="eastAsia" w:ascii="宋体" w:hAnsi="宋体"/>
          <w:b/>
          <w:color w:val="auto"/>
          <w:sz w:val="24"/>
          <w:szCs w:val="24"/>
          <w:highlight w:val="none"/>
        </w:rPr>
        <w:t>采购涉及资料</w:t>
      </w:r>
    </w:p>
    <w:p w14:paraId="6DAC5E2A">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2026-2028年市不动产登记中心受理窗口收件的部分流程来案资料。</w:t>
      </w:r>
    </w:p>
    <w:p w14:paraId="46CDFF0D">
      <w:pPr>
        <w:spacing w:line="360" w:lineRule="auto"/>
        <w:ind w:firstLine="482" w:firstLineChars="200"/>
        <w:rPr>
          <w:rFonts w:ascii="宋体" w:hAnsi="宋体"/>
          <w:b/>
          <w:color w:val="auto"/>
          <w:sz w:val="24"/>
          <w:szCs w:val="24"/>
          <w:highlight w:val="none"/>
        </w:rPr>
      </w:pPr>
      <w:r>
        <w:rPr>
          <w:rFonts w:hint="eastAsia" w:ascii="宋体" w:hAnsi="宋体"/>
          <w:b/>
          <w:color w:val="auto"/>
          <w:sz w:val="24"/>
          <w:szCs w:val="24"/>
          <w:highlight w:val="none"/>
        </w:rPr>
        <w:t>三、采购项目场地设备及人员要求</w:t>
      </w:r>
    </w:p>
    <w:p w14:paraId="31581C21">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为保证业务案件收件后及时流转、保质保量在规定时限内完成审核，在签订合同后，中标供应商应立即投入足够的窗口工作人员（至少5人）进行窗口收件来案资料的扫描工作。中标供应商应组织安排好整理扫描人员队伍，配备适量设备，在工作期间应保持人员和设备相对稳定，无特殊原因不得中途更换人员。</w:t>
      </w:r>
    </w:p>
    <w:p w14:paraId="1396BFE7">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（一）采购人负责提供加工场地、办公桌椅。</w:t>
      </w:r>
    </w:p>
    <w:p w14:paraId="3911A2BE">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二）中标供应商自备完成资料扫描加工服务所需的各种硬件设备（电脑、扫描仪、打印机、光盘刻录设备、硬盘及耗材等），自行负责聘用采购项目涉及岗位所需人员，负责设备日常维护和维修，并保证加工期间的设备用电安全。</w:t>
      </w:r>
    </w:p>
    <w:p w14:paraId="5D2A56AF">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（三）中标供应商必须严格遵守保密规定，严禁加工人员私自存储来案资料的扫描图像信息数据等；严禁加工人员带领与项目无关人员进入加工现场。</w:t>
      </w:r>
    </w:p>
    <w:p w14:paraId="36CE5D24">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（四）中标供应商应遵守采购人的日常管理要求，严禁在加工场所吸烟和大声喧哗。双方协商加工人员的作业时间。</w:t>
      </w:r>
    </w:p>
    <w:p w14:paraId="0FBAF332">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（五）中标供应商人员的食宿等事宜自行解决。</w:t>
      </w:r>
    </w:p>
    <w:p w14:paraId="0B8B4AD4">
      <w:pPr>
        <w:spacing w:line="360" w:lineRule="auto"/>
        <w:ind w:firstLine="482" w:firstLineChars="200"/>
        <w:rPr>
          <w:rFonts w:ascii="宋体" w:hAnsi="宋体"/>
          <w:b/>
          <w:color w:val="auto"/>
          <w:sz w:val="24"/>
          <w:szCs w:val="24"/>
          <w:highlight w:val="none"/>
        </w:rPr>
      </w:pPr>
      <w:r>
        <w:rPr>
          <w:rFonts w:hint="eastAsia" w:ascii="宋体" w:hAnsi="宋体"/>
          <w:b/>
          <w:color w:val="auto"/>
          <w:sz w:val="24"/>
          <w:szCs w:val="24"/>
          <w:highlight w:val="none"/>
        </w:rPr>
        <w:t>四、工作要求及技术要求</w:t>
      </w:r>
    </w:p>
    <w:p w14:paraId="2229E48F">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（一）采购人派人对中标供应商加工人员进行培训，培训期大约一周，并在项目实施过程中提供业务指导和质检。发现问题时，双方应积极处理，及时协调解决。</w:t>
      </w:r>
    </w:p>
    <w:p w14:paraId="69C00A4F">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（二）日常加工过程中，中标供应商应严格执行采购人提出的各项技术要求。</w:t>
      </w:r>
    </w:p>
    <w:p w14:paraId="4D78A31D">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（三）加工交接要求</w:t>
      </w:r>
    </w:p>
    <w:p w14:paraId="1926AA2C">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1、严格执行来案资料交接手续，采购人窗口收件人员将收件来案资料及时移交给中标供应商，通过智能流转或人工交接，做好与上下作业环节的交接和记录，保证整理扫描后的妥善保管。</w:t>
      </w:r>
    </w:p>
    <w:p w14:paraId="60771D73">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2、资料整理扫描开始和结束时，扫描人都必须认真核对清点纸质材料和扫描图像的数量，保证两者的一致性和完整性。</w:t>
      </w:r>
    </w:p>
    <w:p w14:paraId="710FF2DC">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3、日常加工过程中，中标供应商要协助采购人做好来案资料的临时保管、日常临时查档及向档案部门移交归档工作。</w:t>
      </w:r>
    </w:p>
    <w:p w14:paraId="0EDBC182">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4、资料整理扫描过程中发现无法处理的有资料错漏的情况，应及时反馈给采购方相关工作人员进行处理，并做好资料异常情况记录。</w:t>
      </w:r>
    </w:p>
    <w:p w14:paraId="12CDFF5F">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（四）整理要求</w:t>
      </w:r>
    </w:p>
    <w:p w14:paraId="743DEAB3">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要符合采购人提出的对来案资料排序等相关要求。</w:t>
      </w:r>
    </w:p>
    <w:p w14:paraId="72DC5695">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1、资料整理采用人工方式。</w:t>
      </w:r>
    </w:p>
    <w:p w14:paraId="50D1F697">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2、资料整理过程中不得改变原始资料纸质载体的原貌，不得损坏原载体和字迹及其他历史痕迹，不得造成文字信息和其他历史痕迹的位移、消褪扩散。</w:t>
      </w:r>
    </w:p>
    <w:p w14:paraId="50856B66">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3、资料材料纸张破损严重的，应适当裱贴后扫描；污损霉变严重的，应用信封单独装放，待后期归档整理时再行处理。</w:t>
      </w:r>
    </w:p>
    <w:p w14:paraId="7D7B64D6">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4、原已规范装订的公证书等有火漆印的收件材料，不能拆分。</w:t>
      </w:r>
    </w:p>
    <w:p w14:paraId="6BCA46B1">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5、中标供应商和采购方工作人员都要做好日常指导和检查，并在资料整理检查记录册上记录整理扫描处理情况、处理时间等。</w:t>
      </w:r>
    </w:p>
    <w:p w14:paraId="1FA0119C">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（五）扫描要求</w:t>
      </w:r>
    </w:p>
    <w:p w14:paraId="086CC223">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1、扫描仪基本要求：采用A3幅面高速扫描仪和平板扫描仪彩色扫描仪配合完成。光学分辨率不低于300dpi，高速扫描仪为双面扫描，扫描速度不低于50页/分钟（A4），平板扫描仪扫描速度不大于10秒/页（A3）。</w:t>
      </w:r>
    </w:p>
    <w:p w14:paraId="0ACB88C0">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2、资料扫描方式： A3幅面及以下的资料须采用一次性扫描的方式形成数字化图像文件。大于A3幅面的资料可通过拍照或多次扫描进行图像拼接的方式形成数字化图像文件。</w:t>
      </w:r>
    </w:p>
    <w:p w14:paraId="660E57EF">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3、资料扫描存储及压缩方式：彩色JPEG格式。分辨率大于等于200dpi。对于收件资料字迹过淡的，应根据实际情况适当调高分辨率及调整其他相关参数，以保证扫描的图像清晰可读为原则。</w:t>
      </w:r>
    </w:p>
    <w:p w14:paraId="72912AE8">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4、资料扫描命名方式：资料扫描图像材料的命名应确保其唯一性，并应与资料来案号形成对应，便于追溯查找相应的纸质资料。</w:t>
      </w:r>
    </w:p>
    <w:p w14:paraId="4BC7E857">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5、数字化图像名称要求：要符合采购人提出的对来案资料命名等相关要求。</w:t>
      </w:r>
    </w:p>
    <w:p w14:paraId="07E8B31E">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（六）图像处理要求：</w:t>
      </w:r>
    </w:p>
    <w:p w14:paraId="73444E08">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要对通过扫描取得的资料图像要进行必要的处理（如：旋转、去噪、去边、去污、调整亮度和对比度等）确保数字化图像资料不重复、不遗漏、清晰无边、不倾斜、无污点、与实物案件资料保持实质性一致、符合正常阅览角度。</w:t>
      </w:r>
    </w:p>
    <w:p w14:paraId="00C23D42">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七）对窗口收件来案的扫描成果属于过程性数字化成果，要求扫描内容齐全、准确，并在一个小时内，通过内部网络及时导入案件业务管理系统，对应挂接在于相应的来案号业务流程中，保证案件业务及时流转、实现无纸化审核和规定时限内办结。</w:t>
      </w:r>
    </w:p>
    <w:p w14:paraId="56602318">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（八）质量要求</w:t>
      </w:r>
    </w:p>
    <w:p w14:paraId="654DA845">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1、中标供应商每天向采购人提交当天进入系统的数字化影像对应的不动产登记来案的数字化影像数据。</w:t>
      </w:r>
    </w:p>
    <w:p w14:paraId="211C378D">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2、按照本项目的技术要求，中标供应商每天自行核查数据检验范围中的加工数据并做好自查质检，漏扫、错扫等均视为不合格。不合格的必须及时返工合格后上传提交。</w:t>
      </w:r>
    </w:p>
    <w:p w14:paraId="1FAE867D">
      <w:pPr>
        <w:tabs>
          <w:tab w:val="left" w:pos="1134"/>
          <w:tab w:val="left" w:pos="1418"/>
        </w:tabs>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3、</w:t>
      </w:r>
      <w:r>
        <w:rPr>
          <w:rFonts w:hint="eastAsia" w:ascii="宋体" w:hAnsi="宋体"/>
          <w:color w:val="auto"/>
          <w:sz w:val="24"/>
          <w:highlight w:val="none"/>
        </w:rPr>
        <w:t>采购人按</w:t>
      </w:r>
      <w:r>
        <w:rPr>
          <w:rFonts w:ascii="宋体" w:hAnsi="宋体"/>
          <w:color w:val="auto"/>
          <w:sz w:val="24"/>
          <w:highlight w:val="none"/>
        </w:rPr>
        <w:t>10%的比例抽查加工完成扫描的资料</w:t>
      </w:r>
      <w:r>
        <w:rPr>
          <w:rFonts w:hint="eastAsia" w:ascii="宋体" w:hAnsi="宋体" w:cs="宋体"/>
          <w:color w:val="auto"/>
          <w:sz w:val="24"/>
          <w:szCs w:val="24"/>
          <w:highlight w:val="none"/>
          <w:lang w:val="zh-CN"/>
        </w:rPr>
        <w:t xml:space="preserve">，检查内容包括对图像质量、图像和实体的对应、图像属性的质量、图像与属性的对应、数据完整性等。如果在影像利用中发现质量错误的，甲方将实体资料退回给乙方，由乙方重新进行处理或加工后再行移交。 </w:t>
      </w:r>
    </w:p>
    <w:p w14:paraId="6D818ECB">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4、扫描质检项目：实体资料是否扫描完整、是否漏扫或多扫；扫描顺序是否与实体资料一致；图像是否清晰；图像是否进行方向调整处理等；案件对应挂接是否正确一致；以及其他需要检查的项目。</w:t>
      </w:r>
    </w:p>
    <w:p w14:paraId="7652DE80">
      <w:pPr>
        <w:autoSpaceDE w:val="0"/>
        <w:autoSpaceDN w:val="0"/>
        <w:adjustRightInd w:val="0"/>
        <w:snapToGrid w:val="0"/>
        <w:spacing w:line="360" w:lineRule="auto"/>
        <w:ind w:firstLine="472" w:firstLineChars="196"/>
        <w:outlineLvl w:val="1"/>
        <w:rPr>
          <w:rFonts w:ascii="宋体" w:hAnsi="宋体"/>
          <w:b/>
          <w:bCs/>
          <w:color w:val="auto"/>
          <w:sz w:val="24"/>
          <w:szCs w:val="24"/>
          <w:highlight w:val="none"/>
        </w:rPr>
      </w:pPr>
      <w:r>
        <w:rPr>
          <w:rFonts w:hint="eastAsia" w:ascii="宋体" w:hAnsi="宋体"/>
          <w:b/>
          <w:bCs/>
          <w:color w:val="auto"/>
          <w:sz w:val="24"/>
          <w:szCs w:val="24"/>
          <w:highlight w:val="none"/>
        </w:rPr>
        <w:t>五、项目日常管理要求</w:t>
      </w:r>
    </w:p>
    <w:p w14:paraId="28A4B239">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（一）中标供应商应安排专人或专门部门对此次加工服务项目进行日常的管理。</w:t>
      </w:r>
    </w:p>
    <w:p w14:paraId="09F5F61B">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（二）中标供应商应配备专业的安全防护设施，以保证工作人员及来案资料的安全。</w:t>
      </w:r>
    </w:p>
    <w:p w14:paraId="1018F7B7">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三）中标供应商加工人员必须严格遵守保密规定，严禁加工人员私自存储来案资料的扫描图像信息数据等；严禁加工人员带领与项目无关人员进入加工现场；严禁将资料夹带出工作场所，严禁以复制、拍照、转借、摘抄等方式泄漏案件资料的内容。</w:t>
      </w:r>
    </w:p>
    <w:p w14:paraId="3736AF5A">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（四）加工整理场地应保持整洁有序，须做到防火、防盗、防尘、防鼠、防虫霉。严禁在整理扫描的加工整理场所内饮食和吸烟。</w:t>
      </w:r>
    </w:p>
    <w:p w14:paraId="741B0F6D">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（五）应建立每日及节假日安全值班制，值班人员负责每天下班前切断电源，关闭门窗等日常安全隐患检查工作。节假日放假前，进行全面安全检查，以确保来案资料的安全。</w:t>
      </w:r>
    </w:p>
    <w:p w14:paraId="6675C33F">
      <w:pPr>
        <w:spacing w:line="360" w:lineRule="auto"/>
        <w:ind w:firstLine="472" w:firstLineChars="196"/>
        <w:rPr>
          <w:rFonts w:ascii="宋体" w:hAnsi="宋体"/>
          <w:b/>
          <w:color w:val="auto"/>
          <w:sz w:val="24"/>
          <w:szCs w:val="24"/>
          <w:highlight w:val="none"/>
        </w:rPr>
      </w:pPr>
      <w:r>
        <w:rPr>
          <w:rFonts w:hint="eastAsia" w:ascii="宋体" w:hAnsi="宋体"/>
          <w:b/>
          <w:color w:val="auto"/>
          <w:sz w:val="24"/>
          <w:szCs w:val="24"/>
          <w:highlight w:val="none"/>
        </w:rPr>
        <w:t>六、采购项目完成时间、付款条件及监理要求</w:t>
      </w:r>
    </w:p>
    <w:p w14:paraId="43982709">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（一）要求中标供应商自合同签订之日起实施，做好各项人员和设备准备，必须按时开展窗口收件前置扫描工作。</w:t>
      </w:r>
    </w:p>
    <w:p w14:paraId="34734C40">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（二）中标供应商应根据采购人要求，充分计划，配备充足的人力及设备等资源，保障中标项目及时、按时完成。具体要求如下：</w:t>
      </w:r>
    </w:p>
    <w:p w14:paraId="30373351">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对窗口前置扫描要求必须在1小时内完成。</w:t>
      </w:r>
    </w:p>
    <w:p w14:paraId="04CC8954">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（三）付款时间：合同签订之日起六月内支付合同总额的</w:t>
      </w:r>
      <w:r>
        <w:rPr>
          <w:rFonts w:ascii="宋体" w:hAnsi="宋体" w:cs="宋体"/>
          <w:color w:val="auto"/>
          <w:sz w:val="24"/>
          <w:szCs w:val="24"/>
          <w:highlight w:val="none"/>
        </w:rPr>
        <w:t>30%</w:t>
      </w:r>
      <w:r>
        <w:rPr>
          <w:rFonts w:hint="eastAsia" w:ascii="宋体" w:hAnsi="宋体" w:cs="宋体"/>
          <w:color w:val="auto"/>
          <w:sz w:val="24"/>
          <w:szCs w:val="24"/>
          <w:highlight w:val="none"/>
        </w:rPr>
        <w:t>；项目第一、二年度工作完成并移交采购人成果后一个月内分别支付合同总额的</w:t>
      </w:r>
      <w:r>
        <w:rPr>
          <w:rFonts w:ascii="宋体" w:hAnsi="宋体" w:cs="宋体"/>
          <w:color w:val="auto"/>
          <w:sz w:val="24"/>
          <w:szCs w:val="24"/>
          <w:highlight w:val="none"/>
        </w:rPr>
        <w:t>20%</w:t>
      </w:r>
      <w:r>
        <w:rPr>
          <w:rFonts w:hint="eastAsia" w:ascii="宋体" w:hAnsi="宋体" w:cs="宋体"/>
          <w:color w:val="auto"/>
          <w:sz w:val="24"/>
          <w:szCs w:val="24"/>
          <w:highlight w:val="none"/>
        </w:rPr>
        <w:t>；项目验收合格后两个月内支付合同总额的</w:t>
      </w:r>
      <w:r>
        <w:rPr>
          <w:rFonts w:ascii="宋体" w:hAnsi="宋体" w:cs="宋体"/>
          <w:color w:val="auto"/>
          <w:sz w:val="24"/>
          <w:szCs w:val="24"/>
          <w:highlight w:val="none"/>
        </w:rPr>
        <w:t>30%</w:t>
      </w:r>
      <w:r>
        <w:rPr>
          <w:rFonts w:hint="eastAsia" w:ascii="宋体" w:hAnsi="宋体" w:cs="宋体"/>
          <w:color w:val="auto"/>
          <w:sz w:val="24"/>
          <w:szCs w:val="24"/>
          <w:highlight w:val="none"/>
        </w:rPr>
        <w:t>。</w:t>
      </w:r>
    </w:p>
    <w:p w14:paraId="7BD46BE6">
      <w:pPr>
        <w:spacing w:line="360" w:lineRule="auto"/>
        <w:ind w:firstLine="472" w:firstLineChars="196"/>
        <w:rPr>
          <w:rFonts w:ascii="宋体" w:hAnsi="宋体"/>
          <w:b/>
          <w:color w:val="auto"/>
          <w:sz w:val="24"/>
          <w:szCs w:val="24"/>
          <w:highlight w:val="none"/>
        </w:rPr>
      </w:pPr>
      <w:r>
        <w:rPr>
          <w:rFonts w:hint="eastAsia" w:ascii="宋体" w:hAnsi="宋体"/>
          <w:b/>
          <w:color w:val="auto"/>
          <w:sz w:val="24"/>
          <w:szCs w:val="24"/>
          <w:highlight w:val="none"/>
        </w:rPr>
        <w:t>七、提交成果</w:t>
      </w:r>
    </w:p>
    <w:p w14:paraId="0530269C">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（一）202</w:t>
      </w:r>
      <w:r>
        <w:rPr>
          <w:rFonts w:ascii="宋体" w:hAnsi="宋体"/>
          <w:color w:val="auto"/>
          <w:sz w:val="24"/>
          <w:szCs w:val="24"/>
          <w:highlight w:val="none"/>
        </w:rPr>
        <w:t>6</w:t>
      </w:r>
      <w:r>
        <w:rPr>
          <w:rFonts w:hint="eastAsia" w:ascii="宋体" w:hAnsi="宋体"/>
          <w:color w:val="auto"/>
          <w:sz w:val="24"/>
          <w:szCs w:val="24"/>
          <w:highlight w:val="none"/>
        </w:rPr>
        <w:t>年受理窗口收件的流程来案资料</w:t>
      </w:r>
      <w:r>
        <w:rPr>
          <w:rFonts w:hint="eastAsia" w:ascii="宋体" w:hAnsi="宋体"/>
          <w:b/>
          <w:color w:val="auto"/>
          <w:sz w:val="24"/>
          <w:szCs w:val="24"/>
          <w:highlight w:val="none"/>
        </w:rPr>
        <w:t>扫描成果；</w:t>
      </w:r>
    </w:p>
    <w:p w14:paraId="4A4D1032">
      <w:pPr>
        <w:adjustRightInd w:val="0"/>
        <w:snapToGrid w:val="0"/>
        <w:spacing w:line="360" w:lineRule="auto"/>
        <w:ind w:firstLine="480" w:firstLineChars="200"/>
        <w:rPr>
          <w:rFonts w:ascii="宋体" w:hAnsi="宋体"/>
          <w:b/>
          <w:color w:val="auto"/>
          <w:sz w:val="24"/>
          <w:szCs w:val="24"/>
          <w:highlight w:val="none"/>
        </w:rPr>
      </w:pPr>
      <w:r>
        <w:rPr>
          <w:rFonts w:hint="eastAsia" w:ascii="宋体" w:hAnsi="宋体"/>
          <w:color w:val="auto"/>
          <w:sz w:val="24"/>
          <w:szCs w:val="24"/>
          <w:highlight w:val="none"/>
        </w:rPr>
        <w:t>（二）202</w:t>
      </w:r>
      <w:r>
        <w:rPr>
          <w:rFonts w:ascii="宋体" w:hAnsi="宋体"/>
          <w:color w:val="auto"/>
          <w:sz w:val="24"/>
          <w:szCs w:val="24"/>
          <w:highlight w:val="none"/>
        </w:rPr>
        <w:t>7</w:t>
      </w:r>
      <w:r>
        <w:rPr>
          <w:rFonts w:hint="eastAsia" w:ascii="宋体" w:hAnsi="宋体"/>
          <w:color w:val="auto"/>
          <w:sz w:val="24"/>
          <w:szCs w:val="24"/>
          <w:highlight w:val="none"/>
        </w:rPr>
        <w:t>年受理窗口收件的流程来案资料</w:t>
      </w:r>
      <w:r>
        <w:rPr>
          <w:rFonts w:hint="eastAsia" w:ascii="宋体" w:hAnsi="宋体"/>
          <w:b/>
          <w:color w:val="auto"/>
          <w:sz w:val="24"/>
          <w:szCs w:val="24"/>
          <w:highlight w:val="none"/>
        </w:rPr>
        <w:t>扫描成果。</w:t>
      </w:r>
    </w:p>
    <w:p w14:paraId="2481F2EF">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（三）202</w:t>
      </w:r>
      <w:r>
        <w:rPr>
          <w:rFonts w:ascii="宋体" w:hAnsi="宋体"/>
          <w:color w:val="auto"/>
          <w:sz w:val="24"/>
          <w:szCs w:val="24"/>
          <w:highlight w:val="none"/>
        </w:rPr>
        <w:t>8</w:t>
      </w:r>
      <w:r>
        <w:rPr>
          <w:rFonts w:hint="eastAsia" w:ascii="宋体" w:hAnsi="宋体"/>
          <w:color w:val="auto"/>
          <w:sz w:val="24"/>
          <w:szCs w:val="24"/>
          <w:highlight w:val="none"/>
        </w:rPr>
        <w:t>年受理窗口收件的流程来案资料</w:t>
      </w:r>
      <w:r>
        <w:rPr>
          <w:rFonts w:hint="eastAsia" w:ascii="宋体" w:hAnsi="宋体"/>
          <w:b/>
          <w:color w:val="auto"/>
          <w:sz w:val="24"/>
          <w:szCs w:val="24"/>
          <w:highlight w:val="none"/>
        </w:rPr>
        <w:t>扫描成果。</w:t>
      </w:r>
    </w:p>
    <w:p w14:paraId="45584EE6">
      <w:pPr>
        <w:spacing w:line="360" w:lineRule="auto"/>
        <w:ind w:firstLine="482" w:firstLineChars="200"/>
        <w:rPr>
          <w:rFonts w:ascii="宋体" w:hAnsi="宋体"/>
          <w:b/>
          <w:color w:val="auto"/>
          <w:sz w:val="24"/>
          <w:szCs w:val="24"/>
          <w:highlight w:val="none"/>
        </w:rPr>
      </w:pPr>
      <w:r>
        <w:rPr>
          <w:rFonts w:hint="eastAsia" w:ascii="宋体" w:hAnsi="宋体" w:cs="微软雅黑"/>
          <w:b/>
          <w:color w:val="auto"/>
          <w:sz w:val="24"/>
          <w:szCs w:val="24"/>
          <w:highlight w:val="none"/>
        </w:rPr>
        <w:t>八、</w:t>
      </w:r>
      <w:r>
        <w:rPr>
          <w:rFonts w:hint="eastAsia" w:ascii="宋体" w:hAnsi="宋体"/>
          <w:b/>
          <w:color w:val="auto"/>
          <w:sz w:val="24"/>
          <w:szCs w:val="24"/>
          <w:highlight w:val="none"/>
        </w:rPr>
        <w:t>赔偿约定</w:t>
      </w:r>
    </w:p>
    <w:p w14:paraId="04F05F12">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（一）中标供应商造成采购人资料遗失的，按10万元／卷赔偿。</w:t>
      </w:r>
    </w:p>
    <w:p w14:paraId="51AB4DDD">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二）中标供应商前置扫描环节漏扫，被采购人检查发现的，按100元／页扣减合同支付金额，并在发现后1个小时内完成补扫；中标供应商不遵守工作规则产生资料污损的，先进行修复，并按1000元／页扣减合同金额；无法修复的，按10万元/卷赔偿。</w:t>
      </w:r>
    </w:p>
    <w:p w14:paraId="1788A7D7">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（三）赔偿金归采购人所有。</w:t>
      </w:r>
    </w:p>
    <w:p w14:paraId="5158E2F2">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四）如因中标供应商质量问题遇翻工和补做情况的，由中标供应商负责无条件返工和补做；如因采购人的软件系统产生质量问题，中标供应商在采购人解决问题的前提下给予返工和补做，由此产生的违约金不计入中标供应商。</w:t>
      </w:r>
    </w:p>
    <w:p w14:paraId="03713A4A">
      <w:pPr>
        <w:spacing w:line="360" w:lineRule="auto"/>
        <w:ind w:firstLine="472" w:firstLineChars="196"/>
        <w:rPr>
          <w:rFonts w:ascii="宋体" w:hAnsi="宋体"/>
          <w:b/>
          <w:color w:val="auto"/>
          <w:sz w:val="24"/>
          <w:szCs w:val="24"/>
          <w:highlight w:val="none"/>
        </w:rPr>
      </w:pPr>
      <w:r>
        <w:rPr>
          <w:rFonts w:hint="eastAsia" w:ascii="宋体" w:hAnsi="宋体"/>
          <w:b/>
          <w:color w:val="auto"/>
          <w:sz w:val="24"/>
          <w:szCs w:val="24"/>
          <w:highlight w:val="none"/>
        </w:rPr>
        <w:t>九、其他要求</w:t>
      </w:r>
    </w:p>
    <w:p w14:paraId="2CAC4AB4">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（一）供应商须在响应文件中承诺，如中标，不得分包或转包。</w:t>
      </w:r>
    </w:p>
    <w:p w14:paraId="39BFCA48">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（二）该项目为三年期实施项目。</w:t>
      </w:r>
    </w:p>
    <w:p w14:paraId="78F19651">
      <w:pPr>
        <w:spacing w:line="360" w:lineRule="auto"/>
        <w:ind w:firstLine="420"/>
        <w:contextualSpacing/>
        <w:jc w:val="left"/>
        <w:rPr>
          <w:rFonts w:ascii="宋体" w:hAnsi="宋体"/>
          <w:color w:val="auto"/>
          <w:sz w:val="24"/>
          <w:szCs w:val="24"/>
          <w:highlight w:val="none"/>
        </w:rPr>
      </w:pPr>
      <w:r>
        <w:rPr>
          <w:rFonts w:hint="eastAsia" w:ascii="宋体" w:hAnsi="宋体" w:cs="宋体"/>
          <w:color w:val="auto"/>
          <w:sz w:val="24"/>
          <w:szCs w:val="24"/>
          <w:highlight w:val="none"/>
        </w:rPr>
        <w:t>（三）中标供应商现场项目经理及实施人员更换必须报经采购人同意。</w:t>
      </w:r>
    </w:p>
    <w:p w14:paraId="3E9ED62F">
      <w:pPr>
        <w:widowControl/>
        <w:spacing w:line="360" w:lineRule="auto"/>
        <w:jc w:val="left"/>
        <w:rPr>
          <w:rFonts w:ascii="宋体" w:hAnsi="宋体"/>
          <w:color w:val="auto"/>
          <w:sz w:val="24"/>
          <w:szCs w:val="24"/>
          <w:highlight w:val="none"/>
        </w:rPr>
      </w:pPr>
    </w:p>
    <w:p w14:paraId="2A1A9A2D">
      <w:pPr>
        <w:rPr>
          <w:color w:val="auto"/>
          <w:highlight w:val="none"/>
        </w:rPr>
      </w:pPr>
    </w:p>
    <w:p w14:paraId="5A68F1FF">
      <w:pPr>
        <w:pStyle w:val="237"/>
        <w:spacing w:line="360" w:lineRule="auto"/>
        <w:jc w:val="center"/>
        <w:rPr>
          <w:rFonts w:ascii="宋体" w:hAnsi="宋体" w:cs="宋体"/>
          <w:color w:val="auto"/>
          <w:highlight w:val="none"/>
        </w:rPr>
      </w:pPr>
      <w:bookmarkStart w:id="36" w:name="_Toc109304975"/>
      <w:r>
        <w:rPr>
          <w:rFonts w:hint="eastAsia" w:ascii="宋体" w:hAnsi="宋体" w:cs="宋体"/>
          <w:color w:val="auto"/>
          <w:highlight w:val="none"/>
        </w:rPr>
        <w:br w:type="page" w:clear="all"/>
      </w:r>
      <w:r>
        <w:rPr>
          <w:rFonts w:hint="eastAsia" w:ascii="宋体" w:hAnsi="宋体" w:cs="宋体"/>
          <w:color w:val="auto"/>
          <w:highlight w:val="none"/>
        </w:rPr>
        <w:t>第五章 评审方法及评审标准</w:t>
      </w:r>
      <w:bookmarkEnd w:id="0"/>
      <w:bookmarkEnd w:id="36"/>
    </w:p>
    <w:p w14:paraId="5AB790DF">
      <w:pPr>
        <w:pStyle w:val="272"/>
        <w:ind w:firstLine="422"/>
        <w:outlineLvl w:val="1"/>
        <w:rPr>
          <w:rFonts w:ascii="宋体" w:hAnsi="宋体" w:cs="宋体"/>
          <w:b/>
          <w:color w:val="auto"/>
          <w:sz w:val="21"/>
          <w:szCs w:val="21"/>
          <w:highlight w:val="none"/>
        </w:rPr>
      </w:pPr>
      <w:r>
        <w:rPr>
          <w:rFonts w:hint="eastAsia" w:ascii="宋体" w:hAnsi="宋体" w:cs="宋体"/>
          <w:b/>
          <w:color w:val="auto"/>
          <w:sz w:val="21"/>
          <w:szCs w:val="21"/>
          <w:highlight w:val="none"/>
        </w:rPr>
        <w:t>一、评审标准</w:t>
      </w:r>
    </w:p>
    <w:tbl>
      <w:tblPr>
        <w:tblStyle w:val="40"/>
        <w:tblW w:w="9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423"/>
        <w:gridCol w:w="6310"/>
        <w:gridCol w:w="630"/>
      </w:tblGrid>
      <w:tr w14:paraId="2E130783">
        <w:trPr>
          <w:trHeight w:val="284"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4DF391A6">
            <w:pPr>
              <w:widowControl/>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序号</w:t>
            </w:r>
          </w:p>
        </w:tc>
        <w:tc>
          <w:tcPr>
            <w:tcW w:w="1423" w:type="dxa"/>
            <w:tcBorders>
              <w:top w:val="single" w:color="auto" w:sz="4" w:space="0"/>
              <w:left w:val="single" w:color="auto" w:sz="4" w:space="0"/>
              <w:bottom w:val="single" w:color="auto" w:sz="4" w:space="0"/>
              <w:right w:val="single" w:color="auto" w:sz="4" w:space="0"/>
            </w:tcBorders>
            <w:vAlign w:val="center"/>
          </w:tcPr>
          <w:p w14:paraId="70640C21">
            <w:pPr>
              <w:widowControl/>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评分因素</w:t>
            </w:r>
          </w:p>
        </w:tc>
        <w:tc>
          <w:tcPr>
            <w:tcW w:w="6310" w:type="dxa"/>
            <w:tcBorders>
              <w:top w:val="single" w:color="auto" w:sz="4" w:space="0"/>
              <w:left w:val="single" w:color="auto" w:sz="4" w:space="0"/>
              <w:bottom w:val="single" w:color="auto" w:sz="4" w:space="0"/>
              <w:right w:val="single" w:color="auto" w:sz="4" w:space="0"/>
            </w:tcBorders>
            <w:vAlign w:val="center"/>
          </w:tcPr>
          <w:p w14:paraId="50AB213F">
            <w:pPr>
              <w:widowControl/>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评审标准</w:t>
            </w:r>
          </w:p>
        </w:tc>
        <w:tc>
          <w:tcPr>
            <w:tcW w:w="630" w:type="dxa"/>
            <w:tcBorders>
              <w:top w:val="single" w:color="auto" w:sz="4" w:space="0"/>
              <w:left w:val="single" w:color="auto" w:sz="4" w:space="0"/>
              <w:bottom w:val="single" w:color="auto" w:sz="4" w:space="0"/>
              <w:right w:val="single" w:color="auto" w:sz="4" w:space="0"/>
            </w:tcBorders>
            <w:vAlign w:val="center"/>
          </w:tcPr>
          <w:p w14:paraId="4778C2ED">
            <w:pPr>
              <w:widowControl/>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分值</w:t>
            </w:r>
          </w:p>
        </w:tc>
      </w:tr>
      <w:tr w14:paraId="1B8A0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43B5846D">
            <w:pPr>
              <w:widowControl/>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1</w:t>
            </w:r>
          </w:p>
        </w:tc>
        <w:tc>
          <w:tcPr>
            <w:tcW w:w="1423" w:type="dxa"/>
            <w:tcBorders>
              <w:top w:val="single" w:color="auto" w:sz="4" w:space="0"/>
              <w:left w:val="single" w:color="auto" w:sz="4" w:space="0"/>
              <w:bottom w:val="single" w:color="auto" w:sz="4" w:space="0"/>
              <w:right w:val="single" w:color="auto" w:sz="4" w:space="0"/>
            </w:tcBorders>
            <w:vAlign w:val="center"/>
          </w:tcPr>
          <w:p w14:paraId="474658A8">
            <w:pPr>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价格</w:t>
            </w:r>
          </w:p>
          <w:p w14:paraId="50AD9CCD">
            <w:pPr>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10分</w:t>
            </w:r>
          </w:p>
        </w:tc>
        <w:tc>
          <w:tcPr>
            <w:tcW w:w="6310" w:type="dxa"/>
            <w:tcBorders>
              <w:top w:val="single" w:color="auto" w:sz="4" w:space="0"/>
              <w:left w:val="single" w:color="auto" w:sz="4" w:space="0"/>
              <w:bottom w:val="single" w:color="auto" w:sz="4" w:space="0"/>
              <w:right w:val="single" w:color="auto" w:sz="4" w:space="0"/>
            </w:tcBorders>
            <w:vAlign w:val="center"/>
          </w:tcPr>
          <w:p w14:paraId="39F707C3">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采用低价优先法计算，即满足竞争性磋商文件要求且最后报价最低的供应商的价格为磋商基准价，其价格分为满分。其他供应商的价格分统一按照下列公式计算：</w:t>
            </w:r>
          </w:p>
          <w:p w14:paraId="7FB7C3C7">
            <w:pPr>
              <w:spacing w:line="360" w:lineRule="auto"/>
              <w:ind w:firstLine="420"/>
              <w:contextualSpacing/>
              <w:jc w:val="left"/>
              <w:rPr>
                <w:rFonts w:ascii="宋体" w:hAnsi="宋体" w:cs="宋体"/>
                <w:color w:val="auto"/>
                <w:sz w:val="24"/>
                <w:szCs w:val="24"/>
                <w:highlight w:val="none"/>
              </w:rPr>
            </w:pPr>
            <w:r>
              <w:rPr>
                <w:rFonts w:hint="eastAsia" w:ascii="宋体" w:hAnsi="宋体" w:cs="宋体"/>
                <w:color w:val="auto"/>
                <w:sz w:val="24"/>
                <w:szCs w:val="24"/>
                <w:highlight w:val="none"/>
              </w:rPr>
              <w:t>磋商报价得分=（磋商基准价/最后磋商报价）×10（小数点保留两位）。</w:t>
            </w:r>
          </w:p>
        </w:tc>
        <w:tc>
          <w:tcPr>
            <w:tcW w:w="630" w:type="dxa"/>
            <w:tcBorders>
              <w:top w:val="single" w:color="auto" w:sz="4" w:space="0"/>
              <w:left w:val="single" w:color="auto" w:sz="4" w:space="0"/>
              <w:bottom w:val="single" w:color="auto" w:sz="4" w:space="0"/>
              <w:right w:val="single" w:color="auto" w:sz="4" w:space="0"/>
            </w:tcBorders>
            <w:vAlign w:val="center"/>
          </w:tcPr>
          <w:p w14:paraId="41722E38">
            <w:pPr>
              <w:spacing w:line="360" w:lineRule="auto"/>
              <w:jc w:val="center"/>
              <w:rPr>
                <w:rFonts w:ascii="宋体" w:hAnsi="宋体" w:cs="宋体"/>
                <w:b/>
                <w:bCs/>
                <w:color w:val="auto"/>
                <w:sz w:val="24"/>
                <w:szCs w:val="24"/>
                <w:highlight w:val="none"/>
              </w:rPr>
            </w:pPr>
            <w:r>
              <w:rPr>
                <w:rFonts w:hint="eastAsia" w:ascii="宋体" w:hAnsi="宋体" w:cs="宋体"/>
                <w:b/>
                <w:color w:val="auto"/>
                <w:sz w:val="24"/>
                <w:szCs w:val="24"/>
                <w:highlight w:val="none"/>
              </w:rPr>
              <w:t>10</w:t>
            </w:r>
          </w:p>
        </w:tc>
      </w:tr>
      <w:tr w14:paraId="1AD3C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6C17EF26">
            <w:pPr>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2.1</w:t>
            </w:r>
          </w:p>
        </w:tc>
        <w:tc>
          <w:tcPr>
            <w:tcW w:w="1423" w:type="dxa"/>
            <w:vMerge w:val="restart"/>
            <w:tcBorders>
              <w:top w:val="single" w:color="auto" w:sz="4" w:space="0"/>
              <w:left w:val="single" w:color="auto" w:sz="4" w:space="0"/>
              <w:right w:val="single" w:color="auto" w:sz="4" w:space="0"/>
            </w:tcBorders>
            <w:vAlign w:val="center"/>
          </w:tcPr>
          <w:p w14:paraId="204AED1C">
            <w:pPr>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技术</w:t>
            </w:r>
          </w:p>
          <w:p w14:paraId="1034A240">
            <w:pPr>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服务</w:t>
            </w:r>
          </w:p>
          <w:p w14:paraId="4C29A8CF">
            <w:pPr>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58分</w:t>
            </w:r>
          </w:p>
        </w:tc>
        <w:tc>
          <w:tcPr>
            <w:tcW w:w="6310" w:type="dxa"/>
            <w:tcBorders>
              <w:top w:val="single" w:color="auto" w:sz="4" w:space="0"/>
              <w:left w:val="single" w:color="auto" w:sz="4" w:space="0"/>
              <w:bottom w:val="single" w:color="auto" w:sz="4" w:space="0"/>
              <w:right w:val="single" w:color="auto" w:sz="4" w:space="0"/>
            </w:tcBorders>
            <w:vAlign w:val="center"/>
          </w:tcPr>
          <w:p w14:paraId="2674032E">
            <w:pPr>
              <w:pStyle w:val="14"/>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根据响应文件方案与需求的吻合程度打分，包括方案的科学性、先进性、可行性、安全性和扩展性、具有一定的前瞻性，是否有独到的优势，提出合理化建议（包括技术的成熟度、针对此项目的理解程度进行的需求分析和解决方案）等评分：</w:t>
            </w:r>
          </w:p>
          <w:p w14:paraId="6AEC3ADE">
            <w:pPr>
              <w:pStyle w:val="14"/>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方案体系完整、内容丰富，编制科学严谨，深度结合项目实际需求，实施思路清晰、举措详实，针对性、可行性极强得8分；</w:t>
            </w:r>
          </w:p>
          <w:p w14:paraId="1C2CCB0D">
            <w:pPr>
              <w:pStyle w:val="14"/>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方案内容基本齐全，仅涵盖基础常规内容，未结合项目特点优化，内容深度不足，针对性表现一般得5分；</w:t>
            </w:r>
          </w:p>
          <w:p w14:paraId="22D9CD60">
            <w:pPr>
              <w:pStyle w:val="14"/>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方案内容简单粗糙，关键内容缺失，针对性差，可行性不足得2分；</w:t>
            </w:r>
          </w:p>
          <w:p w14:paraId="2D27C136">
            <w:pPr>
              <w:pStyle w:val="14"/>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未提供不得分。</w:t>
            </w:r>
          </w:p>
        </w:tc>
        <w:tc>
          <w:tcPr>
            <w:tcW w:w="630" w:type="dxa"/>
            <w:tcBorders>
              <w:top w:val="single" w:color="auto" w:sz="4" w:space="0"/>
              <w:left w:val="single" w:color="auto" w:sz="4" w:space="0"/>
              <w:bottom w:val="single" w:color="auto" w:sz="4" w:space="0"/>
              <w:right w:val="single" w:color="auto" w:sz="4" w:space="0"/>
            </w:tcBorders>
            <w:vAlign w:val="center"/>
          </w:tcPr>
          <w:p w14:paraId="559D54DB">
            <w:pPr>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8</w:t>
            </w:r>
          </w:p>
        </w:tc>
      </w:tr>
      <w:tr w14:paraId="29AAA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14F544ED">
            <w:pPr>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2</w:t>
            </w:r>
            <w:r>
              <w:rPr>
                <w:rFonts w:ascii="宋体" w:hAnsi="宋体" w:cs="宋体"/>
                <w:b/>
                <w:color w:val="auto"/>
                <w:sz w:val="24"/>
                <w:szCs w:val="24"/>
                <w:highlight w:val="none"/>
              </w:rPr>
              <w:t>.2</w:t>
            </w:r>
          </w:p>
        </w:tc>
        <w:tc>
          <w:tcPr>
            <w:tcW w:w="1423" w:type="dxa"/>
            <w:vMerge w:val="continue"/>
            <w:tcBorders>
              <w:left w:val="single" w:color="auto" w:sz="4" w:space="0"/>
              <w:right w:val="single" w:color="auto" w:sz="4" w:space="0"/>
            </w:tcBorders>
            <w:vAlign w:val="center"/>
          </w:tcPr>
          <w:p w14:paraId="1EC10F48">
            <w:pPr>
              <w:spacing w:line="360" w:lineRule="auto"/>
              <w:ind w:firstLine="482" w:firstLineChars="200"/>
              <w:rPr>
                <w:rFonts w:ascii="宋体" w:hAnsi="宋体" w:cs="宋体"/>
                <w:b/>
                <w:color w:val="auto"/>
                <w:sz w:val="24"/>
                <w:szCs w:val="24"/>
                <w:highlight w:val="none"/>
              </w:rPr>
            </w:pPr>
          </w:p>
        </w:tc>
        <w:tc>
          <w:tcPr>
            <w:tcW w:w="6310" w:type="dxa"/>
            <w:tcBorders>
              <w:top w:val="single" w:color="auto" w:sz="4" w:space="0"/>
              <w:left w:val="single" w:color="auto" w:sz="4" w:space="0"/>
              <w:bottom w:val="single" w:color="auto" w:sz="4" w:space="0"/>
              <w:right w:val="single" w:color="auto" w:sz="4" w:space="0"/>
            </w:tcBorders>
            <w:vAlign w:val="center"/>
          </w:tcPr>
          <w:p w14:paraId="4B0D9D96">
            <w:pPr>
              <w:pStyle w:val="310"/>
              <w:spacing w:before="0"/>
              <w:ind w:firstLine="480"/>
              <w:rPr>
                <w:rFonts w:ascii="宋体" w:hAnsi="宋体" w:eastAsia="宋体"/>
                <w:color w:val="auto"/>
                <w:szCs w:val="24"/>
                <w:highlight w:val="none"/>
              </w:rPr>
            </w:pPr>
            <w:r>
              <w:rPr>
                <w:rFonts w:hint="eastAsia" w:ascii="宋体" w:hAnsi="宋体" w:eastAsia="宋体"/>
                <w:color w:val="auto"/>
                <w:szCs w:val="24"/>
                <w:highlight w:val="none"/>
              </w:rPr>
              <w:t>根据投标人对南京市不动产登记档案管理现状的理解</w:t>
            </w:r>
            <w:r>
              <w:rPr>
                <w:rFonts w:hint="eastAsia" w:ascii="宋体" w:hAnsi="宋体" w:eastAsia="宋体"/>
                <w:color w:val="auto"/>
                <w:szCs w:val="24"/>
                <w:highlight w:val="none"/>
                <w:lang w:val="en-US"/>
              </w:rPr>
              <w:t>、</w:t>
            </w:r>
            <w:r>
              <w:rPr>
                <w:rFonts w:hint="eastAsia" w:ascii="宋体" w:hAnsi="宋体" w:eastAsia="宋体"/>
                <w:color w:val="auto"/>
                <w:szCs w:val="24"/>
                <w:highlight w:val="none"/>
              </w:rPr>
              <w:t>对南京市不动产登记档案管理系统和登记档案数据现状的理解及对与归档扫描衔接考虑等评分：</w:t>
            </w:r>
          </w:p>
          <w:p w14:paraId="793B4694">
            <w:pPr>
              <w:pStyle w:val="14"/>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方案内容全面完善，整体体系科学严谨合理，贴合项目主要工作要求，各项内容表述清晰，具备较强针对性与实操性8分；</w:t>
            </w:r>
          </w:p>
          <w:p w14:paraId="3F26AE64">
            <w:pPr>
              <w:pStyle w:val="14"/>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方案内容基本齐全，仅涵盖基础常规内容，未结合项目特点优化，内容深度不足，针对性表现一般得5分；</w:t>
            </w:r>
          </w:p>
          <w:p w14:paraId="1FDF3006">
            <w:pPr>
              <w:pStyle w:val="14"/>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方案内容简单粗糙，关键内容缺失，针对性差，可行性不足得2分；</w:t>
            </w:r>
          </w:p>
          <w:p w14:paraId="45565048">
            <w:pPr>
              <w:pStyle w:val="14"/>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未提供不得分。</w:t>
            </w:r>
          </w:p>
        </w:tc>
        <w:tc>
          <w:tcPr>
            <w:tcW w:w="630" w:type="dxa"/>
            <w:tcBorders>
              <w:top w:val="single" w:color="auto" w:sz="4" w:space="0"/>
              <w:left w:val="single" w:color="auto" w:sz="4" w:space="0"/>
              <w:bottom w:val="single" w:color="auto" w:sz="4" w:space="0"/>
              <w:right w:val="single" w:color="auto" w:sz="4" w:space="0"/>
            </w:tcBorders>
            <w:vAlign w:val="center"/>
          </w:tcPr>
          <w:p w14:paraId="4DEBDAEE">
            <w:pPr>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8</w:t>
            </w:r>
          </w:p>
        </w:tc>
      </w:tr>
      <w:tr w14:paraId="502B0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10CB3AE9">
            <w:pPr>
              <w:widowControl/>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2.</w:t>
            </w:r>
            <w:r>
              <w:rPr>
                <w:rFonts w:ascii="宋体" w:hAnsi="宋体" w:cs="宋体"/>
                <w:b/>
                <w:color w:val="auto"/>
                <w:sz w:val="24"/>
                <w:szCs w:val="24"/>
                <w:highlight w:val="none"/>
              </w:rPr>
              <w:t>3</w:t>
            </w:r>
          </w:p>
        </w:tc>
        <w:tc>
          <w:tcPr>
            <w:tcW w:w="1423" w:type="dxa"/>
            <w:vMerge w:val="continue"/>
            <w:tcBorders>
              <w:left w:val="single" w:color="auto" w:sz="4" w:space="0"/>
              <w:right w:val="single" w:color="auto" w:sz="4" w:space="0"/>
            </w:tcBorders>
            <w:vAlign w:val="center"/>
          </w:tcPr>
          <w:p w14:paraId="2EF8BABD">
            <w:pPr>
              <w:widowControl/>
              <w:spacing w:line="360" w:lineRule="auto"/>
              <w:jc w:val="left"/>
              <w:rPr>
                <w:rFonts w:ascii="宋体" w:hAnsi="宋体" w:cs="宋体"/>
                <w:b/>
                <w:color w:val="auto"/>
                <w:sz w:val="24"/>
                <w:szCs w:val="24"/>
                <w:highlight w:val="none"/>
              </w:rPr>
            </w:pPr>
          </w:p>
        </w:tc>
        <w:tc>
          <w:tcPr>
            <w:tcW w:w="6310" w:type="dxa"/>
            <w:tcBorders>
              <w:top w:val="single" w:color="auto" w:sz="4" w:space="0"/>
              <w:left w:val="single" w:color="auto" w:sz="4" w:space="0"/>
              <w:bottom w:val="single" w:color="auto" w:sz="4" w:space="0"/>
              <w:right w:val="single" w:color="auto" w:sz="4" w:space="0"/>
            </w:tcBorders>
            <w:vAlign w:val="center"/>
          </w:tcPr>
          <w:p w14:paraId="18681F64">
            <w:pPr>
              <w:pStyle w:val="310"/>
              <w:spacing w:before="0"/>
              <w:ind w:firstLine="480"/>
              <w:rPr>
                <w:rFonts w:ascii="宋体" w:hAnsi="宋体" w:eastAsia="宋体"/>
                <w:color w:val="auto"/>
                <w:szCs w:val="24"/>
                <w:highlight w:val="none"/>
                <w:lang w:val="en-US"/>
              </w:rPr>
            </w:pPr>
            <w:r>
              <w:rPr>
                <w:rFonts w:hint="eastAsia" w:ascii="宋体" w:hAnsi="宋体" w:eastAsia="宋体"/>
                <w:color w:val="auto"/>
                <w:szCs w:val="24"/>
                <w:highlight w:val="none"/>
                <w:lang w:val="en-US"/>
              </w:rPr>
              <w:t>根据供应商项目组织实施方案的科学性、合理性、规范性、可操作性和按期完成保证措施，包括组织机构、实施场所、工作时间进度表、工作程序和步骤（包括数字化加工工作流程和各步骤概述、扫描具体操作规范、图像处理编辑软件、质检、用户验收以及资料归还等），管理和协调方法、关键步骤的思路和要点、案件流转与交接的科学性等评分：</w:t>
            </w:r>
          </w:p>
          <w:p w14:paraId="41637345">
            <w:pPr>
              <w:pStyle w:val="14"/>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方案内容较为完善，组织实施流程清晰，贴合项目主要工作要求，各项内容表述清晰，具备较强针对性与实操性8分；</w:t>
            </w:r>
          </w:p>
          <w:p w14:paraId="029E732B">
            <w:pPr>
              <w:pStyle w:val="14"/>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方案内容基本齐全，组织实施流程较清晰，仅涵盖基础常规内容，未结合项目特点优化，内容深度不足，针对性表现一般得5分；</w:t>
            </w:r>
          </w:p>
          <w:p w14:paraId="2726F421">
            <w:pPr>
              <w:pStyle w:val="14"/>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方案内容一般，针对性一般，可行性一般得2分；</w:t>
            </w:r>
          </w:p>
          <w:p w14:paraId="7E89D8D7">
            <w:pPr>
              <w:pStyle w:val="310"/>
              <w:spacing w:before="0"/>
              <w:ind w:firstLine="480"/>
              <w:rPr>
                <w:rFonts w:ascii="宋体" w:hAnsi="宋体" w:eastAsia="宋体"/>
                <w:color w:val="auto"/>
                <w:szCs w:val="24"/>
                <w:highlight w:val="none"/>
                <w:lang w:val="en-US"/>
              </w:rPr>
            </w:pPr>
            <w:r>
              <w:rPr>
                <w:rFonts w:hint="eastAsia" w:ascii="宋体" w:hAnsi="宋体" w:eastAsia="宋体"/>
                <w:color w:val="auto"/>
                <w:szCs w:val="24"/>
                <w:highlight w:val="none"/>
                <w:lang w:val="en-US"/>
              </w:rPr>
              <w:t>未提供不得分。</w:t>
            </w:r>
          </w:p>
        </w:tc>
        <w:tc>
          <w:tcPr>
            <w:tcW w:w="630" w:type="dxa"/>
            <w:tcBorders>
              <w:top w:val="single" w:color="auto" w:sz="4" w:space="0"/>
              <w:left w:val="single" w:color="auto" w:sz="4" w:space="0"/>
              <w:bottom w:val="single" w:color="auto" w:sz="4" w:space="0"/>
              <w:right w:val="single" w:color="auto" w:sz="4" w:space="0"/>
            </w:tcBorders>
            <w:vAlign w:val="center"/>
          </w:tcPr>
          <w:p w14:paraId="1E9CB371">
            <w:pPr>
              <w:widowControl/>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8</w:t>
            </w:r>
          </w:p>
        </w:tc>
      </w:tr>
      <w:tr w14:paraId="09006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6AD69E5E">
            <w:pPr>
              <w:widowControl/>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2.</w:t>
            </w:r>
            <w:r>
              <w:rPr>
                <w:rFonts w:ascii="宋体" w:hAnsi="宋体" w:cs="宋体"/>
                <w:b/>
                <w:color w:val="auto"/>
                <w:sz w:val="24"/>
                <w:szCs w:val="24"/>
                <w:highlight w:val="none"/>
              </w:rPr>
              <w:t>4</w:t>
            </w:r>
          </w:p>
        </w:tc>
        <w:tc>
          <w:tcPr>
            <w:tcW w:w="1423" w:type="dxa"/>
            <w:vMerge w:val="continue"/>
            <w:tcBorders>
              <w:left w:val="single" w:color="auto" w:sz="4" w:space="0"/>
              <w:right w:val="single" w:color="auto" w:sz="4" w:space="0"/>
            </w:tcBorders>
            <w:vAlign w:val="center"/>
          </w:tcPr>
          <w:p w14:paraId="20D907E0">
            <w:pPr>
              <w:widowControl/>
              <w:spacing w:line="360" w:lineRule="auto"/>
              <w:jc w:val="left"/>
              <w:rPr>
                <w:rFonts w:ascii="宋体" w:hAnsi="宋体" w:cs="宋体"/>
                <w:b/>
                <w:color w:val="auto"/>
                <w:sz w:val="24"/>
                <w:szCs w:val="24"/>
                <w:highlight w:val="none"/>
              </w:rPr>
            </w:pPr>
          </w:p>
        </w:tc>
        <w:tc>
          <w:tcPr>
            <w:tcW w:w="6310" w:type="dxa"/>
            <w:tcBorders>
              <w:top w:val="single" w:color="auto" w:sz="4" w:space="0"/>
              <w:left w:val="single" w:color="auto" w:sz="4" w:space="0"/>
              <w:bottom w:val="single" w:color="auto" w:sz="4" w:space="0"/>
              <w:right w:val="single" w:color="auto" w:sz="4" w:space="0"/>
            </w:tcBorders>
            <w:vAlign w:val="center"/>
          </w:tcPr>
          <w:p w14:paraId="39AF4DE9">
            <w:pPr>
              <w:pStyle w:val="310"/>
              <w:spacing w:before="0"/>
              <w:ind w:firstLine="480"/>
              <w:rPr>
                <w:rFonts w:ascii="宋体" w:hAnsi="宋体" w:eastAsia="宋体"/>
                <w:color w:val="auto"/>
                <w:szCs w:val="24"/>
                <w:highlight w:val="none"/>
                <w:lang w:val="en-US"/>
              </w:rPr>
            </w:pPr>
            <w:r>
              <w:rPr>
                <w:rFonts w:hint="eastAsia" w:ascii="宋体" w:hAnsi="宋体" w:eastAsia="宋体"/>
                <w:color w:val="auto"/>
                <w:szCs w:val="24"/>
                <w:highlight w:val="none"/>
                <w:lang w:val="en-US"/>
              </w:rPr>
              <w:t>根据供应商是否具有完备的管理组织、项目实施规范、管理制度、质检方案、以及数字化加工保密方案和具体措施等评分：</w:t>
            </w:r>
          </w:p>
          <w:p w14:paraId="6576F292">
            <w:pPr>
              <w:pStyle w:val="14"/>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方案内容较为完善，管理措施等规范有效，贴合项目主要工作要求，各项内容表述清晰，具备较强针对性与实操性8分；</w:t>
            </w:r>
          </w:p>
          <w:p w14:paraId="3174C8D1">
            <w:pPr>
              <w:pStyle w:val="14"/>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方案内容基本齐全，仅涵盖基础常规内容，未结合项目特点优化，内容深度不足，针对性表现一般得5分；</w:t>
            </w:r>
          </w:p>
          <w:p w14:paraId="3B7B4157">
            <w:pPr>
              <w:pStyle w:val="14"/>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方案内容一般，针对性一般，可行性一般得2分；</w:t>
            </w:r>
          </w:p>
          <w:p w14:paraId="7335EC0F">
            <w:pPr>
              <w:pStyle w:val="310"/>
              <w:spacing w:before="0"/>
              <w:ind w:firstLine="480"/>
              <w:rPr>
                <w:rFonts w:ascii="宋体" w:hAnsi="宋体" w:eastAsia="宋体"/>
                <w:color w:val="auto"/>
                <w:szCs w:val="24"/>
                <w:highlight w:val="none"/>
                <w:lang w:val="en-US"/>
              </w:rPr>
            </w:pPr>
            <w:r>
              <w:rPr>
                <w:rFonts w:hint="eastAsia" w:ascii="宋体" w:hAnsi="宋体" w:eastAsia="宋体"/>
                <w:color w:val="auto"/>
                <w:szCs w:val="24"/>
                <w:highlight w:val="none"/>
                <w:lang w:val="en-US"/>
              </w:rPr>
              <w:t>未提供不得分。</w:t>
            </w:r>
          </w:p>
        </w:tc>
        <w:tc>
          <w:tcPr>
            <w:tcW w:w="630" w:type="dxa"/>
            <w:tcBorders>
              <w:top w:val="single" w:color="auto" w:sz="4" w:space="0"/>
              <w:left w:val="single" w:color="auto" w:sz="4" w:space="0"/>
              <w:bottom w:val="single" w:color="auto" w:sz="4" w:space="0"/>
              <w:right w:val="single" w:color="auto" w:sz="4" w:space="0"/>
            </w:tcBorders>
            <w:vAlign w:val="center"/>
          </w:tcPr>
          <w:p w14:paraId="256972C5">
            <w:pPr>
              <w:widowControl/>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8</w:t>
            </w:r>
          </w:p>
        </w:tc>
      </w:tr>
      <w:tr w14:paraId="727F8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000AE079">
            <w:pPr>
              <w:widowControl/>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2.</w:t>
            </w:r>
            <w:r>
              <w:rPr>
                <w:rFonts w:ascii="宋体" w:hAnsi="宋体" w:cs="宋体"/>
                <w:b/>
                <w:color w:val="auto"/>
                <w:sz w:val="24"/>
                <w:szCs w:val="24"/>
                <w:highlight w:val="none"/>
              </w:rPr>
              <w:t>5</w:t>
            </w:r>
          </w:p>
        </w:tc>
        <w:tc>
          <w:tcPr>
            <w:tcW w:w="1423" w:type="dxa"/>
            <w:vMerge w:val="continue"/>
            <w:tcBorders>
              <w:left w:val="single" w:color="auto" w:sz="4" w:space="0"/>
              <w:right w:val="single" w:color="auto" w:sz="4" w:space="0"/>
            </w:tcBorders>
            <w:vAlign w:val="center"/>
          </w:tcPr>
          <w:p w14:paraId="76013897">
            <w:pPr>
              <w:widowControl/>
              <w:spacing w:line="360" w:lineRule="auto"/>
              <w:jc w:val="left"/>
              <w:rPr>
                <w:rFonts w:ascii="宋体" w:hAnsi="宋体" w:cs="宋体"/>
                <w:b/>
                <w:color w:val="auto"/>
                <w:sz w:val="24"/>
                <w:szCs w:val="24"/>
                <w:highlight w:val="none"/>
              </w:rPr>
            </w:pPr>
          </w:p>
        </w:tc>
        <w:tc>
          <w:tcPr>
            <w:tcW w:w="6310" w:type="dxa"/>
            <w:tcBorders>
              <w:top w:val="single" w:color="auto" w:sz="4" w:space="0"/>
              <w:left w:val="single" w:color="auto" w:sz="4" w:space="0"/>
              <w:bottom w:val="single" w:color="auto" w:sz="4" w:space="0"/>
              <w:right w:val="single" w:color="auto" w:sz="4" w:space="0"/>
            </w:tcBorders>
            <w:vAlign w:val="center"/>
          </w:tcPr>
          <w:p w14:paraId="12EA3A39">
            <w:pPr>
              <w:pStyle w:val="310"/>
              <w:spacing w:before="0"/>
              <w:ind w:firstLine="480"/>
              <w:rPr>
                <w:rFonts w:ascii="宋体" w:hAnsi="宋体" w:eastAsia="宋体"/>
                <w:color w:val="auto"/>
                <w:szCs w:val="24"/>
                <w:highlight w:val="none"/>
                <w:lang w:val="en-US"/>
              </w:rPr>
            </w:pPr>
            <w:r>
              <w:rPr>
                <w:rFonts w:hint="eastAsia" w:ascii="宋体" w:hAnsi="宋体" w:eastAsia="宋体"/>
                <w:color w:val="auto"/>
                <w:szCs w:val="24"/>
                <w:highlight w:val="none"/>
                <w:lang w:val="en-US"/>
              </w:rPr>
              <w:t>根据供应商按采购人要求有明确的质量保证目标、质量保证措施和体系合理先进并具有详细的实施内容等评分：</w:t>
            </w:r>
          </w:p>
          <w:p w14:paraId="2356BD03">
            <w:pPr>
              <w:pStyle w:val="310"/>
              <w:spacing w:before="0"/>
              <w:ind w:firstLine="480"/>
              <w:rPr>
                <w:rFonts w:ascii="宋体" w:hAnsi="宋体" w:eastAsia="宋体"/>
                <w:color w:val="auto"/>
                <w:szCs w:val="24"/>
                <w:highlight w:val="none"/>
                <w:lang w:val="en-US"/>
              </w:rPr>
            </w:pPr>
            <w:r>
              <w:rPr>
                <w:rFonts w:hint="eastAsia" w:ascii="宋体" w:hAnsi="宋体" w:eastAsia="宋体"/>
                <w:color w:val="auto"/>
                <w:szCs w:val="24"/>
                <w:highlight w:val="none"/>
                <w:lang w:val="en-US"/>
              </w:rPr>
              <w:t>质量保证目标清晰明确、质量保证措施和体系全面完善合理、保障措施科学有力、有利于项目实施的得5分；</w:t>
            </w:r>
          </w:p>
          <w:p w14:paraId="6F41DBEA">
            <w:pPr>
              <w:pStyle w:val="310"/>
              <w:spacing w:before="0"/>
              <w:ind w:firstLine="480"/>
              <w:rPr>
                <w:rFonts w:ascii="宋体" w:hAnsi="宋体" w:eastAsia="宋体"/>
                <w:color w:val="auto"/>
                <w:szCs w:val="24"/>
                <w:highlight w:val="none"/>
                <w:lang w:val="en-US"/>
              </w:rPr>
            </w:pPr>
            <w:r>
              <w:rPr>
                <w:rFonts w:hint="eastAsia" w:ascii="宋体" w:hAnsi="宋体" w:eastAsia="宋体"/>
                <w:color w:val="auto"/>
                <w:szCs w:val="24"/>
                <w:highlight w:val="none"/>
                <w:lang w:val="en-US"/>
              </w:rPr>
              <w:t>质量保证目标较清晰明确、质量保证措施和体系基本全面合理、保障措施科学较有力、基本能保障项目实施的得3分；</w:t>
            </w:r>
          </w:p>
          <w:p w14:paraId="41580E9D">
            <w:pPr>
              <w:pStyle w:val="310"/>
              <w:spacing w:before="0"/>
              <w:ind w:firstLine="480"/>
              <w:rPr>
                <w:rFonts w:ascii="宋体" w:hAnsi="宋体" w:eastAsia="宋体"/>
                <w:color w:val="auto"/>
                <w:szCs w:val="24"/>
                <w:highlight w:val="none"/>
                <w:lang w:val="en-US"/>
              </w:rPr>
            </w:pPr>
            <w:r>
              <w:rPr>
                <w:rFonts w:hint="eastAsia" w:ascii="宋体" w:hAnsi="宋体" w:eastAsia="宋体"/>
                <w:color w:val="auto"/>
                <w:szCs w:val="24"/>
                <w:highlight w:val="none"/>
                <w:lang w:val="en-US"/>
              </w:rPr>
              <w:t>质量保证目标简单、质量保证措施和体系内容简单较粗略、保障项目实施力度简单的得1分；</w:t>
            </w:r>
          </w:p>
          <w:p w14:paraId="4DFFDB98">
            <w:pPr>
              <w:pStyle w:val="310"/>
              <w:spacing w:before="0"/>
              <w:ind w:firstLine="480"/>
              <w:rPr>
                <w:rFonts w:ascii="宋体" w:hAnsi="宋体" w:eastAsia="宋体"/>
                <w:color w:val="auto"/>
                <w:szCs w:val="24"/>
                <w:highlight w:val="none"/>
                <w:lang w:val="en-US"/>
              </w:rPr>
            </w:pPr>
            <w:r>
              <w:rPr>
                <w:rFonts w:hint="eastAsia" w:ascii="宋体" w:hAnsi="宋体" w:eastAsia="宋体"/>
                <w:color w:val="auto"/>
                <w:szCs w:val="24"/>
                <w:highlight w:val="none"/>
                <w:lang w:val="en-US"/>
              </w:rPr>
              <w:t>未提供不得分。</w:t>
            </w:r>
          </w:p>
        </w:tc>
        <w:tc>
          <w:tcPr>
            <w:tcW w:w="630" w:type="dxa"/>
            <w:tcBorders>
              <w:top w:val="single" w:color="auto" w:sz="4" w:space="0"/>
              <w:left w:val="single" w:color="auto" w:sz="4" w:space="0"/>
              <w:bottom w:val="single" w:color="auto" w:sz="4" w:space="0"/>
              <w:right w:val="single" w:color="auto" w:sz="4" w:space="0"/>
            </w:tcBorders>
            <w:vAlign w:val="center"/>
          </w:tcPr>
          <w:p w14:paraId="53380523">
            <w:pPr>
              <w:widowControl/>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5</w:t>
            </w:r>
          </w:p>
        </w:tc>
      </w:tr>
      <w:tr w14:paraId="20708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49483EFE">
            <w:pPr>
              <w:widowControl/>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2.</w:t>
            </w:r>
            <w:r>
              <w:rPr>
                <w:rFonts w:ascii="宋体" w:hAnsi="宋体" w:cs="宋体"/>
                <w:b/>
                <w:color w:val="auto"/>
                <w:sz w:val="24"/>
                <w:szCs w:val="24"/>
                <w:highlight w:val="none"/>
              </w:rPr>
              <w:t>6</w:t>
            </w:r>
          </w:p>
        </w:tc>
        <w:tc>
          <w:tcPr>
            <w:tcW w:w="1423" w:type="dxa"/>
            <w:vMerge w:val="continue"/>
            <w:tcBorders>
              <w:left w:val="single" w:color="auto" w:sz="4" w:space="0"/>
              <w:right w:val="single" w:color="auto" w:sz="4" w:space="0"/>
            </w:tcBorders>
            <w:vAlign w:val="center"/>
          </w:tcPr>
          <w:p w14:paraId="2A557E03">
            <w:pPr>
              <w:widowControl/>
              <w:spacing w:line="360" w:lineRule="auto"/>
              <w:jc w:val="left"/>
              <w:rPr>
                <w:rFonts w:ascii="宋体" w:hAnsi="宋体" w:cs="宋体"/>
                <w:b/>
                <w:color w:val="auto"/>
                <w:sz w:val="24"/>
                <w:szCs w:val="24"/>
                <w:highlight w:val="none"/>
              </w:rPr>
            </w:pPr>
          </w:p>
        </w:tc>
        <w:tc>
          <w:tcPr>
            <w:tcW w:w="6310" w:type="dxa"/>
            <w:tcBorders>
              <w:top w:val="single" w:color="auto" w:sz="4" w:space="0"/>
              <w:left w:val="single" w:color="auto" w:sz="4" w:space="0"/>
              <w:bottom w:val="single" w:color="auto" w:sz="4" w:space="0"/>
              <w:right w:val="single" w:color="auto" w:sz="4" w:space="0"/>
            </w:tcBorders>
            <w:vAlign w:val="center"/>
          </w:tcPr>
          <w:p w14:paraId="3BBE09DD">
            <w:pPr>
              <w:pStyle w:val="310"/>
              <w:spacing w:before="0"/>
              <w:ind w:firstLine="480"/>
              <w:rPr>
                <w:rFonts w:ascii="宋体" w:hAnsi="宋体" w:eastAsia="宋体"/>
                <w:color w:val="auto"/>
                <w:szCs w:val="24"/>
                <w:highlight w:val="none"/>
                <w:lang w:val="en-US"/>
              </w:rPr>
            </w:pPr>
            <w:r>
              <w:rPr>
                <w:rFonts w:hint="eastAsia" w:ascii="宋体" w:hAnsi="宋体" w:eastAsia="宋体"/>
                <w:color w:val="auto"/>
                <w:szCs w:val="24"/>
                <w:highlight w:val="none"/>
                <w:lang w:val="en-US"/>
              </w:rPr>
              <w:t>根据响应文件提供的培训计划安排进行打分，包括培训内容、时间、地点、人次，业务人员培训安排等评分：</w:t>
            </w:r>
          </w:p>
          <w:p w14:paraId="12FA54B6">
            <w:pPr>
              <w:pStyle w:val="310"/>
              <w:spacing w:before="0"/>
              <w:ind w:firstLine="480"/>
              <w:rPr>
                <w:rFonts w:ascii="宋体" w:hAnsi="宋体" w:eastAsia="宋体"/>
                <w:color w:val="auto"/>
                <w:szCs w:val="24"/>
                <w:highlight w:val="none"/>
                <w:lang w:val="en-US"/>
              </w:rPr>
            </w:pPr>
            <w:r>
              <w:rPr>
                <w:rFonts w:hint="eastAsia" w:ascii="宋体" w:hAnsi="宋体" w:eastAsia="宋体"/>
                <w:color w:val="auto"/>
                <w:szCs w:val="24"/>
                <w:highlight w:val="none"/>
                <w:lang w:val="en-US"/>
              </w:rPr>
              <w:t>培训方案完整、安排合理、针对性强、培训安排内容和强度有利于项目实施得5分；</w:t>
            </w:r>
          </w:p>
          <w:p w14:paraId="10E2F5DD">
            <w:pPr>
              <w:pStyle w:val="310"/>
              <w:spacing w:before="0"/>
              <w:ind w:firstLine="480"/>
              <w:rPr>
                <w:rFonts w:ascii="宋体" w:hAnsi="宋体" w:eastAsia="宋体"/>
                <w:color w:val="auto"/>
                <w:szCs w:val="24"/>
                <w:highlight w:val="none"/>
                <w:lang w:val="en-US"/>
              </w:rPr>
            </w:pPr>
            <w:r>
              <w:rPr>
                <w:rFonts w:hint="eastAsia" w:ascii="宋体" w:hAnsi="宋体" w:eastAsia="宋体"/>
                <w:color w:val="auto"/>
                <w:szCs w:val="24"/>
                <w:highlight w:val="none"/>
                <w:lang w:val="en-US"/>
              </w:rPr>
              <w:t>培训方案较完整、安排较合理、针对性较强、培训安排内容和强度能够保障项目基本实施得3分；</w:t>
            </w:r>
          </w:p>
          <w:p w14:paraId="3612A768">
            <w:pPr>
              <w:pStyle w:val="310"/>
              <w:spacing w:before="0"/>
              <w:ind w:firstLine="480"/>
              <w:rPr>
                <w:rFonts w:ascii="宋体" w:hAnsi="宋体" w:eastAsia="宋体"/>
                <w:color w:val="auto"/>
                <w:szCs w:val="24"/>
                <w:highlight w:val="none"/>
                <w:lang w:val="en-US"/>
              </w:rPr>
            </w:pPr>
            <w:r>
              <w:rPr>
                <w:rFonts w:hint="eastAsia" w:ascii="宋体" w:hAnsi="宋体" w:eastAsia="宋体"/>
                <w:color w:val="auto"/>
                <w:szCs w:val="24"/>
                <w:highlight w:val="none"/>
                <w:lang w:val="en-US"/>
              </w:rPr>
              <w:t>培训方案针对性及内容安排一般、培训安排内容和强度对保障项目实施力度较低得1分；</w:t>
            </w:r>
          </w:p>
          <w:p w14:paraId="5B9315E6">
            <w:pPr>
              <w:pStyle w:val="310"/>
              <w:spacing w:before="0"/>
              <w:ind w:firstLine="480"/>
              <w:rPr>
                <w:rFonts w:ascii="宋体" w:hAnsi="宋体" w:eastAsia="宋体"/>
                <w:color w:val="auto"/>
                <w:szCs w:val="24"/>
                <w:highlight w:val="none"/>
                <w:lang w:val="en-US"/>
              </w:rPr>
            </w:pPr>
            <w:r>
              <w:rPr>
                <w:rFonts w:hint="eastAsia" w:ascii="宋体" w:hAnsi="宋体" w:eastAsia="宋体"/>
                <w:color w:val="auto"/>
                <w:szCs w:val="24"/>
                <w:highlight w:val="none"/>
                <w:lang w:val="en-US"/>
              </w:rPr>
              <w:t>未提供不得分。</w:t>
            </w:r>
          </w:p>
        </w:tc>
        <w:tc>
          <w:tcPr>
            <w:tcW w:w="630" w:type="dxa"/>
            <w:tcBorders>
              <w:top w:val="single" w:color="auto" w:sz="4" w:space="0"/>
              <w:left w:val="single" w:color="auto" w:sz="4" w:space="0"/>
              <w:bottom w:val="single" w:color="auto" w:sz="4" w:space="0"/>
              <w:right w:val="single" w:color="auto" w:sz="4" w:space="0"/>
            </w:tcBorders>
            <w:vAlign w:val="center"/>
          </w:tcPr>
          <w:p w14:paraId="4F29D03B">
            <w:pPr>
              <w:widowControl/>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5</w:t>
            </w:r>
          </w:p>
        </w:tc>
      </w:tr>
      <w:tr w14:paraId="0F2F4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013E8B2C">
            <w:pPr>
              <w:widowControl/>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2.</w:t>
            </w:r>
            <w:r>
              <w:rPr>
                <w:rFonts w:ascii="宋体" w:hAnsi="宋体" w:cs="宋体"/>
                <w:b/>
                <w:color w:val="auto"/>
                <w:sz w:val="24"/>
                <w:szCs w:val="24"/>
                <w:highlight w:val="none"/>
              </w:rPr>
              <w:t>7</w:t>
            </w:r>
          </w:p>
        </w:tc>
        <w:tc>
          <w:tcPr>
            <w:tcW w:w="1423" w:type="dxa"/>
            <w:vMerge w:val="continue"/>
            <w:tcBorders>
              <w:left w:val="single" w:color="auto" w:sz="4" w:space="0"/>
              <w:right w:val="single" w:color="auto" w:sz="4" w:space="0"/>
            </w:tcBorders>
            <w:vAlign w:val="center"/>
          </w:tcPr>
          <w:p w14:paraId="15D788CE">
            <w:pPr>
              <w:widowControl/>
              <w:spacing w:line="360" w:lineRule="auto"/>
              <w:jc w:val="left"/>
              <w:rPr>
                <w:rFonts w:ascii="宋体" w:hAnsi="宋体" w:cs="宋体"/>
                <w:b/>
                <w:color w:val="auto"/>
                <w:sz w:val="24"/>
                <w:szCs w:val="24"/>
                <w:highlight w:val="none"/>
              </w:rPr>
            </w:pPr>
          </w:p>
        </w:tc>
        <w:tc>
          <w:tcPr>
            <w:tcW w:w="6310" w:type="dxa"/>
            <w:tcBorders>
              <w:top w:val="single" w:color="auto" w:sz="4" w:space="0"/>
              <w:left w:val="single" w:color="auto" w:sz="4" w:space="0"/>
              <w:bottom w:val="single" w:color="auto" w:sz="4" w:space="0"/>
              <w:right w:val="single" w:color="auto" w:sz="4" w:space="0"/>
            </w:tcBorders>
            <w:vAlign w:val="center"/>
          </w:tcPr>
          <w:p w14:paraId="43DD3988">
            <w:pPr>
              <w:pStyle w:val="310"/>
              <w:spacing w:before="0"/>
              <w:ind w:firstLine="480"/>
              <w:rPr>
                <w:rFonts w:ascii="宋体" w:hAnsi="宋体" w:eastAsia="宋体"/>
                <w:color w:val="auto"/>
                <w:szCs w:val="24"/>
                <w:highlight w:val="none"/>
                <w:lang w:val="en-US"/>
              </w:rPr>
            </w:pPr>
            <w:r>
              <w:rPr>
                <w:rFonts w:hint="eastAsia" w:ascii="宋体" w:hAnsi="宋体" w:eastAsia="宋体"/>
                <w:color w:val="auto"/>
                <w:szCs w:val="24"/>
                <w:highlight w:val="none"/>
                <w:lang w:val="en-US"/>
              </w:rPr>
              <w:t>根据供应商制定的项目实施规范、管理制度、质检方案、数字化加工保密方案、档案实体交接保护等操作规范进行评分：</w:t>
            </w:r>
          </w:p>
          <w:p w14:paraId="55D8F647">
            <w:pPr>
              <w:pStyle w:val="14"/>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方案内容较为完善，整体布局合理，贴合项目主要工作要求，各项内容表述清晰，具备较强针对性与实操性8分；</w:t>
            </w:r>
          </w:p>
          <w:p w14:paraId="484B9853">
            <w:pPr>
              <w:pStyle w:val="14"/>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方案内容基本齐全，仅涵盖基础常规内容，未结合项目特点优化，内容深度不足，针对性表现一般得5分；</w:t>
            </w:r>
          </w:p>
          <w:p w14:paraId="673219E7">
            <w:pPr>
              <w:pStyle w:val="14"/>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方案内容一般，针对性一般，可行性一般得2分；</w:t>
            </w:r>
          </w:p>
          <w:p w14:paraId="467587A8">
            <w:pPr>
              <w:pStyle w:val="310"/>
              <w:spacing w:before="0"/>
              <w:ind w:firstLine="480"/>
              <w:rPr>
                <w:rFonts w:ascii="宋体" w:hAnsi="宋体" w:eastAsia="宋体"/>
                <w:color w:val="auto"/>
                <w:szCs w:val="24"/>
                <w:highlight w:val="none"/>
                <w:lang w:val="en-US"/>
              </w:rPr>
            </w:pPr>
            <w:r>
              <w:rPr>
                <w:rFonts w:hint="eastAsia" w:ascii="宋体" w:hAnsi="宋体" w:eastAsia="宋体"/>
                <w:color w:val="auto"/>
                <w:szCs w:val="24"/>
                <w:highlight w:val="none"/>
                <w:lang w:val="en-US"/>
              </w:rPr>
              <w:t>未提供不得分。</w:t>
            </w:r>
          </w:p>
        </w:tc>
        <w:tc>
          <w:tcPr>
            <w:tcW w:w="630" w:type="dxa"/>
            <w:tcBorders>
              <w:top w:val="single" w:color="auto" w:sz="4" w:space="0"/>
              <w:left w:val="single" w:color="auto" w:sz="4" w:space="0"/>
              <w:bottom w:val="single" w:color="auto" w:sz="4" w:space="0"/>
              <w:right w:val="single" w:color="auto" w:sz="4" w:space="0"/>
            </w:tcBorders>
            <w:vAlign w:val="center"/>
          </w:tcPr>
          <w:p w14:paraId="6553DD62">
            <w:pPr>
              <w:widowControl/>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8</w:t>
            </w:r>
          </w:p>
        </w:tc>
      </w:tr>
      <w:tr w14:paraId="2356D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09DED627">
            <w:pPr>
              <w:widowControl/>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2.</w:t>
            </w:r>
            <w:r>
              <w:rPr>
                <w:rFonts w:ascii="宋体" w:hAnsi="宋体" w:cs="宋体"/>
                <w:b/>
                <w:color w:val="auto"/>
                <w:sz w:val="24"/>
                <w:szCs w:val="24"/>
                <w:highlight w:val="none"/>
              </w:rPr>
              <w:t>8</w:t>
            </w:r>
          </w:p>
        </w:tc>
        <w:tc>
          <w:tcPr>
            <w:tcW w:w="1423" w:type="dxa"/>
            <w:vMerge w:val="continue"/>
            <w:tcBorders>
              <w:left w:val="single" w:color="auto" w:sz="4" w:space="0"/>
              <w:right w:val="single" w:color="auto" w:sz="4" w:space="0"/>
            </w:tcBorders>
            <w:vAlign w:val="center"/>
          </w:tcPr>
          <w:p w14:paraId="7C0BE119">
            <w:pPr>
              <w:widowControl/>
              <w:spacing w:line="360" w:lineRule="auto"/>
              <w:jc w:val="left"/>
              <w:rPr>
                <w:rFonts w:ascii="宋体" w:hAnsi="宋体" w:cs="宋体"/>
                <w:b/>
                <w:color w:val="auto"/>
                <w:sz w:val="24"/>
                <w:szCs w:val="24"/>
                <w:highlight w:val="none"/>
              </w:rPr>
            </w:pPr>
          </w:p>
        </w:tc>
        <w:tc>
          <w:tcPr>
            <w:tcW w:w="6310" w:type="dxa"/>
            <w:tcBorders>
              <w:top w:val="single" w:color="auto" w:sz="4" w:space="0"/>
              <w:left w:val="single" w:color="auto" w:sz="4" w:space="0"/>
              <w:bottom w:val="single" w:color="auto" w:sz="4" w:space="0"/>
              <w:right w:val="single" w:color="auto" w:sz="4" w:space="0"/>
            </w:tcBorders>
            <w:vAlign w:val="center"/>
          </w:tcPr>
          <w:p w14:paraId="65D573EF">
            <w:pPr>
              <w:pStyle w:val="310"/>
              <w:spacing w:before="0"/>
              <w:ind w:firstLine="480"/>
              <w:rPr>
                <w:rFonts w:ascii="宋体" w:hAnsi="宋体" w:eastAsia="宋体"/>
                <w:color w:val="auto"/>
                <w:szCs w:val="24"/>
                <w:highlight w:val="none"/>
                <w:lang w:val="en-US"/>
              </w:rPr>
            </w:pPr>
            <w:r>
              <w:rPr>
                <w:rFonts w:hint="eastAsia" w:ascii="宋体" w:hAnsi="宋体" w:eastAsia="宋体"/>
                <w:color w:val="auto"/>
                <w:szCs w:val="24"/>
                <w:highlight w:val="none"/>
                <w:lang w:val="en-US"/>
              </w:rPr>
              <w:t>根据供应商提供的针对本项目的人员管理方案进行打分，包括人员奖惩措施、人员管理、考核等内容：</w:t>
            </w:r>
          </w:p>
          <w:p w14:paraId="549B9892">
            <w:pPr>
              <w:pStyle w:val="14"/>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方案内容较为完善，整体布局合理，贴合项目主要工作要求，各项内容表述清晰，具备较强针对性与实操性8分；</w:t>
            </w:r>
          </w:p>
          <w:p w14:paraId="6426281F">
            <w:pPr>
              <w:pStyle w:val="14"/>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方案内容基本齐全，仅涵盖基础常规内容，未结合项目特点优化，内容深度不足，针对性表现一般得5分；</w:t>
            </w:r>
          </w:p>
          <w:p w14:paraId="44359D15">
            <w:pPr>
              <w:pStyle w:val="14"/>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方案内容一般，针对性一般，可行性一般得2分；</w:t>
            </w:r>
          </w:p>
          <w:p w14:paraId="346B54DD">
            <w:pPr>
              <w:pStyle w:val="310"/>
              <w:spacing w:before="0"/>
              <w:ind w:firstLine="480"/>
              <w:rPr>
                <w:rFonts w:ascii="宋体" w:hAnsi="宋体" w:eastAsia="宋体"/>
                <w:color w:val="auto"/>
                <w:szCs w:val="24"/>
                <w:highlight w:val="none"/>
                <w:lang w:val="en-US"/>
              </w:rPr>
            </w:pPr>
            <w:r>
              <w:rPr>
                <w:rFonts w:hint="eastAsia" w:ascii="宋体" w:hAnsi="宋体" w:eastAsia="宋体"/>
                <w:color w:val="auto"/>
                <w:szCs w:val="24"/>
                <w:highlight w:val="none"/>
                <w:lang w:val="en-US"/>
              </w:rPr>
              <w:t>未提供不得分。</w:t>
            </w:r>
          </w:p>
        </w:tc>
        <w:tc>
          <w:tcPr>
            <w:tcW w:w="630" w:type="dxa"/>
            <w:tcBorders>
              <w:top w:val="single" w:color="auto" w:sz="4" w:space="0"/>
              <w:left w:val="single" w:color="auto" w:sz="4" w:space="0"/>
              <w:bottom w:val="single" w:color="auto" w:sz="4" w:space="0"/>
              <w:right w:val="single" w:color="auto" w:sz="4" w:space="0"/>
            </w:tcBorders>
            <w:vAlign w:val="center"/>
          </w:tcPr>
          <w:p w14:paraId="631909FA">
            <w:pPr>
              <w:widowControl/>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8</w:t>
            </w:r>
          </w:p>
        </w:tc>
      </w:tr>
      <w:tr w14:paraId="7569B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3"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23DE0D32">
            <w:pPr>
              <w:widowControl/>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3</w:t>
            </w:r>
          </w:p>
        </w:tc>
        <w:tc>
          <w:tcPr>
            <w:tcW w:w="1423" w:type="dxa"/>
            <w:tcBorders>
              <w:left w:val="single" w:color="auto" w:sz="4" w:space="0"/>
              <w:right w:val="single" w:color="auto" w:sz="4" w:space="0"/>
            </w:tcBorders>
            <w:vAlign w:val="center"/>
          </w:tcPr>
          <w:p w14:paraId="030509AB">
            <w:pPr>
              <w:widowControl/>
              <w:spacing w:line="360" w:lineRule="auto"/>
              <w:jc w:val="left"/>
              <w:rPr>
                <w:rFonts w:ascii="宋体" w:hAnsi="宋体" w:cs="宋体"/>
                <w:b/>
                <w:color w:val="auto"/>
                <w:sz w:val="24"/>
                <w:szCs w:val="24"/>
                <w:highlight w:val="none"/>
              </w:rPr>
            </w:pPr>
            <w:r>
              <w:rPr>
                <w:rFonts w:hint="eastAsia" w:ascii="宋体" w:hAnsi="宋体" w:cs="宋体"/>
                <w:b/>
                <w:color w:val="auto"/>
                <w:sz w:val="24"/>
                <w:szCs w:val="24"/>
                <w:highlight w:val="none"/>
              </w:rPr>
              <w:t>人员配备</w:t>
            </w:r>
          </w:p>
          <w:p w14:paraId="6E4691C6">
            <w:pPr>
              <w:widowControl/>
              <w:spacing w:line="360" w:lineRule="auto"/>
              <w:ind w:firstLine="241" w:firstLineChars="100"/>
              <w:jc w:val="left"/>
              <w:rPr>
                <w:rFonts w:ascii="宋体" w:hAnsi="宋体" w:cs="宋体"/>
                <w:b/>
                <w:color w:val="auto"/>
                <w:sz w:val="24"/>
                <w:szCs w:val="24"/>
                <w:highlight w:val="none"/>
              </w:rPr>
            </w:pPr>
            <w:r>
              <w:rPr>
                <w:rFonts w:hint="eastAsia" w:ascii="宋体" w:hAnsi="宋体" w:cs="宋体"/>
                <w:b/>
                <w:color w:val="auto"/>
                <w:sz w:val="24"/>
                <w:szCs w:val="24"/>
                <w:highlight w:val="none"/>
              </w:rPr>
              <w:t>18分</w:t>
            </w:r>
          </w:p>
        </w:tc>
        <w:tc>
          <w:tcPr>
            <w:tcW w:w="6310" w:type="dxa"/>
            <w:tcBorders>
              <w:top w:val="single" w:color="auto" w:sz="4" w:space="0"/>
              <w:left w:val="single" w:color="auto" w:sz="4" w:space="0"/>
              <w:bottom w:val="single" w:color="auto" w:sz="4" w:space="0"/>
              <w:right w:val="single" w:color="auto" w:sz="4" w:space="0"/>
            </w:tcBorders>
            <w:vAlign w:val="center"/>
          </w:tcPr>
          <w:p w14:paraId="3A255A60">
            <w:pPr>
              <w:pStyle w:val="310"/>
              <w:spacing w:before="0"/>
              <w:ind w:firstLine="480"/>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根据供应商针对本项目拟派出项目经理及小组工作人员要求等评分。</w:t>
            </w:r>
          </w:p>
          <w:p w14:paraId="5A273869">
            <w:pPr>
              <w:pStyle w:val="310"/>
              <w:spacing w:before="0"/>
              <w:ind w:firstLine="480"/>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1、项目经理具有高级职称的得4分；</w:t>
            </w:r>
          </w:p>
          <w:p w14:paraId="4EB12204">
            <w:pPr>
              <w:pStyle w:val="310"/>
              <w:spacing w:before="0"/>
              <w:ind w:firstLine="480"/>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2、项目小组常驻工作人员（除项目经理）具有中级及以上职称的，每有1人得2分，最多得12分；</w:t>
            </w:r>
          </w:p>
          <w:p w14:paraId="59255A7B">
            <w:pPr>
              <w:pStyle w:val="310"/>
              <w:spacing w:before="0"/>
              <w:ind w:firstLine="480"/>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3、项目小组常驻工作人员（不含项目经理）不低于5人,每多投入一名得1分， 最多得2分。</w:t>
            </w:r>
          </w:p>
          <w:p w14:paraId="55B3E2C9">
            <w:pPr>
              <w:pStyle w:val="310"/>
              <w:spacing w:before="0"/>
              <w:ind w:firstLine="480"/>
              <w:rPr>
                <w:rFonts w:ascii="宋体" w:hAnsi="宋体"/>
                <w:color w:val="auto"/>
                <w:szCs w:val="24"/>
                <w:highlight w:val="none"/>
              </w:rPr>
            </w:pPr>
            <w:r>
              <w:rPr>
                <w:rFonts w:hint="eastAsia" w:ascii="宋体" w:hAnsi="宋体" w:eastAsia="宋体" w:cs="宋体"/>
                <w:color w:val="auto"/>
                <w:sz w:val="24"/>
                <w:szCs w:val="24"/>
                <w:highlight w:val="none"/>
                <w:lang w:val="en-US"/>
              </w:rPr>
              <w:t>本项最多得18分。（以上证书须提供复印件并加盖投标人公章，未提供或未按要求提供不得分）</w:t>
            </w:r>
          </w:p>
        </w:tc>
        <w:tc>
          <w:tcPr>
            <w:tcW w:w="630" w:type="dxa"/>
            <w:tcBorders>
              <w:top w:val="single" w:color="auto" w:sz="4" w:space="0"/>
              <w:left w:val="single" w:color="auto" w:sz="4" w:space="0"/>
              <w:bottom w:val="single" w:color="auto" w:sz="4" w:space="0"/>
              <w:right w:val="single" w:color="auto" w:sz="4" w:space="0"/>
            </w:tcBorders>
            <w:vAlign w:val="center"/>
          </w:tcPr>
          <w:p w14:paraId="343E0FEE">
            <w:pPr>
              <w:widowControl/>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18</w:t>
            </w:r>
          </w:p>
        </w:tc>
      </w:tr>
      <w:tr w14:paraId="584DE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06EFC4E3">
            <w:pPr>
              <w:widowControl/>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4</w:t>
            </w:r>
          </w:p>
        </w:tc>
        <w:tc>
          <w:tcPr>
            <w:tcW w:w="1423" w:type="dxa"/>
            <w:tcBorders>
              <w:left w:val="single" w:color="auto" w:sz="4" w:space="0"/>
              <w:right w:val="single" w:color="auto" w:sz="4" w:space="0"/>
            </w:tcBorders>
            <w:vAlign w:val="center"/>
          </w:tcPr>
          <w:p w14:paraId="03158D3D">
            <w:pPr>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设备配置</w:t>
            </w:r>
          </w:p>
          <w:p w14:paraId="3575EB6F">
            <w:pPr>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10分</w:t>
            </w:r>
          </w:p>
        </w:tc>
        <w:tc>
          <w:tcPr>
            <w:tcW w:w="6310" w:type="dxa"/>
            <w:tcBorders>
              <w:top w:val="single" w:color="auto" w:sz="4" w:space="0"/>
              <w:left w:val="single" w:color="auto" w:sz="4" w:space="0"/>
              <w:bottom w:val="single" w:color="auto" w:sz="4" w:space="0"/>
              <w:right w:val="single" w:color="auto" w:sz="4" w:space="0"/>
            </w:tcBorders>
            <w:vAlign w:val="center"/>
          </w:tcPr>
          <w:p w14:paraId="5D370A64">
            <w:pPr>
              <w:pStyle w:val="310"/>
              <w:spacing w:before="0"/>
              <w:ind w:firstLine="480"/>
              <w:rPr>
                <w:rFonts w:ascii="宋体" w:hAnsi="宋体" w:eastAsia="宋体"/>
                <w:color w:val="auto"/>
                <w:szCs w:val="24"/>
                <w:highlight w:val="none"/>
                <w:lang w:val="en-US"/>
              </w:rPr>
            </w:pPr>
            <w:r>
              <w:rPr>
                <w:rFonts w:hint="eastAsia" w:ascii="宋体" w:hAnsi="宋体" w:eastAsia="宋体"/>
                <w:color w:val="auto"/>
                <w:szCs w:val="24"/>
                <w:highlight w:val="none"/>
                <w:lang w:val="en-US"/>
              </w:rPr>
              <w:t>评委根据响应文件提供的符合工作需求的设备配置方案清单、相关影像扫描系统功能是否具备先进和完备的功能等评分。</w:t>
            </w:r>
          </w:p>
          <w:p w14:paraId="1CB61C71">
            <w:pPr>
              <w:pStyle w:val="310"/>
              <w:spacing w:before="0"/>
              <w:ind w:firstLine="480"/>
              <w:rPr>
                <w:rFonts w:ascii="宋体" w:hAnsi="宋体" w:eastAsia="宋体"/>
                <w:color w:val="auto"/>
                <w:szCs w:val="24"/>
                <w:highlight w:val="none"/>
                <w:lang w:val="en-US"/>
              </w:rPr>
            </w:pPr>
            <w:r>
              <w:rPr>
                <w:rFonts w:hint="eastAsia" w:ascii="宋体" w:hAnsi="宋体" w:eastAsia="宋体"/>
                <w:color w:val="auto"/>
                <w:szCs w:val="24"/>
                <w:highlight w:val="none"/>
                <w:lang w:val="en-US"/>
              </w:rPr>
              <w:t>1、供应商自有或租用扫描仪，每提供一台得0.25分，最多得5分。（响应文件中提供自有设备清单或租赁合同并加盖供应商公章）。</w:t>
            </w:r>
          </w:p>
          <w:p w14:paraId="655C3AE9">
            <w:pPr>
              <w:pStyle w:val="310"/>
              <w:spacing w:before="0"/>
              <w:ind w:firstLine="480"/>
              <w:rPr>
                <w:rFonts w:ascii="宋体" w:hAnsi="宋体" w:eastAsia="宋体"/>
                <w:color w:val="auto"/>
                <w:szCs w:val="24"/>
                <w:highlight w:val="none"/>
                <w:lang w:val="en-US"/>
              </w:rPr>
            </w:pPr>
            <w:r>
              <w:rPr>
                <w:rFonts w:hint="eastAsia" w:ascii="宋体" w:hAnsi="宋体" w:eastAsia="宋体"/>
                <w:color w:val="auto"/>
                <w:szCs w:val="24"/>
                <w:highlight w:val="none"/>
                <w:lang w:val="en-US"/>
              </w:rPr>
              <w:t>2、供应商在响应文件中承诺针对本项目拟提供的扫描仪可以同时输出加密文件和非加密文件的得3分。（提供承诺书）</w:t>
            </w:r>
          </w:p>
          <w:p w14:paraId="07129775">
            <w:pPr>
              <w:pStyle w:val="310"/>
              <w:spacing w:before="0"/>
              <w:ind w:firstLine="480"/>
              <w:rPr>
                <w:rFonts w:ascii="宋体" w:hAnsi="宋体" w:eastAsia="宋体"/>
                <w:color w:val="auto"/>
                <w:szCs w:val="24"/>
                <w:highlight w:val="none"/>
                <w:lang w:val="en-US"/>
              </w:rPr>
            </w:pPr>
            <w:r>
              <w:rPr>
                <w:rFonts w:hint="eastAsia" w:ascii="宋体" w:hAnsi="宋体" w:eastAsia="宋体"/>
                <w:color w:val="auto"/>
                <w:szCs w:val="24"/>
                <w:highlight w:val="none"/>
                <w:lang w:val="en-US"/>
              </w:rPr>
              <w:t>3、供应商在响应文件中承诺针对本项目拟提供的扫描仪加密可以提供单一加密或选择批量加密的得2分。（提供承诺书）</w:t>
            </w:r>
          </w:p>
        </w:tc>
        <w:tc>
          <w:tcPr>
            <w:tcW w:w="630" w:type="dxa"/>
            <w:tcBorders>
              <w:top w:val="single" w:color="auto" w:sz="4" w:space="0"/>
              <w:left w:val="single" w:color="auto" w:sz="4" w:space="0"/>
              <w:bottom w:val="single" w:color="auto" w:sz="4" w:space="0"/>
              <w:right w:val="single" w:color="auto" w:sz="4" w:space="0"/>
            </w:tcBorders>
            <w:vAlign w:val="center"/>
          </w:tcPr>
          <w:p w14:paraId="2281D949">
            <w:pPr>
              <w:widowControl/>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10</w:t>
            </w:r>
          </w:p>
        </w:tc>
      </w:tr>
      <w:tr w14:paraId="29F81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1756CAFA">
            <w:pPr>
              <w:widowControl/>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5</w:t>
            </w:r>
          </w:p>
        </w:tc>
        <w:tc>
          <w:tcPr>
            <w:tcW w:w="1423" w:type="dxa"/>
            <w:tcBorders>
              <w:left w:val="single" w:color="auto" w:sz="4" w:space="0"/>
              <w:right w:val="single" w:color="auto" w:sz="4" w:space="0"/>
            </w:tcBorders>
            <w:vAlign w:val="center"/>
          </w:tcPr>
          <w:p w14:paraId="0078BCD2">
            <w:pPr>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服务承诺</w:t>
            </w:r>
          </w:p>
          <w:p w14:paraId="07ABC56C">
            <w:pPr>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4分</w:t>
            </w:r>
          </w:p>
        </w:tc>
        <w:tc>
          <w:tcPr>
            <w:tcW w:w="6310" w:type="dxa"/>
            <w:tcBorders>
              <w:top w:val="single" w:color="auto" w:sz="4" w:space="0"/>
              <w:left w:val="single" w:color="auto" w:sz="4" w:space="0"/>
              <w:bottom w:val="single" w:color="auto" w:sz="4" w:space="0"/>
              <w:right w:val="single" w:color="auto" w:sz="4" w:space="0"/>
            </w:tcBorders>
            <w:vAlign w:val="center"/>
          </w:tcPr>
          <w:p w14:paraId="5F753A9D">
            <w:pPr>
              <w:pStyle w:val="310"/>
              <w:spacing w:before="0"/>
              <w:ind w:firstLine="480"/>
              <w:rPr>
                <w:rFonts w:ascii="宋体" w:hAnsi="宋体" w:eastAsia="宋体"/>
                <w:color w:val="auto"/>
                <w:szCs w:val="24"/>
                <w:highlight w:val="none"/>
                <w:lang w:val="en-US"/>
              </w:rPr>
            </w:pPr>
            <w:r>
              <w:rPr>
                <w:rFonts w:hint="eastAsia" w:ascii="宋体" w:hAnsi="宋体" w:eastAsia="宋体"/>
                <w:color w:val="auto"/>
                <w:szCs w:val="24"/>
                <w:highlight w:val="none"/>
                <w:lang w:val="en-US"/>
              </w:rPr>
              <w:t>供应商在响应文件中承诺：在扫描成果数据挂接环节，能够通过编制程序或相应软件，实现目录数据对应关联数字图像，即时批量快速挂接的得2分；能够自动识别图像文件一致性和唯一性的得2分，不能自动识别的不得分。本项最多得4分。（提供承诺书）</w:t>
            </w:r>
          </w:p>
        </w:tc>
        <w:tc>
          <w:tcPr>
            <w:tcW w:w="630" w:type="dxa"/>
            <w:tcBorders>
              <w:top w:val="single" w:color="auto" w:sz="4" w:space="0"/>
              <w:left w:val="single" w:color="auto" w:sz="4" w:space="0"/>
              <w:bottom w:val="single" w:color="auto" w:sz="4" w:space="0"/>
              <w:right w:val="single" w:color="auto" w:sz="4" w:space="0"/>
            </w:tcBorders>
            <w:vAlign w:val="center"/>
          </w:tcPr>
          <w:p w14:paraId="15723CD0">
            <w:pPr>
              <w:widowControl/>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4</w:t>
            </w:r>
          </w:p>
        </w:tc>
      </w:tr>
    </w:tbl>
    <w:p w14:paraId="3DBB40CF">
      <w:pPr>
        <w:spacing w:line="360" w:lineRule="auto"/>
        <w:ind w:firstLine="422"/>
        <w:rPr>
          <w:rFonts w:ascii="宋体" w:hAnsi="宋体" w:cs="宋体"/>
          <w:b/>
          <w:bCs/>
          <w:color w:val="auto"/>
          <w:sz w:val="20"/>
          <w:szCs w:val="20"/>
          <w:highlight w:val="none"/>
        </w:rPr>
      </w:pPr>
    </w:p>
    <w:p w14:paraId="01563297">
      <w:pPr>
        <w:spacing w:line="360" w:lineRule="auto"/>
        <w:rPr>
          <w:rFonts w:ascii="宋体" w:hAnsi="宋体"/>
          <w:b/>
          <w:bCs/>
          <w:color w:val="auto"/>
          <w:sz w:val="22"/>
          <w:szCs w:val="21"/>
          <w:highlight w:val="none"/>
        </w:rPr>
      </w:pPr>
      <w:r>
        <w:rPr>
          <w:rFonts w:hint="eastAsia" w:hAnsi="宋体"/>
          <w:b/>
          <w:color w:val="auto"/>
          <w:sz w:val="22"/>
          <w:szCs w:val="28"/>
          <w:highlight w:val="none"/>
        </w:rPr>
        <w:t>说明：</w:t>
      </w:r>
    </w:p>
    <w:p w14:paraId="56A02AA2">
      <w:pPr>
        <w:widowControl/>
        <w:spacing w:line="360" w:lineRule="auto"/>
        <w:ind w:firstLine="440"/>
        <w:rPr>
          <w:rFonts w:ascii="宋体" w:hAnsi="宋体" w:cs="宋体"/>
          <w:color w:val="auto"/>
          <w:sz w:val="24"/>
          <w:szCs w:val="24"/>
          <w:highlight w:val="none"/>
        </w:rPr>
      </w:pPr>
      <w:r>
        <w:rPr>
          <w:rFonts w:hint="eastAsia" w:ascii="宋体" w:hAnsi="宋体" w:cs="宋体"/>
          <w:color w:val="auto"/>
          <w:sz w:val="24"/>
          <w:szCs w:val="24"/>
          <w:highlight w:val="none"/>
        </w:rPr>
        <w:t>1.对国家认定的节能产品和环保产品分别给予报价的5%价格扣除，用扣除后的价格参与评审（特别说明：节能、环保产品必须纳入“中国政府采购网http://www.ccgp.gov.cn”等官方网站“节能、环保产品查询系统”，且以提供的证书复印件为准）。</w:t>
      </w:r>
    </w:p>
    <w:p w14:paraId="39CB8486">
      <w:pPr>
        <w:widowControl/>
        <w:spacing w:line="360" w:lineRule="auto"/>
        <w:ind w:firstLine="440"/>
        <w:rPr>
          <w:rFonts w:ascii="宋体" w:hAnsi="宋体" w:cs="宋体"/>
          <w:color w:val="auto"/>
          <w:sz w:val="24"/>
          <w:szCs w:val="24"/>
          <w:highlight w:val="none"/>
        </w:rPr>
      </w:pPr>
      <w:r>
        <w:rPr>
          <w:rFonts w:hint="eastAsia" w:ascii="宋体" w:hAnsi="宋体" w:cs="宋体"/>
          <w:color w:val="auto"/>
          <w:sz w:val="24"/>
          <w:szCs w:val="24"/>
          <w:highlight w:val="none"/>
        </w:rPr>
        <w:t xml:space="preserve">2.小微企业的价格扣除 </w:t>
      </w:r>
    </w:p>
    <w:p w14:paraId="31DCB343">
      <w:pPr>
        <w:widowControl/>
        <w:spacing w:line="360" w:lineRule="auto"/>
        <w:ind w:firstLine="440"/>
        <w:rPr>
          <w:rFonts w:ascii="宋体" w:hAnsi="宋体" w:cs="宋体"/>
          <w:color w:val="auto"/>
          <w:sz w:val="24"/>
          <w:szCs w:val="24"/>
          <w:highlight w:val="none"/>
        </w:rPr>
      </w:pPr>
      <w:r>
        <w:rPr>
          <w:rFonts w:hint="eastAsia" w:ascii="宋体" w:hAnsi="宋体" w:cs="宋体"/>
          <w:color w:val="auto"/>
          <w:sz w:val="24"/>
          <w:szCs w:val="24"/>
          <w:highlight w:val="none"/>
        </w:rPr>
        <w:t xml:space="preserve">2.1 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 </w:t>
      </w:r>
    </w:p>
    <w:p w14:paraId="18FEE947">
      <w:pPr>
        <w:widowControl/>
        <w:spacing w:line="360" w:lineRule="auto"/>
        <w:ind w:firstLine="440"/>
        <w:rPr>
          <w:rFonts w:ascii="宋体" w:hAnsi="宋体" w:cs="宋体"/>
          <w:color w:val="auto"/>
          <w:sz w:val="24"/>
          <w:szCs w:val="24"/>
          <w:highlight w:val="none"/>
        </w:rPr>
      </w:pPr>
      <w:r>
        <w:rPr>
          <w:rFonts w:hint="eastAsia" w:ascii="宋体" w:hAnsi="宋体" w:cs="宋体"/>
          <w:color w:val="auto"/>
          <w:sz w:val="24"/>
          <w:szCs w:val="24"/>
          <w:highlight w:val="none"/>
        </w:rPr>
        <w:t xml:space="preserve">2.2 价格扣除比例或者价格分加分比例对小型企业和微型企业同等对待，不作区分。 </w:t>
      </w:r>
    </w:p>
    <w:p w14:paraId="6F1B7BB1">
      <w:pPr>
        <w:widowControl/>
        <w:spacing w:line="360" w:lineRule="auto"/>
        <w:ind w:firstLine="440"/>
        <w:rPr>
          <w:rFonts w:ascii="宋体" w:hAnsi="宋体" w:cs="宋体"/>
          <w:color w:val="auto"/>
          <w:sz w:val="24"/>
          <w:szCs w:val="24"/>
          <w:highlight w:val="none"/>
        </w:rPr>
      </w:pPr>
      <w:r>
        <w:rPr>
          <w:rFonts w:hint="eastAsia" w:ascii="宋体" w:hAnsi="宋体" w:cs="宋体"/>
          <w:color w:val="auto"/>
          <w:sz w:val="24"/>
          <w:szCs w:val="24"/>
          <w:highlight w:val="none"/>
        </w:rPr>
        <w:t>3.监狱和戒毒企业的价格扣除。</w:t>
      </w:r>
    </w:p>
    <w:p w14:paraId="1808E9B8">
      <w:pPr>
        <w:widowControl/>
        <w:spacing w:line="360" w:lineRule="auto"/>
        <w:ind w:firstLine="440"/>
        <w:rPr>
          <w:rFonts w:ascii="宋体" w:hAnsi="宋体" w:cs="宋体"/>
          <w:color w:val="auto"/>
          <w:sz w:val="24"/>
          <w:szCs w:val="24"/>
          <w:highlight w:val="none"/>
        </w:rPr>
      </w:pPr>
      <w:r>
        <w:rPr>
          <w:rFonts w:hint="eastAsia" w:ascii="宋体" w:hAnsi="宋体" w:cs="宋体"/>
          <w:color w:val="auto"/>
          <w:sz w:val="24"/>
          <w:szCs w:val="24"/>
          <w:highlight w:val="none"/>
        </w:rPr>
        <w:t>3.1. 本项目对监狱和戒毒企业（简称监狱企业），给予10%的价格扣除，用扣除后的价格参与评审。</w:t>
      </w:r>
    </w:p>
    <w:p w14:paraId="4C9381EB">
      <w:pPr>
        <w:widowControl/>
        <w:spacing w:line="360" w:lineRule="auto"/>
        <w:ind w:firstLine="440"/>
        <w:rPr>
          <w:rFonts w:ascii="宋体" w:hAnsi="宋体" w:cs="宋体"/>
          <w:color w:val="auto"/>
          <w:sz w:val="24"/>
          <w:szCs w:val="24"/>
          <w:highlight w:val="none"/>
        </w:rPr>
      </w:pPr>
      <w:r>
        <w:rPr>
          <w:rFonts w:hint="eastAsia" w:ascii="宋体" w:hAnsi="宋体" w:cs="宋体"/>
          <w:color w:val="auto"/>
          <w:sz w:val="24"/>
          <w:szCs w:val="24"/>
          <w:highlight w:val="none"/>
        </w:rPr>
        <w:t>3.2. 监狱企业需提供由省级以上监狱管理局、戒毒管理局（含新疆生产建设兵团）出具的属于监狱企业的证明文件。</w:t>
      </w:r>
    </w:p>
    <w:p w14:paraId="2D2272E7">
      <w:pPr>
        <w:widowControl/>
        <w:spacing w:line="360" w:lineRule="auto"/>
        <w:ind w:firstLine="440"/>
        <w:rPr>
          <w:rFonts w:ascii="宋体" w:hAnsi="宋体" w:cs="宋体"/>
          <w:color w:val="auto"/>
          <w:sz w:val="24"/>
          <w:szCs w:val="24"/>
          <w:highlight w:val="none"/>
        </w:rPr>
      </w:pPr>
      <w:r>
        <w:rPr>
          <w:rFonts w:hint="eastAsia" w:ascii="宋体" w:hAnsi="宋体" w:cs="宋体"/>
          <w:color w:val="auto"/>
          <w:sz w:val="24"/>
          <w:szCs w:val="24"/>
          <w:highlight w:val="none"/>
        </w:rPr>
        <w:t>3.3. 监狱企业标准请参照《关于政府采购支持监狱企业发展有关问题的通知》（财库[2014]68号）。</w:t>
      </w:r>
    </w:p>
    <w:p w14:paraId="54C6741D">
      <w:pPr>
        <w:widowControl/>
        <w:spacing w:line="360" w:lineRule="auto"/>
        <w:ind w:firstLine="440"/>
        <w:rPr>
          <w:rFonts w:ascii="宋体" w:hAnsi="宋体" w:cs="宋体"/>
          <w:color w:val="auto"/>
          <w:sz w:val="24"/>
          <w:szCs w:val="24"/>
          <w:highlight w:val="none"/>
        </w:rPr>
      </w:pPr>
      <w:r>
        <w:rPr>
          <w:rFonts w:hint="eastAsia" w:ascii="宋体" w:hAnsi="宋体" w:cs="宋体"/>
          <w:color w:val="auto"/>
          <w:sz w:val="24"/>
          <w:szCs w:val="24"/>
          <w:highlight w:val="none"/>
        </w:rPr>
        <w:t>4.残疾人福利性单位的价格扣除。</w:t>
      </w:r>
    </w:p>
    <w:p w14:paraId="05930E3E">
      <w:pPr>
        <w:widowControl/>
        <w:spacing w:line="360" w:lineRule="auto"/>
        <w:ind w:firstLine="440"/>
        <w:rPr>
          <w:rFonts w:ascii="宋体" w:hAnsi="宋体" w:cs="宋体"/>
          <w:color w:val="auto"/>
          <w:sz w:val="24"/>
          <w:szCs w:val="24"/>
          <w:highlight w:val="none"/>
        </w:rPr>
      </w:pPr>
      <w:r>
        <w:rPr>
          <w:rFonts w:hint="eastAsia" w:ascii="宋体" w:hAnsi="宋体" w:cs="宋体"/>
          <w:color w:val="auto"/>
          <w:sz w:val="24"/>
          <w:szCs w:val="24"/>
          <w:highlight w:val="none"/>
        </w:rPr>
        <w:t>4.1 本项目对残疾人福利性单位，给予10%的价格扣除，用扣除后的价格参与评审。</w:t>
      </w:r>
    </w:p>
    <w:p w14:paraId="3F9737BF">
      <w:pPr>
        <w:widowControl/>
        <w:spacing w:line="360" w:lineRule="auto"/>
        <w:ind w:firstLine="440"/>
        <w:rPr>
          <w:rFonts w:ascii="宋体" w:hAnsi="宋体" w:cs="宋体"/>
          <w:color w:val="auto"/>
          <w:sz w:val="24"/>
          <w:szCs w:val="24"/>
          <w:highlight w:val="none"/>
        </w:rPr>
      </w:pPr>
      <w:r>
        <w:rPr>
          <w:rFonts w:hint="eastAsia" w:ascii="宋体" w:hAnsi="宋体" w:cs="宋体"/>
          <w:color w:val="auto"/>
          <w:sz w:val="24"/>
          <w:szCs w:val="24"/>
          <w:highlight w:val="none"/>
        </w:rPr>
        <w:t>4.2 残疾人福利单位需按照采购文件的要求提供《残疾人福利性单位声明函》。</w:t>
      </w:r>
    </w:p>
    <w:p w14:paraId="3BC51298">
      <w:pPr>
        <w:widowControl/>
        <w:spacing w:line="360" w:lineRule="auto"/>
        <w:ind w:firstLine="440"/>
        <w:rPr>
          <w:rFonts w:ascii="宋体" w:hAnsi="宋体" w:cs="宋体"/>
          <w:color w:val="auto"/>
          <w:sz w:val="24"/>
          <w:szCs w:val="24"/>
          <w:highlight w:val="none"/>
        </w:rPr>
      </w:pPr>
      <w:r>
        <w:rPr>
          <w:rFonts w:hint="eastAsia" w:ascii="宋体" w:hAnsi="宋体" w:cs="宋体"/>
          <w:color w:val="auto"/>
          <w:sz w:val="24"/>
          <w:szCs w:val="24"/>
          <w:highlight w:val="none"/>
        </w:rPr>
        <w:t>4.3 残疾人福利单位标准请参照《关于促进残疾人就业政府采购政策的通知》（财库〔2017〕141号）。</w:t>
      </w:r>
    </w:p>
    <w:p w14:paraId="5A2CD6A1">
      <w:pPr>
        <w:widowControl/>
        <w:spacing w:line="360" w:lineRule="auto"/>
        <w:ind w:firstLine="440"/>
        <w:rPr>
          <w:rFonts w:ascii="宋体" w:hAnsi="宋体" w:cs="宋体"/>
          <w:color w:val="auto"/>
          <w:sz w:val="24"/>
          <w:szCs w:val="24"/>
          <w:highlight w:val="none"/>
        </w:rPr>
      </w:pPr>
      <w:r>
        <w:rPr>
          <w:rFonts w:hint="eastAsia" w:ascii="宋体" w:hAnsi="宋体" w:cs="宋体"/>
          <w:color w:val="auto"/>
          <w:sz w:val="24"/>
          <w:szCs w:val="24"/>
          <w:highlight w:val="none"/>
        </w:rPr>
        <w:t>5.监狱企业、残疾人福利单位属于小型、微型企业的，不重复享受政策。</w:t>
      </w:r>
    </w:p>
    <w:p w14:paraId="38ABD981">
      <w:pPr>
        <w:spacing w:line="500" w:lineRule="exact"/>
        <w:ind w:firstLine="480" w:firstLineChars="200"/>
        <w:rPr>
          <w:rFonts w:ascii="宋体" w:hAnsi="宋体" w:cs="宋体"/>
          <w:b/>
          <w:bCs/>
          <w:i/>
          <w:iCs/>
          <w:color w:val="auto"/>
          <w:sz w:val="24"/>
          <w:szCs w:val="24"/>
          <w:highlight w:val="none"/>
        </w:rPr>
      </w:pPr>
      <w:r>
        <w:rPr>
          <w:rFonts w:hint="eastAsia" w:ascii="宋体" w:hAnsi="宋体" w:cs="宋体"/>
          <w:color w:val="auto"/>
          <w:sz w:val="24"/>
          <w:szCs w:val="24"/>
          <w:highlight w:val="none"/>
        </w:rPr>
        <w:t>6.</w:t>
      </w:r>
      <w:r>
        <w:rPr>
          <w:rFonts w:hint="eastAsia" w:ascii="宋体" w:hAnsi="宋体" w:cs="宋体"/>
          <w:b/>
          <w:bCs/>
          <w:i/>
          <w:iCs/>
          <w:color w:val="auto"/>
          <w:sz w:val="24"/>
          <w:szCs w:val="24"/>
          <w:highlight w:val="none"/>
        </w:rPr>
        <w:t>根据财库〔2026〕2号文件，评审委员会启动异常低价投标审查的情形和具体要求，包括：</w:t>
      </w:r>
    </w:p>
    <w:p w14:paraId="6D02DF55">
      <w:pPr>
        <w:spacing w:line="500" w:lineRule="exact"/>
        <w:ind w:firstLine="241" w:firstLineChars="100"/>
        <w:rPr>
          <w:rFonts w:ascii="宋体" w:hAnsi="宋体" w:cs="宋体"/>
          <w:b/>
          <w:bCs/>
          <w:i/>
          <w:iCs/>
          <w:color w:val="auto"/>
          <w:sz w:val="24"/>
          <w:szCs w:val="24"/>
          <w:highlight w:val="none"/>
        </w:rPr>
      </w:pPr>
      <w:r>
        <w:rPr>
          <w:rFonts w:hint="eastAsia" w:ascii="宋体" w:hAnsi="宋体" w:cs="宋体"/>
          <w:b/>
          <w:bCs/>
          <w:i/>
          <w:iCs/>
          <w:color w:val="auto"/>
          <w:sz w:val="24"/>
          <w:szCs w:val="24"/>
          <w:highlight w:val="none"/>
        </w:rPr>
        <w:t>（一）1.投标报价低于全部通过符合性审查供应商投标报价平均值50%的，即投标报价&lt;全部通过符合性审查供应商投标报价平均值×50%；</w:t>
      </w:r>
    </w:p>
    <w:p w14:paraId="7892AB6E">
      <w:pPr>
        <w:spacing w:line="500" w:lineRule="exact"/>
        <w:ind w:firstLine="241" w:firstLineChars="100"/>
        <w:rPr>
          <w:rFonts w:ascii="宋体" w:hAnsi="宋体" w:cs="宋体"/>
          <w:b/>
          <w:bCs/>
          <w:i/>
          <w:iCs/>
          <w:color w:val="auto"/>
          <w:sz w:val="24"/>
          <w:szCs w:val="24"/>
          <w:highlight w:val="none"/>
        </w:rPr>
      </w:pPr>
      <w:r>
        <w:rPr>
          <w:rFonts w:hint="eastAsia" w:ascii="宋体" w:hAnsi="宋体" w:cs="宋体"/>
          <w:b/>
          <w:bCs/>
          <w:i/>
          <w:iCs/>
          <w:color w:val="auto"/>
          <w:sz w:val="24"/>
          <w:szCs w:val="24"/>
          <w:highlight w:val="none"/>
        </w:rPr>
        <w:t>2.投标报价低于通过符合性审查的次低报价供应商投标报价50%的，即投标报价&lt;通过符合性审查的次低报价供应商投标报价×50%；</w:t>
      </w:r>
    </w:p>
    <w:p w14:paraId="358894E7">
      <w:pPr>
        <w:spacing w:line="500" w:lineRule="exact"/>
        <w:ind w:firstLine="241" w:firstLineChars="100"/>
        <w:rPr>
          <w:rFonts w:ascii="宋体" w:hAnsi="宋体" w:cs="宋体"/>
          <w:b/>
          <w:bCs/>
          <w:i/>
          <w:iCs/>
          <w:color w:val="auto"/>
          <w:sz w:val="24"/>
          <w:szCs w:val="24"/>
          <w:highlight w:val="none"/>
        </w:rPr>
      </w:pPr>
      <w:r>
        <w:rPr>
          <w:rFonts w:hint="eastAsia" w:ascii="宋体" w:hAnsi="宋体" w:cs="宋体"/>
          <w:b/>
          <w:bCs/>
          <w:i/>
          <w:iCs/>
          <w:color w:val="auto"/>
          <w:sz w:val="24"/>
          <w:szCs w:val="24"/>
          <w:highlight w:val="none"/>
        </w:rPr>
        <w:t>3.投标报价低于采购项目最高限价45%的，即投标报价&lt;采购项目最高限价×45%；</w:t>
      </w:r>
    </w:p>
    <w:p w14:paraId="60C6F296">
      <w:pPr>
        <w:spacing w:line="500" w:lineRule="exact"/>
        <w:ind w:firstLine="241" w:firstLineChars="100"/>
        <w:rPr>
          <w:rFonts w:ascii="宋体" w:hAnsi="宋体" w:cs="宋体"/>
          <w:b/>
          <w:bCs/>
          <w:i/>
          <w:iCs/>
          <w:color w:val="auto"/>
          <w:sz w:val="24"/>
          <w:szCs w:val="24"/>
          <w:highlight w:val="none"/>
        </w:rPr>
      </w:pPr>
      <w:r>
        <w:rPr>
          <w:rFonts w:hint="eastAsia" w:ascii="宋体" w:hAnsi="宋体" w:cs="宋体"/>
          <w:b/>
          <w:bCs/>
          <w:i/>
          <w:iCs/>
          <w:color w:val="auto"/>
          <w:sz w:val="24"/>
          <w:szCs w:val="24"/>
          <w:highlight w:val="none"/>
        </w:rPr>
        <w:t>4.评审委员会基于专业判断，认为供应商报价过低，有可能影响产品质量或者不能诚信履约的其他情形。</w:t>
      </w:r>
    </w:p>
    <w:p w14:paraId="583DAC84">
      <w:pPr>
        <w:spacing w:line="500" w:lineRule="exact"/>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p>
    <w:p w14:paraId="390DD1EA">
      <w:pPr>
        <w:spacing w:line="500" w:lineRule="exact"/>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09031DC0">
      <w:pPr>
        <w:spacing w:line="500" w:lineRule="exact"/>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62609E9">
      <w:pPr>
        <w:widowControl/>
        <w:spacing w:line="500" w:lineRule="exact"/>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异常低价投标审查的启动原因、审查意见和审查结果应当在评审报告中记录，并随供应商提供的相关书面说明及证明材料，以及评审委员会有关互联网浏览、查询历史一并归档。</w:t>
      </w:r>
    </w:p>
    <w:p w14:paraId="1A755CEC">
      <w:pPr>
        <w:widowControl/>
        <w:spacing w:line="360" w:lineRule="auto"/>
        <w:ind w:firstLine="442"/>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7.</w:t>
      </w:r>
      <w:r>
        <w:rPr>
          <w:rFonts w:hint="eastAsia" w:ascii="宋体" w:hAnsi="宋体" w:cs="宋体"/>
          <w:b/>
          <w:bCs/>
          <w:color w:val="auto"/>
          <w:sz w:val="24"/>
          <w:szCs w:val="24"/>
          <w:highlight w:val="none"/>
          <w:lang w:val="zh-CN"/>
        </w:rPr>
        <w:t>上述评分办法均以响应文件、评委的判断为准。</w:t>
      </w:r>
    </w:p>
    <w:p w14:paraId="55F18147">
      <w:pPr>
        <w:widowControl/>
        <w:spacing w:line="360" w:lineRule="auto"/>
        <w:ind w:firstLine="442"/>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8.</w:t>
      </w:r>
      <w:r>
        <w:rPr>
          <w:rFonts w:hint="eastAsia" w:ascii="宋体" w:hAnsi="宋体" w:cs="宋体"/>
          <w:b/>
          <w:bCs/>
          <w:color w:val="auto"/>
          <w:sz w:val="24"/>
          <w:szCs w:val="24"/>
          <w:highlight w:val="none"/>
          <w:lang w:val="zh-CN"/>
        </w:rPr>
        <w:t>评标委员会不保证有效报价最低的供应商成交。</w:t>
      </w:r>
    </w:p>
    <w:p w14:paraId="26ACC4B4">
      <w:pPr>
        <w:widowControl/>
        <w:spacing w:line="360" w:lineRule="auto"/>
        <w:ind w:firstLine="442"/>
        <w:rPr>
          <w:rFonts w:ascii="宋体" w:hAnsi="宋体" w:cs="宋体"/>
          <w:b/>
          <w:bCs/>
          <w:color w:val="auto"/>
          <w:sz w:val="22"/>
          <w:szCs w:val="21"/>
          <w:highlight w:val="none"/>
          <w:lang w:val="zh-CN"/>
        </w:rPr>
      </w:pPr>
      <w:r>
        <w:rPr>
          <w:rFonts w:hint="eastAsia" w:ascii="宋体" w:hAnsi="宋体" w:cs="宋体"/>
          <w:b/>
          <w:bCs/>
          <w:color w:val="auto"/>
          <w:sz w:val="24"/>
          <w:szCs w:val="24"/>
          <w:highlight w:val="none"/>
        </w:rPr>
        <w:t>9.</w:t>
      </w:r>
      <w:r>
        <w:rPr>
          <w:rFonts w:hint="eastAsia" w:ascii="宋体" w:hAnsi="宋体" w:cs="宋体"/>
          <w:b/>
          <w:bCs/>
          <w:color w:val="auto"/>
          <w:sz w:val="24"/>
          <w:szCs w:val="24"/>
          <w:highlight w:val="none"/>
          <w:lang w:val="zh-CN"/>
        </w:rPr>
        <w:t>若供应商提供虚假资料，一经查实作无效</w:t>
      </w:r>
      <w:r>
        <w:rPr>
          <w:rFonts w:hint="eastAsia" w:ascii="宋体" w:hAnsi="宋体" w:cs="宋体"/>
          <w:b/>
          <w:bCs/>
          <w:color w:val="auto"/>
          <w:sz w:val="24"/>
          <w:szCs w:val="24"/>
          <w:highlight w:val="none"/>
        </w:rPr>
        <w:t>响应文件</w:t>
      </w:r>
      <w:r>
        <w:rPr>
          <w:rFonts w:hint="eastAsia" w:ascii="宋体" w:hAnsi="宋体" w:cs="宋体"/>
          <w:b/>
          <w:bCs/>
          <w:color w:val="auto"/>
          <w:sz w:val="24"/>
          <w:szCs w:val="24"/>
          <w:highlight w:val="none"/>
          <w:lang w:val="zh-CN"/>
        </w:rPr>
        <w:t>处理。</w:t>
      </w:r>
    </w:p>
    <w:p w14:paraId="1C5FC8FA">
      <w:pPr>
        <w:widowControl/>
        <w:spacing w:line="360" w:lineRule="auto"/>
        <w:ind w:firstLine="442"/>
        <w:rPr>
          <w:rFonts w:ascii="宋体" w:hAnsi="宋体" w:cs="宋体"/>
          <w:b/>
          <w:bCs/>
          <w:color w:val="auto"/>
          <w:sz w:val="22"/>
          <w:szCs w:val="21"/>
          <w:highlight w:val="none"/>
          <w:lang w:val="zh-CN"/>
        </w:rPr>
      </w:pPr>
    </w:p>
    <w:p w14:paraId="01F76908">
      <w:pPr>
        <w:widowControl/>
        <w:spacing w:line="360" w:lineRule="auto"/>
        <w:ind w:firstLine="442"/>
        <w:rPr>
          <w:rFonts w:ascii="宋体" w:hAnsi="宋体" w:cs="宋体"/>
          <w:b/>
          <w:bCs/>
          <w:color w:val="auto"/>
          <w:sz w:val="22"/>
          <w:szCs w:val="21"/>
          <w:highlight w:val="none"/>
          <w:lang w:val="zh-CN"/>
        </w:rPr>
      </w:pPr>
    </w:p>
    <w:p w14:paraId="38B1B1D8">
      <w:pPr>
        <w:widowControl/>
        <w:spacing w:line="360" w:lineRule="auto"/>
        <w:ind w:firstLine="442"/>
        <w:rPr>
          <w:rFonts w:ascii="宋体" w:hAnsi="宋体" w:cs="宋体"/>
          <w:b/>
          <w:bCs/>
          <w:color w:val="auto"/>
          <w:sz w:val="22"/>
          <w:szCs w:val="21"/>
          <w:highlight w:val="none"/>
          <w:lang w:val="zh-CN"/>
        </w:rPr>
      </w:pPr>
    </w:p>
    <w:p w14:paraId="10126907">
      <w:pPr>
        <w:widowControl/>
        <w:spacing w:line="360" w:lineRule="auto"/>
        <w:ind w:firstLine="442"/>
        <w:rPr>
          <w:rFonts w:ascii="宋体" w:hAnsi="宋体" w:cs="宋体"/>
          <w:b/>
          <w:bCs/>
          <w:color w:val="auto"/>
          <w:sz w:val="22"/>
          <w:szCs w:val="21"/>
          <w:highlight w:val="none"/>
          <w:lang w:val="zh-CN"/>
        </w:rPr>
      </w:pPr>
    </w:p>
    <w:p w14:paraId="37E462CE">
      <w:pPr>
        <w:widowControl/>
        <w:spacing w:line="360" w:lineRule="auto"/>
        <w:ind w:firstLine="442"/>
        <w:rPr>
          <w:rFonts w:ascii="宋体" w:hAnsi="宋体" w:cs="宋体"/>
          <w:b/>
          <w:bCs/>
          <w:color w:val="auto"/>
          <w:sz w:val="22"/>
          <w:szCs w:val="21"/>
          <w:highlight w:val="none"/>
          <w:lang w:val="zh-CN"/>
        </w:rPr>
      </w:pPr>
    </w:p>
    <w:p w14:paraId="2E4264D2">
      <w:pPr>
        <w:widowControl/>
        <w:spacing w:line="360" w:lineRule="auto"/>
        <w:ind w:firstLine="442"/>
        <w:rPr>
          <w:rFonts w:ascii="宋体" w:hAnsi="宋体" w:cs="宋体"/>
          <w:b/>
          <w:bCs/>
          <w:color w:val="auto"/>
          <w:sz w:val="22"/>
          <w:szCs w:val="21"/>
          <w:highlight w:val="none"/>
          <w:lang w:val="zh-CN"/>
        </w:rPr>
      </w:pPr>
    </w:p>
    <w:p w14:paraId="60CD4354">
      <w:pPr>
        <w:widowControl/>
        <w:spacing w:line="360" w:lineRule="auto"/>
        <w:rPr>
          <w:rFonts w:ascii="宋体" w:hAnsi="宋体" w:cs="宋体"/>
          <w:b/>
          <w:bCs/>
          <w:color w:val="auto"/>
          <w:sz w:val="22"/>
          <w:szCs w:val="21"/>
          <w:highlight w:val="none"/>
          <w:lang w:val="zh-CN"/>
        </w:rPr>
      </w:pPr>
    </w:p>
    <w:p w14:paraId="1B02CB46">
      <w:pPr>
        <w:rPr>
          <w:rFonts w:ascii="宋体" w:hAnsi="宋体" w:cs="宋体"/>
          <w:color w:val="auto"/>
          <w:highlight w:val="none"/>
        </w:rPr>
      </w:pPr>
      <w:bookmarkStart w:id="37" w:name="_Toc109304976"/>
      <w:r>
        <w:rPr>
          <w:rFonts w:hint="eastAsia" w:ascii="宋体" w:hAnsi="宋体" w:cs="宋体"/>
          <w:color w:val="auto"/>
          <w:highlight w:val="none"/>
        </w:rPr>
        <w:br w:type="page"/>
      </w:r>
    </w:p>
    <w:p w14:paraId="357820CD">
      <w:pPr>
        <w:pStyle w:val="237"/>
        <w:spacing w:line="360" w:lineRule="auto"/>
        <w:jc w:val="center"/>
        <w:rPr>
          <w:rFonts w:ascii="宋体" w:hAnsi="宋体" w:cs="宋体"/>
          <w:color w:val="auto"/>
          <w:sz w:val="52"/>
          <w:highlight w:val="none"/>
        </w:rPr>
      </w:pPr>
      <w:r>
        <w:rPr>
          <w:rFonts w:hint="eastAsia" w:ascii="宋体" w:hAnsi="宋体" w:cs="宋体"/>
          <w:color w:val="auto"/>
          <w:highlight w:val="none"/>
        </w:rPr>
        <w:t>第六章 竞争性磋商响应文件格式</w:t>
      </w:r>
      <w:bookmarkEnd w:id="1"/>
      <w:bookmarkEnd w:id="37"/>
    </w:p>
    <w:p w14:paraId="54D7A6A4">
      <w:pPr>
        <w:spacing w:line="360" w:lineRule="auto"/>
        <w:jc w:val="center"/>
        <w:rPr>
          <w:rFonts w:ascii="宋体" w:hAnsi="宋体" w:cs="宋体"/>
          <w:b/>
          <w:color w:val="auto"/>
          <w:sz w:val="22"/>
          <w:highlight w:val="none"/>
        </w:rPr>
      </w:pPr>
    </w:p>
    <w:p w14:paraId="098D8ABD">
      <w:pPr>
        <w:spacing w:line="360" w:lineRule="auto"/>
        <w:jc w:val="center"/>
        <w:outlineLvl w:val="0"/>
        <w:rPr>
          <w:rFonts w:ascii="宋体" w:hAnsi="宋体" w:cs="宋体"/>
          <w:b/>
          <w:bCs/>
          <w:color w:val="auto"/>
          <w:sz w:val="72"/>
          <w:szCs w:val="72"/>
          <w:highlight w:val="none"/>
        </w:rPr>
      </w:pPr>
      <w:r>
        <w:rPr>
          <w:rFonts w:hint="eastAsia" w:ascii="宋体" w:hAnsi="宋体" w:cs="宋体"/>
          <w:b/>
          <w:bCs/>
          <w:color w:val="auto"/>
          <w:sz w:val="72"/>
          <w:szCs w:val="72"/>
          <w:highlight w:val="none"/>
        </w:rPr>
        <w:t>竞争性磋商响应文件</w:t>
      </w:r>
    </w:p>
    <w:p w14:paraId="1FE598A5">
      <w:pPr>
        <w:spacing w:line="360" w:lineRule="auto"/>
        <w:jc w:val="center"/>
        <w:rPr>
          <w:rFonts w:ascii="宋体" w:hAnsi="宋体" w:cs="宋体"/>
          <w:b/>
          <w:color w:val="auto"/>
          <w:sz w:val="72"/>
          <w:szCs w:val="21"/>
          <w:highlight w:val="none"/>
        </w:rPr>
      </w:pPr>
    </w:p>
    <w:p w14:paraId="44F2AE09">
      <w:pPr>
        <w:spacing w:line="360" w:lineRule="auto"/>
        <w:jc w:val="center"/>
        <w:rPr>
          <w:rFonts w:ascii="宋体" w:hAnsi="宋体" w:cs="宋体"/>
          <w:b/>
          <w:color w:val="auto"/>
          <w:sz w:val="36"/>
          <w:szCs w:val="21"/>
          <w:highlight w:val="none"/>
        </w:rPr>
      </w:pPr>
    </w:p>
    <w:p w14:paraId="46A4DB46">
      <w:pPr>
        <w:spacing w:line="360" w:lineRule="auto"/>
        <w:jc w:val="center"/>
        <w:rPr>
          <w:rFonts w:ascii="宋体" w:hAnsi="宋体" w:cs="宋体"/>
          <w:b/>
          <w:color w:val="auto"/>
          <w:sz w:val="36"/>
          <w:szCs w:val="21"/>
          <w:highlight w:val="none"/>
        </w:rPr>
      </w:pPr>
    </w:p>
    <w:p w14:paraId="18E2238D">
      <w:pPr>
        <w:spacing w:line="360" w:lineRule="auto"/>
        <w:jc w:val="center"/>
        <w:rPr>
          <w:rFonts w:ascii="宋体" w:hAnsi="宋体" w:cs="宋体"/>
          <w:b/>
          <w:color w:val="auto"/>
          <w:sz w:val="36"/>
          <w:szCs w:val="21"/>
          <w:highlight w:val="none"/>
        </w:rPr>
      </w:pPr>
    </w:p>
    <w:p w14:paraId="00A4FA0F">
      <w:pPr>
        <w:spacing w:line="360" w:lineRule="auto"/>
        <w:jc w:val="center"/>
        <w:rPr>
          <w:rFonts w:ascii="宋体" w:hAnsi="宋体" w:cs="宋体"/>
          <w:b/>
          <w:color w:val="auto"/>
          <w:sz w:val="36"/>
          <w:szCs w:val="21"/>
          <w:highlight w:val="none"/>
        </w:rPr>
      </w:pPr>
    </w:p>
    <w:p w14:paraId="152D7105">
      <w:pPr>
        <w:spacing w:line="360" w:lineRule="auto"/>
        <w:jc w:val="center"/>
        <w:rPr>
          <w:rFonts w:ascii="宋体" w:hAnsi="宋体" w:cs="宋体"/>
          <w:b/>
          <w:color w:val="auto"/>
          <w:sz w:val="36"/>
          <w:szCs w:val="21"/>
          <w:highlight w:val="none"/>
        </w:rPr>
      </w:pPr>
    </w:p>
    <w:p w14:paraId="0A3CF4CC">
      <w:pPr>
        <w:spacing w:line="360" w:lineRule="auto"/>
        <w:jc w:val="center"/>
        <w:rPr>
          <w:rFonts w:ascii="宋体" w:hAnsi="宋体" w:cs="宋体"/>
          <w:b/>
          <w:color w:val="auto"/>
          <w:sz w:val="36"/>
          <w:highlight w:val="none"/>
        </w:rPr>
      </w:pPr>
    </w:p>
    <w:p w14:paraId="5540682C">
      <w:pPr>
        <w:spacing w:line="360" w:lineRule="auto"/>
        <w:ind w:firstLine="1084"/>
        <w:outlineLvl w:val="0"/>
        <w:rPr>
          <w:rFonts w:ascii="宋体" w:hAnsi="宋体" w:cs="宋体"/>
          <w:b/>
          <w:color w:val="auto"/>
          <w:sz w:val="36"/>
          <w:highlight w:val="none"/>
        </w:rPr>
      </w:pPr>
      <w:r>
        <w:rPr>
          <w:rFonts w:hint="eastAsia" w:ascii="宋体" w:hAnsi="宋体" w:cs="宋体"/>
          <w:b/>
          <w:color w:val="auto"/>
          <w:sz w:val="36"/>
          <w:highlight w:val="none"/>
        </w:rPr>
        <w:t>项 目 名 称：</w:t>
      </w:r>
      <w:r>
        <w:rPr>
          <w:rFonts w:hint="eastAsia" w:ascii="宋体" w:hAnsi="宋体" w:cs="宋体"/>
          <w:b/>
          <w:color w:val="auto"/>
          <w:sz w:val="36"/>
          <w:highlight w:val="none"/>
          <w:u w:val="single"/>
        </w:rPr>
        <w:t xml:space="preserve">                   </w:t>
      </w:r>
    </w:p>
    <w:p w14:paraId="7152A726">
      <w:pPr>
        <w:spacing w:line="360" w:lineRule="auto"/>
        <w:ind w:firstLine="1084"/>
        <w:outlineLvl w:val="0"/>
        <w:rPr>
          <w:rFonts w:ascii="宋体" w:hAnsi="宋体" w:cs="宋体"/>
          <w:b/>
          <w:color w:val="auto"/>
          <w:sz w:val="36"/>
          <w:highlight w:val="none"/>
          <w:u w:val="single"/>
        </w:rPr>
      </w:pPr>
      <w:r>
        <w:rPr>
          <w:rFonts w:hint="eastAsia" w:ascii="宋体" w:hAnsi="宋体" w:cs="宋体"/>
          <w:b/>
          <w:color w:val="auto"/>
          <w:sz w:val="36"/>
          <w:highlight w:val="none"/>
        </w:rPr>
        <w:t>项 目 编 号：</w:t>
      </w:r>
      <w:r>
        <w:rPr>
          <w:rFonts w:hint="eastAsia" w:ascii="宋体" w:hAnsi="宋体" w:cs="宋体"/>
          <w:b/>
          <w:color w:val="auto"/>
          <w:sz w:val="36"/>
          <w:highlight w:val="none"/>
          <w:u w:val="single"/>
        </w:rPr>
        <w:t xml:space="preserve">                   </w:t>
      </w:r>
    </w:p>
    <w:p w14:paraId="4335A5CF">
      <w:pPr>
        <w:spacing w:line="360" w:lineRule="auto"/>
        <w:outlineLvl w:val="0"/>
        <w:rPr>
          <w:rFonts w:ascii="宋体" w:hAnsi="宋体" w:cs="宋体"/>
          <w:b/>
          <w:color w:val="auto"/>
          <w:sz w:val="36"/>
          <w:highlight w:val="none"/>
          <w:u w:val="single"/>
        </w:rPr>
      </w:pPr>
      <w:r>
        <w:rPr>
          <w:rFonts w:hint="eastAsia" w:ascii="宋体" w:hAnsi="宋体" w:cs="宋体"/>
          <w:b/>
          <w:color w:val="auto"/>
          <w:sz w:val="36"/>
          <w:highlight w:val="none"/>
        </w:rPr>
        <w:t xml:space="preserve">      磋商供应商名称 ：</w:t>
      </w:r>
      <w:r>
        <w:rPr>
          <w:rFonts w:hint="eastAsia" w:ascii="宋体" w:hAnsi="宋体" w:cs="宋体"/>
          <w:b/>
          <w:color w:val="auto"/>
          <w:sz w:val="36"/>
          <w:highlight w:val="none"/>
          <w:u w:val="single"/>
        </w:rPr>
        <w:t xml:space="preserve">               </w:t>
      </w:r>
    </w:p>
    <w:p w14:paraId="7D4CCA6B">
      <w:pPr>
        <w:spacing w:line="360" w:lineRule="auto"/>
        <w:outlineLvl w:val="0"/>
        <w:rPr>
          <w:rFonts w:ascii="宋体" w:hAnsi="宋体" w:cs="宋体"/>
          <w:b/>
          <w:color w:val="auto"/>
          <w:sz w:val="36"/>
          <w:highlight w:val="none"/>
          <w:u w:val="singl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p>
    <w:p w14:paraId="5775821D">
      <w:pPr>
        <w:spacing w:line="360" w:lineRule="auto"/>
        <w:ind w:firstLine="1084"/>
        <w:outlineLvl w:val="0"/>
        <w:rPr>
          <w:rFonts w:ascii="宋体" w:hAnsi="宋体" w:cs="宋体"/>
          <w:b/>
          <w:color w:val="auto"/>
          <w:sz w:val="36"/>
          <w:highlight w:val="none"/>
        </w:rPr>
      </w:pPr>
      <w:r>
        <w:rPr>
          <w:rFonts w:hint="eastAsia" w:ascii="宋体" w:hAnsi="宋体" w:cs="宋体"/>
          <w:b/>
          <w:color w:val="auto"/>
          <w:sz w:val="36"/>
          <w:highlight w:val="none"/>
        </w:rPr>
        <w:t>供  应  商：</w:t>
      </w:r>
      <w:r>
        <w:rPr>
          <w:rFonts w:hint="eastAsia" w:ascii="宋体" w:hAnsi="宋体" w:cs="宋体"/>
          <w:b/>
          <w:color w:val="auto"/>
          <w:sz w:val="36"/>
          <w:highlight w:val="none"/>
          <w:u w:val="single"/>
        </w:rPr>
        <w:t xml:space="preserve">         </w:t>
      </w:r>
      <w:r>
        <w:rPr>
          <w:rFonts w:hint="eastAsia" w:ascii="宋体" w:hAnsi="宋体" w:cs="宋体"/>
          <w:b/>
          <w:color w:val="auto"/>
          <w:sz w:val="36"/>
          <w:highlight w:val="none"/>
        </w:rPr>
        <w:t>（电子签章）</w:t>
      </w:r>
    </w:p>
    <w:p w14:paraId="0278AA35">
      <w:pPr>
        <w:spacing w:line="360" w:lineRule="auto"/>
        <w:jc w:val="center"/>
        <w:outlineLvl w:val="0"/>
        <w:rPr>
          <w:rFonts w:ascii="宋体" w:hAnsi="宋体" w:cs="宋体"/>
          <w:b/>
          <w:bCs/>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32"/>
          <w:highlight w:val="none"/>
        </w:rPr>
        <w:t>磋商主要文件目录</w:t>
      </w:r>
    </w:p>
    <w:p w14:paraId="7D9A70CD">
      <w:pPr>
        <w:spacing w:line="360" w:lineRule="auto"/>
        <w:jc w:val="center"/>
        <w:rPr>
          <w:rFonts w:ascii="宋体" w:hAnsi="宋体" w:cs="宋体"/>
          <w:b/>
          <w:bCs/>
          <w:color w:val="auto"/>
          <w:sz w:val="32"/>
          <w:szCs w:val="32"/>
          <w:highlight w:val="none"/>
        </w:rPr>
      </w:pPr>
    </w:p>
    <w:p w14:paraId="05355D15">
      <w:pPr>
        <w:spacing w:line="360" w:lineRule="auto"/>
        <w:ind w:firstLine="480"/>
        <w:outlineLvl w:val="0"/>
        <w:rPr>
          <w:rFonts w:ascii="宋体" w:hAnsi="宋体" w:cs="宋体"/>
          <w:color w:val="auto"/>
          <w:sz w:val="24"/>
          <w:highlight w:val="none"/>
        </w:rPr>
      </w:pPr>
      <w:r>
        <w:rPr>
          <w:rFonts w:hint="eastAsia" w:ascii="宋体" w:hAnsi="宋体" w:cs="宋体"/>
          <w:color w:val="auto"/>
          <w:sz w:val="24"/>
          <w:highlight w:val="none"/>
        </w:rPr>
        <w:t>一、资格审查响应对照表</w:t>
      </w:r>
    </w:p>
    <w:p w14:paraId="3B487BC9">
      <w:pPr>
        <w:spacing w:line="360" w:lineRule="auto"/>
        <w:ind w:left="480"/>
        <w:outlineLvl w:val="0"/>
        <w:rPr>
          <w:rFonts w:ascii="宋体" w:hAnsi="宋体" w:cs="宋体"/>
          <w:color w:val="auto"/>
          <w:sz w:val="24"/>
          <w:highlight w:val="none"/>
        </w:rPr>
      </w:pPr>
      <w:r>
        <w:rPr>
          <w:rFonts w:hint="eastAsia" w:ascii="宋体" w:hAnsi="宋体" w:cs="宋体"/>
          <w:color w:val="auto"/>
          <w:sz w:val="24"/>
          <w:highlight w:val="none"/>
        </w:rPr>
        <w:t>二、符合性审查响应对照表</w:t>
      </w:r>
    </w:p>
    <w:p w14:paraId="7F1EE6AD">
      <w:pPr>
        <w:spacing w:line="360" w:lineRule="auto"/>
        <w:ind w:left="480"/>
        <w:outlineLvl w:val="0"/>
        <w:rPr>
          <w:rFonts w:ascii="宋体" w:hAnsi="宋体" w:cs="宋体"/>
          <w:b/>
          <w:bCs/>
          <w:color w:val="auto"/>
          <w:sz w:val="24"/>
          <w:highlight w:val="none"/>
        </w:rPr>
      </w:pPr>
      <w:r>
        <w:rPr>
          <w:rFonts w:hint="eastAsia" w:ascii="宋体" w:hAnsi="宋体" w:cs="宋体"/>
          <w:color w:val="auto"/>
          <w:sz w:val="24"/>
          <w:highlight w:val="none"/>
        </w:rPr>
        <w:t>三、</w:t>
      </w:r>
      <w:r>
        <w:rPr>
          <w:rFonts w:hint="eastAsia" w:ascii="宋体" w:hAnsi="宋体" w:cs="宋体"/>
          <w:i/>
          <w:color w:val="auto"/>
          <w:sz w:val="24"/>
          <w:highlight w:val="none"/>
          <w:u w:val="single"/>
        </w:rPr>
        <w:t>磋商响应报价表</w:t>
      </w:r>
    </w:p>
    <w:p w14:paraId="5482E1A1">
      <w:pPr>
        <w:spacing w:line="360" w:lineRule="auto"/>
        <w:ind w:firstLine="480"/>
        <w:outlineLvl w:val="0"/>
        <w:rPr>
          <w:rFonts w:ascii="宋体" w:hAnsi="宋体" w:cs="宋体"/>
          <w:color w:val="auto"/>
          <w:sz w:val="24"/>
          <w:highlight w:val="none"/>
        </w:rPr>
      </w:pPr>
      <w:r>
        <w:rPr>
          <w:rFonts w:hint="eastAsia" w:ascii="宋体" w:hAnsi="宋体" w:cs="宋体"/>
          <w:color w:val="auto"/>
          <w:sz w:val="24"/>
          <w:highlight w:val="none"/>
        </w:rPr>
        <w:t>四、</w:t>
      </w:r>
      <w:r>
        <w:rPr>
          <w:rFonts w:hint="eastAsia" w:ascii="宋体" w:hAnsi="宋体" w:cs="宋体"/>
          <w:color w:val="auto"/>
          <w:sz w:val="24"/>
          <w:szCs w:val="24"/>
          <w:highlight w:val="none"/>
        </w:rPr>
        <w:t>技术参数响应及偏离表</w:t>
      </w:r>
    </w:p>
    <w:p w14:paraId="3E1271A4">
      <w:pPr>
        <w:spacing w:line="360" w:lineRule="auto"/>
        <w:ind w:firstLine="480"/>
        <w:outlineLvl w:val="0"/>
        <w:rPr>
          <w:rFonts w:ascii="宋体" w:hAnsi="宋体" w:cs="宋体"/>
          <w:color w:val="auto"/>
          <w:sz w:val="24"/>
          <w:highlight w:val="none"/>
        </w:rPr>
      </w:pPr>
      <w:r>
        <w:rPr>
          <w:rFonts w:hint="eastAsia" w:ascii="宋体" w:hAnsi="宋体" w:cs="宋体"/>
          <w:color w:val="auto"/>
          <w:sz w:val="24"/>
          <w:highlight w:val="none"/>
        </w:rPr>
        <w:t>五</w:t>
      </w:r>
      <w:r>
        <w:rPr>
          <w:rFonts w:hint="eastAsia" w:ascii="宋体" w:hAnsi="宋体" w:cs="宋体"/>
          <w:color w:val="auto"/>
          <w:sz w:val="24"/>
          <w:szCs w:val="24"/>
          <w:highlight w:val="none"/>
        </w:rPr>
        <w:t>、</w:t>
      </w:r>
      <w:r>
        <w:rPr>
          <w:rFonts w:hint="eastAsia" w:ascii="宋体" w:hAnsi="宋体" w:cs="宋体"/>
          <w:color w:val="auto"/>
          <w:sz w:val="24"/>
          <w:highlight w:val="none"/>
        </w:rPr>
        <w:t>商务条款响应及偏离表</w:t>
      </w:r>
    </w:p>
    <w:p w14:paraId="2E464EAC">
      <w:pPr>
        <w:spacing w:line="360" w:lineRule="auto"/>
        <w:ind w:firstLine="480"/>
        <w:outlineLvl w:val="0"/>
        <w:rPr>
          <w:rFonts w:ascii="宋体" w:hAnsi="宋体" w:cs="宋体"/>
          <w:color w:val="auto"/>
          <w:sz w:val="24"/>
          <w:highlight w:val="none"/>
        </w:rPr>
      </w:pPr>
      <w:r>
        <w:rPr>
          <w:rFonts w:hint="eastAsia" w:ascii="宋体" w:hAnsi="宋体" w:cs="宋体"/>
          <w:color w:val="auto"/>
          <w:sz w:val="24"/>
          <w:highlight w:val="none"/>
        </w:rPr>
        <w:t>六、其他 （供应商认为有必要提供的声明和文件，如有自拟并自行添加）</w:t>
      </w:r>
    </w:p>
    <w:p w14:paraId="07979772">
      <w:pPr>
        <w:spacing w:line="360" w:lineRule="auto"/>
        <w:jc w:val="center"/>
        <w:outlineLvl w:val="0"/>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一、资格审查响应对照表</w:t>
      </w:r>
    </w:p>
    <w:tbl>
      <w:tblPr>
        <w:tblStyle w:val="40"/>
        <w:tblW w:w="0" w:type="auto"/>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6"/>
        <w:gridCol w:w="5580"/>
        <w:gridCol w:w="1824"/>
      </w:tblGrid>
      <w:tr w14:paraId="77CE1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trPr>
        <w:tc>
          <w:tcPr>
            <w:tcW w:w="706" w:type="dxa"/>
            <w:vAlign w:val="center"/>
          </w:tcPr>
          <w:p w14:paraId="5B061777">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序号</w:t>
            </w:r>
          </w:p>
        </w:tc>
        <w:tc>
          <w:tcPr>
            <w:tcW w:w="5580" w:type="dxa"/>
            <w:vAlign w:val="center"/>
          </w:tcPr>
          <w:p w14:paraId="71AA890B">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资格审查响应内容</w:t>
            </w:r>
          </w:p>
        </w:tc>
        <w:tc>
          <w:tcPr>
            <w:tcW w:w="1824" w:type="dxa"/>
            <w:vAlign w:val="center"/>
          </w:tcPr>
          <w:p w14:paraId="053E4DD0">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是否响应</w:t>
            </w:r>
          </w:p>
          <w:p w14:paraId="72974D4A">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（填是或者否）</w:t>
            </w:r>
          </w:p>
        </w:tc>
      </w:tr>
      <w:tr w14:paraId="58F7E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trPr>
        <w:tc>
          <w:tcPr>
            <w:tcW w:w="8110" w:type="dxa"/>
            <w:gridSpan w:val="3"/>
            <w:vAlign w:val="center"/>
          </w:tcPr>
          <w:p w14:paraId="1D5FC1B2">
            <w:pPr>
              <w:spacing w:line="360" w:lineRule="auto"/>
              <w:rPr>
                <w:rFonts w:ascii="宋体" w:hAnsi="宋体" w:cs="宋体"/>
                <w:b/>
                <w:color w:val="auto"/>
                <w:szCs w:val="21"/>
                <w:highlight w:val="none"/>
              </w:rPr>
            </w:pPr>
            <w:r>
              <w:rPr>
                <w:rFonts w:hint="eastAsia" w:ascii="宋体" w:hAnsi="宋体" w:cs="宋体"/>
                <w:b/>
                <w:color w:val="auto"/>
                <w:szCs w:val="21"/>
                <w:highlight w:val="none"/>
              </w:rPr>
              <w:t>资格条件</w:t>
            </w:r>
          </w:p>
        </w:tc>
      </w:tr>
      <w:tr w14:paraId="589C08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1" w:hRule="atLeast"/>
        </w:trPr>
        <w:tc>
          <w:tcPr>
            <w:tcW w:w="706" w:type="dxa"/>
            <w:vAlign w:val="center"/>
          </w:tcPr>
          <w:p w14:paraId="5D8F1AFC">
            <w:pPr>
              <w:spacing w:line="360" w:lineRule="auto"/>
              <w:jc w:val="center"/>
              <w:rPr>
                <w:rFonts w:ascii="宋体" w:hAnsi="宋体" w:cs="宋体"/>
                <w:b/>
                <w:color w:val="auto"/>
                <w:szCs w:val="21"/>
                <w:highlight w:val="none"/>
              </w:rPr>
            </w:pPr>
            <w:r>
              <w:rPr>
                <w:rFonts w:hint="eastAsia" w:ascii="宋体" w:hAnsi="宋体" w:cs="宋体"/>
                <w:color w:val="auto"/>
                <w:szCs w:val="21"/>
                <w:highlight w:val="none"/>
              </w:rPr>
              <w:t>1</w:t>
            </w:r>
          </w:p>
        </w:tc>
        <w:tc>
          <w:tcPr>
            <w:tcW w:w="5580" w:type="dxa"/>
            <w:vAlign w:val="center"/>
          </w:tcPr>
          <w:p w14:paraId="2E4D8D36">
            <w:pPr>
              <w:spacing w:line="360" w:lineRule="auto"/>
              <w:rPr>
                <w:rFonts w:ascii="宋体" w:hAnsi="宋体" w:cs="宋体"/>
                <w:iCs/>
                <w:color w:val="auto"/>
                <w:szCs w:val="21"/>
                <w:highlight w:val="none"/>
              </w:rPr>
            </w:pPr>
          </w:p>
        </w:tc>
        <w:tc>
          <w:tcPr>
            <w:tcW w:w="1824" w:type="dxa"/>
            <w:vAlign w:val="center"/>
          </w:tcPr>
          <w:p w14:paraId="67EDF655">
            <w:pPr>
              <w:spacing w:line="360" w:lineRule="auto"/>
              <w:rPr>
                <w:rFonts w:ascii="宋体" w:hAnsi="宋体" w:cs="宋体"/>
                <w:b/>
                <w:color w:val="auto"/>
                <w:szCs w:val="21"/>
                <w:highlight w:val="none"/>
              </w:rPr>
            </w:pPr>
          </w:p>
        </w:tc>
      </w:tr>
      <w:tr w14:paraId="6338B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706" w:type="dxa"/>
            <w:vAlign w:val="center"/>
          </w:tcPr>
          <w:p w14:paraId="7D4FF34C">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2</w:t>
            </w:r>
          </w:p>
        </w:tc>
        <w:tc>
          <w:tcPr>
            <w:tcW w:w="5580" w:type="dxa"/>
            <w:vAlign w:val="center"/>
          </w:tcPr>
          <w:p w14:paraId="3FD5F41F">
            <w:pPr>
              <w:spacing w:line="360" w:lineRule="auto"/>
              <w:rPr>
                <w:rFonts w:ascii="宋体" w:hAnsi="宋体" w:cs="宋体"/>
                <w:iCs/>
                <w:color w:val="auto"/>
                <w:szCs w:val="21"/>
                <w:highlight w:val="none"/>
              </w:rPr>
            </w:pPr>
          </w:p>
        </w:tc>
        <w:tc>
          <w:tcPr>
            <w:tcW w:w="1824" w:type="dxa"/>
            <w:vAlign w:val="center"/>
          </w:tcPr>
          <w:p w14:paraId="3F708957">
            <w:pPr>
              <w:spacing w:line="360" w:lineRule="auto"/>
              <w:rPr>
                <w:rFonts w:ascii="宋体" w:hAnsi="宋体" w:cs="宋体"/>
                <w:color w:val="auto"/>
                <w:szCs w:val="21"/>
                <w:highlight w:val="none"/>
              </w:rPr>
            </w:pPr>
          </w:p>
        </w:tc>
      </w:tr>
      <w:tr w14:paraId="6D10E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706" w:type="dxa"/>
            <w:vAlign w:val="center"/>
          </w:tcPr>
          <w:p w14:paraId="567A3FAC">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3</w:t>
            </w:r>
          </w:p>
        </w:tc>
        <w:tc>
          <w:tcPr>
            <w:tcW w:w="5580" w:type="dxa"/>
            <w:vAlign w:val="center"/>
          </w:tcPr>
          <w:p w14:paraId="46C1C564">
            <w:pPr>
              <w:spacing w:line="360" w:lineRule="auto"/>
              <w:rPr>
                <w:rFonts w:ascii="宋体" w:hAnsi="宋体" w:cs="宋体"/>
                <w:iCs/>
                <w:color w:val="auto"/>
                <w:szCs w:val="21"/>
                <w:highlight w:val="none"/>
              </w:rPr>
            </w:pPr>
          </w:p>
        </w:tc>
        <w:tc>
          <w:tcPr>
            <w:tcW w:w="1824" w:type="dxa"/>
            <w:vAlign w:val="center"/>
          </w:tcPr>
          <w:p w14:paraId="22527F5C">
            <w:pPr>
              <w:spacing w:line="360" w:lineRule="auto"/>
              <w:rPr>
                <w:rFonts w:ascii="宋体" w:hAnsi="宋体" w:cs="宋体"/>
                <w:color w:val="auto"/>
                <w:szCs w:val="21"/>
                <w:highlight w:val="none"/>
              </w:rPr>
            </w:pPr>
          </w:p>
        </w:tc>
      </w:tr>
      <w:tr w14:paraId="6042F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706" w:type="dxa"/>
            <w:vAlign w:val="center"/>
          </w:tcPr>
          <w:p w14:paraId="4E384054">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4</w:t>
            </w:r>
          </w:p>
        </w:tc>
        <w:tc>
          <w:tcPr>
            <w:tcW w:w="5580" w:type="dxa"/>
            <w:vAlign w:val="center"/>
          </w:tcPr>
          <w:p w14:paraId="12B0DAC9">
            <w:pPr>
              <w:spacing w:line="360" w:lineRule="auto"/>
              <w:rPr>
                <w:rFonts w:ascii="宋体" w:hAnsi="宋体" w:cs="宋体"/>
                <w:iCs/>
                <w:color w:val="auto"/>
                <w:szCs w:val="21"/>
                <w:highlight w:val="none"/>
              </w:rPr>
            </w:pPr>
          </w:p>
        </w:tc>
        <w:tc>
          <w:tcPr>
            <w:tcW w:w="1824" w:type="dxa"/>
            <w:vAlign w:val="center"/>
          </w:tcPr>
          <w:p w14:paraId="0D41E96C">
            <w:pPr>
              <w:spacing w:line="360" w:lineRule="auto"/>
              <w:rPr>
                <w:rFonts w:ascii="宋体" w:hAnsi="宋体" w:cs="宋体"/>
                <w:color w:val="auto"/>
                <w:szCs w:val="21"/>
                <w:highlight w:val="none"/>
              </w:rPr>
            </w:pPr>
          </w:p>
        </w:tc>
      </w:tr>
      <w:tr w14:paraId="45C3F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706" w:type="dxa"/>
            <w:vAlign w:val="center"/>
          </w:tcPr>
          <w:p w14:paraId="5F392BDB">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5</w:t>
            </w:r>
          </w:p>
        </w:tc>
        <w:tc>
          <w:tcPr>
            <w:tcW w:w="5580" w:type="dxa"/>
            <w:vAlign w:val="center"/>
          </w:tcPr>
          <w:p w14:paraId="0F95E88B">
            <w:pPr>
              <w:spacing w:line="360" w:lineRule="auto"/>
              <w:rPr>
                <w:rFonts w:ascii="宋体" w:hAnsi="宋体" w:cs="宋体"/>
                <w:iCs/>
                <w:color w:val="auto"/>
                <w:szCs w:val="21"/>
                <w:highlight w:val="none"/>
              </w:rPr>
            </w:pPr>
          </w:p>
        </w:tc>
        <w:tc>
          <w:tcPr>
            <w:tcW w:w="1824" w:type="dxa"/>
            <w:vAlign w:val="center"/>
          </w:tcPr>
          <w:p w14:paraId="1E6C0C61">
            <w:pPr>
              <w:spacing w:line="360" w:lineRule="auto"/>
              <w:rPr>
                <w:rFonts w:ascii="宋体" w:hAnsi="宋体" w:cs="宋体"/>
                <w:color w:val="auto"/>
                <w:szCs w:val="21"/>
                <w:highlight w:val="none"/>
              </w:rPr>
            </w:pPr>
          </w:p>
        </w:tc>
      </w:tr>
      <w:tr w14:paraId="464692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706" w:type="dxa"/>
            <w:vAlign w:val="center"/>
          </w:tcPr>
          <w:p w14:paraId="0851E31A">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6</w:t>
            </w:r>
          </w:p>
        </w:tc>
        <w:tc>
          <w:tcPr>
            <w:tcW w:w="5580" w:type="dxa"/>
            <w:vAlign w:val="center"/>
          </w:tcPr>
          <w:p w14:paraId="513B9893">
            <w:pPr>
              <w:spacing w:line="360" w:lineRule="auto"/>
              <w:rPr>
                <w:rFonts w:ascii="宋体" w:hAnsi="宋体" w:cs="宋体"/>
                <w:iCs/>
                <w:color w:val="auto"/>
                <w:szCs w:val="21"/>
                <w:highlight w:val="none"/>
              </w:rPr>
            </w:pPr>
            <w:r>
              <w:rPr>
                <w:rFonts w:hint="eastAsia" w:ascii="宋体" w:hAnsi="宋体" w:cs="宋体"/>
                <w:iCs/>
                <w:color w:val="auto"/>
                <w:szCs w:val="21"/>
                <w:highlight w:val="none"/>
              </w:rPr>
              <w:t>..........</w:t>
            </w:r>
          </w:p>
        </w:tc>
        <w:tc>
          <w:tcPr>
            <w:tcW w:w="1824" w:type="dxa"/>
            <w:vAlign w:val="center"/>
          </w:tcPr>
          <w:p w14:paraId="7C00B545">
            <w:pPr>
              <w:spacing w:line="360" w:lineRule="auto"/>
              <w:rPr>
                <w:rFonts w:ascii="宋体" w:hAnsi="宋体" w:cs="宋体"/>
                <w:color w:val="auto"/>
                <w:szCs w:val="21"/>
                <w:highlight w:val="none"/>
              </w:rPr>
            </w:pPr>
          </w:p>
        </w:tc>
      </w:tr>
    </w:tbl>
    <w:p w14:paraId="3E656B38">
      <w:pPr>
        <w:spacing w:before="156" w:after="156" w:line="360" w:lineRule="auto"/>
        <w:jc w:val="center"/>
        <w:rPr>
          <w:rFonts w:ascii="宋体" w:hAnsi="宋体" w:cs="宋体"/>
          <w:b/>
          <w:bCs/>
          <w:color w:val="auto"/>
          <w:highlight w:val="none"/>
        </w:rPr>
      </w:pPr>
    </w:p>
    <w:p w14:paraId="7E545477">
      <w:pPr>
        <w:spacing w:before="156" w:after="156" w:line="360" w:lineRule="auto"/>
        <w:jc w:val="center"/>
        <w:outlineLvl w:val="1"/>
        <w:rPr>
          <w:rFonts w:ascii="宋体" w:hAnsi="宋体" w:cs="宋体"/>
          <w:b/>
          <w:bCs/>
          <w:color w:val="auto"/>
          <w:highlight w:val="none"/>
        </w:rPr>
      </w:pPr>
      <w:r>
        <w:rPr>
          <w:rFonts w:hint="eastAsia" w:ascii="宋体" w:hAnsi="宋体" w:cs="宋体"/>
          <w:b/>
          <w:bCs/>
          <w:color w:val="auto"/>
          <w:highlight w:val="none"/>
        </w:rPr>
        <w:br w:type="page" w:clear="all"/>
      </w:r>
    </w:p>
    <w:p w14:paraId="5556AE2F">
      <w:pPr>
        <w:spacing w:before="156" w:after="156" w:line="360" w:lineRule="auto"/>
        <w:jc w:val="center"/>
        <w:outlineLvl w:val="1"/>
        <w:rPr>
          <w:rFonts w:ascii="宋体" w:hAnsi="宋体" w:cs="宋体"/>
          <w:b/>
          <w:bCs/>
          <w:color w:val="auto"/>
          <w:highlight w:val="none"/>
        </w:rPr>
      </w:pPr>
      <w:r>
        <w:rPr>
          <w:rFonts w:hint="eastAsia" w:ascii="宋体" w:hAnsi="宋体" w:cs="宋体"/>
          <w:b/>
          <w:bCs/>
          <w:color w:val="auto"/>
          <w:highlight w:val="none"/>
        </w:rPr>
        <w:t>具有独立承担民事责任的能力（提供法人或者其他组织的营业执照等证明文件；供应商为自然人的，提供其身份证）</w:t>
      </w:r>
    </w:p>
    <w:p w14:paraId="6A03AE87">
      <w:pPr>
        <w:spacing w:before="156" w:after="156" w:line="360" w:lineRule="auto"/>
        <w:jc w:val="center"/>
        <w:outlineLvl w:val="1"/>
        <w:rPr>
          <w:rFonts w:ascii="宋体" w:hAnsi="宋体" w:cs="宋体"/>
          <w:b/>
          <w:bCs/>
          <w:color w:val="auto"/>
          <w:highlight w:val="none"/>
        </w:rPr>
      </w:pPr>
    </w:p>
    <w:p w14:paraId="5CFC9D2B">
      <w:pPr>
        <w:spacing w:before="156" w:after="156" w:line="360" w:lineRule="auto"/>
        <w:jc w:val="center"/>
        <w:outlineLvl w:val="1"/>
        <w:rPr>
          <w:rFonts w:ascii="宋体" w:hAnsi="宋体" w:cs="宋体"/>
          <w:b/>
          <w:bCs/>
          <w:color w:val="auto"/>
          <w:highlight w:val="none"/>
        </w:rPr>
      </w:pPr>
    </w:p>
    <w:p w14:paraId="3F39EBBB">
      <w:pPr>
        <w:spacing w:before="156" w:after="156" w:line="360" w:lineRule="auto"/>
        <w:jc w:val="center"/>
        <w:outlineLvl w:val="1"/>
        <w:rPr>
          <w:rFonts w:ascii="宋体" w:hAnsi="宋体" w:cs="宋体"/>
          <w:b/>
          <w:bCs/>
          <w:color w:val="auto"/>
          <w:highlight w:val="none"/>
        </w:rPr>
      </w:pPr>
    </w:p>
    <w:p w14:paraId="2DA1684F">
      <w:pPr>
        <w:spacing w:before="156" w:after="156" w:line="360" w:lineRule="auto"/>
        <w:jc w:val="center"/>
        <w:outlineLvl w:val="1"/>
        <w:rPr>
          <w:rFonts w:ascii="宋体" w:hAnsi="宋体" w:cs="宋体"/>
          <w:b/>
          <w:bCs/>
          <w:color w:val="auto"/>
          <w:highlight w:val="none"/>
        </w:rPr>
      </w:pPr>
    </w:p>
    <w:p w14:paraId="6E7DAF71">
      <w:pPr>
        <w:spacing w:before="156" w:after="156" w:line="360" w:lineRule="auto"/>
        <w:jc w:val="center"/>
        <w:outlineLvl w:val="1"/>
        <w:rPr>
          <w:rFonts w:ascii="宋体" w:hAnsi="宋体" w:cs="宋体"/>
          <w:b/>
          <w:bCs/>
          <w:color w:val="auto"/>
          <w:highlight w:val="none"/>
        </w:rPr>
      </w:pPr>
    </w:p>
    <w:p w14:paraId="313A11D8">
      <w:pPr>
        <w:spacing w:before="156" w:after="156" w:line="360" w:lineRule="auto"/>
        <w:jc w:val="center"/>
        <w:outlineLvl w:val="1"/>
        <w:rPr>
          <w:rFonts w:ascii="宋体" w:hAnsi="宋体" w:cs="宋体"/>
          <w:b/>
          <w:bCs/>
          <w:color w:val="auto"/>
          <w:highlight w:val="none"/>
        </w:rPr>
      </w:pPr>
    </w:p>
    <w:p w14:paraId="3EA2C45E">
      <w:pPr>
        <w:spacing w:before="156" w:after="156" w:line="360" w:lineRule="auto"/>
        <w:jc w:val="center"/>
        <w:outlineLvl w:val="1"/>
        <w:rPr>
          <w:rFonts w:ascii="宋体" w:hAnsi="宋体" w:cs="宋体"/>
          <w:b/>
          <w:bCs/>
          <w:color w:val="auto"/>
          <w:highlight w:val="none"/>
        </w:rPr>
      </w:pPr>
    </w:p>
    <w:p w14:paraId="3846E543">
      <w:pPr>
        <w:spacing w:before="156" w:after="156" w:line="360" w:lineRule="auto"/>
        <w:jc w:val="center"/>
        <w:outlineLvl w:val="1"/>
        <w:rPr>
          <w:rFonts w:ascii="宋体" w:hAnsi="宋体" w:cs="宋体"/>
          <w:b/>
          <w:bCs/>
          <w:color w:val="auto"/>
          <w:highlight w:val="none"/>
        </w:rPr>
      </w:pPr>
    </w:p>
    <w:p w14:paraId="003A6C26">
      <w:pPr>
        <w:spacing w:before="156" w:after="156" w:line="360" w:lineRule="auto"/>
        <w:jc w:val="center"/>
        <w:outlineLvl w:val="1"/>
        <w:rPr>
          <w:rFonts w:ascii="宋体" w:hAnsi="宋体" w:cs="宋体"/>
          <w:b/>
          <w:bCs/>
          <w:color w:val="auto"/>
          <w:highlight w:val="none"/>
        </w:rPr>
      </w:pPr>
    </w:p>
    <w:p w14:paraId="438F443F">
      <w:pPr>
        <w:spacing w:before="156" w:after="156" w:line="360" w:lineRule="auto"/>
        <w:jc w:val="center"/>
        <w:outlineLvl w:val="1"/>
        <w:rPr>
          <w:rFonts w:ascii="宋体" w:hAnsi="宋体" w:cs="宋体"/>
          <w:b/>
          <w:bCs/>
          <w:color w:val="auto"/>
          <w:highlight w:val="none"/>
        </w:rPr>
      </w:pPr>
    </w:p>
    <w:p w14:paraId="5A55A5AF">
      <w:pPr>
        <w:spacing w:before="156" w:after="156" w:line="360" w:lineRule="auto"/>
        <w:jc w:val="center"/>
        <w:outlineLvl w:val="1"/>
        <w:rPr>
          <w:rFonts w:ascii="宋体" w:hAnsi="宋体" w:cs="宋体"/>
          <w:b/>
          <w:bCs/>
          <w:color w:val="auto"/>
          <w:highlight w:val="none"/>
        </w:rPr>
      </w:pPr>
    </w:p>
    <w:p w14:paraId="3C15A118">
      <w:pPr>
        <w:spacing w:before="156" w:after="156" w:line="360" w:lineRule="auto"/>
        <w:jc w:val="center"/>
        <w:outlineLvl w:val="1"/>
        <w:rPr>
          <w:rFonts w:ascii="宋体" w:hAnsi="宋体" w:cs="宋体"/>
          <w:b/>
          <w:bCs/>
          <w:color w:val="auto"/>
          <w:highlight w:val="none"/>
        </w:rPr>
      </w:pPr>
    </w:p>
    <w:p w14:paraId="70C49366">
      <w:pPr>
        <w:spacing w:before="156" w:after="156" w:line="360" w:lineRule="auto"/>
        <w:jc w:val="center"/>
        <w:outlineLvl w:val="1"/>
        <w:rPr>
          <w:rFonts w:ascii="宋体" w:hAnsi="宋体" w:cs="宋体"/>
          <w:b/>
          <w:bCs/>
          <w:color w:val="auto"/>
          <w:highlight w:val="none"/>
        </w:rPr>
      </w:pPr>
    </w:p>
    <w:p w14:paraId="5246FC50">
      <w:pPr>
        <w:spacing w:before="156" w:after="156" w:line="360" w:lineRule="auto"/>
        <w:jc w:val="center"/>
        <w:outlineLvl w:val="1"/>
        <w:rPr>
          <w:rFonts w:ascii="宋体" w:hAnsi="宋体" w:cs="宋体"/>
          <w:b/>
          <w:bCs/>
          <w:color w:val="auto"/>
          <w:highlight w:val="none"/>
        </w:rPr>
      </w:pPr>
    </w:p>
    <w:p w14:paraId="41945D34">
      <w:pPr>
        <w:spacing w:before="156" w:after="156" w:line="360" w:lineRule="auto"/>
        <w:jc w:val="center"/>
        <w:outlineLvl w:val="1"/>
        <w:rPr>
          <w:rFonts w:ascii="宋体" w:hAnsi="宋体" w:cs="宋体"/>
          <w:b/>
          <w:bCs/>
          <w:color w:val="auto"/>
          <w:highlight w:val="none"/>
        </w:rPr>
      </w:pPr>
    </w:p>
    <w:p w14:paraId="181B8D13">
      <w:pPr>
        <w:spacing w:before="156" w:after="156" w:line="360" w:lineRule="auto"/>
        <w:jc w:val="center"/>
        <w:outlineLvl w:val="1"/>
        <w:rPr>
          <w:rFonts w:ascii="宋体" w:hAnsi="宋体" w:cs="宋体"/>
          <w:b/>
          <w:bCs/>
          <w:color w:val="auto"/>
          <w:highlight w:val="none"/>
        </w:rPr>
      </w:pPr>
    </w:p>
    <w:p w14:paraId="1880DA9F">
      <w:pPr>
        <w:spacing w:before="156" w:after="156" w:line="360" w:lineRule="auto"/>
        <w:jc w:val="center"/>
        <w:outlineLvl w:val="1"/>
        <w:rPr>
          <w:rFonts w:ascii="宋体" w:hAnsi="宋体" w:cs="宋体"/>
          <w:b/>
          <w:bCs/>
          <w:color w:val="auto"/>
          <w:highlight w:val="none"/>
        </w:rPr>
      </w:pPr>
    </w:p>
    <w:p w14:paraId="2091108E">
      <w:pPr>
        <w:spacing w:before="156" w:after="156" w:line="360" w:lineRule="auto"/>
        <w:jc w:val="center"/>
        <w:outlineLvl w:val="1"/>
        <w:rPr>
          <w:rFonts w:ascii="宋体" w:hAnsi="宋体" w:cs="宋体"/>
          <w:b/>
          <w:bCs/>
          <w:color w:val="auto"/>
          <w:highlight w:val="none"/>
        </w:rPr>
      </w:pPr>
    </w:p>
    <w:p w14:paraId="7EDFC620">
      <w:pPr>
        <w:spacing w:before="156" w:after="156" w:line="360" w:lineRule="auto"/>
        <w:jc w:val="center"/>
        <w:outlineLvl w:val="1"/>
        <w:rPr>
          <w:rFonts w:ascii="宋体" w:hAnsi="宋体" w:cs="宋体"/>
          <w:b/>
          <w:bCs/>
          <w:color w:val="auto"/>
          <w:highlight w:val="none"/>
        </w:rPr>
      </w:pPr>
    </w:p>
    <w:p w14:paraId="77A1AF3B">
      <w:pPr>
        <w:spacing w:before="156" w:after="156" w:line="360" w:lineRule="auto"/>
        <w:jc w:val="center"/>
        <w:outlineLvl w:val="1"/>
        <w:rPr>
          <w:rFonts w:ascii="宋体" w:hAnsi="宋体" w:cs="宋体"/>
          <w:b/>
          <w:bCs/>
          <w:color w:val="auto"/>
          <w:highlight w:val="none"/>
        </w:rPr>
      </w:pPr>
    </w:p>
    <w:p w14:paraId="70D82BF8">
      <w:pPr>
        <w:spacing w:before="156" w:after="156" w:line="360" w:lineRule="auto"/>
        <w:jc w:val="center"/>
        <w:outlineLvl w:val="1"/>
        <w:rPr>
          <w:rFonts w:ascii="宋体" w:hAnsi="宋体" w:cs="宋体"/>
          <w:b/>
          <w:bCs/>
          <w:color w:val="auto"/>
          <w:highlight w:val="none"/>
        </w:rPr>
      </w:pPr>
    </w:p>
    <w:p w14:paraId="16532784">
      <w:pPr>
        <w:widowControl/>
        <w:spacing w:line="360" w:lineRule="auto"/>
        <w:ind w:firstLine="482"/>
        <w:jc w:val="left"/>
        <w:rPr>
          <w:rFonts w:ascii="宋体" w:hAnsi="宋体" w:cs="宋体"/>
          <w:color w:val="auto"/>
          <w:sz w:val="22"/>
          <w:szCs w:val="21"/>
          <w:highlight w:val="none"/>
          <w:lang w:bidi="ar"/>
        </w:rPr>
      </w:pPr>
      <w:r>
        <w:rPr>
          <w:rFonts w:hint="eastAsia" w:ascii="宋体" w:hAnsi="宋体" w:cs="宋体"/>
          <w:b/>
          <w:bCs/>
          <w:color w:val="auto"/>
          <w:highlight w:val="none"/>
        </w:rPr>
        <w:t>具有良好的商业信誉和健全的财务会计制度（</w:t>
      </w:r>
      <w:r>
        <w:rPr>
          <w:rFonts w:hint="eastAsia" w:ascii="宋体" w:hAnsi="宋体" w:cs="宋体"/>
          <w:color w:val="auto"/>
          <w:sz w:val="22"/>
          <w:szCs w:val="21"/>
          <w:highlight w:val="none"/>
          <w:lang w:bidi="ar"/>
        </w:rPr>
        <w:t>（提供 2025年度财务报告，至少包含资产负债表、利润表（或收入费用表），或投标截止时间前六个月内银行出具的资信证明；成立不满一年的无须提供）；</w:t>
      </w:r>
    </w:p>
    <w:p w14:paraId="58010644">
      <w:pPr>
        <w:widowControl/>
        <w:spacing w:line="360" w:lineRule="auto"/>
        <w:ind w:firstLine="482"/>
        <w:jc w:val="left"/>
        <w:rPr>
          <w:rFonts w:ascii="宋体" w:hAnsi="宋体" w:cs="宋体"/>
          <w:color w:val="auto"/>
          <w:sz w:val="22"/>
          <w:szCs w:val="21"/>
          <w:highlight w:val="none"/>
          <w:lang w:bidi="ar"/>
        </w:rPr>
      </w:pPr>
    </w:p>
    <w:p w14:paraId="71628C53">
      <w:pPr>
        <w:widowControl/>
        <w:spacing w:line="360" w:lineRule="auto"/>
        <w:ind w:firstLine="482"/>
        <w:jc w:val="left"/>
        <w:rPr>
          <w:rFonts w:ascii="宋体" w:hAnsi="宋体" w:cs="宋体"/>
          <w:color w:val="auto"/>
          <w:sz w:val="22"/>
          <w:szCs w:val="21"/>
          <w:highlight w:val="none"/>
          <w:lang w:bidi="ar"/>
        </w:rPr>
      </w:pPr>
    </w:p>
    <w:p w14:paraId="705F2AB4">
      <w:pPr>
        <w:widowControl/>
        <w:spacing w:line="360" w:lineRule="auto"/>
        <w:ind w:firstLine="482"/>
        <w:jc w:val="left"/>
        <w:rPr>
          <w:rFonts w:ascii="宋体" w:hAnsi="宋体" w:cs="宋体"/>
          <w:color w:val="auto"/>
          <w:sz w:val="22"/>
          <w:szCs w:val="21"/>
          <w:highlight w:val="none"/>
          <w:lang w:bidi="ar"/>
        </w:rPr>
      </w:pPr>
    </w:p>
    <w:p w14:paraId="0505BF41">
      <w:pPr>
        <w:widowControl/>
        <w:spacing w:line="360" w:lineRule="auto"/>
        <w:ind w:firstLine="482"/>
        <w:jc w:val="left"/>
        <w:rPr>
          <w:rFonts w:ascii="宋体" w:hAnsi="宋体" w:cs="宋体"/>
          <w:color w:val="auto"/>
          <w:sz w:val="22"/>
          <w:szCs w:val="21"/>
          <w:highlight w:val="none"/>
          <w:lang w:bidi="ar"/>
        </w:rPr>
      </w:pPr>
    </w:p>
    <w:p w14:paraId="68F40B83">
      <w:pPr>
        <w:widowControl/>
        <w:spacing w:line="360" w:lineRule="auto"/>
        <w:ind w:firstLine="482"/>
        <w:jc w:val="left"/>
        <w:rPr>
          <w:rFonts w:ascii="宋体" w:hAnsi="宋体" w:cs="宋体"/>
          <w:color w:val="auto"/>
          <w:sz w:val="22"/>
          <w:szCs w:val="21"/>
          <w:highlight w:val="none"/>
          <w:lang w:bidi="ar"/>
        </w:rPr>
      </w:pPr>
    </w:p>
    <w:p w14:paraId="2369DA0E">
      <w:pPr>
        <w:widowControl/>
        <w:spacing w:line="360" w:lineRule="auto"/>
        <w:ind w:firstLine="482"/>
        <w:jc w:val="left"/>
        <w:rPr>
          <w:rFonts w:ascii="宋体" w:hAnsi="宋体" w:cs="宋体"/>
          <w:color w:val="auto"/>
          <w:sz w:val="22"/>
          <w:szCs w:val="21"/>
          <w:highlight w:val="none"/>
          <w:lang w:bidi="ar"/>
        </w:rPr>
      </w:pPr>
    </w:p>
    <w:p w14:paraId="04B9141E">
      <w:pPr>
        <w:widowControl/>
        <w:spacing w:line="360" w:lineRule="auto"/>
        <w:ind w:firstLine="482"/>
        <w:jc w:val="left"/>
        <w:rPr>
          <w:rFonts w:ascii="宋体" w:hAnsi="宋体" w:cs="宋体"/>
          <w:color w:val="auto"/>
          <w:sz w:val="22"/>
          <w:szCs w:val="21"/>
          <w:highlight w:val="none"/>
          <w:lang w:bidi="ar"/>
        </w:rPr>
      </w:pPr>
    </w:p>
    <w:p w14:paraId="5C4079E4">
      <w:pPr>
        <w:widowControl/>
        <w:spacing w:line="360" w:lineRule="auto"/>
        <w:ind w:firstLine="482"/>
        <w:jc w:val="left"/>
        <w:rPr>
          <w:rFonts w:ascii="宋体" w:hAnsi="宋体" w:cs="宋体"/>
          <w:color w:val="auto"/>
          <w:sz w:val="22"/>
          <w:szCs w:val="21"/>
          <w:highlight w:val="none"/>
          <w:lang w:bidi="ar"/>
        </w:rPr>
      </w:pPr>
    </w:p>
    <w:p w14:paraId="5405BA49">
      <w:pPr>
        <w:widowControl/>
        <w:spacing w:line="360" w:lineRule="auto"/>
        <w:ind w:firstLine="482"/>
        <w:jc w:val="left"/>
        <w:rPr>
          <w:rFonts w:ascii="宋体" w:hAnsi="宋体" w:cs="宋体"/>
          <w:color w:val="auto"/>
          <w:sz w:val="22"/>
          <w:szCs w:val="21"/>
          <w:highlight w:val="none"/>
          <w:lang w:bidi="ar"/>
        </w:rPr>
      </w:pPr>
    </w:p>
    <w:p w14:paraId="4921BAB5">
      <w:pPr>
        <w:widowControl/>
        <w:spacing w:line="360" w:lineRule="auto"/>
        <w:ind w:firstLine="482"/>
        <w:jc w:val="left"/>
        <w:rPr>
          <w:rFonts w:ascii="宋体" w:hAnsi="宋体" w:cs="宋体"/>
          <w:color w:val="auto"/>
          <w:sz w:val="22"/>
          <w:szCs w:val="21"/>
          <w:highlight w:val="none"/>
          <w:lang w:bidi="ar"/>
        </w:rPr>
      </w:pPr>
    </w:p>
    <w:p w14:paraId="3C044E64">
      <w:pPr>
        <w:widowControl/>
        <w:spacing w:line="360" w:lineRule="auto"/>
        <w:ind w:firstLine="482"/>
        <w:jc w:val="left"/>
        <w:rPr>
          <w:rFonts w:ascii="宋体" w:hAnsi="宋体" w:cs="宋体"/>
          <w:color w:val="auto"/>
          <w:sz w:val="22"/>
          <w:szCs w:val="21"/>
          <w:highlight w:val="none"/>
          <w:lang w:bidi="ar"/>
        </w:rPr>
      </w:pPr>
    </w:p>
    <w:p w14:paraId="15A4AAF5">
      <w:pPr>
        <w:widowControl/>
        <w:spacing w:line="360" w:lineRule="auto"/>
        <w:ind w:firstLine="482"/>
        <w:jc w:val="left"/>
        <w:rPr>
          <w:rFonts w:ascii="宋体" w:hAnsi="宋体" w:cs="宋体"/>
          <w:color w:val="auto"/>
          <w:sz w:val="22"/>
          <w:szCs w:val="21"/>
          <w:highlight w:val="none"/>
          <w:lang w:bidi="ar"/>
        </w:rPr>
      </w:pPr>
    </w:p>
    <w:p w14:paraId="22D86EAD">
      <w:pPr>
        <w:widowControl/>
        <w:spacing w:line="360" w:lineRule="auto"/>
        <w:ind w:firstLine="482"/>
        <w:jc w:val="left"/>
        <w:rPr>
          <w:rFonts w:ascii="宋体" w:hAnsi="宋体" w:cs="宋体"/>
          <w:color w:val="auto"/>
          <w:sz w:val="22"/>
          <w:szCs w:val="21"/>
          <w:highlight w:val="none"/>
          <w:lang w:bidi="ar"/>
        </w:rPr>
      </w:pPr>
    </w:p>
    <w:p w14:paraId="7E8D6541">
      <w:pPr>
        <w:widowControl/>
        <w:spacing w:line="360" w:lineRule="auto"/>
        <w:ind w:firstLine="482"/>
        <w:jc w:val="left"/>
        <w:rPr>
          <w:rFonts w:ascii="宋体" w:hAnsi="宋体" w:cs="宋体"/>
          <w:color w:val="auto"/>
          <w:sz w:val="22"/>
          <w:szCs w:val="21"/>
          <w:highlight w:val="none"/>
          <w:lang w:bidi="ar"/>
        </w:rPr>
      </w:pPr>
    </w:p>
    <w:p w14:paraId="4453E371">
      <w:pPr>
        <w:widowControl/>
        <w:spacing w:line="360" w:lineRule="auto"/>
        <w:ind w:firstLine="482"/>
        <w:jc w:val="left"/>
        <w:rPr>
          <w:rFonts w:ascii="宋体" w:hAnsi="宋体" w:cs="宋体"/>
          <w:color w:val="auto"/>
          <w:sz w:val="22"/>
          <w:szCs w:val="21"/>
          <w:highlight w:val="none"/>
          <w:lang w:bidi="ar"/>
        </w:rPr>
      </w:pPr>
    </w:p>
    <w:p w14:paraId="5A93F870">
      <w:pPr>
        <w:widowControl/>
        <w:spacing w:line="360" w:lineRule="auto"/>
        <w:ind w:firstLine="482"/>
        <w:jc w:val="left"/>
        <w:rPr>
          <w:rFonts w:ascii="宋体" w:hAnsi="宋体" w:cs="宋体"/>
          <w:color w:val="auto"/>
          <w:sz w:val="22"/>
          <w:szCs w:val="21"/>
          <w:highlight w:val="none"/>
          <w:lang w:bidi="ar"/>
        </w:rPr>
      </w:pPr>
    </w:p>
    <w:p w14:paraId="7D78227A">
      <w:pPr>
        <w:widowControl/>
        <w:spacing w:line="360" w:lineRule="auto"/>
        <w:ind w:firstLine="482"/>
        <w:jc w:val="left"/>
        <w:rPr>
          <w:rFonts w:ascii="宋体" w:hAnsi="宋体" w:cs="宋体"/>
          <w:color w:val="auto"/>
          <w:sz w:val="22"/>
          <w:szCs w:val="21"/>
          <w:highlight w:val="none"/>
          <w:lang w:bidi="ar"/>
        </w:rPr>
      </w:pPr>
    </w:p>
    <w:p w14:paraId="355F0AA2">
      <w:pPr>
        <w:widowControl/>
        <w:spacing w:line="360" w:lineRule="auto"/>
        <w:ind w:firstLine="482"/>
        <w:jc w:val="left"/>
        <w:rPr>
          <w:rFonts w:ascii="宋体" w:hAnsi="宋体" w:cs="宋体"/>
          <w:color w:val="auto"/>
          <w:sz w:val="22"/>
          <w:szCs w:val="21"/>
          <w:highlight w:val="none"/>
          <w:lang w:bidi="ar"/>
        </w:rPr>
      </w:pPr>
    </w:p>
    <w:p w14:paraId="20105364">
      <w:pPr>
        <w:widowControl/>
        <w:spacing w:line="360" w:lineRule="auto"/>
        <w:ind w:firstLine="482"/>
        <w:jc w:val="left"/>
        <w:rPr>
          <w:rFonts w:ascii="宋体" w:hAnsi="宋体" w:cs="宋体"/>
          <w:color w:val="auto"/>
          <w:sz w:val="22"/>
          <w:szCs w:val="21"/>
          <w:highlight w:val="none"/>
          <w:lang w:bidi="ar"/>
        </w:rPr>
      </w:pPr>
    </w:p>
    <w:p w14:paraId="09C1B949">
      <w:pPr>
        <w:widowControl/>
        <w:spacing w:line="360" w:lineRule="auto"/>
        <w:ind w:firstLine="482"/>
        <w:jc w:val="left"/>
        <w:rPr>
          <w:rFonts w:ascii="宋体" w:hAnsi="宋体" w:cs="宋体"/>
          <w:color w:val="auto"/>
          <w:sz w:val="22"/>
          <w:szCs w:val="21"/>
          <w:highlight w:val="none"/>
          <w:lang w:bidi="ar"/>
        </w:rPr>
      </w:pPr>
    </w:p>
    <w:p w14:paraId="5F4528E7">
      <w:pPr>
        <w:widowControl/>
        <w:spacing w:line="360" w:lineRule="auto"/>
        <w:ind w:firstLine="482"/>
        <w:jc w:val="left"/>
        <w:rPr>
          <w:rFonts w:ascii="宋体" w:hAnsi="宋体" w:cs="宋体"/>
          <w:color w:val="auto"/>
          <w:sz w:val="22"/>
          <w:szCs w:val="21"/>
          <w:highlight w:val="none"/>
          <w:lang w:bidi="ar"/>
        </w:rPr>
      </w:pPr>
    </w:p>
    <w:p w14:paraId="2E5AF6DF">
      <w:pPr>
        <w:widowControl/>
        <w:spacing w:line="360" w:lineRule="auto"/>
        <w:ind w:firstLine="482"/>
        <w:jc w:val="left"/>
        <w:rPr>
          <w:rFonts w:ascii="宋体" w:hAnsi="宋体" w:cs="宋体"/>
          <w:color w:val="auto"/>
          <w:sz w:val="22"/>
          <w:szCs w:val="21"/>
          <w:highlight w:val="none"/>
          <w:lang w:bidi="ar"/>
        </w:rPr>
      </w:pPr>
    </w:p>
    <w:p w14:paraId="6519A07C">
      <w:pPr>
        <w:widowControl/>
        <w:spacing w:line="360" w:lineRule="auto"/>
        <w:ind w:firstLine="482"/>
        <w:jc w:val="left"/>
        <w:rPr>
          <w:rFonts w:ascii="宋体" w:hAnsi="宋体" w:cs="宋体"/>
          <w:color w:val="auto"/>
          <w:sz w:val="22"/>
          <w:szCs w:val="21"/>
          <w:highlight w:val="none"/>
          <w:lang w:bidi="ar"/>
        </w:rPr>
      </w:pPr>
    </w:p>
    <w:p w14:paraId="54EB3D5D">
      <w:pPr>
        <w:widowControl/>
        <w:spacing w:line="360" w:lineRule="auto"/>
        <w:ind w:firstLine="482"/>
        <w:jc w:val="left"/>
        <w:rPr>
          <w:rFonts w:ascii="宋体" w:hAnsi="宋体" w:cs="宋体"/>
          <w:color w:val="auto"/>
          <w:sz w:val="22"/>
          <w:szCs w:val="21"/>
          <w:highlight w:val="none"/>
          <w:lang w:bidi="ar"/>
        </w:rPr>
      </w:pPr>
    </w:p>
    <w:p w14:paraId="2948A31D">
      <w:pPr>
        <w:widowControl/>
        <w:spacing w:line="360" w:lineRule="auto"/>
        <w:ind w:firstLine="482"/>
        <w:jc w:val="left"/>
        <w:rPr>
          <w:rFonts w:ascii="宋体" w:hAnsi="宋体" w:cs="宋体"/>
          <w:color w:val="auto"/>
          <w:sz w:val="22"/>
          <w:szCs w:val="21"/>
          <w:highlight w:val="none"/>
          <w:lang w:bidi="ar"/>
        </w:rPr>
      </w:pPr>
    </w:p>
    <w:p w14:paraId="7F66A657">
      <w:pPr>
        <w:widowControl/>
        <w:spacing w:line="360" w:lineRule="auto"/>
        <w:ind w:firstLine="482"/>
        <w:jc w:val="left"/>
        <w:rPr>
          <w:rFonts w:ascii="宋体" w:hAnsi="宋体" w:cs="宋体"/>
          <w:color w:val="auto"/>
          <w:sz w:val="22"/>
          <w:szCs w:val="21"/>
          <w:highlight w:val="none"/>
          <w:lang w:bidi="ar"/>
        </w:rPr>
      </w:pPr>
    </w:p>
    <w:p w14:paraId="0930937A">
      <w:pPr>
        <w:widowControl/>
        <w:spacing w:line="360" w:lineRule="auto"/>
        <w:ind w:firstLine="482"/>
        <w:jc w:val="left"/>
        <w:rPr>
          <w:rFonts w:ascii="宋体" w:hAnsi="宋体" w:cs="宋体"/>
          <w:color w:val="auto"/>
          <w:sz w:val="22"/>
          <w:szCs w:val="21"/>
          <w:highlight w:val="none"/>
          <w:lang w:bidi="ar"/>
        </w:rPr>
      </w:pPr>
    </w:p>
    <w:p w14:paraId="3DDA185A">
      <w:pPr>
        <w:widowControl/>
        <w:spacing w:line="360" w:lineRule="auto"/>
        <w:ind w:firstLine="482"/>
        <w:jc w:val="left"/>
        <w:rPr>
          <w:rFonts w:ascii="宋体" w:hAnsi="宋体" w:cs="宋体"/>
          <w:color w:val="auto"/>
          <w:sz w:val="22"/>
          <w:szCs w:val="21"/>
          <w:highlight w:val="none"/>
          <w:lang w:bidi="ar"/>
        </w:rPr>
      </w:pPr>
    </w:p>
    <w:p w14:paraId="50FEF194">
      <w:pPr>
        <w:widowControl/>
        <w:spacing w:line="360" w:lineRule="auto"/>
        <w:ind w:firstLine="482"/>
        <w:jc w:val="left"/>
        <w:rPr>
          <w:rFonts w:ascii="宋体" w:hAnsi="宋体" w:cs="宋体"/>
          <w:color w:val="auto"/>
          <w:sz w:val="22"/>
          <w:szCs w:val="21"/>
          <w:highlight w:val="none"/>
          <w:lang w:bidi="ar"/>
        </w:rPr>
      </w:pPr>
    </w:p>
    <w:p w14:paraId="6E72D17C">
      <w:pPr>
        <w:spacing w:before="156" w:after="156" w:line="360" w:lineRule="auto"/>
        <w:jc w:val="center"/>
        <w:outlineLvl w:val="1"/>
        <w:rPr>
          <w:rFonts w:ascii="宋体" w:hAnsi="宋体" w:cs="宋体"/>
          <w:b/>
          <w:bCs/>
          <w:color w:val="auto"/>
          <w:highlight w:val="none"/>
        </w:rPr>
      </w:pPr>
      <w:r>
        <w:rPr>
          <w:rFonts w:hint="eastAsia" w:ascii="宋体" w:hAnsi="宋体" w:cs="宋体"/>
          <w:b/>
          <w:bCs/>
          <w:color w:val="auto"/>
          <w:highlight w:val="none"/>
        </w:rPr>
        <w:t>具备履行合同所必需的设备和专业技术能力的书面声明</w:t>
      </w:r>
    </w:p>
    <w:p w14:paraId="2DCBDC20">
      <w:pPr>
        <w:spacing w:line="360" w:lineRule="auto"/>
        <w:ind w:firstLine="492"/>
        <w:rPr>
          <w:rFonts w:ascii="宋体" w:hAnsi="宋体" w:cs="宋体"/>
          <w:bCs/>
          <w:color w:val="auto"/>
          <w:szCs w:val="21"/>
          <w:highlight w:val="none"/>
        </w:rPr>
      </w:pPr>
      <w:r>
        <w:rPr>
          <w:rFonts w:hint="eastAsia" w:ascii="宋体" w:hAnsi="宋体" w:cs="宋体"/>
          <w:bCs/>
          <w:color w:val="auto"/>
          <w:szCs w:val="21"/>
          <w:highlight w:val="none"/>
        </w:rPr>
        <w:t>我单位郑重声明：我单位具备履行本项采购合同所必需的设备和专业技术能力，为履行本项采购合同我公司具备如下主要设备和主要专业技术能力：</w:t>
      </w:r>
    </w:p>
    <w:p w14:paraId="5697B8F0">
      <w:pPr>
        <w:spacing w:line="360" w:lineRule="auto"/>
        <w:ind w:firstLine="492"/>
        <w:rPr>
          <w:rFonts w:ascii="宋体" w:hAnsi="宋体" w:cs="宋体"/>
          <w:bCs/>
          <w:color w:val="auto"/>
          <w:szCs w:val="21"/>
          <w:highlight w:val="none"/>
        </w:rPr>
      </w:pPr>
      <w:r>
        <w:rPr>
          <w:rFonts w:hint="eastAsia" w:ascii="宋体" w:hAnsi="宋体" w:cs="宋体"/>
          <w:bCs/>
          <w:color w:val="auto"/>
          <w:szCs w:val="21"/>
          <w:highlight w:val="none"/>
        </w:rPr>
        <w:t>主要设备有：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w:t>
      </w:r>
    </w:p>
    <w:p w14:paraId="58A60417">
      <w:pPr>
        <w:spacing w:line="360" w:lineRule="auto"/>
        <w:ind w:firstLine="492"/>
        <w:rPr>
          <w:rFonts w:ascii="宋体" w:hAnsi="宋体" w:cs="宋体"/>
          <w:bCs/>
          <w:color w:val="auto"/>
          <w:szCs w:val="21"/>
          <w:highlight w:val="none"/>
        </w:rPr>
      </w:pPr>
      <w:r>
        <w:rPr>
          <w:rFonts w:hint="eastAsia" w:ascii="宋体" w:hAnsi="宋体" w:cs="宋体"/>
          <w:bCs/>
          <w:color w:val="auto"/>
          <w:szCs w:val="21"/>
          <w:highlight w:val="none"/>
        </w:rPr>
        <w:t>主要专业技术能力有：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w:t>
      </w:r>
    </w:p>
    <w:p w14:paraId="3CE7FDEF">
      <w:pPr>
        <w:spacing w:line="360" w:lineRule="auto"/>
        <w:rPr>
          <w:rFonts w:ascii="宋体" w:hAnsi="宋体" w:cs="宋体"/>
          <w:color w:val="auto"/>
          <w:highlight w:val="none"/>
        </w:rPr>
      </w:pPr>
      <w:r>
        <w:rPr>
          <w:rFonts w:hint="eastAsia" w:ascii="宋体" w:hAnsi="宋体" w:cs="宋体"/>
          <w:bCs/>
          <w:color w:val="auto"/>
          <w:highlight w:val="none"/>
        </w:rPr>
        <w:t xml:space="preserve">                              </w:t>
      </w:r>
    </w:p>
    <w:p w14:paraId="3EBA7E57">
      <w:pPr>
        <w:spacing w:line="360" w:lineRule="auto"/>
        <w:jc w:val="right"/>
        <w:rPr>
          <w:rFonts w:ascii="宋体" w:hAnsi="宋体" w:cs="宋体"/>
          <w:color w:val="auto"/>
          <w:highlight w:val="none"/>
        </w:rPr>
      </w:pPr>
      <w:r>
        <w:rPr>
          <w:rFonts w:hint="eastAsia" w:ascii="宋体" w:hAnsi="宋体" w:cs="宋体"/>
          <w:bCs/>
          <w:color w:val="auto"/>
          <w:highlight w:val="none"/>
        </w:rPr>
        <w:t xml:space="preserve">  供应商名称（公章）：</w:t>
      </w:r>
    </w:p>
    <w:p w14:paraId="04935DE8">
      <w:pPr>
        <w:spacing w:line="360" w:lineRule="auto"/>
        <w:rPr>
          <w:color w:val="auto"/>
          <w:highlight w:val="none"/>
        </w:rPr>
      </w:pPr>
      <w:r>
        <w:rPr>
          <w:rFonts w:hint="eastAsia" w:ascii="宋体" w:hAnsi="宋体" w:cs="宋体"/>
          <w:bCs/>
          <w:color w:val="auto"/>
          <w:highlight w:val="none"/>
        </w:rPr>
        <w:t xml:space="preserve">                                                    日期：______年    月    日</w:t>
      </w:r>
    </w:p>
    <w:p w14:paraId="035BC5D8">
      <w:pPr>
        <w:spacing w:line="329" w:lineRule="auto"/>
        <w:rPr>
          <w:rFonts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有依法缴纳税收和社会保障资金的良好记录（提供</w:t>
      </w:r>
      <w:r>
        <w:rPr>
          <w:rFonts w:ascii="宋体" w:hAnsi="宋体" w:cs="宋体"/>
          <w:b/>
          <w:bCs/>
          <w:color w:val="auto"/>
          <w:sz w:val="21"/>
          <w:szCs w:val="22"/>
          <w:highlight w:val="none"/>
          <w:lang w:bidi="ar"/>
        </w:rPr>
        <w:t>2026</w:t>
      </w:r>
      <w:r>
        <w:rPr>
          <w:rFonts w:hint="eastAsia" w:ascii="宋体" w:hAnsi="宋体" w:cs="宋体"/>
          <w:b/>
          <w:bCs/>
          <w:color w:val="auto"/>
          <w:sz w:val="21"/>
          <w:szCs w:val="22"/>
          <w:highlight w:val="none"/>
          <w:lang w:bidi="ar"/>
        </w:rPr>
        <w:t>年</w:t>
      </w:r>
      <w:r>
        <w:rPr>
          <w:rFonts w:ascii="宋体" w:hAnsi="宋体" w:cs="宋体"/>
          <w:b/>
          <w:bCs/>
          <w:color w:val="auto"/>
          <w:sz w:val="21"/>
          <w:szCs w:val="22"/>
          <w:highlight w:val="none"/>
          <w:lang w:bidi="ar"/>
        </w:rPr>
        <w:t>1</w:t>
      </w:r>
      <w:r>
        <w:rPr>
          <w:rFonts w:hint="eastAsia" w:ascii="宋体" w:hAnsi="宋体" w:cs="宋体"/>
          <w:b/>
          <w:bCs/>
          <w:color w:val="auto"/>
          <w:sz w:val="21"/>
          <w:szCs w:val="22"/>
          <w:highlight w:val="none"/>
          <w:lang w:bidi="ar"/>
        </w:rPr>
        <w:t>月至今</w:t>
      </w:r>
      <w:r>
        <w:rPr>
          <w:rFonts w:hint="eastAsia" w:ascii="宋体" w:hAnsi="宋体" w:cs="宋体"/>
          <w:b/>
          <w:bCs/>
          <w:color w:val="auto"/>
          <w:highlight w:val="none"/>
        </w:rPr>
        <w:t>）中任一月份的依法缴纳税收和社会保险费的相关材料（提供相关主管部门证明或银行代扣证明的复印件，根据国家相关政策免缴或迟缴的需提供相关证明材料）</w:t>
      </w:r>
    </w:p>
    <w:p w14:paraId="6D089227">
      <w:pPr>
        <w:spacing w:line="329" w:lineRule="auto"/>
        <w:rPr>
          <w:rFonts w:ascii="宋体" w:hAnsi="宋体" w:cs="宋体"/>
          <w:b/>
          <w:bCs/>
          <w:color w:val="auto"/>
          <w:highlight w:val="none"/>
        </w:rPr>
      </w:pPr>
    </w:p>
    <w:p w14:paraId="0ACD4A2C">
      <w:pPr>
        <w:spacing w:line="329" w:lineRule="auto"/>
        <w:rPr>
          <w:rFonts w:ascii="宋体" w:hAnsi="宋体" w:cs="宋体"/>
          <w:b/>
          <w:bCs/>
          <w:color w:val="auto"/>
          <w:highlight w:val="none"/>
        </w:rPr>
      </w:pPr>
    </w:p>
    <w:p w14:paraId="23C1959D">
      <w:pPr>
        <w:spacing w:line="329" w:lineRule="auto"/>
        <w:rPr>
          <w:rFonts w:ascii="宋体" w:hAnsi="宋体" w:cs="宋体"/>
          <w:b/>
          <w:bCs/>
          <w:color w:val="auto"/>
          <w:highlight w:val="none"/>
        </w:rPr>
      </w:pPr>
    </w:p>
    <w:p w14:paraId="529628D9">
      <w:pPr>
        <w:spacing w:line="329" w:lineRule="auto"/>
        <w:rPr>
          <w:rFonts w:ascii="宋体" w:hAnsi="宋体" w:cs="宋体"/>
          <w:b/>
          <w:bCs/>
          <w:color w:val="auto"/>
          <w:highlight w:val="none"/>
        </w:rPr>
      </w:pPr>
    </w:p>
    <w:p w14:paraId="65222073">
      <w:pPr>
        <w:spacing w:line="329" w:lineRule="auto"/>
        <w:rPr>
          <w:rFonts w:ascii="宋体" w:hAnsi="宋体" w:cs="宋体"/>
          <w:b/>
          <w:bCs/>
          <w:color w:val="auto"/>
          <w:highlight w:val="none"/>
        </w:rPr>
      </w:pPr>
    </w:p>
    <w:p w14:paraId="5130BAAD">
      <w:pPr>
        <w:spacing w:line="329" w:lineRule="auto"/>
        <w:rPr>
          <w:rFonts w:ascii="宋体" w:hAnsi="宋体" w:cs="宋体"/>
          <w:b/>
          <w:bCs/>
          <w:color w:val="auto"/>
          <w:highlight w:val="none"/>
        </w:rPr>
      </w:pPr>
    </w:p>
    <w:p w14:paraId="57A3B8A0">
      <w:pPr>
        <w:spacing w:line="329" w:lineRule="auto"/>
        <w:rPr>
          <w:rFonts w:ascii="宋体" w:hAnsi="宋体" w:cs="宋体"/>
          <w:b/>
          <w:bCs/>
          <w:color w:val="auto"/>
          <w:highlight w:val="none"/>
        </w:rPr>
      </w:pPr>
    </w:p>
    <w:p w14:paraId="5A17E20A">
      <w:pPr>
        <w:spacing w:line="329" w:lineRule="auto"/>
        <w:rPr>
          <w:rFonts w:ascii="宋体" w:hAnsi="宋体" w:cs="宋体"/>
          <w:b/>
          <w:bCs/>
          <w:color w:val="auto"/>
          <w:highlight w:val="none"/>
        </w:rPr>
      </w:pPr>
    </w:p>
    <w:p w14:paraId="78668C5F">
      <w:pPr>
        <w:spacing w:line="329" w:lineRule="auto"/>
        <w:rPr>
          <w:rFonts w:ascii="宋体" w:hAnsi="宋体" w:cs="宋体"/>
          <w:b/>
          <w:bCs/>
          <w:color w:val="auto"/>
          <w:highlight w:val="none"/>
        </w:rPr>
      </w:pPr>
    </w:p>
    <w:p w14:paraId="50B7CC31">
      <w:pPr>
        <w:spacing w:line="329" w:lineRule="auto"/>
        <w:rPr>
          <w:rFonts w:ascii="宋体" w:hAnsi="宋体" w:cs="宋体"/>
          <w:b/>
          <w:bCs/>
          <w:color w:val="auto"/>
          <w:highlight w:val="none"/>
        </w:rPr>
      </w:pPr>
    </w:p>
    <w:p w14:paraId="3F2A61E6">
      <w:pPr>
        <w:spacing w:line="329" w:lineRule="auto"/>
        <w:rPr>
          <w:rFonts w:ascii="宋体" w:hAnsi="宋体" w:cs="宋体"/>
          <w:b/>
          <w:bCs/>
          <w:color w:val="auto"/>
          <w:highlight w:val="none"/>
        </w:rPr>
      </w:pPr>
    </w:p>
    <w:p w14:paraId="6D3BAB43">
      <w:pPr>
        <w:spacing w:line="329" w:lineRule="auto"/>
        <w:rPr>
          <w:rFonts w:ascii="宋体" w:hAnsi="宋体" w:cs="宋体"/>
          <w:b/>
          <w:bCs/>
          <w:color w:val="auto"/>
          <w:highlight w:val="none"/>
        </w:rPr>
      </w:pPr>
    </w:p>
    <w:p w14:paraId="493AEA88">
      <w:pPr>
        <w:spacing w:line="329" w:lineRule="auto"/>
        <w:rPr>
          <w:rFonts w:ascii="宋体" w:hAnsi="宋体" w:cs="宋体"/>
          <w:b/>
          <w:bCs/>
          <w:color w:val="auto"/>
          <w:highlight w:val="none"/>
        </w:rPr>
      </w:pPr>
    </w:p>
    <w:p w14:paraId="734675D8">
      <w:pPr>
        <w:spacing w:line="329" w:lineRule="auto"/>
        <w:rPr>
          <w:rFonts w:ascii="宋体" w:hAnsi="宋体" w:cs="宋体"/>
          <w:b/>
          <w:bCs/>
          <w:color w:val="auto"/>
          <w:highlight w:val="none"/>
        </w:rPr>
      </w:pPr>
    </w:p>
    <w:p w14:paraId="56B9E912">
      <w:pPr>
        <w:spacing w:line="329" w:lineRule="auto"/>
        <w:rPr>
          <w:rFonts w:ascii="宋体" w:hAnsi="宋体" w:cs="宋体"/>
          <w:b/>
          <w:bCs/>
          <w:color w:val="auto"/>
          <w:highlight w:val="none"/>
        </w:rPr>
      </w:pPr>
    </w:p>
    <w:p w14:paraId="77E754B8">
      <w:pPr>
        <w:spacing w:line="329" w:lineRule="auto"/>
        <w:rPr>
          <w:rFonts w:ascii="宋体" w:hAnsi="宋体" w:cs="宋体"/>
          <w:b/>
          <w:bCs/>
          <w:color w:val="auto"/>
          <w:highlight w:val="none"/>
        </w:rPr>
      </w:pPr>
    </w:p>
    <w:p w14:paraId="7CDA4292">
      <w:pPr>
        <w:spacing w:line="329" w:lineRule="auto"/>
        <w:rPr>
          <w:rFonts w:ascii="宋体" w:hAnsi="宋体" w:cs="宋体"/>
          <w:b/>
          <w:bCs/>
          <w:color w:val="auto"/>
          <w:highlight w:val="none"/>
        </w:rPr>
      </w:pPr>
    </w:p>
    <w:p w14:paraId="7340A417">
      <w:pPr>
        <w:spacing w:line="329" w:lineRule="auto"/>
        <w:rPr>
          <w:rFonts w:ascii="宋体" w:hAnsi="宋体" w:cs="宋体"/>
          <w:b/>
          <w:bCs/>
          <w:color w:val="auto"/>
          <w:highlight w:val="none"/>
        </w:rPr>
      </w:pPr>
    </w:p>
    <w:p w14:paraId="4BEBF996">
      <w:pPr>
        <w:spacing w:line="329" w:lineRule="auto"/>
        <w:rPr>
          <w:rFonts w:ascii="宋体" w:hAnsi="宋体" w:cs="宋体"/>
          <w:b/>
          <w:bCs/>
          <w:color w:val="auto"/>
          <w:highlight w:val="none"/>
        </w:rPr>
      </w:pPr>
    </w:p>
    <w:p w14:paraId="65FB1B54">
      <w:pPr>
        <w:spacing w:line="329" w:lineRule="auto"/>
        <w:rPr>
          <w:rFonts w:ascii="宋体" w:hAnsi="宋体" w:cs="宋体"/>
          <w:b/>
          <w:bCs/>
          <w:color w:val="auto"/>
          <w:highlight w:val="none"/>
        </w:rPr>
      </w:pPr>
    </w:p>
    <w:p w14:paraId="417ED5D2">
      <w:pPr>
        <w:spacing w:line="329" w:lineRule="auto"/>
        <w:rPr>
          <w:rFonts w:ascii="宋体" w:hAnsi="宋体" w:cs="宋体"/>
          <w:b/>
          <w:bCs/>
          <w:color w:val="auto"/>
          <w:highlight w:val="none"/>
        </w:rPr>
      </w:pPr>
    </w:p>
    <w:p w14:paraId="1BD7ABBA">
      <w:pPr>
        <w:spacing w:line="329" w:lineRule="auto"/>
        <w:rPr>
          <w:rFonts w:ascii="宋体" w:hAnsi="宋体" w:cs="宋体"/>
          <w:b/>
          <w:bCs/>
          <w:color w:val="auto"/>
          <w:highlight w:val="none"/>
        </w:rPr>
      </w:pPr>
    </w:p>
    <w:p w14:paraId="44D64748">
      <w:pPr>
        <w:spacing w:line="329" w:lineRule="auto"/>
        <w:rPr>
          <w:rFonts w:ascii="宋体" w:hAnsi="宋体" w:cs="宋体"/>
          <w:b/>
          <w:bCs/>
          <w:color w:val="auto"/>
          <w:highlight w:val="none"/>
        </w:rPr>
      </w:pPr>
    </w:p>
    <w:p w14:paraId="3AEBEA5E">
      <w:pPr>
        <w:spacing w:line="329" w:lineRule="auto"/>
        <w:rPr>
          <w:rFonts w:ascii="宋体" w:hAnsi="宋体" w:cs="宋体"/>
          <w:b/>
          <w:bCs/>
          <w:color w:val="auto"/>
          <w:highlight w:val="none"/>
        </w:rPr>
      </w:pPr>
    </w:p>
    <w:p w14:paraId="6CE96B6D">
      <w:pPr>
        <w:spacing w:line="329" w:lineRule="auto"/>
        <w:rPr>
          <w:rFonts w:ascii="宋体" w:hAnsi="宋体" w:cs="宋体"/>
          <w:b/>
          <w:bCs/>
          <w:color w:val="auto"/>
          <w:highlight w:val="none"/>
        </w:rPr>
      </w:pPr>
    </w:p>
    <w:p w14:paraId="4EE3BEDA">
      <w:pPr>
        <w:spacing w:line="329" w:lineRule="auto"/>
        <w:rPr>
          <w:rFonts w:ascii="宋体" w:hAnsi="宋体" w:cs="宋体"/>
          <w:b/>
          <w:bCs/>
          <w:color w:val="auto"/>
          <w:highlight w:val="none"/>
        </w:rPr>
      </w:pPr>
    </w:p>
    <w:p w14:paraId="2ECF7C17">
      <w:pPr>
        <w:spacing w:line="329" w:lineRule="auto"/>
        <w:rPr>
          <w:rFonts w:ascii="宋体" w:hAnsi="宋体" w:cs="宋体"/>
          <w:b/>
          <w:bCs/>
          <w:color w:val="auto"/>
          <w:highlight w:val="none"/>
        </w:rPr>
      </w:pPr>
    </w:p>
    <w:p w14:paraId="67550C1F">
      <w:pPr>
        <w:spacing w:line="329" w:lineRule="auto"/>
        <w:rPr>
          <w:rFonts w:ascii="宋体" w:hAnsi="宋体" w:cs="宋体"/>
          <w:b/>
          <w:bCs/>
          <w:color w:val="auto"/>
          <w:highlight w:val="none"/>
        </w:rPr>
      </w:pPr>
    </w:p>
    <w:p w14:paraId="0263F260">
      <w:pPr>
        <w:spacing w:line="329" w:lineRule="auto"/>
        <w:rPr>
          <w:rFonts w:ascii="宋体" w:hAnsi="宋体" w:cs="宋体"/>
          <w:b/>
          <w:bCs/>
          <w:color w:val="auto"/>
          <w:highlight w:val="none"/>
        </w:rPr>
      </w:pPr>
    </w:p>
    <w:p w14:paraId="7C07CF88">
      <w:pPr>
        <w:spacing w:line="329" w:lineRule="auto"/>
        <w:rPr>
          <w:rFonts w:ascii="宋体" w:hAnsi="宋体" w:cs="宋体"/>
          <w:b/>
          <w:bCs/>
          <w:color w:val="auto"/>
          <w:highlight w:val="none"/>
        </w:rPr>
      </w:pPr>
    </w:p>
    <w:p w14:paraId="78332AC7">
      <w:pPr>
        <w:spacing w:line="329" w:lineRule="auto"/>
        <w:rPr>
          <w:rFonts w:ascii="宋体" w:hAnsi="宋体" w:cs="宋体"/>
          <w:b/>
          <w:bCs/>
          <w:color w:val="auto"/>
          <w:highlight w:val="none"/>
        </w:rPr>
      </w:pPr>
    </w:p>
    <w:p w14:paraId="79D13846">
      <w:pPr>
        <w:spacing w:line="329" w:lineRule="auto"/>
        <w:rPr>
          <w:rFonts w:ascii="宋体" w:hAnsi="宋体" w:cs="宋体"/>
          <w:b/>
          <w:bCs/>
          <w:color w:val="auto"/>
          <w:highlight w:val="none"/>
        </w:rPr>
      </w:pPr>
    </w:p>
    <w:p w14:paraId="7262E145">
      <w:pPr>
        <w:spacing w:line="329" w:lineRule="auto"/>
        <w:rPr>
          <w:rFonts w:ascii="宋体" w:hAnsi="宋体" w:cs="宋体"/>
          <w:b/>
          <w:bCs/>
          <w:color w:val="auto"/>
          <w:highlight w:val="none"/>
        </w:rPr>
      </w:pPr>
    </w:p>
    <w:p w14:paraId="0761CD91">
      <w:pPr>
        <w:spacing w:line="329" w:lineRule="auto"/>
        <w:rPr>
          <w:rFonts w:ascii="宋体" w:hAnsi="宋体" w:cs="宋体"/>
          <w:b/>
          <w:bCs/>
          <w:color w:val="auto"/>
          <w:highlight w:val="none"/>
        </w:rPr>
      </w:pPr>
    </w:p>
    <w:p w14:paraId="6D05583D">
      <w:pPr>
        <w:spacing w:line="360" w:lineRule="auto"/>
        <w:jc w:val="center"/>
        <w:outlineLvl w:val="1"/>
        <w:rPr>
          <w:rFonts w:ascii="宋体" w:hAnsi="宋体" w:cs="宋体"/>
          <w:b/>
          <w:bCs/>
          <w:color w:val="auto"/>
          <w:highlight w:val="none"/>
        </w:rPr>
      </w:pPr>
      <w:r>
        <w:rPr>
          <w:rFonts w:hint="eastAsia" w:ascii="宋体" w:hAnsi="宋体" w:cs="宋体"/>
          <w:b/>
          <w:bCs/>
          <w:color w:val="auto"/>
          <w:highlight w:val="none"/>
        </w:rPr>
        <w:t>参加本次政府采购活动前 3 年内在经营活动中没有重大违法记录的书面声明</w:t>
      </w:r>
    </w:p>
    <w:p w14:paraId="1AD3C918">
      <w:pPr>
        <w:spacing w:line="360" w:lineRule="auto"/>
        <w:rPr>
          <w:rFonts w:ascii="宋体" w:hAnsi="宋体" w:cs="宋体"/>
          <w:color w:val="auto"/>
          <w:highlight w:val="none"/>
        </w:rPr>
      </w:pPr>
    </w:p>
    <w:p w14:paraId="59E7B4F9">
      <w:pPr>
        <w:spacing w:after="312" w:line="360" w:lineRule="auto"/>
        <w:jc w:val="center"/>
        <w:outlineLvl w:val="1"/>
        <w:rPr>
          <w:rFonts w:ascii="宋体" w:hAnsi="宋体" w:cs="宋体"/>
          <w:b/>
          <w:bCs/>
          <w:color w:val="auto"/>
          <w:highlight w:val="none"/>
        </w:rPr>
      </w:pPr>
      <w:r>
        <w:rPr>
          <w:rFonts w:hint="eastAsia" w:ascii="宋体" w:hAnsi="宋体" w:cs="宋体"/>
          <w:b/>
          <w:bCs/>
          <w:color w:val="auto"/>
          <w:highlight w:val="none"/>
        </w:rPr>
        <w:t>声  明</w:t>
      </w:r>
    </w:p>
    <w:p w14:paraId="6FCEAD74">
      <w:pPr>
        <w:spacing w:line="360" w:lineRule="auto"/>
        <w:rPr>
          <w:rFonts w:ascii="宋体" w:hAnsi="宋体" w:cs="宋体"/>
          <w:bCs/>
          <w:color w:val="auto"/>
          <w:highlight w:val="none"/>
        </w:rPr>
      </w:pPr>
      <w:r>
        <w:rPr>
          <w:rFonts w:hint="eastAsia" w:ascii="宋体" w:hAnsi="宋体" w:cs="宋体"/>
          <w:b/>
          <w:bCs/>
          <w:color w:val="auto"/>
          <w:highlight w:val="none"/>
        </w:rPr>
        <w:t xml:space="preserve">    </w:t>
      </w:r>
      <w:r>
        <w:rPr>
          <w:rFonts w:hint="eastAsia" w:ascii="宋体" w:hAnsi="宋体" w:cs="宋体"/>
          <w:bCs/>
          <w:color w:val="auto"/>
          <w:highlight w:val="none"/>
        </w:rPr>
        <w:t>我公司郑重声明：参加本次政府采购活动前 3 年内，我公司在经营活动中没有因违法经营受到刑事处罚或者责令停产停业、吊销许可证或者执照、较大数额罚款等行政处罚。</w:t>
      </w:r>
    </w:p>
    <w:p w14:paraId="33C035A4">
      <w:pPr>
        <w:spacing w:line="360" w:lineRule="auto"/>
        <w:rPr>
          <w:rFonts w:ascii="宋体" w:hAnsi="宋体" w:cs="宋体"/>
          <w:color w:val="auto"/>
          <w:highlight w:val="none"/>
        </w:rPr>
      </w:pPr>
      <w:r>
        <w:rPr>
          <w:rFonts w:hint="eastAsia" w:ascii="宋体" w:hAnsi="宋体" w:cs="宋体"/>
          <w:bCs/>
          <w:color w:val="auto"/>
          <w:highlight w:val="none"/>
        </w:rPr>
        <w:t xml:space="preserve">                               </w:t>
      </w:r>
    </w:p>
    <w:p w14:paraId="4E57045D">
      <w:pPr>
        <w:spacing w:line="360" w:lineRule="auto"/>
        <w:jc w:val="right"/>
        <w:rPr>
          <w:rFonts w:ascii="宋体" w:hAnsi="宋体" w:cs="宋体"/>
          <w:color w:val="auto"/>
          <w:highlight w:val="none"/>
        </w:rPr>
      </w:pPr>
      <w:r>
        <w:rPr>
          <w:rFonts w:hint="eastAsia" w:ascii="宋体" w:hAnsi="宋体" w:cs="宋体"/>
          <w:bCs/>
          <w:color w:val="auto"/>
          <w:highlight w:val="none"/>
        </w:rPr>
        <w:t>供应商名称（公章）：</w:t>
      </w:r>
    </w:p>
    <w:p w14:paraId="622DB547">
      <w:pPr>
        <w:spacing w:line="360" w:lineRule="auto"/>
        <w:rPr>
          <w:rFonts w:ascii="宋体" w:hAnsi="宋体" w:cs="宋体"/>
          <w:bCs/>
          <w:color w:val="auto"/>
          <w:highlight w:val="none"/>
        </w:rPr>
      </w:pPr>
      <w:r>
        <w:rPr>
          <w:rFonts w:hint="eastAsia" w:ascii="宋体" w:hAnsi="宋体" w:cs="宋体"/>
          <w:bCs/>
          <w:color w:val="auto"/>
          <w:highlight w:val="none"/>
        </w:rPr>
        <w:t xml:space="preserve">                               </w:t>
      </w:r>
    </w:p>
    <w:p w14:paraId="4FC11A84">
      <w:pPr>
        <w:spacing w:line="360" w:lineRule="auto"/>
        <w:rPr>
          <w:rFonts w:ascii="宋体" w:hAnsi="宋体" w:cs="宋体"/>
          <w:bCs/>
          <w:color w:val="auto"/>
          <w:highlight w:val="none"/>
        </w:rPr>
      </w:pPr>
      <w:r>
        <w:rPr>
          <w:rFonts w:hint="eastAsia" w:ascii="宋体" w:hAnsi="宋体" w:cs="宋体"/>
          <w:bCs/>
          <w:color w:val="auto"/>
          <w:highlight w:val="none"/>
        </w:rPr>
        <w:t xml:space="preserve">                               日期：______年    月    日</w:t>
      </w:r>
    </w:p>
    <w:p w14:paraId="0C75726B">
      <w:pPr>
        <w:spacing w:line="360" w:lineRule="auto"/>
        <w:jc w:val="center"/>
        <w:rPr>
          <w:rFonts w:ascii="宋体" w:hAnsi="宋体" w:cs="宋体"/>
          <w:b/>
          <w:bCs/>
          <w:color w:val="auto"/>
          <w:highlight w:val="none"/>
        </w:rPr>
        <w:sectPr>
          <w:headerReference r:id="rId3" w:type="default"/>
          <w:footerReference r:id="rId4" w:type="default"/>
          <w:pgSz w:w="11906" w:h="16838"/>
          <w:pgMar w:top="1440" w:right="1800" w:bottom="1440" w:left="1800" w:header="851" w:footer="992" w:gutter="0"/>
          <w:cols w:space="1701" w:num="1"/>
          <w:docGrid w:linePitch="360" w:charSpace="0"/>
        </w:sectPr>
      </w:pPr>
    </w:p>
    <w:p w14:paraId="3D087871">
      <w:pPr>
        <w:widowControl/>
        <w:jc w:val="center"/>
        <w:rPr>
          <w:rFonts w:ascii="黑体" w:hAnsi="宋体" w:eastAsia="黑体"/>
          <w:b/>
          <w:bCs/>
          <w:color w:val="auto"/>
          <w:sz w:val="32"/>
          <w:szCs w:val="44"/>
          <w:highlight w:val="none"/>
          <w:lang w:val="zh-CN" w:bidi="ar"/>
        </w:rPr>
      </w:pPr>
      <w:r>
        <w:rPr>
          <w:rFonts w:hint="eastAsia" w:ascii="黑体" w:hAnsi="宋体" w:eastAsia="黑体"/>
          <w:b/>
          <w:bCs/>
          <w:color w:val="auto"/>
          <w:sz w:val="32"/>
          <w:szCs w:val="44"/>
          <w:highlight w:val="none"/>
          <w:lang w:val="zh-CN" w:bidi="ar"/>
        </w:rPr>
        <w:t>南京市政府采购供应商信用记录表暨信用承诺书</w:t>
      </w:r>
    </w:p>
    <w:p w14:paraId="35877AE3">
      <w:pPr>
        <w:pBdr>
          <w:top w:val="none" w:color="000000" w:sz="0" w:space="0"/>
          <w:left w:val="none" w:color="000000" w:sz="0" w:space="0"/>
          <w:bottom w:val="none" w:color="000000" w:sz="0" w:space="0"/>
          <w:right w:val="none" w:color="000000" w:sz="0" w:space="0"/>
        </w:pBdr>
        <w:spacing w:line="85" w:lineRule="atLeast"/>
        <w:ind w:firstLine="420"/>
        <w:rPr>
          <w:color w:val="auto"/>
          <w:highlight w:val="none"/>
        </w:rPr>
      </w:pPr>
      <w:r>
        <w:rPr>
          <w:rFonts w:ascii="宋体" w:hAnsi="宋体" w:cs="宋体"/>
          <w:color w:val="auto"/>
          <w:sz w:val="22"/>
          <w:highlight w:val="none"/>
        </w:rPr>
        <w:t>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p>
    <w:p w14:paraId="475DB22C">
      <w:pPr>
        <w:spacing w:line="360" w:lineRule="auto"/>
        <w:jc w:val="center"/>
        <w:outlineLvl w:val="1"/>
        <w:rPr>
          <w:rFonts w:ascii="宋体" w:hAnsi="宋体" w:cs="宋体"/>
          <w:b/>
          <w:color w:val="auto"/>
          <w:highlight w:val="none"/>
        </w:rPr>
      </w:pPr>
      <w:r>
        <w:rPr>
          <w:rFonts w:hint="eastAsia" w:ascii="宋体" w:hAnsi="宋体" w:cs="宋体"/>
          <w:b/>
          <w:color w:val="auto"/>
          <w:highlight w:val="none"/>
        </w:rPr>
        <w:br w:type="page" w:clear="all"/>
      </w:r>
      <w:r>
        <w:rPr>
          <w:rFonts w:hint="eastAsia" w:ascii="宋体" w:hAnsi="宋体" w:cs="宋体"/>
          <w:b/>
          <w:color w:val="auto"/>
          <w:highlight w:val="none"/>
        </w:rPr>
        <w:t>磋商响应函</w:t>
      </w:r>
    </w:p>
    <w:p w14:paraId="0A04C6CB">
      <w:pPr>
        <w:pStyle w:val="283"/>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致：江苏弘业国际技术工程有限公司</w:t>
      </w:r>
    </w:p>
    <w:p w14:paraId="4C71FAA9">
      <w:pPr>
        <w:pStyle w:val="283"/>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根据贵方的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号磋商文件，正式授权下述签字人_________ (姓名和职务)代表我方______________（供应商的名称），全权处理本次项目磋商采购的有关事宜。</w:t>
      </w:r>
    </w:p>
    <w:p w14:paraId="4C2712EE">
      <w:pPr>
        <w:pStyle w:val="283"/>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据此函，__________（签字人）兹宣布同意如下：</w:t>
      </w:r>
    </w:p>
    <w:p w14:paraId="7C014FB8">
      <w:pPr>
        <w:pStyle w:val="283"/>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1.按磋商文件规定的各项要求，向买方提供所需服务。</w:t>
      </w:r>
    </w:p>
    <w:p w14:paraId="256C9D72">
      <w:pPr>
        <w:pStyle w:val="283"/>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2.我们已详细审核全部磋商文件及其有效补充文件，我们知道必须放弃提出含糊不清或误解问题的权利。</w:t>
      </w:r>
    </w:p>
    <w:p w14:paraId="6EA2D68F">
      <w:pPr>
        <w:pStyle w:val="283"/>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3.我们同意从规定的响应文件接收截止时间起遵循本响应文件，并在规定的磋商有效期期满之前均具有约束力。</w:t>
      </w:r>
    </w:p>
    <w:p w14:paraId="1686D179">
      <w:pPr>
        <w:pStyle w:val="283"/>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4.同意向贵方提供贵方可能另外要求的与磋商采购有关的任何证据或资料，并保证我方已提供和将要提供的文件是真实的、准确的。</w:t>
      </w:r>
    </w:p>
    <w:p w14:paraId="17208108">
      <w:pPr>
        <w:pStyle w:val="283"/>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5.一旦我方成交，我方将根据磋商文件的规定，严格履行合同的责任和义务，并保证在磋商文件规定的时间完成项目，交付买方验收、使用。</w:t>
      </w:r>
    </w:p>
    <w:p w14:paraId="3256D3D3">
      <w:pPr>
        <w:pStyle w:val="283"/>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6.遵守磋商文件中要求的收费项目和标准。</w:t>
      </w:r>
    </w:p>
    <w:p w14:paraId="4D400105">
      <w:pPr>
        <w:pStyle w:val="283"/>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7.与本磋商采购有关的正式通讯地址为：</w:t>
      </w:r>
    </w:p>
    <w:p w14:paraId="3B23953C">
      <w:pPr>
        <w:pStyle w:val="283"/>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地 址：                         邮 编：</w:t>
      </w:r>
    </w:p>
    <w:p w14:paraId="055ADFD9">
      <w:pPr>
        <w:pStyle w:val="283"/>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电 话：                         传 真：</w:t>
      </w:r>
    </w:p>
    <w:p w14:paraId="00193F73">
      <w:pPr>
        <w:pStyle w:val="283"/>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p>
    <w:p w14:paraId="10339398">
      <w:pPr>
        <w:pStyle w:val="283"/>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法定代表人姓名（签字或盖章）：         联系电话：</w:t>
      </w:r>
    </w:p>
    <w:p w14:paraId="2346EEC2">
      <w:pPr>
        <w:pStyle w:val="283"/>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p>
    <w:p w14:paraId="427E7B55">
      <w:pPr>
        <w:pStyle w:val="283"/>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日 期：________年____月____日</w:t>
      </w:r>
    </w:p>
    <w:p w14:paraId="019B9562">
      <w:pPr>
        <w:pStyle w:val="4"/>
        <w:pBdr>
          <w:top w:val="none" w:color="000000" w:sz="0" w:space="0"/>
          <w:left w:val="none" w:color="000000" w:sz="0" w:space="0"/>
          <w:bottom w:val="none" w:color="000000" w:sz="0" w:space="0"/>
          <w:right w:val="none" w:color="000000" w:sz="0" w:space="0"/>
        </w:pBdr>
        <w:spacing w:before="0" w:after="0" w:line="85" w:lineRule="atLeast"/>
        <w:ind w:firstLine="643"/>
        <w:jc w:val="center"/>
        <w:rPr>
          <w:rFonts w:ascii="仿宋" w:hAnsi="仿宋" w:eastAsia="仿宋" w:cs="仿宋"/>
          <w:color w:val="auto"/>
          <w:sz w:val="28"/>
          <w:szCs w:val="28"/>
          <w:highlight w:val="none"/>
        </w:rPr>
      </w:pPr>
      <w:r>
        <w:rPr>
          <w:rFonts w:hint="eastAsia" w:ascii="宋体" w:hAnsi="宋体" w:cs="宋体"/>
          <w:b/>
          <w:color w:val="auto"/>
          <w:sz w:val="21"/>
          <w:szCs w:val="21"/>
          <w:highlight w:val="none"/>
        </w:rPr>
        <w:br w:type="page" w:clear="all"/>
      </w:r>
      <w:r>
        <w:rPr>
          <w:rFonts w:hint="eastAsia" w:ascii="宋体" w:hAnsi="宋体" w:eastAsia="宋体" w:cs="宋体"/>
          <w:b/>
          <w:color w:val="auto"/>
          <w:sz w:val="21"/>
          <w:szCs w:val="22"/>
          <w:highlight w:val="none"/>
        </w:rPr>
        <w:t>法定代表人身份证明书</w:t>
      </w:r>
    </w:p>
    <w:p w14:paraId="5734E619">
      <w:pPr>
        <w:pBdr>
          <w:top w:val="none" w:color="000000" w:sz="0" w:space="0"/>
          <w:left w:val="none" w:color="000000" w:sz="0" w:space="0"/>
          <w:bottom w:val="none" w:color="000000" w:sz="0" w:space="0"/>
          <w:right w:val="none" w:color="000000" w:sz="0" w:space="0"/>
        </w:pBdr>
        <w:spacing w:line="85" w:lineRule="atLeast"/>
        <w:ind w:firstLine="560"/>
        <w:rPr>
          <w:rFonts w:ascii="仿宋" w:hAnsi="仿宋" w:eastAsia="仿宋" w:cs="仿宋"/>
          <w:color w:val="auto"/>
          <w:sz w:val="20"/>
          <w:szCs w:val="21"/>
          <w:highlight w:val="none"/>
        </w:rPr>
      </w:pPr>
      <w:r>
        <w:rPr>
          <w:rFonts w:hint="eastAsia" w:ascii="仿宋" w:hAnsi="仿宋" w:eastAsia="仿宋" w:cs="仿宋"/>
          <w:color w:val="auto"/>
          <w:sz w:val="24"/>
          <w:szCs w:val="21"/>
          <w:highlight w:val="none"/>
        </w:rPr>
        <w:t> </w:t>
      </w:r>
    </w:p>
    <w:p w14:paraId="09A26379">
      <w:pPr>
        <w:pBdr>
          <w:top w:val="none" w:color="000000" w:sz="0" w:space="0"/>
          <w:left w:val="none" w:color="000000" w:sz="0" w:space="0"/>
          <w:bottom w:val="none" w:color="000000" w:sz="0" w:space="0"/>
          <w:right w:val="none" w:color="000000" w:sz="0" w:space="0"/>
        </w:pBdr>
        <w:spacing w:line="85" w:lineRule="atLeast"/>
        <w:ind w:firstLine="560"/>
        <w:rPr>
          <w:rFonts w:ascii="仿宋" w:hAnsi="仿宋" w:eastAsia="仿宋" w:cs="仿宋"/>
          <w:color w:val="auto"/>
          <w:sz w:val="20"/>
          <w:szCs w:val="21"/>
          <w:highlight w:val="none"/>
        </w:rPr>
      </w:pPr>
      <w:r>
        <w:rPr>
          <w:rFonts w:hint="eastAsia" w:ascii="仿宋" w:hAnsi="仿宋" w:eastAsia="仿宋" w:cs="仿宋"/>
          <w:color w:val="auto"/>
          <w:sz w:val="24"/>
          <w:szCs w:val="21"/>
          <w:highlight w:val="none"/>
        </w:rPr>
        <w:t>兹证明</w:t>
      </w:r>
      <w:r>
        <w:rPr>
          <w:rFonts w:hint="eastAsia" w:ascii="仿宋" w:hAnsi="仿宋" w:eastAsia="仿宋" w:cs="仿宋"/>
          <w:b/>
          <w:color w:val="auto"/>
          <w:sz w:val="22"/>
          <w:szCs w:val="21"/>
          <w:highlight w:val="none"/>
          <w:u w:val="single"/>
        </w:rPr>
        <w:t>×××（）姓名</w:t>
      </w:r>
      <w:r>
        <w:rPr>
          <w:rFonts w:hint="eastAsia" w:ascii="仿宋" w:hAnsi="仿宋" w:eastAsia="仿宋" w:cs="仿宋"/>
          <w:color w:val="auto"/>
          <w:sz w:val="24"/>
          <w:szCs w:val="21"/>
          <w:highlight w:val="none"/>
        </w:rPr>
        <w:t>同志，性别</w:t>
      </w:r>
      <w:r>
        <w:rPr>
          <w:rFonts w:hint="eastAsia" w:ascii="仿宋" w:hAnsi="仿宋" w:eastAsia="仿宋" w:cs="仿宋"/>
          <w:b/>
          <w:color w:val="auto"/>
          <w:sz w:val="22"/>
          <w:szCs w:val="21"/>
          <w:highlight w:val="none"/>
          <w:u w:val="single"/>
        </w:rPr>
        <w:t>×××</w:t>
      </w:r>
      <w:r>
        <w:rPr>
          <w:rFonts w:hint="eastAsia" w:ascii="仿宋" w:hAnsi="仿宋" w:eastAsia="仿宋" w:cs="仿宋"/>
          <w:color w:val="auto"/>
          <w:sz w:val="24"/>
          <w:szCs w:val="21"/>
          <w:highlight w:val="none"/>
        </w:rPr>
        <w:t>，居民身份证号</w:t>
      </w:r>
      <w:r>
        <w:rPr>
          <w:rFonts w:hint="eastAsia" w:ascii="仿宋" w:hAnsi="仿宋" w:eastAsia="仿宋" w:cs="仿宋"/>
          <w:b/>
          <w:color w:val="auto"/>
          <w:sz w:val="22"/>
          <w:szCs w:val="21"/>
          <w:highlight w:val="none"/>
          <w:u w:val="single"/>
        </w:rPr>
        <w:t>×××</w:t>
      </w:r>
      <w:r>
        <w:rPr>
          <w:rFonts w:hint="eastAsia" w:ascii="仿宋" w:hAnsi="仿宋" w:eastAsia="仿宋" w:cs="仿宋"/>
          <w:color w:val="auto"/>
          <w:sz w:val="24"/>
          <w:szCs w:val="21"/>
          <w:highlight w:val="none"/>
        </w:rPr>
        <w:t>，在我单位任</w:t>
      </w:r>
      <w:r>
        <w:rPr>
          <w:rFonts w:hint="eastAsia" w:ascii="仿宋" w:hAnsi="仿宋" w:eastAsia="仿宋" w:cs="仿宋"/>
          <w:color w:val="auto"/>
          <w:sz w:val="24"/>
          <w:szCs w:val="21"/>
          <w:highlight w:val="none"/>
          <w:u w:val="single"/>
        </w:rPr>
        <w:t>               </w:t>
      </w:r>
      <w:r>
        <w:rPr>
          <w:rFonts w:hint="eastAsia" w:ascii="仿宋" w:hAnsi="仿宋" w:eastAsia="仿宋" w:cs="仿宋"/>
          <w:color w:val="auto"/>
          <w:sz w:val="24"/>
          <w:szCs w:val="21"/>
          <w:highlight w:val="none"/>
        </w:rPr>
        <w:t>职务，系我单位主要负责人即法定代表人。</w:t>
      </w:r>
    </w:p>
    <w:p w14:paraId="6E94ABCE">
      <w:pPr>
        <w:pBdr>
          <w:top w:val="none" w:color="000000" w:sz="0" w:space="0"/>
          <w:left w:val="none" w:color="000000" w:sz="0" w:space="0"/>
          <w:bottom w:val="none" w:color="000000" w:sz="0" w:space="0"/>
          <w:right w:val="none" w:color="000000" w:sz="0" w:space="0"/>
        </w:pBdr>
        <w:spacing w:line="85" w:lineRule="atLeast"/>
        <w:ind w:firstLine="560"/>
        <w:rPr>
          <w:rFonts w:ascii="仿宋" w:hAnsi="仿宋" w:eastAsia="仿宋" w:cs="仿宋"/>
          <w:color w:val="auto"/>
          <w:sz w:val="20"/>
          <w:szCs w:val="21"/>
          <w:highlight w:val="none"/>
        </w:rPr>
      </w:pPr>
      <w:r>
        <w:rPr>
          <w:rFonts w:hint="eastAsia" w:ascii="仿宋" w:hAnsi="仿宋" w:eastAsia="仿宋" w:cs="仿宋"/>
          <w:color w:val="auto"/>
          <w:sz w:val="24"/>
          <w:szCs w:val="21"/>
          <w:highlight w:val="none"/>
        </w:rPr>
        <w:t> </w:t>
      </w:r>
    </w:p>
    <w:p w14:paraId="76C1DA9A">
      <w:pPr>
        <w:pBdr>
          <w:top w:val="none" w:color="000000" w:sz="0" w:space="0"/>
          <w:left w:val="none" w:color="000000" w:sz="0" w:space="0"/>
          <w:bottom w:val="none" w:color="000000" w:sz="0" w:space="0"/>
          <w:right w:val="none" w:color="000000" w:sz="0" w:space="0"/>
        </w:pBdr>
        <w:spacing w:line="85" w:lineRule="atLeast"/>
        <w:ind w:firstLine="560"/>
        <w:rPr>
          <w:rFonts w:ascii="仿宋" w:hAnsi="仿宋" w:eastAsia="仿宋" w:cs="仿宋"/>
          <w:color w:val="auto"/>
          <w:sz w:val="20"/>
          <w:szCs w:val="21"/>
          <w:highlight w:val="none"/>
        </w:rPr>
      </w:pPr>
      <w:r>
        <w:rPr>
          <w:rFonts w:hint="eastAsia" w:ascii="仿宋" w:hAnsi="仿宋" w:eastAsia="仿宋" w:cs="仿宋"/>
          <w:color w:val="auto"/>
          <w:sz w:val="24"/>
          <w:szCs w:val="21"/>
          <w:highlight w:val="none"/>
        </w:rPr>
        <w:t>单位地址：</w:t>
      </w:r>
    </w:p>
    <w:p w14:paraId="5B20AB69">
      <w:pPr>
        <w:pBdr>
          <w:top w:val="none" w:color="000000" w:sz="0" w:space="0"/>
          <w:left w:val="none" w:color="000000" w:sz="0" w:space="0"/>
          <w:bottom w:val="none" w:color="000000" w:sz="0" w:space="0"/>
          <w:right w:val="none" w:color="000000" w:sz="0" w:space="0"/>
        </w:pBdr>
        <w:spacing w:line="85" w:lineRule="atLeast"/>
        <w:ind w:firstLine="560"/>
        <w:rPr>
          <w:rFonts w:ascii="仿宋" w:hAnsi="仿宋" w:eastAsia="仿宋" w:cs="仿宋"/>
          <w:color w:val="auto"/>
          <w:sz w:val="20"/>
          <w:szCs w:val="21"/>
          <w:highlight w:val="none"/>
        </w:rPr>
      </w:pPr>
      <w:r>
        <w:rPr>
          <w:rFonts w:hint="eastAsia" w:ascii="仿宋" w:hAnsi="仿宋" w:eastAsia="仿宋" w:cs="仿宋"/>
          <w:color w:val="auto"/>
          <w:sz w:val="24"/>
          <w:szCs w:val="21"/>
          <w:highlight w:val="none"/>
        </w:rPr>
        <w:t> </w:t>
      </w:r>
    </w:p>
    <w:p w14:paraId="25AE2C6A">
      <w:pPr>
        <w:pBdr>
          <w:top w:val="none" w:color="000000" w:sz="0" w:space="0"/>
          <w:left w:val="none" w:color="000000" w:sz="0" w:space="0"/>
          <w:bottom w:val="none" w:color="000000" w:sz="0" w:space="0"/>
          <w:right w:val="none" w:color="000000" w:sz="0" w:space="0"/>
        </w:pBdr>
        <w:spacing w:line="85" w:lineRule="atLeast"/>
        <w:ind w:firstLine="560"/>
        <w:rPr>
          <w:rFonts w:ascii="仿宋" w:hAnsi="仿宋" w:eastAsia="仿宋" w:cs="仿宋"/>
          <w:color w:val="auto"/>
          <w:sz w:val="20"/>
          <w:szCs w:val="21"/>
          <w:highlight w:val="none"/>
        </w:rPr>
      </w:pPr>
      <w:r>
        <w:rPr>
          <w:rFonts w:hint="eastAsia" w:ascii="仿宋" w:hAnsi="仿宋" w:eastAsia="仿宋" w:cs="仿宋"/>
          <w:color w:val="auto"/>
          <w:sz w:val="24"/>
          <w:szCs w:val="21"/>
          <w:highlight w:val="none"/>
        </w:rPr>
        <w:t>电话：</w:t>
      </w:r>
    </w:p>
    <w:p w14:paraId="40CD42A7">
      <w:pPr>
        <w:pBdr>
          <w:top w:val="none" w:color="000000" w:sz="0" w:space="0"/>
          <w:left w:val="none" w:color="000000" w:sz="0" w:space="0"/>
          <w:bottom w:val="none" w:color="000000" w:sz="0" w:space="0"/>
          <w:right w:val="none" w:color="000000" w:sz="0" w:space="0"/>
        </w:pBdr>
        <w:spacing w:line="85" w:lineRule="atLeast"/>
        <w:ind w:firstLine="560"/>
        <w:rPr>
          <w:rFonts w:ascii="仿宋" w:hAnsi="仿宋" w:eastAsia="仿宋" w:cs="仿宋"/>
          <w:color w:val="auto"/>
          <w:sz w:val="20"/>
          <w:szCs w:val="21"/>
          <w:highlight w:val="none"/>
        </w:rPr>
      </w:pPr>
      <w:r>
        <w:rPr>
          <w:rFonts w:hint="eastAsia" w:ascii="仿宋" w:hAnsi="仿宋" w:eastAsia="仿宋" w:cs="仿宋"/>
          <w:color w:val="auto"/>
          <w:sz w:val="24"/>
          <w:szCs w:val="21"/>
          <w:highlight w:val="none"/>
        </w:rPr>
        <w:t> </w:t>
      </w:r>
    </w:p>
    <w:p w14:paraId="53616E12">
      <w:pPr>
        <w:pBdr>
          <w:top w:val="none" w:color="000000" w:sz="0" w:space="0"/>
          <w:left w:val="none" w:color="000000" w:sz="0" w:space="0"/>
          <w:bottom w:val="none" w:color="000000" w:sz="0" w:space="0"/>
          <w:right w:val="none" w:color="000000" w:sz="0" w:space="0"/>
        </w:pBdr>
        <w:spacing w:line="85" w:lineRule="atLeast"/>
        <w:ind w:firstLine="560"/>
        <w:rPr>
          <w:rFonts w:ascii="仿宋" w:hAnsi="仿宋" w:eastAsia="仿宋" w:cs="仿宋"/>
          <w:color w:val="auto"/>
          <w:sz w:val="20"/>
          <w:szCs w:val="21"/>
          <w:highlight w:val="none"/>
        </w:rPr>
      </w:pPr>
      <w:r>
        <w:rPr>
          <w:rFonts w:hint="eastAsia" w:ascii="仿宋" w:hAnsi="仿宋" w:eastAsia="仿宋" w:cs="仿宋"/>
          <w:color w:val="auto"/>
          <w:sz w:val="24"/>
          <w:szCs w:val="21"/>
          <w:highlight w:val="none"/>
        </w:rPr>
        <w:t xml:space="preserve">单位全称： </w:t>
      </w:r>
    </w:p>
    <w:p w14:paraId="7CB0FF3F">
      <w:pPr>
        <w:pBdr>
          <w:top w:val="none" w:color="000000" w:sz="0" w:space="0"/>
          <w:left w:val="none" w:color="000000" w:sz="0" w:space="0"/>
          <w:bottom w:val="none" w:color="000000" w:sz="0" w:space="0"/>
          <w:right w:val="none" w:color="000000" w:sz="0" w:space="0"/>
        </w:pBdr>
        <w:spacing w:line="85" w:lineRule="atLeast"/>
        <w:ind w:firstLine="560"/>
        <w:rPr>
          <w:rFonts w:ascii="仿宋" w:hAnsi="仿宋" w:eastAsia="仿宋" w:cs="仿宋"/>
          <w:color w:val="auto"/>
          <w:sz w:val="20"/>
          <w:szCs w:val="21"/>
          <w:highlight w:val="none"/>
        </w:rPr>
      </w:pPr>
      <w:r>
        <w:rPr>
          <w:rFonts w:hint="eastAsia" w:ascii="仿宋" w:hAnsi="仿宋" w:eastAsia="仿宋" w:cs="仿宋"/>
          <w:color w:val="auto"/>
          <w:sz w:val="24"/>
          <w:szCs w:val="21"/>
          <w:highlight w:val="none"/>
        </w:rPr>
        <w:t>  </w:t>
      </w:r>
    </w:p>
    <w:p w14:paraId="394AA7D3">
      <w:pPr>
        <w:pBdr>
          <w:top w:val="none" w:color="000000" w:sz="0" w:space="0"/>
          <w:left w:val="none" w:color="000000" w:sz="0" w:space="0"/>
          <w:bottom w:val="none" w:color="000000" w:sz="0" w:space="0"/>
          <w:right w:val="none" w:color="000000" w:sz="0" w:space="0"/>
        </w:pBdr>
        <w:spacing w:line="85" w:lineRule="atLeast"/>
        <w:ind w:firstLine="560"/>
        <w:rPr>
          <w:rFonts w:ascii="仿宋" w:hAnsi="仿宋" w:eastAsia="仿宋" w:cs="仿宋"/>
          <w:color w:val="auto"/>
          <w:sz w:val="20"/>
          <w:szCs w:val="21"/>
          <w:highlight w:val="none"/>
        </w:rPr>
      </w:pPr>
      <w:r>
        <w:rPr>
          <w:rFonts w:hint="eastAsia" w:ascii="仿宋" w:hAnsi="仿宋" w:eastAsia="仿宋" w:cs="仿宋"/>
          <w:color w:val="auto"/>
          <w:sz w:val="24"/>
          <w:szCs w:val="21"/>
          <w:highlight w:val="none"/>
        </w:rPr>
        <w:t xml:space="preserve">公章： </w:t>
      </w:r>
    </w:p>
    <w:p w14:paraId="2F9C797C">
      <w:pPr>
        <w:pBdr>
          <w:top w:val="none" w:color="000000" w:sz="0" w:space="0"/>
          <w:left w:val="none" w:color="000000" w:sz="0" w:space="0"/>
          <w:bottom w:val="none" w:color="000000" w:sz="0" w:space="0"/>
          <w:right w:val="none" w:color="000000" w:sz="0" w:space="0"/>
        </w:pBdr>
        <w:spacing w:line="85" w:lineRule="atLeast"/>
        <w:ind w:firstLine="560"/>
        <w:rPr>
          <w:rFonts w:ascii="仿宋" w:hAnsi="仿宋" w:eastAsia="仿宋" w:cs="仿宋"/>
          <w:color w:val="auto"/>
          <w:sz w:val="20"/>
          <w:szCs w:val="21"/>
          <w:highlight w:val="none"/>
        </w:rPr>
      </w:pPr>
      <w:r>
        <w:rPr>
          <w:rFonts w:hint="eastAsia" w:ascii="仿宋" w:hAnsi="仿宋" w:eastAsia="仿宋" w:cs="仿宋"/>
          <w:color w:val="auto"/>
          <w:sz w:val="24"/>
          <w:szCs w:val="21"/>
          <w:highlight w:val="none"/>
        </w:rPr>
        <w:t>                               </w:t>
      </w:r>
    </w:p>
    <w:p w14:paraId="3507A93B">
      <w:pPr>
        <w:pBdr>
          <w:top w:val="none" w:color="000000" w:sz="0" w:space="0"/>
          <w:left w:val="none" w:color="000000" w:sz="0" w:space="0"/>
          <w:bottom w:val="none" w:color="000000" w:sz="0" w:space="0"/>
          <w:right w:val="none" w:color="000000" w:sz="0" w:space="0"/>
        </w:pBdr>
        <w:spacing w:line="85" w:lineRule="atLeast"/>
        <w:ind w:firstLine="560"/>
        <w:jc w:val="right"/>
        <w:rPr>
          <w:rFonts w:ascii="仿宋" w:hAnsi="仿宋" w:eastAsia="仿宋" w:cs="仿宋"/>
          <w:color w:val="auto"/>
          <w:sz w:val="20"/>
          <w:szCs w:val="21"/>
          <w:highlight w:val="none"/>
        </w:rPr>
      </w:pPr>
      <w:r>
        <w:rPr>
          <w:rFonts w:hint="eastAsia" w:ascii="仿宋" w:hAnsi="仿宋" w:eastAsia="仿宋" w:cs="仿宋"/>
          <w:color w:val="auto"/>
          <w:sz w:val="24"/>
          <w:szCs w:val="21"/>
          <w:highlight w:val="none"/>
        </w:rPr>
        <w:t>  年月日</w:t>
      </w:r>
    </w:p>
    <w:p w14:paraId="150AA411">
      <w:pPr>
        <w:pBdr>
          <w:top w:val="none" w:color="000000" w:sz="0" w:space="0"/>
          <w:left w:val="none" w:color="000000" w:sz="0" w:space="0"/>
          <w:bottom w:val="none" w:color="000000" w:sz="0" w:space="0"/>
          <w:right w:val="none" w:color="000000" w:sz="0" w:space="0"/>
        </w:pBdr>
        <w:spacing w:line="85" w:lineRule="atLeast"/>
        <w:ind w:firstLine="643"/>
        <w:rPr>
          <w:rFonts w:ascii="仿宋" w:hAnsi="仿宋" w:eastAsia="仿宋" w:cs="仿宋"/>
          <w:color w:val="auto"/>
          <w:sz w:val="20"/>
          <w:szCs w:val="21"/>
          <w:highlight w:val="none"/>
        </w:rPr>
      </w:pPr>
      <w:r>
        <w:rPr>
          <w:rFonts w:hint="eastAsia" w:ascii="仿宋" w:hAnsi="仿宋" w:eastAsia="仿宋" w:cs="仿宋"/>
          <w:b/>
          <w:color w:val="auto"/>
          <w:sz w:val="28"/>
          <w:szCs w:val="21"/>
          <w:highlight w:val="none"/>
        </w:rPr>
        <w:t> </w:t>
      </w:r>
    </w:p>
    <w:p w14:paraId="2087F3A0">
      <w:pPr>
        <w:pBdr>
          <w:top w:val="none" w:color="000000" w:sz="0" w:space="0"/>
          <w:left w:val="none" w:color="000000" w:sz="0" w:space="0"/>
          <w:bottom w:val="none" w:color="000000" w:sz="0" w:space="0"/>
          <w:right w:val="none" w:color="000000" w:sz="0" w:space="0"/>
        </w:pBdr>
        <w:spacing w:line="85" w:lineRule="atLeast"/>
        <w:ind w:firstLine="643"/>
        <w:rPr>
          <w:rFonts w:ascii="仿宋" w:hAnsi="仿宋" w:eastAsia="仿宋" w:cs="仿宋"/>
          <w:color w:val="auto"/>
          <w:sz w:val="20"/>
          <w:szCs w:val="21"/>
          <w:highlight w:val="none"/>
        </w:rPr>
      </w:pPr>
      <w:r>
        <w:rPr>
          <w:rFonts w:hint="eastAsia" w:ascii="仿宋" w:hAnsi="仿宋" w:eastAsia="仿宋" w:cs="仿宋"/>
          <w:b/>
          <w:color w:val="auto"/>
          <w:sz w:val="28"/>
          <w:szCs w:val="21"/>
          <w:highlight w:val="none"/>
        </w:rPr>
        <w:t> </w:t>
      </w:r>
    </w:p>
    <w:p w14:paraId="311C4CEA">
      <w:pPr>
        <w:pBdr>
          <w:top w:val="none" w:color="000000" w:sz="0" w:space="0"/>
          <w:left w:val="none" w:color="000000" w:sz="0" w:space="0"/>
          <w:bottom w:val="none" w:color="000000" w:sz="0" w:space="0"/>
          <w:right w:val="none" w:color="000000" w:sz="0" w:space="0"/>
        </w:pBdr>
        <w:spacing w:line="85" w:lineRule="atLeast"/>
        <w:ind w:firstLine="643"/>
        <w:rPr>
          <w:rFonts w:ascii="仿宋" w:hAnsi="仿宋" w:eastAsia="仿宋" w:cs="仿宋"/>
          <w:color w:val="auto"/>
          <w:sz w:val="18"/>
          <w:szCs w:val="20"/>
          <w:highlight w:val="none"/>
        </w:rPr>
      </w:pPr>
      <w:r>
        <w:rPr>
          <w:rFonts w:hint="eastAsia" w:ascii="仿宋" w:hAnsi="仿宋" w:eastAsia="仿宋" w:cs="仿宋"/>
          <w:b/>
          <w:color w:val="auto"/>
          <w:sz w:val="24"/>
          <w:szCs w:val="20"/>
          <w:highlight w:val="none"/>
        </w:rPr>
        <w:t>附：法定代表人居民身份证复印件</w:t>
      </w:r>
    </w:p>
    <w:p w14:paraId="57D60E8D">
      <w:pPr>
        <w:pBdr>
          <w:top w:val="none" w:color="000000" w:sz="0" w:space="0"/>
          <w:left w:val="none" w:color="000000" w:sz="0" w:space="0"/>
          <w:bottom w:val="none" w:color="000000" w:sz="0" w:space="0"/>
          <w:right w:val="none" w:color="000000" w:sz="0" w:space="0"/>
        </w:pBdr>
        <w:spacing w:line="85" w:lineRule="atLeast"/>
        <w:ind w:firstLine="560"/>
        <w:rPr>
          <w:rFonts w:ascii="仿宋" w:hAnsi="仿宋" w:eastAsia="仿宋" w:cs="仿宋"/>
          <w:color w:val="auto"/>
          <w:sz w:val="18"/>
          <w:szCs w:val="20"/>
          <w:highlight w:val="none"/>
        </w:rPr>
      </w:pPr>
      <w:r>
        <w:rPr>
          <w:rFonts w:hint="eastAsia" w:ascii="仿宋" w:hAnsi="仿宋" w:eastAsia="仿宋" w:cs="仿宋"/>
          <w:color w:val="auto"/>
          <w:sz w:val="22"/>
          <w:szCs w:val="20"/>
          <w:highlight w:val="none"/>
          <w:u w:val="single"/>
        </w:rPr>
        <w:t>注：1.“法定代表人”直接参加投标响应活动的仅需填写本身份证明</w:t>
      </w:r>
      <w:r>
        <w:rPr>
          <w:rFonts w:hint="eastAsia" w:ascii="仿宋" w:hAnsi="仿宋" w:eastAsia="仿宋" w:cs="仿宋"/>
          <w:color w:val="auto"/>
          <w:sz w:val="22"/>
          <w:szCs w:val="20"/>
          <w:highlight w:val="none"/>
        </w:rPr>
        <w:t>。</w:t>
      </w:r>
    </w:p>
    <w:p w14:paraId="5CE01001">
      <w:pPr>
        <w:pBdr>
          <w:top w:val="none" w:color="000000" w:sz="0" w:space="0"/>
          <w:left w:val="none" w:color="000000" w:sz="0" w:space="0"/>
          <w:bottom w:val="none" w:color="000000" w:sz="0" w:space="0"/>
          <w:right w:val="none" w:color="000000" w:sz="0" w:space="0"/>
        </w:pBdr>
        <w:spacing w:line="85" w:lineRule="atLeast"/>
        <w:ind w:firstLine="562"/>
        <w:rPr>
          <w:rFonts w:ascii="仿宋" w:hAnsi="仿宋" w:eastAsia="仿宋" w:cs="仿宋"/>
          <w:color w:val="auto"/>
          <w:sz w:val="18"/>
          <w:szCs w:val="20"/>
          <w:highlight w:val="none"/>
        </w:rPr>
      </w:pPr>
      <w:r>
        <w:rPr>
          <w:rFonts w:hint="eastAsia" w:ascii="仿宋" w:hAnsi="仿宋" w:eastAsia="仿宋" w:cs="仿宋"/>
          <w:b/>
          <w:color w:val="auto"/>
          <w:sz w:val="22"/>
          <w:szCs w:val="20"/>
          <w:highlight w:val="none"/>
          <w:u w:val="single"/>
        </w:rPr>
        <w:t>2.供应商属于非法人组织的，按照法律、行政法规规定能够对外代表其从事民事活动的主要负责人，视同法定代表人。</w:t>
      </w:r>
    </w:p>
    <w:p w14:paraId="166A83FB">
      <w:pPr>
        <w:pBdr>
          <w:top w:val="none" w:color="000000" w:sz="0" w:space="0"/>
          <w:left w:val="none" w:color="000000" w:sz="0" w:space="0"/>
          <w:bottom w:val="none" w:color="000000" w:sz="0" w:space="0"/>
          <w:right w:val="none" w:color="000000" w:sz="0" w:space="0"/>
        </w:pBdr>
        <w:spacing w:line="85" w:lineRule="atLeast"/>
        <w:rPr>
          <w:rFonts w:ascii="仿宋" w:hAnsi="仿宋" w:eastAsia="仿宋" w:cs="仿宋"/>
          <w:color w:val="auto"/>
          <w:sz w:val="20"/>
          <w:szCs w:val="21"/>
          <w:highlight w:val="none"/>
        </w:rPr>
      </w:pPr>
      <w:r>
        <w:rPr>
          <w:rFonts w:hint="eastAsia" w:ascii="仿宋" w:hAnsi="仿宋" w:eastAsia="仿宋" w:cs="仿宋"/>
          <w:color w:val="auto"/>
          <w:sz w:val="20"/>
          <w:szCs w:val="21"/>
          <w:highlight w:val="none"/>
        </w:rPr>
        <w:br w:type="page" w:clear="all"/>
      </w:r>
    </w:p>
    <w:p w14:paraId="0C750F56">
      <w:pPr>
        <w:pStyle w:val="4"/>
        <w:pBdr>
          <w:top w:val="none" w:color="000000" w:sz="0" w:space="0"/>
          <w:left w:val="none" w:color="000000" w:sz="0" w:space="0"/>
          <w:bottom w:val="none" w:color="000000" w:sz="0" w:space="0"/>
          <w:right w:val="none" w:color="000000" w:sz="0" w:space="0"/>
        </w:pBdr>
        <w:spacing w:before="0" w:after="0" w:line="85" w:lineRule="atLeast"/>
        <w:ind w:firstLine="643"/>
        <w:jc w:val="center"/>
        <w:rPr>
          <w:rFonts w:ascii="宋体" w:hAnsi="宋体" w:eastAsia="宋体" w:cs="宋体"/>
          <w:b/>
          <w:color w:val="auto"/>
          <w:sz w:val="21"/>
          <w:szCs w:val="22"/>
          <w:highlight w:val="none"/>
        </w:rPr>
      </w:pPr>
      <w:r>
        <w:rPr>
          <w:rFonts w:hint="eastAsia" w:ascii="宋体" w:hAnsi="宋体" w:eastAsia="宋体" w:cs="宋体"/>
          <w:b/>
          <w:color w:val="auto"/>
          <w:sz w:val="21"/>
          <w:szCs w:val="22"/>
          <w:highlight w:val="none"/>
        </w:rPr>
        <w:t>法定代表人授权委托书</w:t>
      </w:r>
    </w:p>
    <w:p w14:paraId="1D49E5D0">
      <w:pPr>
        <w:pBdr>
          <w:top w:val="none" w:color="000000" w:sz="0" w:space="0"/>
          <w:left w:val="none" w:color="000000" w:sz="0" w:space="0"/>
          <w:bottom w:val="none" w:color="000000" w:sz="0" w:space="0"/>
          <w:right w:val="none" w:color="000000" w:sz="0" w:space="0"/>
        </w:pBdr>
        <w:spacing w:line="85" w:lineRule="atLeast"/>
        <w:ind w:right="420" w:firstLine="560"/>
        <w:rPr>
          <w:rFonts w:ascii="仿宋" w:hAnsi="仿宋" w:eastAsia="仿宋" w:cs="仿宋"/>
          <w:color w:val="auto"/>
          <w:sz w:val="20"/>
          <w:szCs w:val="21"/>
          <w:highlight w:val="none"/>
        </w:rPr>
      </w:pPr>
      <w:r>
        <w:rPr>
          <w:rFonts w:hint="eastAsia" w:ascii="仿宋" w:hAnsi="仿宋" w:eastAsia="仿宋" w:cs="仿宋"/>
          <w:color w:val="auto"/>
          <w:sz w:val="24"/>
          <w:szCs w:val="21"/>
          <w:highlight w:val="none"/>
        </w:rPr>
        <w:t>本授权书声明：</w:t>
      </w:r>
      <w:r>
        <w:rPr>
          <w:rFonts w:hint="eastAsia" w:ascii="仿宋" w:hAnsi="仿宋" w:eastAsia="仿宋" w:cs="仿宋"/>
          <w:b/>
          <w:color w:val="auto"/>
          <w:sz w:val="22"/>
          <w:szCs w:val="21"/>
          <w:highlight w:val="none"/>
          <w:u w:val="single"/>
        </w:rPr>
        <w:t>×××（供应商名称）</w:t>
      </w:r>
      <w:r>
        <w:rPr>
          <w:rFonts w:hint="eastAsia" w:ascii="仿宋" w:hAnsi="仿宋" w:eastAsia="仿宋" w:cs="仿宋"/>
          <w:color w:val="auto"/>
          <w:sz w:val="24"/>
          <w:szCs w:val="21"/>
          <w:highlight w:val="none"/>
          <w:u w:val="single"/>
        </w:rPr>
        <w:t> </w:t>
      </w:r>
      <w:r>
        <w:rPr>
          <w:rFonts w:hint="eastAsia" w:ascii="仿宋" w:hAnsi="仿宋" w:eastAsia="仿宋" w:cs="仿宋"/>
          <w:color w:val="auto"/>
          <w:sz w:val="24"/>
          <w:szCs w:val="21"/>
          <w:highlight w:val="none"/>
        </w:rPr>
        <w:t>法定代表人</w:t>
      </w:r>
      <w:r>
        <w:rPr>
          <w:rFonts w:hint="eastAsia" w:ascii="仿宋" w:hAnsi="仿宋" w:eastAsia="仿宋" w:cs="仿宋"/>
          <w:b/>
          <w:color w:val="auto"/>
          <w:sz w:val="22"/>
          <w:szCs w:val="21"/>
          <w:highlight w:val="none"/>
          <w:u w:val="single"/>
        </w:rPr>
        <w:t xml:space="preserve">×××（姓名） </w:t>
      </w:r>
      <w:r>
        <w:rPr>
          <w:rFonts w:hint="eastAsia" w:ascii="仿宋" w:hAnsi="仿宋" w:eastAsia="仿宋" w:cs="仿宋"/>
          <w:color w:val="auto"/>
          <w:sz w:val="24"/>
          <w:szCs w:val="21"/>
          <w:highlight w:val="none"/>
        </w:rPr>
        <w:t>授权</w:t>
      </w:r>
      <w:r>
        <w:rPr>
          <w:rFonts w:hint="eastAsia" w:ascii="仿宋" w:hAnsi="仿宋" w:eastAsia="仿宋" w:cs="仿宋"/>
          <w:b/>
          <w:color w:val="auto"/>
          <w:sz w:val="22"/>
          <w:szCs w:val="21"/>
          <w:highlight w:val="none"/>
          <w:u w:val="single"/>
        </w:rPr>
        <w:t>×××（委托代理人的姓名、身份证号）</w:t>
      </w:r>
      <w:r>
        <w:rPr>
          <w:rFonts w:hint="eastAsia" w:ascii="仿宋" w:hAnsi="仿宋" w:eastAsia="仿宋" w:cs="仿宋"/>
          <w:color w:val="auto"/>
          <w:sz w:val="24"/>
          <w:szCs w:val="21"/>
          <w:highlight w:val="none"/>
        </w:rPr>
        <w:t>为我方就</w:t>
      </w:r>
      <w:r>
        <w:rPr>
          <w:rFonts w:hint="eastAsia" w:ascii="仿宋" w:hAnsi="仿宋" w:eastAsia="仿宋" w:cs="仿宋"/>
          <w:b/>
          <w:color w:val="auto"/>
          <w:sz w:val="22"/>
          <w:szCs w:val="21"/>
          <w:highlight w:val="none"/>
          <w:u w:val="single"/>
        </w:rPr>
        <w:t>××××（代理机构）代理的××××（项目编号）</w:t>
      </w:r>
      <w:r>
        <w:rPr>
          <w:rFonts w:hint="eastAsia" w:ascii="仿宋" w:hAnsi="仿宋" w:eastAsia="仿宋" w:cs="仿宋"/>
          <w:color w:val="auto"/>
          <w:sz w:val="24"/>
          <w:szCs w:val="21"/>
          <w:highlight w:val="none"/>
        </w:rPr>
        <w:t>项目的投标活动的合法代理人，以本公司名义全权处理一切与该项目投标有关的事务（含合同签订）。</w:t>
      </w:r>
    </w:p>
    <w:p w14:paraId="4087E9F3">
      <w:pPr>
        <w:pBdr>
          <w:top w:val="none" w:color="000000" w:sz="0" w:space="0"/>
          <w:left w:val="none" w:color="000000" w:sz="0" w:space="0"/>
          <w:bottom w:val="none" w:color="000000" w:sz="0" w:space="0"/>
          <w:right w:val="none" w:color="000000" w:sz="0" w:space="0"/>
        </w:pBdr>
        <w:spacing w:line="85" w:lineRule="atLeast"/>
        <w:ind w:firstLine="560"/>
        <w:rPr>
          <w:rFonts w:ascii="仿宋" w:hAnsi="仿宋" w:eastAsia="仿宋" w:cs="仿宋"/>
          <w:color w:val="auto"/>
          <w:sz w:val="20"/>
          <w:szCs w:val="21"/>
          <w:highlight w:val="none"/>
        </w:rPr>
      </w:pPr>
      <w:r>
        <w:rPr>
          <w:rFonts w:hint="eastAsia" w:ascii="仿宋" w:hAnsi="仿宋" w:eastAsia="仿宋" w:cs="仿宋"/>
          <w:color w:val="auto"/>
          <w:sz w:val="24"/>
          <w:szCs w:val="21"/>
          <w:highlight w:val="none"/>
        </w:rPr>
        <w:t>本授权书于</w:t>
      </w:r>
      <w:r>
        <w:rPr>
          <w:rFonts w:hint="eastAsia" w:ascii="仿宋" w:hAnsi="仿宋" w:eastAsia="仿宋" w:cs="仿宋"/>
          <w:color w:val="auto"/>
          <w:sz w:val="24"/>
          <w:szCs w:val="21"/>
          <w:highlight w:val="none"/>
          <w:u w:val="single"/>
        </w:rPr>
        <w:t>  </w:t>
      </w:r>
      <w:r>
        <w:rPr>
          <w:rFonts w:hint="eastAsia" w:ascii="仿宋" w:hAnsi="仿宋" w:eastAsia="仿宋" w:cs="仿宋"/>
          <w:color w:val="auto"/>
          <w:sz w:val="24"/>
          <w:szCs w:val="21"/>
          <w:highlight w:val="none"/>
        </w:rPr>
        <w:t>年</w:t>
      </w:r>
      <w:r>
        <w:rPr>
          <w:rFonts w:hint="eastAsia" w:ascii="仿宋" w:hAnsi="仿宋" w:eastAsia="仿宋" w:cs="仿宋"/>
          <w:color w:val="auto"/>
          <w:sz w:val="24"/>
          <w:szCs w:val="21"/>
          <w:highlight w:val="none"/>
          <w:u w:val="single"/>
        </w:rPr>
        <w:t>  </w:t>
      </w:r>
      <w:r>
        <w:rPr>
          <w:rFonts w:hint="eastAsia" w:ascii="仿宋" w:hAnsi="仿宋" w:eastAsia="仿宋" w:cs="仿宋"/>
          <w:color w:val="auto"/>
          <w:sz w:val="24"/>
          <w:szCs w:val="21"/>
          <w:highlight w:val="none"/>
        </w:rPr>
        <w:t>月</w:t>
      </w:r>
      <w:r>
        <w:rPr>
          <w:rFonts w:hint="eastAsia" w:ascii="仿宋" w:hAnsi="仿宋" w:eastAsia="仿宋" w:cs="仿宋"/>
          <w:color w:val="auto"/>
          <w:sz w:val="24"/>
          <w:szCs w:val="21"/>
          <w:highlight w:val="none"/>
          <w:u w:val="single"/>
        </w:rPr>
        <w:t>  </w:t>
      </w:r>
      <w:r>
        <w:rPr>
          <w:rFonts w:hint="eastAsia" w:ascii="仿宋" w:hAnsi="仿宋" w:eastAsia="仿宋" w:cs="仿宋"/>
          <w:color w:val="auto"/>
          <w:sz w:val="24"/>
          <w:szCs w:val="21"/>
          <w:highlight w:val="none"/>
        </w:rPr>
        <w:t>日签字生效，特此声明。</w:t>
      </w:r>
    </w:p>
    <w:p w14:paraId="1C2C3624">
      <w:pPr>
        <w:pBdr>
          <w:top w:val="none" w:color="000000" w:sz="0" w:space="0"/>
          <w:left w:val="none" w:color="000000" w:sz="0" w:space="0"/>
          <w:bottom w:val="none" w:color="000000" w:sz="0" w:space="0"/>
          <w:right w:val="none" w:color="000000" w:sz="0" w:space="0"/>
        </w:pBdr>
        <w:spacing w:line="85" w:lineRule="atLeast"/>
        <w:ind w:firstLine="560"/>
        <w:rPr>
          <w:rFonts w:ascii="仿宋" w:hAnsi="仿宋" w:eastAsia="仿宋" w:cs="仿宋"/>
          <w:color w:val="auto"/>
          <w:sz w:val="20"/>
          <w:szCs w:val="21"/>
          <w:highlight w:val="none"/>
        </w:rPr>
      </w:pPr>
      <w:r>
        <w:rPr>
          <w:rFonts w:hint="eastAsia" w:ascii="仿宋" w:hAnsi="仿宋" w:eastAsia="仿宋" w:cs="仿宋"/>
          <w:color w:val="auto"/>
          <w:sz w:val="24"/>
          <w:szCs w:val="21"/>
          <w:highlight w:val="none"/>
        </w:rPr>
        <w:t>委托代理人身份证号码：</w:t>
      </w:r>
      <w:r>
        <w:rPr>
          <w:rFonts w:hint="eastAsia" w:ascii="仿宋" w:hAnsi="仿宋" w:eastAsia="仿宋" w:cs="仿宋"/>
          <w:color w:val="auto"/>
          <w:sz w:val="24"/>
          <w:szCs w:val="21"/>
          <w:highlight w:val="none"/>
          <w:u w:val="single"/>
        </w:rPr>
        <w:t>                        </w:t>
      </w:r>
    </w:p>
    <w:p w14:paraId="2F8AF1CE">
      <w:pPr>
        <w:pBdr>
          <w:top w:val="none" w:color="000000" w:sz="0" w:space="0"/>
          <w:left w:val="none" w:color="000000" w:sz="0" w:space="0"/>
          <w:bottom w:val="none" w:color="000000" w:sz="0" w:space="0"/>
          <w:right w:val="none" w:color="000000" w:sz="0" w:space="0"/>
        </w:pBdr>
        <w:spacing w:line="85" w:lineRule="atLeast"/>
        <w:ind w:firstLine="560"/>
        <w:rPr>
          <w:rFonts w:ascii="仿宋" w:hAnsi="仿宋" w:eastAsia="仿宋" w:cs="仿宋"/>
          <w:color w:val="auto"/>
          <w:sz w:val="20"/>
          <w:szCs w:val="21"/>
          <w:highlight w:val="none"/>
        </w:rPr>
      </w:pPr>
      <w:r>
        <w:rPr>
          <w:rFonts w:hint="eastAsia" w:ascii="仿宋" w:hAnsi="仿宋" w:eastAsia="仿宋" w:cs="仿宋"/>
          <w:color w:val="auto"/>
          <w:sz w:val="24"/>
          <w:szCs w:val="21"/>
          <w:highlight w:val="none"/>
        </w:rPr>
        <w:t>委托代理人联系电话：（手机）</w:t>
      </w:r>
      <w:r>
        <w:rPr>
          <w:rFonts w:hint="eastAsia" w:ascii="仿宋" w:hAnsi="仿宋" w:eastAsia="仿宋" w:cs="仿宋"/>
          <w:color w:val="auto"/>
          <w:sz w:val="24"/>
          <w:szCs w:val="21"/>
          <w:highlight w:val="none"/>
          <w:u w:val="single"/>
        </w:rPr>
        <w:t>                        </w:t>
      </w:r>
    </w:p>
    <w:p w14:paraId="3BD953F4">
      <w:pPr>
        <w:pBdr>
          <w:top w:val="none" w:color="000000" w:sz="0" w:space="0"/>
          <w:left w:val="none" w:color="000000" w:sz="0" w:space="0"/>
          <w:bottom w:val="none" w:color="000000" w:sz="0" w:space="0"/>
          <w:right w:val="none" w:color="000000" w:sz="0" w:space="0"/>
        </w:pBdr>
        <w:spacing w:line="85" w:lineRule="atLeast"/>
        <w:ind w:firstLine="560"/>
        <w:rPr>
          <w:rFonts w:ascii="仿宋" w:hAnsi="仿宋" w:eastAsia="仿宋" w:cs="仿宋"/>
          <w:color w:val="auto"/>
          <w:sz w:val="20"/>
          <w:szCs w:val="21"/>
          <w:highlight w:val="none"/>
        </w:rPr>
      </w:pPr>
      <w:r>
        <w:rPr>
          <w:rFonts w:hint="eastAsia" w:ascii="仿宋" w:hAnsi="仿宋" w:eastAsia="仿宋" w:cs="仿宋"/>
          <w:color w:val="auto"/>
          <w:sz w:val="24"/>
          <w:szCs w:val="21"/>
          <w:highlight w:val="none"/>
        </w:rPr>
        <w:t> </w:t>
      </w:r>
    </w:p>
    <w:p w14:paraId="22D703D7">
      <w:pPr>
        <w:pBdr>
          <w:top w:val="none" w:color="000000" w:sz="0" w:space="0"/>
          <w:left w:val="none" w:color="000000" w:sz="0" w:space="0"/>
          <w:bottom w:val="none" w:color="000000" w:sz="0" w:space="0"/>
          <w:right w:val="none" w:color="000000" w:sz="0" w:space="0"/>
        </w:pBdr>
        <w:spacing w:line="85" w:lineRule="atLeast"/>
        <w:ind w:firstLine="560"/>
        <w:rPr>
          <w:rFonts w:ascii="仿宋" w:hAnsi="仿宋" w:eastAsia="仿宋" w:cs="仿宋"/>
          <w:color w:val="auto"/>
          <w:sz w:val="20"/>
          <w:szCs w:val="21"/>
          <w:highlight w:val="none"/>
        </w:rPr>
      </w:pPr>
      <w:r>
        <w:rPr>
          <w:rFonts w:hint="eastAsia" w:ascii="仿宋" w:hAnsi="仿宋" w:eastAsia="仿宋" w:cs="仿宋"/>
          <w:color w:val="auto"/>
          <w:sz w:val="24"/>
          <w:szCs w:val="21"/>
          <w:highlight w:val="none"/>
        </w:rPr>
        <w:t>法定代表人签字或盖章：</w:t>
      </w:r>
    </w:p>
    <w:p w14:paraId="22D5A1F7">
      <w:pPr>
        <w:pBdr>
          <w:top w:val="none" w:color="000000" w:sz="0" w:space="0"/>
          <w:left w:val="none" w:color="000000" w:sz="0" w:space="0"/>
          <w:bottom w:val="none" w:color="000000" w:sz="0" w:space="0"/>
          <w:right w:val="none" w:color="000000" w:sz="0" w:space="0"/>
        </w:pBdr>
        <w:spacing w:line="85" w:lineRule="atLeast"/>
        <w:ind w:firstLine="560"/>
        <w:rPr>
          <w:rFonts w:ascii="仿宋" w:hAnsi="仿宋" w:eastAsia="仿宋" w:cs="仿宋"/>
          <w:color w:val="auto"/>
          <w:sz w:val="20"/>
          <w:szCs w:val="21"/>
          <w:highlight w:val="none"/>
        </w:rPr>
      </w:pPr>
      <w:r>
        <w:rPr>
          <w:rFonts w:hint="eastAsia" w:ascii="仿宋" w:hAnsi="仿宋" w:eastAsia="仿宋" w:cs="仿宋"/>
          <w:color w:val="auto"/>
          <w:sz w:val="24"/>
          <w:szCs w:val="21"/>
          <w:highlight w:val="none"/>
        </w:rPr>
        <w:t> </w:t>
      </w:r>
    </w:p>
    <w:p w14:paraId="466E319D">
      <w:pPr>
        <w:pBdr>
          <w:top w:val="none" w:color="000000" w:sz="0" w:space="0"/>
          <w:left w:val="none" w:color="000000" w:sz="0" w:space="0"/>
          <w:bottom w:val="none" w:color="000000" w:sz="0" w:space="0"/>
          <w:right w:val="none" w:color="000000" w:sz="0" w:space="0"/>
        </w:pBdr>
        <w:spacing w:line="85" w:lineRule="atLeast"/>
        <w:ind w:firstLine="560"/>
        <w:rPr>
          <w:rFonts w:ascii="仿宋" w:hAnsi="仿宋" w:eastAsia="仿宋" w:cs="仿宋"/>
          <w:color w:val="auto"/>
          <w:sz w:val="20"/>
          <w:szCs w:val="21"/>
          <w:highlight w:val="none"/>
        </w:rPr>
      </w:pPr>
      <w:r>
        <w:rPr>
          <w:rFonts w:hint="eastAsia" w:ascii="仿宋" w:hAnsi="仿宋" w:eastAsia="仿宋" w:cs="仿宋"/>
          <w:color w:val="auto"/>
          <w:sz w:val="24"/>
          <w:szCs w:val="21"/>
          <w:highlight w:val="none"/>
        </w:rPr>
        <w:t>供应商名称（公章）：</w:t>
      </w:r>
    </w:p>
    <w:p w14:paraId="24773E20">
      <w:pPr>
        <w:pBdr>
          <w:top w:val="none" w:color="000000" w:sz="0" w:space="0"/>
          <w:left w:val="none" w:color="000000" w:sz="0" w:space="0"/>
          <w:bottom w:val="none" w:color="000000" w:sz="0" w:space="0"/>
          <w:right w:val="none" w:color="000000" w:sz="0" w:space="0"/>
        </w:pBdr>
        <w:spacing w:line="85" w:lineRule="atLeast"/>
        <w:ind w:firstLine="560"/>
        <w:rPr>
          <w:rFonts w:ascii="仿宋" w:hAnsi="仿宋" w:eastAsia="仿宋" w:cs="仿宋"/>
          <w:color w:val="auto"/>
          <w:sz w:val="20"/>
          <w:szCs w:val="21"/>
          <w:highlight w:val="none"/>
        </w:rPr>
      </w:pPr>
      <w:r>
        <w:rPr>
          <w:rFonts w:hint="eastAsia" w:ascii="仿宋" w:hAnsi="仿宋" w:eastAsia="仿宋" w:cs="仿宋"/>
          <w:color w:val="auto"/>
          <w:sz w:val="24"/>
          <w:szCs w:val="21"/>
          <w:highlight w:val="none"/>
        </w:rPr>
        <w:t>日期：</w:t>
      </w:r>
    </w:p>
    <w:p w14:paraId="6A5177BC">
      <w:pPr>
        <w:pBdr>
          <w:top w:val="none" w:color="000000" w:sz="0" w:space="0"/>
          <w:left w:val="none" w:color="000000" w:sz="0" w:space="0"/>
          <w:bottom w:val="none" w:color="000000" w:sz="0" w:space="0"/>
          <w:right w:val="none" w:color="000000" w:sz="0" w:space="0"/>
        </w:pBdr>
        <w:spacing w:line="85" w:lineRule="atLeast"/>
        <w:ind w:firstLine="560"/>
        <w:rPr>
          <w:rFonts w:ascii="仿宋" w:hAnsi="仿宋" w:eastAsia="仿宋" w:cs="仿宋"/>
          <w:color w:val="auto"/>
          <w:sz w:val="20"/>
          <w:szCs w:val="21"/>
          <w:highlight w:val="none"/>
        </w:rPr>
      </w:pPr>
      <w:r>
        <w:rPr>
          <w:rFonts w:hint="eastAsia" w:ascii="仿宋" w:hAnsi="仿宋" w:eastAsia="仿宋" w:cs="仿宋"/>
          <w:color w:val="auto"/>
          <w:sz w:val="24"/>
          <w:szCs w:val="21"/>
          <w:highlight w:val="none"/>
        </w:rPr>
        <w:t> </w:t>
      </w:r>
    </w:p>
    <w:p w14:paraId="3A090FB6">
      <w:pPr>
        <w:pBdr>
          <w:top w:val="none" w:color="000000" w:sz="0" w:space="0"/>
          <w:left w:val="none" w:color="000000" w:sz="0" w:space="0"/>
          <w:bottom w:val="none" w:color="000000" w:sz="0" w:space="0"/>
          <w:right w:val="none" w:color="000000" w:sz="0" w:space="0"/>
        </w:pBdr>
        <w:spacing w:line="85" w:lineRule="atLeast"/>
        <w:ind w:firstLine="643"/>
        <w:rPr>
          <w:rFonts w:ascii="仿宋" w:hAnsi="仿宋" w:eastAsia="仿宋" w:cs="仿宋"/>
          <w:color w:val="auto"/>
          <w:sz w:val="20"/>
          <w:szCs w:val="21"/>
          <w:highlight w:val="none"/>
        </w:rPr>
      </w:pPr>
      <w:r>
        <w:rPr>
          <w:rFonts w:hint="eastAsia" w:ascii="仿宋" w:hAnsi="仿宋" w:eastAsia="仿宋" w:cs="仿宋"/>
          <w:b/>
          <w:color w:val="auto"/>
          <w:sz w:val="28"/>
          <w:szCs w:val="21"/>
          <w:highlight w:val="none"/>
        </w:rPr>
        <w:t>附：委托代理人居民身份证复印件</w:t>
      </w:r>
    </w:p>
    <w:p w14:paraId="6249D649">
      <w:pPr>
        <w:pStyle w:val="3"/>
        <w:pBdr>
          <w:top w:val="none" w:color="000000" w:sz="0" w:space="0"/>
          <w:left w:val="none" w:color="000000" w:sz="0" w:space="0"/>
          <w:bottom w:val="none" w:color="000000" w:sz="0" w:space="0"/>
          <w:right w:val="none" w:color="000000" w:sz="0" w:space="0"/>
        </w:pBdr>
        <w:spacing w:before="260" w:after="260" w:line="85" w:lineRule="atLeast"/>
        <w:ind w:firstLine="562"/>
        <w:rPr>
          <w:rFonts w:ascii="仿宋" w:hAnsi="仿宋" w:eastAsia="仿宋" w:cs="仿宋"/>
          <w:color w:val="auto"/>
          <w:sz w:val="28"/>
          <w:szCs w:val="20"/>
          <w:highlight w:val="none"/>
        </w:rPr>
      </w:pPr>
      <w:r>
        <w:rPr>
          <w:rFonts w:hint="eastAsia" w:ascii="仿宋" w:hAnsi="仿宋" w:eastAsia="仿宋" w:cs="仿宋"/>
          <w:b/>
          <w:color w:val="auto"/>
          <w:sz w:val="22"/>
          <w:szCs w:val="20"/>
          <w:highlight w:val="none"/>
          <w:u w:val="single"/>
        </w:rPr>
        <w:t>注：“法定代表人”授权其他人（必须为供应商正式员工，证明材料：近半年内至少一个月社会保险缴纳材料附后）投标的，须填写法定代表人身份证明书和本委托书</w:t>
      </w:r>
      <w:r>
        <w:rPr>
          <w:rFonts w:hint="eastAsia" w:ascii="仿宋" w:hAnsi="仿宋" w:eastAsia="仿宋" w:cs="仿宋"/>
          <w:b/>
          <w:color w:val="auto"/>
          <w:sz w:val="22"/>
          <w:szCs w:val="20"/>
          <w:highlight w:val="none"/>
        </w:rPr>
        <w:t>。</w:t>
      </w:r>
    </w:p>
    <w:p w14:paraId="6EEE967D">
      <w:pPr>
        <w:spacing w:line="360" w:lineRule="auto"/>
        <w:ind w:firstLine="420"/>
        <w:rPr>
          <w:rFonts w:ascii="仿宋" w:hAnsi="仿宋" w:eastAsia="仿宋" w:cs="仿宋"/>
          <w:bCs/>
          <w:color w:val="auto"/>
          <w:sz w:val="20"/>
          <w:szCs w:val="21"/>
          <w:highlight w:val="none"/>
        </w:rPr>
        <w:sectPr>
          <w:pgSz w:w="11906" w:h="16838"/>
          <w:pgMar w:top="1440" w:right="1800" w:bottom="1440" w:left="1800" w:header="851" w:footer="992" w:gutter="0"/>
          <w:cols w:space="1701" w:num="1"/>
          <w:docGrid w:linePitch="360" w:charSpace="0"/>
        </w:sectPr>
      </w:pPr>
    </w:p>
    <w:p w14:paraId="66626996">
      <w:pPr>
        <w:numPr>
          <w:ilvl w:val="0"/>
          <w:numId w:val="5"/>
        </w:numPr>
        <w:spacing w:line="360" w:lineRule="auto"/>
        <w:jc w:val="center"/>
        <w:outlineLvl w:val="0"/>
        <w:rPr>
          <w:rFonts w:ascii="宋体" w:hAnsi="宋体" w:cs="宋体"/>
          <w:b/>
          <w:color w:val="auto"/>
          <w:sz w:val="32"/>
          <w:szCs w:val="32"/>
          <w:highlight w:val="none"/>
        </w:rPr>
      </w:pPr>
      <w:r>
        <w:rPr>
          <w:rFonts w:hint="eastAsia" w:ascii="宋体" w:hAnsi="宋体" w:cs="宋体"/>
          <w:b/>
          <w:color w:val="auto"/>
          <w:sz w:val="32"/>
          <w:szCs w:val="32"/>
          <w:highlight w:val="none"/>
        </w:rPr>
        <w:t>符合性审查响应对照表</w:t>
      </w:r>
    </w:p>
    <w:tbl>
      <w:tblPr>
        <w:tblStyle w:val="40"/>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19"/>
        <w:gridCol w:w="4502"/>
        <w:gridCol w:w="1897"/>
        <w:gridCol w:w="1275"/>
      </w:tblGrid>
      <w:tr w14:paraId="030AFE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26" w:type="dxa"/>
            <w:vAlign w:val="center"/>
          </w:tcPr>
          <w:p w14:paraId="78A8BCAC">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序号</w:t>
            </w:r>
          </w:p>
        </w:tc>
        <w:tc>
          <w:tcPr>
            <w:tcW w:w="4644" w:type="dxa"/>
            <w:vAlign w:val="center"/>
          </w:tcPr>
          <w:p w14:paraId="3003D996">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符合性审查响应内容</w:t>
            </w:r>
          </w:p>
        </w:tc>
        <w:tc>
          <w:tcPr>
            <w:tcW w:w="1943" w:type="dxa"/>
            <w:vAlign w:val="center"/>
          </w:tcPr>
          <w:p w14:paraId="42A5878D">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是否响应</w:t>
            </w:r>
          </w:p>
          <w:p w14:paraId="7FB0857F">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（填是或者否）</w:t>
            </w:r>
          </w:p>
        </w:tc>
        <w:tc>
          <w:tcPr>
            <w:tcW w:w="1306" w:type="dxa"/>
            <w:vAlign w:val="center"/>
          </w:tcPr>
          <w:p w14:paraId="756DCF40">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响应情况</w:t>
            </w:r>
          </w:p>
        </w:tc>
      </w:tr>
      <w:tr w14:paraId="1FE97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26" w:type="dxa"/>
            <w:vAlign w:val="center"/>
          </w:tcPr>
          <w:p w14:paraId="156BA001">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1</w:t>
            </w:r>
          </w:p>
        </w:tc>
        <w:tc>
          <w:tcPr>
            <w:tcW w:w="4644" w:type="dxa"/>
            <w:vAlign w:val="center"/>
          </w:tcPr>
          <w:p w14:paraId="1646630B">
            <w:pPr>
              <w:spacing w:line="360" w:lineRule="auto"/>
              <w:rPr>
                <w:rFonts w:ascii="宋体" w:hAnsi="宋体" w:cs="宋体"/>
                <w:iCs/>
                <w:color w:val="auto"/>
                <w:szCs w:val="21"/>
                <w:highlight w:val="none"/>
              </w:rPr>
            </w:pPr>
            <w:r>
              <w:rPr>
                <w:rFonts w:hint="eastAsia" w:ascii="宋体" w:hAnsi="宋体" w:cs="宋体"/>
                <w:iCs/>
                <w:color w:val="auto"/>
                <w:szCs w:val="21"/>
                <w:highlight w:val="none"/>
              </w:rPr>
              <w:t>采购需求中必须满足的实质性要求</w:t>
            </w:r>
          </w:p>
        </w:tc>
        <w:tc>
          <w:tcPr>
            <w:tcW w:w="1943" w:type="dxa"/>
            <w:vAlign w:val="center"/>
          </w:tcPr>
          <w:p w14:paraId="209184BB">
            <w:pPr>
              <w:spacing w:line="360" w:lineRule="auto"/>
              <w:rPr>
                <w:rFonts w:ascii="宋体" w:hAnsi="宋体" w:cs="宋体"/>
                <w:b/>
                <w:color w:val="auto"/>
                <w:szCs w:val="21"/>
                <w:highlight w:val="none"/>
              </w:rPr>
            </w:pPr>
          </w:p>
        </w:tc>
        <w:tc>
          <w:tcPr>
            <w:tcW w:w="1306" w:type="dxa"/>
            <w:vAlign w:val="center"/>
          </w:tcPr>
          <w:p w14:paraId="1315EBA7">
            <w:pPr>
              <w:spacing w:line="360" w:lineRule="auto"/>
              <w:rPr>
                <w:rFonts w:ascii="宋体" w:hAnsi="宋体" w:cs="宋体"/>
                <w:b/>
                <w:color w:val="auto"/>
                <w:szCs w:val="21"/>
                <w:highlight w:val="none"/>
              </w:rPr>
            </w:pPr>
          </w:p>
        </w:tc>
      </w:tr>
      <w:tr w14:paraId="747BD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26" w:type="dxa"/>
            <w:vAlign w:val="center"/>
          </w:tcPr>
          <w:p w14:paraId="0F4E41D9">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2</w:t>
            </w:r>
          </w:p>
        </w:tc>
        <w:tc>
          <w:tcPr>
            <w:tcW w:w="4644" w:type="dxa"/>
            <w:vAlign w:val="center"/>
          </w:tcPr>
          <w:p w14:paraId="1D261962">
            <w:pPr>
              <w:spacing w:line="360" w:lineRule="auto"/>
              <w:rPr>
                <w:rFonts w:ascii="宋体" w:hAnsi="宋体" w:cs="宋体"/>
                <w:iCs/>
                <w:color w:val="auto"/>
                <w:szCs w:val="21"/>
                <w:highlight w:val="none"/>
              </w:rPr>
            </w:pPr>
          </w:p>
        </w:tc>
        <w:tc>
          <w:tcPr>
            <w:tcW w:w="1943" w:type="dxa"/>
            <w:vAlign w:val="center"/>
          </w:tcPr>
          <w:p w14:paraId="545FEB03">
            <w:pPr>
              <w:spacing w:line="360" w:lineRule="auto"/>
              <w:rPr>
                <w:rFonts w:ascii="宋体" w:hAnsi="宋体" w:cs="宋体"/>
                <w:color w:val="auto"/>
                <w:szCs w:val="21"/>
                <w:highlight w:val="none"/>
              </w:rPr>
            </w:pPr>
          </w:p>
        </w:tc>
        <w:tc>
          <w:tcPr>
            <w:tcW w:w="1306" w:type="dxa"/>
            <w:vAlign w:val="center"/>
          </w:tcPr>
          <w:p w14:paraId="1CB11E8E">
            <w:pPr>
              <w:spacing w:line="360" w:lineRule="auto"/>
              <w:rPr>
                <w:rFonts w:ascii="宋体" w:hAnsi="宋体" w:cs="宋体"/>
                <w:color w:val="auto"/>
                <w:szCs w:val="21"/>
                <w:highlight w:val="none"/>
              </w:rPr>
            </w:pPr>
          </w:p>
        </w:tc>
      </w:tr>
      <w:tr w14:paraId="47DDC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26" w:type="dxa"/>
            <w:vAlign w:val="center"/>
          </w:tcPr>
          <w:p w14:paraId="008D5BD1">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3</w:t>
            </w:r>
          </w:p>
        </w:tc>
        <w:tc>
          <w:tcPr>
            <w:tcW w:w="4644" w:type="dxa"/>
            <w:vAlign w:val="center"/>
          </w:tcPr>
          <w:p w14:paraId="0BB0FF84">
            <w:pPr>
              <w:spacing w:line="360" w:lineRule="auto"/>
              <w:rPr>
                <w:rFonts w:ascii="宋体" w:hAnsi="宋体" w:cs="宋体"/>
                <w:iCs/>
                <w:color w:val="auto"/>
                <w:szCs w:val="21"/>
                <w:highlight w:val="none"/>
              </w:rPr>
            </w:pPr>
          </w:p>
        </w:tc>
        <w:tc>
          <w:tcPr>
            <w:tcW w:w="1943" w:type="dxa"/>
            <w:vAlign w:val="center"/>
          </w:tcPr>
          <w:p w14:paraId="060D223B">
            <w:pPr>
              <w:spacing w:line="360" w:lineRule="auto"/>
              <w:rPr>
                <w:rFonts w:ascii="宋体" w:hAnsi="宋体" w:cs="宋体"/>
                <w:color w:val="auto"/>
                <w:szCs w:val="21"/>
                <w:highlight w:val="none"/>
              </w:rPr>
            </w:pPr>
          </w:p>
        </w:tc>
        <w:tc>
          <w:tcPr>
            <w:tcW w:w="1306" w:type="dxa"/>
            <w:vAlign w:val="center"/>
          </w:tcPr>
          <w:p w14:paraId="3038E90B">
            <w:pPr>
              <w:spacing w:line="360" w:lineRule="auto"/>
              <w:rPr>
                <w:rFonts w:ascii="宋体" w:hAnsi="宋体" w:cs="宋体"/>
                <w:color w:val="auto"/>
                <w:szCs w:val="21"/>
                <w:highlight w:val="none"/>
              </w:rPr>
            </w:pPr>
          </w:p>
        </w:tc>
      </w:tr>
      <w:tr w14:paraId="35265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626" w:type="dxa"/>
            <w:vAlign w:val="center"/>
          </w:tcPr>
          <w:p w14:paraId="7014AE21">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4</w:t>
            </w:r>
          </w:p>
        </w:tc>
        <w:tc>
          <w:tcPr>
            <w:tcW w:w="4644" w:type="dxa"/>
            <w:vAlign w:val="center"/>
          </w:tcPr>
          <w:p w14:paraId="5D512DF6">
            <w:pPr>
              <w:spacing w:line="360" w:lineRule="auto"/>
              <w:rPr>
                <w:rFonts w:ascii="宋体" w:hAnsi="宋体" w:cs="宋体"/>
                <w:iCs/>
                <w:color w:val="auto"/>
                <w:szCs w:val="21"/>
                <w:highlight w:val="none"/>
              </w:rPr>
            </w:pPr>
          </w:p>
        </w:tc>
        <w:tc>
          <w:tcPr>
            <w:tcW w:w="1943" w:type="dxa"/>
            <w:vAlign w:val="center"/>
          </w:tcPr>
          <w:p w14:paraId="657A0BF4">
            <w:pPr>
              <w:spacing w:line="360" w:lineRule="auto"/>
              <w:rPr>
                <w:rFonts w:ascii="宋体" w:hAnsi="宋体" w:cs="宋体"/>
                <w:color w:val="auto"/>
                <w:szCs w:val="21"/>
                <w:highlight w:val="none"/>
              </w:rPr>
            </w:pPr>
          </w:p>
        </w:tc>
        <w:tc>
          <w:tcPr>
            <w:tcW w:w="1306" w:type="dxa"/>
            <w:vAlign w:val="center"/>
          </w:tcPr>
          <w:p w14:paraId="3AB709A0">
            <w:pPr>
              <w:spacing w:line="360" w:lineRule="auto"/>
              <w:rPr>
                <w:rFonts w:ascii="宋体" w:hAnsi="宋体" w:cs="宋体"/>
                <w:color w:val="auto"/>
                <w:szCs w:val="21"/>
                <w:highlight w:val="none"/>
              </w:rPr>
            </w:pPr>
          </w:p>
        </w:tc>
      </w:tr>
      <w:tr w14:paraId="2AA1AF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26" w:type="dxa"/>
            <w:vAlign w:val="center"/>
          </w:tcPr>
          <w:p w14:paraId="3C18212E">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5</w:t>
            </w:r>
          </w:p>
        </w:tc>
        <w:tc>
          <w:tcPr>
            <w:tcW w:w="4644" w:type="dxa"/>
            <w:vAlign w:val="center"/>
          </w:tcPr>
          <w:p w14:paraId="3FF2620E">
            <w:pPr>
              <w:spacing w:line="360" w:lineRule="auto"/>
              <w:rPr>
                <w:rFonts w:ascii="宋体" w:hAnsi="宋体" w:cs="宋体"/>
                <w:iCs/>
                <w:color w:val="auto"/>
                <w:szCs w:val="21"/>
                <w:highlight w:val="none"/>
              </w:rPr>
            </w:pPr>
            <w:r>
              <w:rPr>
                <w:rFonts w:hint="eastAsia" w:ascii="宋体" w:hAnsi="宋体" w:cs="宋体"/>
                <w:iCs/>
                <w:color w:val="auto"/>
                <w:szCs w:val="21"/>
                <w:highlight w:val="none"/>
              </w:rPr>
              <w:t>……</w:t>
            </w:r>
          </w:p>
        </w:tc>
        <w:tc>
          <w:tcPr>
            <w:tcW w:w="1943" w:type="dxa"/>
            <w:vAlign w:val="center"/>
          </w:tcPr>
          <w:p w14:paraId="34B1B478">
            <w:pPr>
              <w:spacing w:line="360" w:lineRule="auto"/>
              <w:rPr>
                <w:rFonts w:ascii="宋体" w:hAnsi="宋体" w:cs="宋体"/>
                <w:color w:val="auto"/>
                <w:szCs w:val="21"/>
                <w:highlight w:val="none"/>
              </w:rPr>
            </w:pPr>
          </w:p>
        </w:tc>
        <w:tc>
          <w:tcPr>
            <w:tcW w:w="1306" w:type="dxa"/>
            <w:vAlign w:val="center"/>
          </w:tcPr>
          <w:p w14:paraId="21F75165">
            <w:pPr>
              <w:spacing w:line="360" w:lineRule="auto"/>
              <w:rPr>
                <w:rFonts w:ascii="宋体" w:hAnsi="宋体" w:cs="宋体"/>
                <w:color w:val="auto"/>
                <w:szCs w:val="21"/>
                <w:highlight w:val="none"/>
              </w:rPr>
            </w:pPr>
          </w:p>
        </w:tc>
      </w:tr>
    </w:tbl>
    <w:p w14:paraId="4648768F">
      <w:pPr>
        <w:spacing w:line="360" w:lineRule="auto"/>
        <w:contextualSpacing/>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p>
    <w:p w14:paraId="121900C0">
      <w:pPr>
        <w:spacing w:before="312" w:after="312" w:line="360" w:lineRule="auto"/>
        <w:jc w:val="center"/>
        <w:outlineLvl w:val="1"/>
        <w:rPr>
          <w:rFonts w:ascii="宋体" w:hAnsi="宋体" w:cs="宋体"/>
          <w:b/>
          <w:bCs/>
          <w:color w:val="auto"/>
          <w:highlight w:val="none"/>
        </w:rPr>
      </w:pPr>
      <w:r>
        <w:rPr>
          <w:rFonts w:hint="eastAsia" w:ascii="宋体" w:hAnsi="宋体" w:cs="宋体"/>
          <w:b/>
          <w:bCs/>
          <w:color w:val="auto"/>
          <w:highlight w:val="none"/>
        </w:rPr>
        <w:t>中小企业声明函</w:t>
      </w:r>
    </w:p>
    <w:p w14:paraId="4BAAAF91">
      <w:pPr>
        <w:spacing w:line="360" w:lineRule="auto"/>
        <w:ind w:firstLine="420"/>
        <w:jc w:val="left"/>
        <w:rPr>
          <w:rFonts w:ascii="宋体" w:hAnsi="宋体" w:cs="宋体"/>
          <w:color w:val="auto"/>
          <w:highlight w:val="none"/>
        </w:rPr>
      </w:pPr>
      <w:r>
        <w:rPr>
          <w:rFonts w:hint="eastAsia" w:ascii="宋体" w:hAnsi="宋体" w:cs="宋体"/>
          <w:color w:val="auto"/>
          <w:highlight w:val="none"/>
        </w:rPr>
        <w:t>本公司（联合体）郑重声明，根据《政府采购促进中小企业发展管理办法》（财库﹝2020﹞46 号）的规定，本公司（联合体）参加</w:t>
      </w:r>
      <w:r>
        <w:rPr>
          <w:rFonts w:hint="eastAsia" w:ascii="宋体" w:hAnsi="宋体" w:cs="宋体"/>
          <w:color w:val="auto"/>
          <w:highlight w:val="none"/>
          <w:u w:val="single"/>
        </w:rPr>
        <w:t>（单位名称）</w:t>
      </w:r>
      <w:r>
        <w:rPr>
          <w:rFonts w:hint="eastAsia" w:ascii="宋体" w:hAnsi="宋体" w:cs="宋体"/>
          <w:color w:val="auto"/>
          <w:highlight w:val="none"/>
        </w:rPr>
        <w:t>的</w:t>
      </w:r>
      <w:r>
        <w:rPr>
          <w:rFonts w:hint="eastAsia" w:ascii="宋体" w:hAnsi="宋体" w:cs="宋体"/>
          <w:color w:val="auto"/>
          <w:highlight w:val="none"/>
          <w:u w:val="single"/>
        </w:rPr>
        <w:t>（项目名称）</w:t>
      </w:r>
      <w:r>
        <w:rPr>
          <w:rFonts w:hint="eastAsia" w:ascii="宋体" w:hAnsi="宋体" w:cs="宋体"/>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461CF90D">
      <w:pPr>
        <w:pBdr>
          <w:top w:val="none" w:color="000000" w:sz="0" w:space="0"/>
          <w:left w:val="none" w:color="000000" w:sz="0" w:space="0"/>
          <w:bottom w:val="none" w:color="000000" w:sz="0" w:space="0"/>
          <w:right w:val="none" w:color="000000" w:sz="0" w:space="0"/>
        </w:pBdr>
        <w:spacing w:line="360" w:lineRule="auto"/>
        <w:ind w:firstLine="420"/>
        <w:rPr>
          <w:color w:val="auto"/>
          <w:highlight w:val="non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，属于</w:t>
      </w:r>
      <w:r>
        <w:rPr>
          <w:rFonts w:hint="eastAsia" w:ascii="宋体" w:hAnsi="宋体" w:cs="宋体"/>
          <w:color w:val="auto"/>
          <w:highlight w:val="none"/>
          <w:u w:val="single"/>
        </w:rPr>
        <w:t>其他未列明行业</w:t>
      </w:r>
      <w:r>
        <w:rPr>
          <w:rFonts w:hint="eastAsia" w:ascii="宋体" w:hAnsi="宋体" w:cs="宋体"/>
          <w:color w:val="auto"/>
          <w:highlight w:val="none"/>
        </w:rPr>
        <w:t>（</w:t>
      </w:r>
      <w:r>
        <w:rPr>
          <w:rFonts w:hint="eastAsia" w:ascii="宋体" w:hAnsi="宋体" w:cs="宋体"/>
          <w:color w:val="auto"/>
          <w:highlight w:val="none"/>
          <w:u w:val="single"/>
        </w:rPr>
        <w:t>该行业类别不可修改）</w:t>
      </w:r>
      <w:r>
        <w:rPr>
          <w:rFonts w:hint="eastAsia" w:ascii="宋体" w:hAnsi="宋体" w:cs="宋体"/>
          <w:color w:val="auto"/>
          <w:highlight w:val="none"/>
        </w:rPr>
        <w:t>；承建（承接）企业为</w:t>
      </w:r>
      <w:r>
        <w:rPr>
          <w:rFonts w:hint="eastAsia" w:ascii="宋体" w:hAnsi="宋体" w:cs="宋体"/>
          <w:color w:val="auto"/>
          <w:highlight w:val="none"/>
          <w:u w:val="single"/>
        </w:rPr>
        <w:t>（企业名称）</w:t>
      </w:r>
      <w:r>
        <w:rPr>
          <w:rFonts w:hint="eastAsia" w:ascii="宋体" w:hAnsi="宋体" w:cs="宋体"/>
          <w:color w:val="auto"/>
          <w:highlight w:val="none"/>
        </w:rPr>
        <w:t>，从业人员</w:t>
      </w:r>
      <w:r>
        <w:rPr>
          <w:rFonts w:hint="eastAsia" w:ascii="宋体" w:hAnsi="宋体" w:cs="宋体"/>
          <w:color w:val="auto"/>
          <w:highlight w:val="none"/>
          <w:u w:val="single"/>
        </w:rPr>
        <w:t xml:space="preserve">      </w:t>
      </w:r>
      <w:r>
        <w:rPr>
          <w:rFonts w:hint="eastAsia" w:ascii="宋体" w:hAnsi="宋体" w:cs="宋体"/>
          <w:color w:val="auto"/>
          <w:highlight w:val="none"/>
        </w:rPr>
        <w:t>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，属于</w:t>
      </w:r>
      <w:r>
        <w:rPr>
          <w:rFonts w:hint="eastAsia" w:ascii="宋体" w:hAnsi="宋体" w:cs="宋体"/>
          <w:color w:val="auto"/>
          <w:highlight w:val="none"/>
          <w:u w:val="single"/>
        </w:rPr>
        <w:t>（中型企业、小型企业、微型企业）；</w:t>
      </w:r>
    </w:p>
    <w:p w14:paraId="16CEEDCE">
      <w:pPr>
        <w:spacing w:line="360" w:lineRule="auto"/>
        <w:ind w:firstLine="420"/>
        <w:jc w:val="left"/>
        <w:rPr>
          <w:rFonts w:ascii="宋体" w:hAnsi="宋体" w:cs="宋体"/>
          <w:color w:val="auto"/>
          <w:highlight w:val="none"/>
        </w:rPr>
      </w:pPr>
      <w:r>
        <w:rPr>
          <w:rFonts w:hint="eastAsia" w:ascii="宋体" w:hAnsi="宋体" w:cs="宋体"/>
          <w:color w:val="auto"/>
          <w:highlight w:val="none"/>
        </w:rPr>
        <w:t>……</w:t>
      </w:r>
    </w:p>
    <w:p w14:paraId="7CA14912">
      <w:pPr>
        <w:spacing w:line="360" w:lineRule="auto"/>
        <w:ind w:firstLine="420"/>
        <w:jc w:val="left"/>
        <w:rPr>
          <w:rFonts w:ascii="宋体" w:hAnsi="宋体" w:cs="宋体"/>
          <w:color w:val="auto"/>
          <w:highlight w:val="none"/>
        </w:rPr>
      </w:pPr>
      <w:r>
        <w:rPr>
          <w:rFonts w:hint="eastAsia" w:ascii="宋体" w:hAnsi="宋体" w:cs="宋体"/>
          <w:color w:val="auto"/>
          <w:highlight w:val="none"/>
        </w:rPr>
        <w:t>以上企业，不属于大企业的分支机构，不存在控股股东为大企业的情形，也不存在与大企业的负责人为同一人的情形。</w:t>
      </w:r>
    </w:p>
    <w:p w14:paraId="17E18E97">
      <w:pPr>
        <w:spacing w:line="360" w:lineRule="auto"/>
        <w:ind w:firstLine="420"/>
        <w:jc w:val="left"/>
        <w:rPr>
          <w:rFonts w:ascii="宋体" w:hAnsi="宋体" w:cs="宋体"/>
          <w:color w:val="auto"/>
          <w:highlight w:val="none"/>
        </w:rPr>
      </w:pPr>
      <w:r>
        <w:rPr>
          <w:rFonts w:hint="eastAsia" w:ascii="宋体" w:hAnsi="宋体" w:cs="宋体"/>
          <w:color w:val="auto"/>
          <w:highlight w:val="none"/>
        </w:rPr>
        <w:t>本企业对上述声明内容的真实性负责。如有虚假，将依法承担相应责任。</w:t>
      </w:r>
    </w:p>
    <w:p w14:paraId="10251ED5">
      <w:pPr>
        <w:spacing w:line="360" w:lineRule="auto"/>
        <w:rPr>
          <w:rFonts w:ascii="宋体" w:hAnsi="宋体" w:cs="宋体"/>
          <w:color w:val="auto"/>
          <w:highlight w:val="none"/>
        </w:rPr>
      </w:pPr>
      <w:r>
        <w:rPr>
          <w:rFonts w:hint="eastAsia" w:ascii="宋体" w:hAnsi="宋体" w:cs="宋体"/>
          <w:b/>
          <w:bCs/>
          <w:color w:val="auto"/>
          <w:highlight w:val="none"/>
        </w:rPr>
        <w:t>注</w:t>
      </w:r>
      <w:r>
        <w:rPr>
          <w:rFonts w:hint="eastAsia" w:ascii="宋体" w:hAnsi="宋体" w:cs="宋体"/>
          <w:color w:val="auto"/>
          <w:highlight w:val="none"/>
        </w:rPr>
        <w:t>：1、从业人员（不仅指在职职工）、营业收入、资产总额填报上一年度数据，无上一年度数据的新成立企业可不填报。</w:t>
      </w:r>
    </w:p>
    <w:p w14:paraId="50C16C4D">
      <w:pPr>
        <w:spacing w:line="360" w:lineRule="auto"/>
        <w:ind w:firstLine="420"/>
        <w:rPr>
          <w:rFonts w:ascii="宋体" w:hAnsi="宋体" w:cs="宋体"/>
          <w:color w:val="auto"/>
          <w:highlight w:val="none"/>
        </w:rPr>
      </w:pPr>
      <w:r>
        <w:rPr>
          <w:rFonts w:hint="eastAsia" w:ascii="宋体" w:hAnsi="宋体" w:cs="宋体"/>
          <w:color w:val="auto"/>
          <w:highlight w:val="none"/>
        </w:rPr>
        <w:t>2、供应商如不提供此声明函，价格将不做相应扣除。</w:t>
      </w:r>
    </w:p>
    <w:p w14:paraId="2DEF10B7">
      <w:pPr>
        <w:spacing w:line="360" w:lineRule="auto"/>
        <w:rPr>
          <w:rFonts w:ascii="宋体" w:hAnsi="宋体" w:cs="宋体"/>
          <w:color w:val="auto"/>
          <w:highlight w:val="none"/>
        </w:rPr>
      </w:pPr>
      <w:r>
        <w:rPr>
          <w:rFonts w:hint="eastAsia" w:ascii="宋体" w:hAnsi="宋体" w:cs="宋体"/>
          <w:color w:val="auto"/>
          <w:highlight w:val="none"/>
        </w:rPr>
        <w:t xml:space="preserve">    3、企业声明函请完整填写，成交后将公示。</w:t>
      </w:r>
    </w:p>
    <w:p w14:paraId="50B6E24B">
      <w:pPr>
        <w:spacing w:line="360" w:lineRule="auto"/>
        <w:ind w:firstLine="420"/>
        <w:jc w:val="left"/>
        <w:rPr>
          <w:rFonts w:ascii="宋体" w:hAnsi="宋体" w:cs="宋体"/>
          <w:color w:val="auto"/>
          <w:highlight w:val="none"/>
        </w:rPr>
      </w:pPr>
      <w:r>
        <w:rPr>
          <w:rFonts w:hint="eastAsia" w:ascii="宋体" w:hAnsi="宋体" w:cs="宋体"/>
          <w:color w:val="auto"/>
          <w:highlight w:val="none"/>
        </w:rPr>
        <w:t>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14:paraId="56719D50">
      <w:pPr>
        <w:spacing w:line="360" w:lineRule="auto"/>
        <w:ind w:firstLine="420"/>
        <w:jc w:val="left"/>
        <w:rPr>
          <w:rFonts w:ascii="宋体" w:hAnsi="宋体" w:cs="宋体"/>
          <w:color w:val="auto"/>
          <w:highlight w:val="none"/>
        </w:rPr>
      </w:pPr>
      <w:r>
        <w:rPr>
          <w:rFonts w:hint="eastAsia" w:ascii="宋体" w:hAnsi="宋体" w:cs="宋体"/>
          <w:color w:val="auto"/>
          <w:highlight w:val="none"/>
        </w:rPr>
        <w:t>5、中小企业不得属于大企业的分支机构，不得存在控股股东为大企业的情形，不得存在与大企业的负责人为同一人的情形。</w:t>
      </w:r>
    </w:p>
    <w:p w14:paraId="06F6D837">
      <w:pPr>
        <w:spacing w:line="360" w:lineRule="auto"/>
        <w:ind w:firstLine="420"/>
        <w:jc w:val="left"/>
        <w:rPr>
          <w:rFonts w:ascii="宋体" w:hAnsi="宋体" w:cs="宋体"/>
          <w:color w:val="auto"/>
          <w:highlight w:val="none"/>
        </w:rPr>
      </w:pPr>
      <w:r>
        <w:rPr>
          <w:rFonts w:hint="eastAsia" w:ascii="宋体" w:hAnsi="宋体" w:cs="宋体"/>
          <w:color w:val="auto"/>
          <w:highlight w:val="none"/>
        </w:rPr>
        <w:t>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0CC78AB6">
      <w:pPr>
        <w:spacing w:line="360" w:lineRule="auto"/>
        <w:ind w:firstLine="4620"/>
        <w:jc w:val="left"/>
        <w:rPr>
          <w:rFonts w:ascii="宋体" w:hAnsi="宋体" w:cs="宋体"/>
          <w:color w:val="auto"/>
          <w:highlight w:val="none"/>
        </w:rPr>
      </w:pPr>
      <w:r>
        <w:rPr>
          <w:rFonts w:hint="eastAsia" w:ascii="宋体" w:hAnsi="宋体" w:cs="宋体"/>
          <w:color w:val="auto"/>
          <w:highlight w:val="none"/>
        </w:rPr>
        <w:t>企业名称（盖章）：</w:t>
      </w:r>
    </w:p>
    <w:p w14:paraId="39C1C0DC">
      <w:pPr>
        <w:spacing w:line="360" w:lineRule="auto"/>
        <w:ind w:firstLine="4620"/>
        <w:jc w:val="left"/>
        <w:rPr>
          <w:rFonts w:ascii="宋体" w:hAnsi="宋体" w:cs="宋体"/>
          <w:color w:val="auto"/>
          <w:highlight w:val="none"/>
        </w:rPr>
      </w:pPr>
      <w:r>
        <w:rPr>
          <w:rFonts w:hint="eastAsia" w:ascii="宋体" w:hAnsi="宋体" w:cs="宋体"/>
          <w:color w:val="auto"/>
          <w:highlight w:val="none"/>
        </w:rPr>
        <w:t>日 期：</w:t>
      </w:r>
    </w:p>
    <w:p w14:paraId="07942DB9">
      <w:pPr>
        <w:spacing w:line="360" w:lineRule="auto"/>
        <w:ind w:firstLine="4620"/>
        <w:jc w:val="left"/>
        <w:rPr>
          <w:rFonts w:ascii="宋体" w:hAnsi="宋体" w:cs="宋体"/>
          <w:color w:val="auto"/>
          <w:highlight w:val="none"/>
        </w:rPr>
      </w:pPr>
    </w:p>
    <w:p w14:paraId="7D8E8A67">
      <w:pPr>
        <w:rPr>
          <w:rFonts w:ascii="宋体" w:hAnsi="宋体" w:cs="宋体"/>
          <w:color w:val="auto"/>
          <w:szCs w:val="21"/>
          <w:highlight w:val="none"/>
        </w:rPr>
      </w:pPr>
      <w:bookmarkStart w:id="38" w:name="_Toc109304977"/>
      <w:r>
        <w:rPr>
          <w:rFonts w:hint="eastAsia" w:ascii="宋体" w:hAnsi="宋体" w:cs="宋体"/>
          <w:color w:val="auto"/>
          <w:szCs w:val="21"/>
          <w:highlight w:val="none"/>
        </w:rPr>
        <w:br w:type="page"/>
      </w:r>
    </w:p>
    <w:p w14:paraId="5416ABC1">
      <w:pPr>
        <w:pStyle w:val="239"/>
        <w:widowControl/>
        <w:spacing w:before="300" w:after="300" w:line="360" w:lineRule="auto"/>
        <w:jc w:val="center"/>
        <w:rPr>
          <w:rFonts w:ascii="宋体" w:hAnsi="宋体" w:cs="宋体"/>
          <w:color w:val="auto"/>
          <w:sz w:val="21"/>
          <w:szCs w:val="21"/>
          <w:highlight w:val="none"/>
        </w:rPr>
      </w:pPr>
      <w:r>
        <w:rPr>
          <w:rFonts w:hint="eastAsia" w:ascii="宋体" w:hAnsi="宋体" w:cs="宋体"/>
          <w:bCs w:val="0"/>
          <w:color w:val="auto"/>
          <w:sz w:val="21"/>
          <w:szCs w:val="21"/>
          <w:highlight w:val="none"/>
        </w:rPr>
        <w:t>中小微企业划型标准</w:t>
      </w:r>
      <w:bookmarkEnd w:id="38"/>
      <w:r>
        <w:rPr>
          <w:rFonts w:hint="eastAsia" w:ascii="宋体" w:hAnsi="宋体" w:cs="宋体"/>
          <w:bCs w:val="0"/>
          <w:color w:val="auto"/>
          <w:sz w:val="21"/>
          <w:szCs w:val="21"/>
          <w:highlight w:val="none"/>
        </w:rPr>
        <w:t> </w:t>
      </w:r>
    </w:p>
    <w:p w14:paraId="028C580E">
      <w:pPr>
        <w:pStyle w:val="267"/>
        <w:widowControl/>
        <w:spacing w:before="300" w:after="452" w:line="360" w:lineRule="auto"/>
        <w:ind w:firstLine="420"/>
        <w:rPr>
          <w:rFonts w:ascii="宋体" w:hAnsi="宋体" w:cs="宋体"/>
          <w:color w:val="auto"/>
          <w:sz w:val="21"/>
          <w:szCs w:val="21"/>
          <w:highlight w:val="none"/>
        </w:rPr>
      </w:pPr>
      <w:r>
        <w:rPr>
          <w:rStyle w:val="270"/>
          <w:rFonts w:hint="eastAsia" w:ascii="宋体" w:hAnsi="宋体" w:cs="宋体"/>
          <w:color w:val="auto"/>
          <w:sz w:val="21"/>
          <w:szCs w:val="21"/>
          <w:highlight w:val="none"/>
        </w:rPr>
        <w:t>中小微企业划型标准如下：</w:t>
      </w:r>
    </w:p>
    <w:tbl>
      <w:tblPr>
        <w:tblStyle w:val="40"/>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top w:w="0" w:type="dxa"/>
          <w:left w:w="105" w:type="dxa"/>
          <w:bottom w:w="0" w:type="dxa"/>
          <w:right w:w="105" w:type="dxa"/>
        </w:tblCellMar>
      </w:tblPr>
      <w:tblGrid>
        <w:gridCol w:w="1335"/>
        <w:gridCol w:w="1604"/>
        <w:gridCol w:w="477"/>
        <w:gridCol w:w="1924"/>
        <w:gridCol w:w="1572"/>
        <w:gridCol w:w="1384"/>
      </w:tblGrid>
      <w:tr w14:paraId="75E91FC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jc w:val="center"/>
        </w:trPr>
        <w:tc>
          <w:tcPr>
            <w:tcW w:w="1325" w:type="dxa"/>
            <w:tcMar>
              <w:top w:w="0" w:type="dxa"/>
              <w:left w:w="105" w:type="dxa"/>
              <w:bottom w:w="0" w:type="dxa"/>
              <w:right w:w="105" w:type="dxa"/>
            </w:tcMar>
            <w:vAlign w:val="center"/>
          </w:tcPr>
          <w:p w14:paraId="74E45D42">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行业名称</w:t>
            </w:r>
          </w:p>
        </w:tc>
        <w:tc>
          <w:tcPr>
            <w:tcW w:w="1618" w:type="dxa"/>
            <w:tcMar>
              <w:top w:w="0" w:type="dxa"/>
              <w:left w:w="105" w:type="dxa"/>
              <w:bottom w:w="0" w:type="dxa"/>
              <w:right w:w="105" w:type="dxa"/>
            </w:tcMar>
            <w:vAlign w:val="center"/>
          </w:tcPr>
          <w:p w14:paraId="5B5105AF">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指标名称</w:t>
            </w:r>
          </w:p>
        </w:tc>
        <w:tc>
          <w:tcPr>
            <w:tcW w:w="448" w:type="dxa"/>
            <w:tcMar>
              <w:top w:w="0" w:type="dxa"/>
              <w:left w:w="105" w:type="dxa"/>
              <w:bottom w:w="0" w:type="dxa"/>
              <w:right w:w="105" w:type="dxa"/>
            </w:tcMar>
            <w:vAlign w:val="center"/>
          </w:tcPr>
          <w:p w14:paraId="356F526F">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计量单位</w:t>
            </w:r>
          </w:p>
        </w:tc>
        <w:tc>
          <w:tcPr>
            <w:tcW w:w="1949" w:type="dxa"/>
            <w:tcMar>
              <w:top w:w="0" w:type="dxa"/>
              <w:left w:w="105" w:type="dxa"/>
              <w:bottom w:w="0" w:type="dxa"/>
              <w:right w:w="105" w:type="dxa"/>
            </w:tcMar>
            <w:vAlign w:val="center"/>
          </w:tcPr>
          <w:p w14:paraId="6C2D85F4">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中型</w:t>
            </w:r>
          </w:p>
        </w:tc>
        <w:tc>
          <w:tcPr>
            <w:tcW w:w="1590" w:type="dxa"/>
            <w:tcMar>
              <w:top w:w="0" w:type="dxa"/>
              <w:left w:w="105" w:type="dxa"/>
              <w:bottom w:w="0" w:type="dxa"/>
              <w:right w:w="105" w:type="dxa"/>
            </w:tcMar>
            <w:vAlign w:val="center"/>
          </w:tcPr>
          <w:p w14:paraId="315E8EFC">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小型</w:t>
            </w:r>
          </w:p>
        </w:tc>
        <w:tc>
          <w:tcPr>
            <w:tcW w:w="1376" w:type="dxa"/>
            <w:tcMar>
              <w:top w:w="0" w:type="dxa"/>
              <w:left w:w="105" w:type="dxa"/>
              <w:bottom w:w="0" w:type="dxa"/>
              <w:right w:w="105" w:type="dxa"/>
            </w:tcMar>
            <w:vAlign w:val="center"/>
          </w:tcPr>
          <w:p w14:paraId="76CE3633">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微型</w:t>
            </w:r>
          </w:p>
        </w:tc>
      </w:tr>
      <w:tr w14:paraId="53F7AAB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tcMar>
              <w:top w:w="0" w:type="dxa"/>
              <w:left w:w="105" w:type="dxa"/>
              <w:bottom w:w="0" w:type="dxa"/>
              <w:right w:w="105" w:type="dxa"/>
            </w:tcMar>
            <w:vAlign w:val="center"/>
          </w:tcPr>
          <w:p w14:paraId="6AE8E102">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农、林、牧、渔</w:t>
            </w:r>
          </w:p>
        </w:tc>
        <w:tc>
          <w:tcPr>
            <w:tcW w:w="1618" w:type="dxa"/>
            <w:tcMar>
              <w:top w:w="0" w:type="dxa"/>
              <w:left w:w="105" w:type="dxa"/>
              <w:bottom w:w="0" w:type="dxa"/>
              <w:right w:w="105" w:type="dxa"/>
            </w:tcMar>
            <w:vAlign w:val="center"/>
          </w:tcPr>
          <w:p w14:paraId="3A480927">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1E890B34">
            <w:pPr>
              <w:pStyle w:val="267"/>
              <w:widowControl/>
              <w:spacing w:line="360" w:lineRule="auto"/>
              <w:rPr>
                <w:rFonts w:ascii="宋体" w:hAnsi="宋体" w:cs="宋体"/>
                <w:color w:val="auto"/>
                <w:sz w:val="21"/>
                <w:szCs w:val="21"/>
                <w:highlight w:val="none"/>
              </w:rPr>
            </w:pPr>
            <w:r>
              <w:rPr>
                <w:rStyle w:val="270"/>
                <w:rFonts w:hint="eastAsia" w:ascii="宋体" w:hAnsi="宋体" w:cs="宋体"/>
                <w:color w:val="auto"/>
                <w:sz w:val="21"/>
                <w:szCs w:val="21"/>
                <w:highlight w:val="none"/>
              </w:rPr>
              <w:t>万元</w:t>
            </w:r>
          </w:p>
        </w:tc>
        <w:tc>
          <w:tcPr>
            <w:tcW w:w="1949" w:type="dxa"/>
            <w:tcMar>
              <w:top w:w="0" w:type="dxa"/>
              <w:left w:w="105" w:type="dxa"/>
              <w:bottom w:w="0" w:type="dxa"/>
              <w:right w:w="105" w:type="dxa"/>
            </w:tcMar>
            <w:vAlign w:val="center"/>
          </w:tcPr>
          <w:p w14:paraId="254EF479">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500≤Y＜20000</w:t>
            </w:r>
          </w:p>
        </w:tc>
        <w:tc>
          <w:tcPr>
            <w:tcW w:w="1590" w:type="dxa"/>
            <w:tcMar>
              <w:top w:w="0" w:type="dxa"/>
              <w:left w:w="105" w:type="dxa"/>
              <w:bottom w:w="0" w:type="dxa"/>
              <w:right w:w="105" w:type="dxa"/>
            </w:tcMar>
            <w:vAlign w:val="center"/>
          </w:tcPr>
          <w:p w14:paraId="6174D9ED">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50≤Y＜500</w:t>
            </w:r>
          </w:p>
        </w:tc>
        <w:tc>
          <w:tcPr>
            <w:tcW w:w="1376" w:type="dxa"/>
            <w:tcMar>
              <w:top w:w="0" w:type="dxa"/>
              <w:left w:w="105" w:type="dxa"/>
              <w:bottom w:w="0" w:type="dxa"/>
              <w:right w:w="105" w:type="dxa"/>
            </w:tcMar>
            <w:vAlign w:val="center"/>
          </w:tcPr>
          <w:p w14:paraId="228225A7">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Y＜50</w:t>
            </w:r>
          </w:p>
        </w:tc>
      </w:tr>
      <w:tr w14:paraId="272C876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78C1D3AA">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工业</w:t>
            </w:r>
          </w:p>
        </w:tc>
        <w:tc>
          <w:tcPr>
            <w:tcW w:w="1618" w:type="dxa"/>
            <w:tcMar>
              <w:top w:w="0" w:type="dxa"/>
              <w:left w:w="105" w:type="dxa"/>
              <w:bottom w:w="0" w:type="dxa"/>
              <w:right w:w="105" w:type="dxa"/>
            </w:tcMar>
            <w:vAlign w:val="center"/>
          </w:tcPr>
          <w:p w14:paraId="1C9E45A5">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2D0C1745">
            <w:pPr>
              <w:pStyle w:val="267"/>
              <w:widowControl/>
              <w:spacing w:line="360" w:lineRule="auto"/>
              <w:rPr>
                <w:rFonts w:ascii="宋体" w:hAnsi="宋体" w:cs="宋体"/>
                <w:color w:val="auto"/>
                <w:sz w:val="21"/>
                <w:szCs w:val="21"/>
                <w:highlight w:val="none"/>
              </w:rPr>
            </w:pPr>
            <w:r>
              <w:rPr>
                <w:rStyle w:val="270"/>
                <w:rFonts w:hint="eastAsia" w:ascii="宋体" w:hAnsi="宋体" w:cs="宋体"/>
                <w:color w:val="auto"/>
                <w:sz w:val="21"/>
                <w:szCs w:val="21"/>
                <w:highlight w:val="none"/>
              </w:rPr>
              <w:t>人</w:t>
            </w:r>
          </w:p>
        </w:tc>
        <w:tc>
          <w:tcPr>
            <w:tcW w:w="1949" w:type="dxa"/>
            <w:tcMar>
              <w:top w:w="0" w:type="dxa"/>
              <w:left w:w="105" w:type="dxa"/>
              <w:bottom w:w="0" w:type="dxa"/>
              <w:right w:w="105" w:type="dxa"/>
            </w:tcMar>
            <w:vAlign w:val="center"/>
          </w:tcPr>
          <w:p w14:paraId="2AEE04A1">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300≤X＜1000</w:t>
            </w:r>
          </w:p>
        </w:tc>
        <w:tc>
          <w:tcPr>
            <w:tcW w:w="1590" w:type="dxa"/>
            <w:tcMar>
              <w:top w:w="0" w:type="dxa"/>
              <w:left w:w="105" w:type="dxa"/>
              <w:bottom w:w="0" w:type="dxa"/>
              <w:right w:w="105" w:type="dxa"/>
            </w:tcMar>
            <w:vAlign w:val="center"/>
          </w:tcPr>
          <w:p w14:paraId="6B3B3465">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20≤X＜300</w:t>
            </w:r>
          </w:p>
        </w:tc>
        <w:tc>
          <w:tcPr>
            <w:tcW w:w="1376" w:type="dxa"/>
            <w:tcMar>
              <w:top w:w="0" w:type="dxa"/>
              <w:left w:w="105" w:type="dxa"/>
              <w:bottom w:w="0" w:type="dxa"/>
              <w:right w:w="105" w:type="dxa"/>
            </w:tcMar>
            <w:vAlign w:val="center"/>
          </w:tcPr>
          <w:p w14:paraId="60C9C27D">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X＜20</w:t>
            </w:r>
          </w:p>
        </w:tc>
      </w:tr>
      <w:tr w14:paraId="5801FBC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63913EF8">
            <w:pPr>
              <w:widowControl/>
              <w:spacing w:line="360" w:lineRule="auto"/>
              <w:jc w:val="center"/>
              <w:rPr>
                <w:rFonts w:ascii="宋体" w:hAnsi="宋体" w:cs="宋体"/>
                <w:color w:val="auto"/>
                <w:szCs w:val="21"/>
                <w:highlight w:val="none"/>
              </w:rPr>
            </w:pPr>
          </w:p>
        </w:tc>
        <w:tc>
          <w:tcPr>
            <w:tcW w:w="1618" w:type="dxa"/>
            <w:tcMar>
              <w:top w:w="0" w:type="dxa"/>
              <w:left w:w="105" w:type="dxa"/>
              <w:bottom w:w="0" w:type="dxa"/>
              <w:right w:w="105" w:type="dxa"/>
            </w:tcMar>
            <w:vAlign w:val="center"/>
          </w:tcPr>
          <w:p w14:paraId="1FCB5D6E">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013C1710">
            <w:pPr>
              <w:pStyle w:val="267"/>
              <w:widowControl/>
              <w:spacing w:line="360" w:lineRule="auto"/>
              <w:rPr>
                <w:rFonts w:ascii="宋体" w:hAnsi="宋体" w:cs="宋体"/>
                <w:color w:val="auto"/>
                <w:sz w:val="21"/>
                <w:szCs w:val="21"/>
                <w:highlight w:val="none"/>
              </w:rPr>
            </w:pPr>
            <w:r>
              <w:rPr>
                <w:rStyle w:val="270"/>
                <w:rFonts w:hint="eastAsia" w:ascii="宋体" w:hAnsi="宋体" w:cs="宋体"/>
                <w:color w:val="auto"/>
                <w:sz w:val="21"/>
                <w:szCs w:val="21"/>
                <w:highlight w:val="none"/>
              </w:rPr>
              <w:t>万元</w:t>
            </w:r>
          </w:p>
        </w:tc>
        <w:tc>
          <w:tcPr>
            <w:tcW w:w="1949" w:type="dxa"/>
            <w:tcMar>
              <w:top w:w="0" w:type="dxa"/>
              <w:left w:w="105" w:type="dxa"/>
              <w:bottom w:w="0" w:type="dxa"/>
              <w:right w:w="105" w:type="dxa"/>
            </w:tcMar>
            <w:vAlign w:val="center"/>
          </w:tcPr>
          <w:p w14:paraId="4BA803E3">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2000≤Y＜40000</w:t>
            </w:r>
          </w:p>
        </w:tc>
        <w:tc>
          <w:tcPr>
            <w:tcW w:w="1590" w:type="dxa"/>
            <w:tcMar>
              <w:top w:w="0" w:type="dxa"/>
              <w:left w:w="105" w:type="dxa"/>
              <w:bottom w:w="0" w:type="dxa"/>
              <w:right w:w="105" w:type="dxa"/>
            </w:tcMar>
            <w:vAlign w:val="center"/>
          </w:tcPr>
          <w:p w14:paraId="37902099">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300≤Y＜2000</w:t>
            </w:r>
          </w:p>
        </w:tc>
        <w:tc>
          <w:tcPr>
            <w:tcW w:w="1376" w:type="dxa"/>
            <w:tcMar>
              <w:top w:w="0" w:type="dxa"/>
              <w:left w:w="105" w:type="dxa"/>
              <w:bottom w:w="0" w:type="dxa"/>
              <w:right w:w="105" w:type="dxa"/>
            </w:tcMar>
            <w:vAlign w:val="center"/>
          </w:tcPr>
          <w:p w14:paraId="17D117A0">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Y＜300</w:t>
            </w:r>
          </w:p>
        </w:tc>
      </w:tr>
      <w:tr w14:paraId="552631F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4956F048">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建筑业</w:t>
            </w:r>
          </w:p>
        </w:tc>
        <w:tc>
          <w:tcPr>
            <w:tcW w:w="1618" w:type="dxa"/>
            <w:tcMar>
              <w:top w:w="0" w:type="dxa"/>
              <w:left w:w="105" w:type="dxa"/>
              <w:bottom w:w="0" w:type="dxa"/>
              <w:right w:w="105" w:type="dxa"/>
            </w:tcMar>
            <w:vAlign w:val="center"/>
          </w:tcPr>
          <w:p w14:paraId="1F7EEA14">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0CFD4C23">
            <w:pPr>
              <w:pStyle w:val="267"/>
              <w:widowControl/>
              <w:spacing w:line="360" w:lineRule="auto"/>
              <w:rPr>
                <w:rFonts w:ascii="宋体" w:hAnsi="宋体" w:cs="宋体"/>
                <w:color w:val="auto"/>
                <w:sz w:val="21"/>
                <w:szCs w:val="21"/>
                <w:highlight w:val="none"/>
              </w:rPr>
            </w:pPr>
            <w:r>
              <w:rPr>
                <w:rStyle w:val="270"/>
                <w:rFonts w:hint="eastAsia" w:ascii="宋体" w:hAnsi="宋体" w:cs="宋体"/>
                <w:color w:val="auto"/>
                <w:sz w:val="21"/>
                <w:szCs w:val="21"/>
                <w:highlight w:val="none"/>
              </w:rPr>
              <w:t>万元</w:t>
            </w:r>
          </w:p>
        </w:tc>
        <w:tc>
          <w:tcPr>
            <w:tcW w:w="1949" w:type="dxa"/>
            <w:tcMar>
              <w:top w:w="0" w:type="dxa"/>
              <w:left w:w="105" w:type="dxa"/>
              <w:bottom w:w="0" w:type="dxa"/>
              <w:right w:w="105" w:type="dxa"/>
            </w:tcMar>
            <w:vAlign w:val="center"/>
          </w:tcPr>
          <w:p w14:paraId="5518528A">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6000≤Y＜80000</w:t>
            </w:r>
          </w:p>
        </w:tc>
        <w:tc>
          <w:tcPr>
            <w:tcW w:w="1590" w:type="dxa"/>
            <w:tcMar>
              <w:top w:w="0" w:type="dxa"/>
              <w:left w:w="105" w:type="dxa"/>
              <w:bottom w:w="0" w:type="dxa"/>
              <w:right w:w="105" w:type="dxa"/>
            </w:tcMar>
            <w:vAlign w:val="center"/>
          </w:tcPr>
          <w:p w14:paraId="63B8A9C5">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300≤Y＜6000</w:t>
            </w:r>
          </w:p>
        </w:tc>
        <w:tc>
          <w:tcPr>
            <w:tcW w:w="1376" w:type="dxa"/>
            <w:tcMar>
              <w:top w:w="0" w:type="dxa"/>
              <w:left w:w="105" w:type="dxa"/>
              <w:bottom w:w="0" w:type="dxa"/>
              <w:right w:w="105" w:type="dxa"/>
            </w:tcMar>
            <w:vAlign w:val="center"/>
          </w:tcPr>
          <w:p w14:paraId="7E3E2121">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Y＜300</w:t>
            </w:r>
          </w:p>
        </w:tc>
      </w:tr>
      <w:tr w14:paraId="3090E0C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329E0692">
            <w:pPr>
              <w:widowControl/>
              <w:spacing w:line="360" w:lineRule="auto"/>
              <w:jc w:val="center"/>
              <w:rPr>
                <w:rFonts w:ascii="宋体" w:hAnsi="宋体" w:cs="宋体"/>
                <w:color w:val="auto"/>
                <w:szCs w:val="21"/>
                <w:highlight w:val="none"/>
              </w:rPr>
            </w:pPr>
          </w:p>
        </w:tc>
        <w:tc>
          <w:tcPr>
            <w:tcW w:w="1618" w:type="dxa"/>
            <w:tcMar>
              <w:top w:w="0" w:type="dxa"/>
              <w:left w:w="105" w:type="dxa"/>
              <w:bottom w:w="0" w:type="dxa"/>
              <w:right w:w="105" w:type="dxa"/>
            </w:tcMar>
            <w:vAlign w:val="center"/>
          </w:tcPr>
          <w:p w14:paraId="46B08FE7">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资产总额（Z）</w:t>
            </w:r>
          </w:p>
        </w:tc>
        <w:tc>
          <w:tcPr>
            <w:tcW w:w="448" w:type="dxa"/>
            <w:tcMar>
              <w:top w:w="0" w:type="dxa"/>
              <w:left w:w="105" w:type="dxa"/>
              <w:bottom w:w="0" w:type="dxa"/>
              <w:right w:w="105" w:type="dxa"/>
            </w:tcMar>
            <w:vAlign w:val="center"/>
          </w:tcPr>
          <w:p w14:paraId="5A034BAF">
            <w:pPr>
              <w:pStyle w:val="267"/>
              <w:widowControl/>
              <w:spacing w:line="360" w:lineRule="auto"/>
              <w:rPr>
                <w:rFonts w:ascii="宋体" w:hAnsi="宋体" w:cs="宋体"/>
                <w:color w:val="auto"/>
                <w:sz w:val="21"/>
                <w:szCs w:val="21"/>
                <w:highlight w:val="none"/>
              </w:rPr>
            </w:pPr>
            <w:r>
              <w:rPr>
                <w:rStyle w:val="270"/>
                <w:rFonts w:hint="eastAsia" w:ascii="宋体" w:hAnsi="宋体" w:cs="宋体"/>
                <w:color w:val="auto"/>
                <w:sz w:val="21"/>
                <w:szCs w:val="21"/>
                <w:highlight w:val="none"/>
              </w:rPr>
              <w:t>万元</w:t>
            </w:r>
          </w:p>
        </w:tc>
        <w:tc>
          <w:tcPr>
            <w:tcW w:w="1949" w:type="dxa"/>
            <w:tcMar>
              <w:top w:w="0" w:type="dxa"/>
              <w:left w:w="105" w:type="dxa"/>
              <w:bottom w:w="0" w:type="dxa"/>
              <w:right w:w="105" w:type="dxa"/>
            </w:tcMar>
            <w:vAlign w:val="center"/>
          </w:tcPr>
          <w:p w14:paraId="6089DC3E">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5000≤Z＜80000</w:t>
            </w:r>
          </w:p>
        </w:tc>
        <w:tc>
          <w:tcPr>
            <w:tcW w:w="1590" w:type="dxa"/>
            <w:tcMar>
              <w:top w:w="0" w:type="dxa"/>
              <w:left w:w="105" w:type="dxa"/>
              <w:bottom w:w="0" w:type="dxa"/>
              <w:right w:w="105" w:type="dxa"/>
            </w:tcMar>
            <w:vAlign w:val="center"/>
          </w:tcPr>
          <w:p w14:paraId="0CBCA5BA">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300≤Z＜5000</w:t>
            </w:r>
          </w:p>
        </w:tc>
        <w:tc>
          <w:tcPr>
            <w:tcW w:w="1376" w:type="dxa"/>
            <w:tcMar>
              <w:top w:w="0" w:type="dxa"/>
              <w:left w:w="105" w:type="dxa"/>
              <w:bottom w:w="0" w:type="dxa"/>
              <w:right w:w="105" w:type="dxa"/>
            </w:tcMar>
            <w:vAlign w:val="center"/>
          </w:tcPr>
          <w:p w14:paraId="661E5A1A">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Z＜300</w:t>
            </w:r>
          </w:p>
        </w:tc>
      </w:tr>
      <w:tr w14:paraId="18C8961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6AAB9AF6">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批发业</w:t>
            </w:r>
          </w:p>
        </w:tc>
        <w:tc>
          <w:tcPr>
            <w:tcW w:w="1618" w:type="dxa"/>
            <w:tcMar>
              <w:top w:w="0" w:type="dxa"/>
              <w:left w:w="105" w:type="dxa"/>
              <w:bottom w:w="0" w:type="dxa"/>
              <w:right w:w="105" w:type="dxa"/>
            </w:tcMar>
            <w:vAlign w:val="center"/>
          </w:tcPr>
          <w:p w14:paraId="028F3EEE">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133789E5">
            <w:pPr>
              <w:pStyle w:val="267"/>
              <w:widowControl/>
              <w:spacing w:line="360" w:lineRule="auto"/>
              <w:rPr>
                <w:rFonts w:ascii="宋体" w:hAnsi="宋体" w:cs="宋体"/>
                <w:color w:val="auto"/>
                <w:sz w:val="21"/>
                <w:szCs w:val="21"/>
                <w:highlight w:val="none"/>
              </w:rPr>
            </w:pPr>
            <w:r>
              <w:rPr>
                <w:rStyle w:val="270"/>
                <w:rFonts w:hint="eastAsia" w:ascii="宋体" w:hAnsi="宋体" w:cs="宋体"/>
                <w:color w:val="auto"/>
                <w:sz w:val="21"/>
                <w:szCs w:val="21"/>
                <w:highlight w:val="none"/>
              </w:rPr>
              <w:t>人</w:t>
            </w:r>
          </w:p>
        </w:tc>
        <w:tc>
          <w:tcPr>
            <w:tcW w:w="1949" w:type="dxa"/>
            <w:tcMar>
              <w:top w:w="0" w:type="dxa"/>
              <w:left w:w="105" w:type="dxa"/>
              <w:bottom w:w="0" w:type="dxa"/>
              <w:right w:w="105" w:type="dxa"/>
            </w:tcMar>
            <w:vAlign w:val="center"/>
          </w:tcPr>
          <w:p w14:paraId="71E1F6CE">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20≤X＜200</w:t>
            </w:r>
          </w:p>
        </w:tc>
        <w:tc>
          <w:tcPr>
            <w:tcW w:w="1590" w:type="dxa"/>
            <w:tcMar>
              <w:top w:w="0" w:type="dxa"/>
              <w:left w:w="105" w:type="dxa"/>
              <w:bottom w:w="0" w:type="dxa"/>
              <w:right w:w="105" w:type="dxa"/>
            </w:tcMar>
            <w:vAlign w:val="center"/>
          </w:tcPr>
          <w:p w14:paraId="33E241E5">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5≤X＜20</w:t>
            </w:r>
          </w:p>
        </w:tc>
        <w:tc>
          <w:tcPr>
            <w:tcW w:w="1376" w:type="dxa"/>
            <w:tcMar>
              <w:top w:w="0" w:type="dxa"/>
              <w:left w:w="105" w:type="dxa"/>
              <w:bottom w:w="0" w:type="dxa"/>
              <w:right w:w="105" w:type="dxa"/>
            </w:tcMar>
            <w:vAlign w:val="center"/>
          </w:tcPr>
          <w:p w14:paraId="7C8ACD70">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X＜5</w:t>
            </w:r>
          </w:p>
        </w:tc>
      </w:tr>
      <w:tr w14:paraId="16DDB18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20D11989">
            <w:pPr>
              <w:widowControl/>
              <w:spacing w:line="360" w:lineRule="auto"/>
              <w:jc w:val="center"/>
              <w:rPr>
                <w:rFonts w:ascii="宋体" w:hAnsi="宋体" w:cs="宋体"/>
                <w:color w:val="auto"/>
                <w:szCs w:val="21"/>
                <w:highlight w:val="none"/>
              </w:rPr>
            </w:pPr>
          </w:p>
        </w:tc>
        <w:tc>
          <w:tcPr>
            <w:tcW w:w="1618" w:type="dxa"/>
            <w:tcMar>
              <w:top w:w="0" w:type="dxa"/>
              <w:left w:w="105" w:type="dxa"/>
              <w:bottom w:w="0" w:type="dxa"/>
              <w:right w:w="105" w:type="dxa"/>
            </w:tcMar>
            <w:vAlign w:val="center"/>
          </w:tcPr>
          <w:p w14:paraId="56B91592">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78BB6C7F">
            <w:pPr>
              <w:pStyle w:val="267"/>
              <w:widowControl/>
              <w:spacing w:line="360" w:lineRule="auto"/>
              <w:rPr>
                <w:rFonts w:ascii="宋体" w:hAnsi="宋体" w:cs="宋体"/>
                <w:color w:val="auto"/>
                <w:sz w:val="21"/>
                <w:szCs w:val="21"/>
                <w:highlight w:val="none"/>
              </w:rPr>
            </w:pPr>
            <w:r>
              <w:rPr>
                <w:rStyle w:val="270"/>
                <w:rFonts w:hint="eastAsia" w:ascii="宋体" w:hAnsi="宋体" w:cs="宋体"/>
                <w:color w:val="auto"/>
                <w:sz w:val="21"/>
                <w:szCs w:val="21"/>
                <w:highlight w:val="none"/>
              </w:rPr>
              <w:t>万元</w:t>
            </w:r>
          </w:p>
        </w:tc>
        <w:tc>
          <w:tcPr>
            <w:tcW w:w="1949" w:type="dxa"/>
            <w:tcMar>
              <w:top w:w="0" w:type="dxa"/>
              <w:left w:w="105" w:type="dxa"/>
              <w:bottom w:w="0" w:type="dxa"/>
              <w:right w:w="105" w:type="dxa"/>
            </w:tcMar>
            <w:vAlign w:val="center"/>
          </w:tcPr>
          <w:p w14:paraId="0CEA0DE0">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5000≤Y＜40000</w:t>
            </w:r>
          </w:p>
        </w:tc>
        <w:tc>
          <w:tcPr>
            <w:tcW w:w="1590" w:type="dxa"/>
            <w:tcMar>
              <w:top w:w="0" w:type="dxa"/>
              <w:left w:w="105" w:type="dxa"/>
              <w:bottom w:w="0" w:type="dxa"/>
              <w:right w:w="105" w:type="dxa"/>
            </w:tcMar>
            <w:vAlign w:val="center"/>
          </w:tcPr>
          <w:p w14:paraId="3F64A939">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1000≤Y＜5000</w:t>
            </w:r>
          </w:p>
        </w:tc>
        <w:tc>
          <w:tcPr>
            <w:tcW w:w="1376" w:type="dxa"/>
            <w:tcMar>
              <w:top w:w="0" w:type="dxa"/>
              <w:left w:w="105" w:type="dxa"/>
              <w:bottom w:w="0" w:type="dxa"/>
              <w:right w:w="105" w:type="dxa"/>
            </w:tcMar>
            <w:vAlign w:val="center"/>
          </w:tcPr>
          <w:p w14:paraId="27A92BDF">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Y＜1000</w:t>
            </w:r>
          </w:p>
        </w:tc>
      </w:tr>
      <w:tr w14:paraId="209A3E2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49C6458A">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零售业</w:t>
            </w:r>
          </w:p>
        </w:tc>
        <w:tc>
          <w:tcPr>
            <w:tcW w:w="1618" w:type="dxa"/>
            <w:tcMar>
              <w:top w:w="0" w:type="dxa"/>
              <w:left w:w="105" w:type="dxa"/>
              <w:bottom w:w="0" w:type="dxa"/>
              <w:right w:w="105" w:type="dxa"/>
            </w:tcMar>
            <w:vAlign w:val="center"/>
          </w:tcPr>
          <w:p w14:paraId="75ED79CD">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2B333A3B">
            <w:pPr>
              <w:pStyle w:val="267"/>
              <w:widowControl/>
              <w:spacing w:line="360" w:lineRule="auto"/>
              <w:rPr>
                <w:rFonts w:ascii="宋体" w:hAnsi="宋体" w:cs="宋体"/>
                <w:color w:val="auto"/>
                <w:sz w:val="21"/>
                <w:szCs w:val="21"/>
                <w:highlight w:val="none"/>
              </w:rPr>
            </w:pPr>
            <w:r>
              <w:rPr>
                <w:rStyle w:val="270"/>
                <w:rFonts w:hint="eastAsia" w:ascii="宋体" w:hAnsi="宋体" w:cs="宋体"/>
                <w:color w:val="auto"/>
                <w:sz w:val="21"/>
                <w:szCs w:val="21"/>
                <w:highlight w:val="none"/>
              </w:rPr>
              <w:t>人</w:t>
            </w:r>
          </w:p>
        </w:tc>
        <w:tc>
          <w:tcPr>
            <w:tcW w:w="1949" w:type="dxa"/>
            <w:tcMar>
              <w:top w:w="0" w:type="dxa"/>
              <w:left w:w="105" w:type="dxa"/>
              <w:bottom w:w="0" w:type="dxa"/>
              <w:right w:w="105" w:type="dxa"/>
            </w:tcMar>
            <w:vAlign w:val="center"/>
          </w:tcPr>
          <w:p w14:paraId="3D685CF2">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50≤X＜300</w:t>
            </w:r>
          </w:p>
        </w:tc>
        <w:tc>
          <w:tcPr>
            <w:tcW w:w="1590" w:type="dxa"/>
            <w:tcMar>
              <w:top w:w="0" w:type="dxa"/>
              <w:left w:w="105" w:type="dxa"/>
              <w:bottom w:w="0" w:type="dxa"/>
              <w:right w:w="105" w:type="dxa"/>
            </w:tcMar>
            <w:vAlign w:val="center"/>
          </w:tcPr>
          <w:p w14:paraId="161B2510">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10≤X＜50</w:t>
            </w:r>
          </w:p>
        </w:tc>
        <w:tc>
          <w:tcPr>
            <w:tcW w:w="1376" w:type="dxa"/>
            <w:tcMar>
              <w:top w:w="0" w:type="dxa"/>
              <w:left w:w="105" w:type="dxa"/>
              <w:bottom w:w="0" w:type="dxa"/>
              <w:right w:w="105" w:type="dxa"/>
            </w:tcMar>
            <w:vAlign w:val="center"/>
          </w:tcPr>
          <w:p w14:paraId="0FC43D75">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X＜10</w:t>
            </w:r>
          </w:p>
        </w:tc>
      </w:tr>
      <w:tr w14:paraId="057A613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4378EC2B">
            <w:pPr>
              <w:widowControl/>
              <w:spacing w:line="360" w:lineRule="auto"/>
              <w:jc w:val="center"/>
              <w:rPr>
                <w:rFonts w:ascii="宋体" w:hAnsi="宋体" w:cs="宋体"/>
                <w:color w:val="auto"/>
                <w:szCs w:val="21"/>
                <w:highlight w:val="none"/>
              </w:rPr>
            </w:pPr>
          </w:p>
        </w:tc>
        <w:tc>
          <w:tcPr>
            <w:tcW w:w="1618" w:type="dxa"/>
            <w:tcMar>
              <w:top w:w="0" w:type="dxa"/>
              <w:left w:w="105" w:type="dxa"/>
              <w:bottom w:w="0" w:type="dxa"/>
              <w:right w:w="105" w:type="dxa"/>
            </w:tcMar>
            <w:vAlign w:val="center"/>
          </w:tcPr>
          <w:p w14:paraId="5B5D470C">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4BDC4EAC">
            <w:pPr>
              <w:pStyle w:val="267"/>
              <w:widowControl/>
              <w:spacing w:line="360" w:lineRule="auto"/>
              <w:rPr>
                <w:rFonts w:ascii="宋体" w:hAnsi="宋体" w:cs="宋体"/>
                <w:color w:val="auto"/>
                <w:sz w:val="21"/>
                <w:szCs w:val="21"/>
                <w:highlight w:val="none"/>
              </w:rPr>
            </w:pPr>
            <w:r>
              <w:rPr>
                <w:rStyle w:val="270"/>
                <w:rFonts w:hint="eastAsia" w:ascii="宋体" w:hAnsi="宋体" w:cs="宋体"/>
                <w:color w:val="auto"/>
                <w:sz w:val="21"/>
                <w:szCs w:val="21"/>
                <w:highlight w:val="none"/>
              </w:rPr>
              <w:t>万元</w:t>
            </w:r>
          </w:p>
        </w:tc>
        <w:tc>
          <w:tcPr>
            <w:tcW w:w="1949" w:type="dxa"/>
            <w:tcMar>
              <w:top w:w="0" w:type="dxa"/>
              <w:left w:w="105" w:type="dxa"/>
              <w:bottom w:w="0" w:type="dxa"/>
              <w:right w:w="105" w:type="dxa"/>
            </w:tcMar>
            <w:vAlign w:val="center"/>
          </w:tcPr>
          <w:p w14:paraId="121AA13A">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500≤Y＜20000</w:t>
            </w:r>
          </w:p>
        </w:tc>
        <w:tc>
          <w:tcPr>
            <w:tcW w:w="1590" w:type="dxa"/>
            <w:tcMar>
              <w:top w:w="0" w:type="dxa"/>
              <w:left w:w="105" w:type="dxa"/>
              <w:bottom w:w="0" w:type="dxa"/>
              <w:right w:w="105" w:type="dxa"/>
            </w:tcMar>
            <w:vAlign w:val="center"/>
          </w:tcPr>
          <w:p w14:paraId="35E7E043">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100≤Y＜500</w:t>
            </w:r>
          </w:p>
        </w:tc>
        <w:tc>
          <w:tcPr>
            <w:tcW w:w="1376" w:type="dxa"/>
            <w:tcMar>
              <w:top w:w="0" w:type="dxa"/>
              <w:left w:w="105" w:type="dxa"/>
              <w:bottom w:w="0" w:type="dxa"/>
              <w:right w:w="105" w:type="dxa"/>
            </w:tcMar>
            <w:vAlign w:val="center"/>
          </w:tcPr>
          <w:p w14:paraId="6DD3B4D5">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Y＜100</w:t>
            </w:r>
          </w:p>
        </w:tc>
      </w:tr>
      <w:tr w14:paraId="06B45DB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007A55D9">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交通运输业</w:t>
            </w:r>
          </w:p>
        </w:tc>
        <w:tc>
          <w:tcPr>
            <w:tcW w:w="1618" w:type="dxa"/>
            <w:tcMar>
              <w:top w:w="0" w:type="dxa"/>
              <w:left w:w="105" w:type="dxa"/>
              <w:bottom w:w="0" w:type="dxa"/>
              <w:right w:w="105" w:type="dxa"/>
            </w:tcMar>
            <w:vAlign w:val="center"/>
          </w:tcPr>
          <w:p w14:paraId="4E7CF936">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3C36F80B">
            <w:pPr>
              <w:pStyle w:val="267"/>
              <w:widowControl/>
              <w:spacing w:line="360" w:lineRule="auto"/>
              <w:rPr>
                <w:rFonts w:ascii="宋体" w:hAnsi="宋体" w:cs="宋体"/>
                <w:color w:val="auto"/>
                <w:sz w:val="21"/>
                <w:szCs w:val="21"/>
                <w:highlight w:val="none"/>
              </w:rPr>
            </w:pPr>
            <w:r>
              <w:rPr>
                <w:rStyle w:val="270"/>
                <w:rFonts w:hint="eastAsia" w:ascii="宋体" w:hAnsi="宋体" w:cs="宋体"/>
                <w:color w:val="auto"/>
                <w:sz w:val="21"/>
                <w:szCs w:val="21"/>
                <w:highlight w:val="none"/>
              </w:rPr>
              <w:t>人</w:t>
            </w:r>
          </w:p>
        </w:tc>
        <w:tc>
          <w:tcPr>
            <w:tcW w:w="1949" w:type="dxa"/>
            <w:tcMar>
              <w:top w:w="0" w:type="dxa"/>
              <w:left w:w="105" w:type="dxa"/>
              <w:bottom w:w="0" w:type="dxa"/>
              <w:right w:w="105" w:type="dxa"/>
            </w:tcMar>
            <w:vAlign w:val="center"/>
          </w:tcPr>
          <w:p w14:paraId="6E6C699E">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300≤X＜1000</w:t>
            </w:r>
          </w:p>
        </w:tc>
        <w:tc>
          <w:tcPr>
            <w:tcW w:w="1590" w:type="dxa"/>
            <w:tcMar>
              <w:top w:w="0" w:type="dxa"/>
              <w:left w:w="105" w:type="dxa"/>
              <w:bottom w:w="0" w:type="dxa"/>
              <w:right w:w="105" w:type="dxa"/>
            </w:tcMar>
            <w:vAlign w:val="center"/>
          </w:tcPr>
          <w:p w14:paraId="3812E897">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20≤X＜300</w:t>
            </w:r>
          </w:p>
        </w:tc>
        <w:tc>
          <w:tcPr>
            <w:tcW w:w="1376" w:type="dxa"/>
            <w:tcMar>
              <w:top w:w="0" w:type="dxa"/>
              <w:left w:w="105" w:type="dxa"/>
              <w:bottom w:w="0" w:type="dxa"/>
              <w:right w:w="105" w:type="dxa"/>
            </w:tcMar>
            <w:vAlign w:val="center"/>
          </w:tcPr>
          <w:p w14:paraId="082BDD37">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X＜20</w:t>
            </w:r>
          </w:p>
        </w:tc>
      </w:tr>
      <w:tr w14:paraId="270B24B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649E1BE5">
            <w:pPr>
              <w:widowControl/>
              <w:spacing w:line="360" w:lineRule="auto"/>
              <w:jc w:val="center"/>
              <w:rPr>
                <w:rFonts w:ascii="宋体" w:hAnsi="宋体" w:cs="宋体"/>
                <w:color w:val="auto"/>
                <w:szCs w:val="21"/>
                <w:highlight w:val="none"/>
              </w:rPr>
            </w:pPr>
          </w:p>
        </w:tc>
        <w:tc>
          <w:tcPr>
            <w:tcW w:w="1618" w:type="dxa"/>
            <w:tcMar>
              <w:top w:w="0" w:type="dxa"/>
              <w:left w:w="105" w:type="dxa"/>
              <w:bottom w:w="0" w:type="dxa"/>
              <w:right w:w="105" w:type="dxa"/>
            </w:tcMar>
            <w:vAlign w:val="center"/>
          </w:tcPr>
          <w:p w14:paraId="4D2CD203">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76974BDC">
            <w:pPr>
              <w:pStyle w:val="267"/>
              <w:widowControl/>
              <w:spacing w:line="360" w:lineRule="auto"/>
              <w:rPr>
                <w:rFonts w:ascii="宋体" w:hAnsi="宋体" w:cs="宋体"/>
                <w:color w:val="auto"/>
                <w:sz w:val="21"/>
                <w:szCs w:val="21"/>
                <w:highlight w:val="none"/>
              </w:rPr>
            </w:pPr>
            <w:r>
              <w:rPr>
                <w:rStyle w:val="270"/>
                <w:rFonts w:hint="eastAsia" w:ascii="宋体" w:hAnsi="宋体" w:cs="宋体"/>
                <w:color w:val="auto"/>
                <w:sz w:val="21"/>
                <w:szCs w:val="21"/>
                <w:highlight w:val="none"/>
              </w:rPr>
              <w:t>万元</w:t>
            </w:r>
          </w:p>
        </w:tc>
        <w:tc>
          <w:tcPr>
            <w:tcW w:w="1949" w:type="dxa"/>
            <w:tcMar>
              <w:top w:w="0" w:type="dxa"/>
              <w:left w:w="105" w:type="dxa"/>
              <w:bottom w:w="0" w:type="dxa"/>
              <w:right w:w="105" w:type="dxa"/>
            </w:tcMar>
            <w:vAlign w:val="center"/>
          </w:tcPr>
          <w:p w14:paraId="78ECDD13">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3000≤Y＜30000</w:t>
            </w:r>
          </w:p>
        </w:tc>
        <w:tc>
          <w:tcPr>
            <w:tcW w:w="1590" w:type="dxa"/>
            <w:tcMar>
              <w:top w:w="0" w:type="dxa"/>
              <w:left w:w="105" w:type="dxa"/>
              <w:bottom w:w="0" w:type="dxa"/>
              <w:right w:w="105" w:type="dxa"/>
            </w:tcMar>
            <w:vAlign w:val="center"/>
          </w:tcPr>
          <w:p w14:paraId="2B5970DC">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200≤Y＜3000</w:t>
            </w:r>
          </w:p>
        </w:tc>
        <w:tc>
          <w:tcPr>
            <w:tcW w:w="1376" w:type="dxa"/>
            <w:tcMar>
              <w:top w:w="0" w:type="dxa"/>
              <w:left w:w="105" w:type="dxa"/>
              <w:bottom w:w="0" w:type="dxa"/>
              <w:right w:w="105" w:type="dxa"/>
            </w:tcMar>
            <w:vAlign w:val="center"/>
          </w:tcPr>
          <w:p w14:paraId="0CCCBD37">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Y＜200</w:t>
            </w:r>
          </w:p>
        </w:tc>
      </w:tr>
      <w:tr w14:paraId="0CA8951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14C81C5A">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仓储业</w:t>
            </w:r>
          </w:p>
        </w:tc>
        <w:tc>
          <w:tcPr>
            <w:tcW w:w="1618" w:type="dxa"/>
            <w:tcMar>
              <w:top w:w="0" w:type="dxa"/>
              <w:left w:w="105" w:type="dxa"/>
              <w:bottom w:w="0" w:type="dxa"/>
              <w:right w:w="105" w:type="dxa"/>
            </w:tcMar>
            <w:vAlign w:val="center"/>
          </w:tcPr>
          <w:p w14:paraId="45A2E5FA">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6A386B1F">
            <w:pPr>
              <w:pStyle w:val="267"/>
              <w:widowControl/>
              <w:spacing w:line="360" w:lineRule="auto"/>
              <w:rPr>
                <w:rFonts w:ascii="宋体" w:hAnsi="宋体" w:cs="宋体"/>
                <w:color w:val="auto"/>
                <w:sz w:val="21"/>
                <w:szCs w:val="21"/>
                <w:highlight w:val="none"/>
              </w:rPr>
            </w:pPr>
            <w:r>
              <w:rPr>
                <w:rStyle w:val="270"/>
                <w:rFonts w:hint="eastAsia" w:ascii="宋体" w:hAnsi="宋体" w:cs="宋体"/>
                <w:color w:val="auto"/>
                <w:sz w:val="21"/>
                <w:szCs w:val="21"/>
                <w:highlight w:val="none"/>
              </w:rPr>
              <w:t>人</w:t>
            </w:r>
          </w:p>
        </w:tc>
        <w:tc>
          <w:tcPr>
            <w:tcW w:w="1949" w:type="dxa"/>
            <w:tcMar>
              <w:top w:w="0" w:type="dxa"/>
              <w:left w:w="105" w:type="dxa"/>
              <w:bottom w:w="0" w:type="dxa"/>
              <w:right w:w="105" w:type="dxa"/>
            </w:tcMar>
            <w:vAlign w:val="center"/>
          </w:tcPr>
          <w:p w14:paraId="09072520">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100≤X＜200</w:t>
            </w:r>
          </w:p>
        </w:tc>
        <w:tc>
          <w:tcPr>
            <w:tcW w:w="1590" w:type="dxa"/>
            <w:tcMar>
              <w:top w:w="0" w:type="dxa"/>
              <w:left w:w="105" w:type="dxa"/>
              <w:bottom w:w="0" w:type="dxa"/>
              <w:right w:w="105" w:type="dxa"/>
            </w:tcMar>
            <w:vAlign w:val="center"/>
          </w:tcPr>
          <w:p w14:paraId="4D01C308">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20≤X＜100</w:t>
            </w:r>
          </w:p>
        </w:tc>
        <w:tc>
          <w:tcPr>
            <w:tcW w:w="1376" w:type="dxa"/>
            <w:tcMar>
              <w:top w:w="0" w:type="dxa"/>
              <w:left w:w="105" w:type="dxa"/>
              <w:bottom w:w="0" w:type="dxa"/>
              <w:right w:w="105" w:type="dxa"/>
            </w:tcMar>
            <w:vAlign w:val="center"/>
          </w:tcPr>
          <w:p w14:paraId="03B23950">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X＜20</w:t>
            </w:r>
          </w:p>
        </w:tc>
      </w:tr>
      <w:tr w14:paraId="75B35AA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444A6B05">
            <w:pPr>
              <w:widowControl/>
              <w:spacing w:line="360" w:lineRule="auto"/>
              <w:jc w:val="center"/>
              <w:rPr>
                <w:rFonts w:ascii="宋体" w:hAnsi="宋体" w:cs="宋体"/>
                <w:color w:val="auto"/>
                <w:szCs w:val="21"/>
                <w:highlight w:val="none"/>
              </w:rPr>
            </w:pPr>
          </w:p>
        </w:tc>
        <w:tc>
          <w:tcPr>
            <w:tcW w:w="1618" w:type="dxa"/>
            <w:tcMar>
              <w:top w:w="0" w:type="dxa"/>
              <w:left w:w="105" w:type="dxa"/>
              <w:bottom w:w="0" w:type="dxa"/>
              <w:right w:w="105" w:type="dxa"/>
            </w:tcMar>
            <w:vAlign w:val="center"/>
          </w:tcPr>
          <w:p w14:paraId="1F63EBF3">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6DC52854">
            <w:pPr>
              <w:pStyle w:val="267"/>
              <w:widowControl/>
              <w:spacing w:line="360" w:lineRule="auto"/>
              <w:rPr>
                <w:rFonts w:ascii="宋体" w:hAnsi="宋体" w:cs="宋体"/>
                <w:color w:val="auto"/>
                <w:sz w:val="21"/>
                <w:szCs w:val="21"/>
                <w:highlight w:val="none"/>
              </w:rPr>
            </w:pPr>
            <w:r>
              <w:rPr>
                <w:rStyle w:val="270"/>
                <w:rFonts w:hint="eastAsia" w:ascii="宋体" w:hAnsi="宋体" w:cs="宋体"/>
                <w:color w:val="auto"/>
                <w:sz w:val="21"/>
                <w:szCs w:val="21"/>
                <w:highlight w:val="none"/>
              </w:rPr>
              <w:t>万元</w:t>
            </w:r>
          </w:p>
        </w:tc>
        <w:tc>
          <w:tcPr>
            <w:tcW w:w="1949" w:type="dxa"/>
            <w:tcMar>
              <w:top w:w="0" w:type="dxa"/>
              <w:left w:w="105" w:type="dxa"/>
              <w:bottom w:w="0" w:type="dxa"/>
              <w:right w:w="105" w:type="dxa"/>
            </w:tcMar>
            <w:vAlign w:val="center"/>
          </w:tcPr>
          <w:p w14:paraId="70A54C1D">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1000≤Y＜30000</w:t>
            </w:r>
          </w:p>
        </w:tc>
        <w:tc>
          <w:tcPr>
            <w:tcW w:w="1590" w:type="dxa"/>
            <w:tcMar>
              <w:top w:w="0" w:type="dxa"/>
              <w:left w:w="105" w:type="dxa"/>
              <w:bottom w:w="0" w:type="dxa"/>
              <w:right w:w="105" w:type="dxa"/>
            </w:tcMar>
            <w:vAlign w:val="center"/>
          </w:tcPr>
          <w:p w14:paraId="09F8C730">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100≤Y＜1000</w:t>
            </w:r>
          </w:p>
        </w:tc>
        <w:tc>
          <w:tcPr>
            <w:tcW w:w="1376" w:type="dxa"/>
            <w:tcMar>
              <w:top w:w="0" w:type="dxa"/>
              <w:left w:w="105" w:type="dxa"/>
              <w:bottom w:w="0" w:type="dxa"/>
              <w:right w:w="105" w:type="dxa"/>
            </w:tcMar>
            <w:vAlign w:val="center"/>
          </w:tcPr>
          <w:p w14:paraId="2F7284A7">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Y＜100</w:t>
            </w:r>
          </w:p>
        </w:tc>
      </w:tr>
      <w:tr w14:paraId="25246D2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4F544F4E">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邮政业</w:t>
            </w:r>
          </w:p>
        </w:tc>
        <w:tc>
          <w:tcPr>
            <w:tcW w:w="1618" w:type="dxa"/>
            <w:tcMar>
              <w:top w:w="0" w:type="dxa"/>
              <w:left w:w="105" w:type="dxa"/>
              <w:bottom w:w="0" w:type="dxa"/>
              <w:right w:w="105" w:type="dxa"/>
            </w:tcMar>
            <w:vAlign w:val="center"/>
          </w:tcPr>
          <w:p w14:paraId="13B2D213">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35887BCD">
            <w:pPr>
              <w:pStyle w:val="267"/>
              <w:widowControl/>
              <w:spacing w:line="360" w:lineRule="auto"/>
              <w:rPr>
                <w:rFonts w:ascii="宋体" w:hAnsi="宋体" w:cs="宋体"/>
                <w:color w:val="auto"/>
                <w:sz w:val="21"/>
                <w:szCs w:val="21"/>
                <w:highlight w:val="none"/>
              </w:rPr>
            </w:pPr>
            <w:r>
              <w:rPr>
                <w:rStyle w:val="270"/>
                <w:rFonts w:hint="eastAsia" w:ascii="宋体" w:hAnsi="宋体" w:cs="宋体"/>
                <w:color w:val="auto"/>
                <w:sz w:val="21"/>
                <w:szCs w:val="21"/>
                <w:highlight w:val="none"/>
              </w:rPr>
              <w:t>人</w:t>
            </w:r>
          </w:p>
        </w:tc>
        <w:tc>
          <w:tcPr>
            <w:tcW w:w="1949" w:type="dxa"/>
            <w:tcMar>
              <w:top w:w="0" w:type="dxa"/>
              <w:left w:w="105" w:type="dxa"/>
              <w:bottom w:w="0" w:type="dxa"/>
              <w:right w:w="105" w:type="dxa"/>
            </w:tcMar>
            <w:vAlign w:val="center"/>
          </w:tcPr>
          <w:p w14:paraId="3BCEBA20">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300≤X＜1000</w:t>
            </w:r>
          </w:p>
        </w:tc>
        <w:tc>
          <w:tcPr>
            <w:tcW w:w="1590" w:type="dxa"/>
            <w:tcMar>
              <w:top w:w="0" w:type="dxa"/>
              <w:left w:w="105" w:type="dxa"/>
              <w:bottom w:w="0" w:type="dxa"/>
              <w:right w:w="105" w:type="dxa"/>
            </w:tcMar>
            <w:vAlign w:val="center"/>
          </w:tcPr>
          <w:p w14:paraId="19861B0D">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20≤X＜300</w:t>
            </w:r>
          </w:p>
        </w:tc>
        <w:tc>
          <w:tcPr>
            <w:tcW w:w="1376" w:type="dxa"/>
            <w:tcMar>
              <w:top w:w="0" w:type="dxa"/>
              <w:left w:w="105" w:type="dxa"/>
              <w:bottom w:w="0" w:type="dxa"/>
              <w:right w:w="105" w:type="dxa"/>
            </w:tcMar>
            <w:vAlign w:val="center"/>
          </w:tcPr>
          <w:p w14:paraId="3CE5329C">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X＜20</w:t>
            </w:r>
          </w:p>
        </w:tc>
      </w:tr>
      <w:tr w14:paraId="41937BE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7DAB37E6">
            <w:pPr>
              <w:widowControl/>
              <w:spacing w:line="360" w:lineRule="auto"/>
              <w:jc w:val="center"/>
              <w:rPr>
                <w:rFonts w:ascii="宋体" w:hAnsi="宋体" w:cs="宋体"/>
                <w:color w:val="auto"/>
                <w:szCs w:val="21"/>
                <w:highlight w:val="none"/>
              </w:rPr>
            </w:pPr>
          </w:p>
        </w:tc>
        <w:tc>
          <w:tcPr>
            <w:tcW w:w="1618" w:type="dxa"/>
            <w:tcMar>
              <w:top w:w="0" w:type="dxa"/>
              <w:left w:w="105" w:type="dxa"/>
              <w:bottom w:w="0" w:type="dxa"/>
              <w:right w:w="105" w:type="dxa"/>
            </w:tcMar>
            <w:vAlign w:val="center"/>
          </w:tcPr>
          <w:p w14:paraId="07C7D4F0">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3FB9FE41">
            <w:pPr>
              <w:pStyle w:val="267"/>
              <w:widowControl/>
              <w:spacing w:line="360" w:lineRule="auto"/>
              <w:rPr>
                <w:rFonts w:ascii="宋体" w:hAnsi="宋体" w:cs="宋体"/>
                <w:color w:val="auto"/>
                <w:sz w:val="21"/>
                <w:szCs w:val="21"/>
                <w:highlight w:val="none"/>
              </w:rPr>
            </w:pPr>
            <w:r>
              <w:rPr>
                <w:rStyle w:val="270"/>
                <w:rFonts w:hint="eastAsia" w:ascii="宋体" w:hAnsi="宋体" w:cs="宋体"/>
                <w:color w:val="auto"/>
                <w:sz w:val="21"/>
                <w:szCs w:val="21"/>
                <w:highlight w:val="none"/>
              </w:rPr>
              <w:t>万元</w:t>
            </w:r>
          </w:p>
        </w:tc>
        <w:tc>
          <w:tcPr>
            <w:tcW w:w="1949" w:type="dxa"/>
            <w:tcMar>
              <w:top w:w="0" w:type="dxa"/>
              <w:left w:w="105" w:type="dxa"/>
              <w:bottom w:w="0" w:type="dxa"/>
              <w:right w:w="105" w:type="dxa"/>
            </w:tcMar>
            <w:vAlign w:val="center"/>
          </w:tcPr>
          <w:p w14:paraId="173A5CE2">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2000≤Y＜30000</w:t>
            </w:r>
          </w:p>
        </w:tc>
        <w:tc>
          <w:tcPr>
            <w:tcW w:w="1590" w:type="dxa"/>
            <w:tcMar>
              <w:top w:w="0" w:type="dxa"/>
              <w:left w:w="105" w:type="dxa"/>
              <w:bottom w:w="0" w:type="dxa"/>
              <w:right w:w="105" w:type="dxa"/>
            </w:tcMar>
            <w:vAlign w:val="center"/>
          </w:tcPr>
          <w:p w14:paraId="64170BBC">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100≤Y＜2000</w:t>
            </w:r>
          </w:p>
        </w:tc>
        <w:tc>
          <w:tcPr>
            <w:tcW w:w="1376" w:type="dxa"/>
            <w:tcMar>
              <w:top w:w="0" w:type="dxa"/>
              <w:left w:w="105" w:type="dxa"/>
              <w:bottom w:w="0" w:type="dxa"/>
              <w:right w:w="105" w:type="dxa"/>
            </w:tcMar>
            <w:vAlign w:val="center"/>
          </w:tcPr>
          <w:p w14:paraId="723F311C">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Y＜100</w:t>
            </w:r>
          </w:p>
        </w:tc>
      </w:tr>
      <w:tr w14:paraId="5EEC2D0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2EE8A7E9">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住宿业</w:t>
            </w:r>
          </w:p>
        </w:tc>
        <w:tc>
          <w:tcPr>
            <w:tcW w:w="1618" w:type="dxa"/>
            <w:tcMar>
              <w:top w:w="0" w:type="dxa"/>
              <w:left w:w="105" w:type="dxa"/>
              <w:bottom w:w="0" w:type="dxa"/>
              <w:right w:w="105" w:type="dxa"/>
            </w:tcMar>
            <w:vAlign w:val="center"/>
          </w:tcPr>
          <w:p w14:paraId="781BF3C1">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3F1FA2EB">
            <w:pPr>
              <w:pStyle w:val="267"/>
              <w:widowControl/>
              <w:spacing w:line="360" w:lineRule="auto"/>
              <w:rPr>
                <w:rFonts w:ascii="宋体" w:hAnsi="宋体" w:cs="宋体"/>
                <w:color w:val="auto"/>
                <w:sz w:val="21"/>
                <w:szCs w:val="21"/>
                <w:highlight w:val="none"/>
              </w:rPr>
            </w:pPr>
            <w:r>
              <w:rPr>
                <w:rStyle w:val="270"/>
                <w:rFonts w:hint="eastAsia" w:ascii="宋体" w:hAnsi="宋体" w:cs="宋体"/>
                <w:color w:val="auto"/>
                <w:sz w:val="21"/>
                <w:szCs w:val="21"/>
                <w:highlight w:val="none"/>
              </w:rPr>
              <w:t>人</w:t>
            </w:r>
          </w:p>
        </w:tc>
        <w:tc>
          <w:tcPr>
            <w:tcW w:w="1949" w:type="dxa"/>
            <w:tcMar>
              <w:top w:w="0" w:type="dxa"/>
              <w:left w:w="105" w:type="dxa"/>
              <w:bottom w:w="0" w:type="dxa"/>
              <w:right w:w="105" w:type="dxa"/>
            </w:tcMar>
            <w:vAlign w:val="center"/>
          </w:tcPr>
          <w:p w14:paraId="1F11A00F">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100≤X＜300</w:t>
            </w:r>
          </w:p>
        </w:tc>
        <w:tc>
          <w:tcPr>
            <w:tcW w:w="1590" w:type="dxa"/>
            <w:tcMar>
              <w:top w:w="0" w:type="dxa"/>
              <w:left w:w="105" w:type="dxa"/>
              <w:bottom w:w="0" w:type="dxa"/>
              <w:right w:w="105" w:type="dxa"/>
            </w:tcMar>
            <w:vAlign w:val="center"/>
          </w:tcPr>
          <w:p w14:paraId="689D45BA">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10≤X＜100</w:t>
            </w:r>
          </w:p>
        </w:tc>
        <w:tc>
          <w:tcPr>
            <w:tcW w:w="1376" w:type="dxa"/>
            <w:tcMar>
              <w:top w:w="0" w:type="dxa"/>
              <w:left w:w="105" w:type="dxa"/>
              <w:bottom w:w="0" w:type="dxa"/>
              <w:right w:w="105" w:type="dxa"/>
            </w:tcMar>
            <w:vAlign w:val="center"/>
          </w:tcPr>
          <w:p w14:paraId="584FD148">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X＜10</w:t>
            </w:r>
          </w:p>
        </w:tc>
      </w:tr>
      <w:tr w14:paraId="1B0DCED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3BE308C2">
            <w:pPr>
              <w:widowControl/>
              <w:spacing w:line="360" w:lineRule="auto"/>
              <w:jc w:val="center"/>
              <w:rPr>
                <w:rFonts w:ascii="宋体" w:hAnsi="宋体" w:cs="宋体"/>
                <w:color w:val="auto"/>
                <w:szCs w:val="21"/>
                <w:highlight w:val="none"/>
              </w:rPr>
            </w:pPr>
          </w:p>
        </w:tc>
        <w:tc>
          <w:tcPr>
            <w:tcW w:w="1618" w:type="dxa"/>
            <w:tcMar>
              <w:top w:w="0" w:type="dxa"/>
              <w:left w:w="105" w:type="dxa"/>
              <w:bottom w:w="0" w:type="dxa"/>
              <w:right w:w="105" w:type="dxa"/>
            </w:tcMar>
            <w:vAlign w:val="center"/>
          </w:tcPr>
          <w:p w14:paraId="02CE9877">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59B351C0">
            <w:pPr>
              <w:pStyle w:val="267"/>
              <w:widowControl/>
              <w:spacing w:line="360" w:lineRule="auto"/>
              <w:rPr>
                <w:rFonts w:ascii="宋体" w:hAnsi="宋体" w:cs="宋体"/>
                <w:color w:val="auto"/>
                <w:sz w:val="21"/>
                <w:szCs w:val="21"/>
                <w:highlight w:val="none"/>
              </w:rPr>
            </w:pPr>
            <w:r>
              <w:rPr>
                <w:rStyle w:val="270"/>
                <w:rFonts w:hint="eastAsia" w:ascii="宋体" w:hAnsi="宋体" w:cs="宋体"/>
                <w:color w:val="auto"/>
                <w:sz w:val="21"/>
                <w:szCs w:val="21"/>
                <w:highlight w:val="none"/>
              </w:rPr>
              <w:t>万元</w:t>
            </w:r>
          </w:p>
        </w:tc>
        <w:tc>
          <w:tcPr>
            <w:tcW w:w="1949" w:type="dxa"/>
            <w:tcMar>
              <w:top w:w="0" w:type="dxa"/>
              <w:left w:w="105" w:type="dxa"/>
              <w:bottom w:w="0" w:type="dxa"/>
              <w:right w:w="105" w:type="dxa"/>
            </w:tcMar>
            <w:vAlign w:val="center"/>
          </w:tcPr>
          <w:p w14:paraId="6FF3D42C">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2000≤Y＜10000</w:t>
            </w:r>
          </w:p>
        </w:tc>
        <w:tc>
          <w:tcPr>
            <w:tcW w:w="1590" w:type="dxa"/>
            <w:tcMar>
              <w:top w:w="0" w:type="dxa"/>
              <w:left w:w="105" w:type="dxa"/>
              <w:bottom w:w="0" w:type="dxa"/>
              <w:right w:w="105" w:type="dxa"/>
            </w:tcMar>
            <w:vAlign w:val="center"/>
          </w:tcPr>
          <w:p w14:paraId="2B2FE54E">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100≤Y＜2000</w:t>
            </w:r>
          </w:p>
        </w:tc>
        <w:tc>
          <w:tcPr>
            <w:tcW w:w="1376" w:type="dxa"/>
            <w:tcMar>
              <w:top w:w="0" w:type="dxa"/>
              <w:left w:w="105" w:type="dxa"/>
              <w:bottom w:w="0" w:type="dxa"/>
              <w:right w:w="105" w:type="dxa"/>
            </w:tcMar>
            <w:vAlign w:val="center"/>
          </w:tcPr>
          <w:p w14:paraId="1EBA2130">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Y＜100</w:t>
            </w:r>
          </w:p>
        </w:tc>
      </w:tr>
      <w:tr w14:paraId="08CAA54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7B92E7F6">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餐饮业</w:t>
            </w:r>
          </w:p>
        </w:tc>
        <w:tc>
          <w:tcPr>
            <w:tcW w:w="1618" w:type="dxa"/>
            <w:tcMar>
              <w:top w:w="0" w:type="dxa"/>
              <w:left w:w="105" w:type="dxa"/>
              <w:bottom w:w="0" w:type="dxa"/>
              <w:right w:w="105" w:type="dxa"/>
            </w:tcMar>
            <w:vAlign w:val="center"/>
          </w:tcPr>
          <w:p w14:paraId="15B9387F">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7342607A">
            <w:pPr>
              <w:pStyle w:val="267"/>
              <w:widowControl/>
              <w:spacing w:line="360" w:lineRule="auto"/>
              <w:rPr>
                <w:rFonts w:ascii="宋体" w:hAnsi="宋体" w:cs="宋体"/>
                <w:color w:val="auto"/>
                <w:sz w:val="21"/>
                <w:szCs w:val="21"/>
                <w:highlight w:val="none"/>
              </w:rPr>
            </w:pPr>
            <w:r>
              <w:rPr>
                <w:rStyle w:val="270"/>
                <w:rFonts w:hint="eastAsia" w:ascii="宋体" w:hAnsi="宋体" w:cs="宋体"/>
                <w:color w:val="auto"/>
                <w:sz w:val="21"/>
                <w:szCs w:val="21"/>
                <w:highlight w:val="none"/>
              </w:rPr>
              <w:t>人</w:t>
            </w:r>
          </w:p>
        </w:tc>
        <w:tc>
          <w:tcPr>
            <w:tcW w:w="1949" w:type="dxa"/>
            <w:tcMar>
              <w:top w:w="0" w:type="dxa"/>
              <w:left w:w="105" w:type="dxa"/>
              <w:bottom w:w="0" w:type="dxa"/>
              <w:right w:w="105" w:type="dxa"/>
            </w:tcMar>
            <w:vAlign w:val="center"/>
          </w:tcPr>
          <w:p w14:paraId="301697CC">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100≤X＜300</w:t>
            </w:r>
          </w:p>
        </w:tc>
        <w:tc>
          <w:tcPr>
            <w:tcW w:w="1590" w:type="dxa"/>
            <w:tcMar>
              <w:top w:w="0" w:type="dxa"/>
              <w:left w:w="105" w:type="dxa"/>
              <w:bottom w:w="0" w:type="dxa"/>
              <w:right w:w="105" w:type="dxa"/>
            </w:tcMar>
            <w:vAlign w:val="center"/>
          </w:tcPr>
          <w:p w14:paraId="44C12D9D">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10≤X＜100</w:t>
            </w:r>
          </w:p>
        </w:tc>
        <w:tc>
          <w:tcPr>
            <w:tcW w:w="1376" w:type="dxa"/>
            <w:tcMar>
              <w:top w:w="0" w:type="dxa"/>
              <w:left w:w="105" w:type="dxa"/>
              <w:bottom w:w="0" w:type="dxa"/>
              <w:right w:w="105" w:type="dxa"/>
            </w:tcMar>
            <w:vAlign w:val="center"/>
          </w:tcPr>
          <w:p w14:paraId="293E7C59">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X＜10</w:t>
            </w:r>
          </w:p>
        </w:tc>
      </w:tr>
      <w:tr w14:paraId="6C15171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2D8410A2">
            <w:pPr>
              <w:widowControl/>
              <w:spacing w:line="360" w:lineRule="auto"/>
              <w:jc w:val="center"/>
              <w:rPr>
                <w:rFonts w:ascii="宋体" w:hAnsi="宋体" w:cs="宋体"/>
                <w:color w:val="auto"/>
                <w:szCs w:val="21"/>
                <w:highlight w:val="none"/>
              </w:rPr>
            </w:pPr>
          </w:p>
        </w:tc>
        <w:tc>
          <w:tcPr>
            <w:tcW w:w="1618" w:type="dxa"/>
            <w:tcMar>
              <w:top w:w="0" w:type="dxa"/>
              <w:left w:w="105" w:type="dxa"/>
              <w:bottom w:w="0" w:type="dxa"/>
              <w:right w:w="105" w:type="dxa"/>
            </w:tcMar>
            <w:vAlign w:val="center"/>
          </w:tcPr>
          <w:p w14:paraId="012146F1">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7F75CBEC">
            <w:pPr>
              <w:pStyle w:val="267"/>
              <w:widowControl/>
              <w:spacing w:line="360" w:lineRule="auto"/>
              <w:rPr>
                <w:rFonts w:ascii="宋体" w:hAnsi="宋体" w:cs="宋体"/>
                <w:color w:val="auto"/>
                <w:sz w:val="21"/>
                <w:szCs w:val="21"/>
                <w:highlight w:val="none"/>
              </w:rPr>
            </w:pPr>
            <w:r>
              <w:rPr>
                <w:rStyle w:val="270"/>
                <w:rFonts w:hint="eastAsia" w:ascii="宋体" w:hAnsi="宋体" w:cs="宋体"/>
                <w:color w:val="auto"/>
                <w:sz w:val="21"/>
                <w:szCs w:val="21"/>
                <w:highlight w:val="none"/>
              </w:rPr>
              <w:t>万元</w:t>
            </w:r>
          </w:p>
        </w:tc>
        <w:tc>
          <w:tcPr>
            <w:tcW w:w="1949" w:type="dxa"/>
            <w:tcMar>
              <w:top w:w="0" w:type="dxa"/>
              <w:left w:w="105" w:type="dxa"/>
              <w:bottom w:w="0" w:type="dxa"/>
              <w:right w:w="105" w:type="dxa"/>
            </w:tcMar>
            <w:vAlign w:val="center"/>
          </w:tcPr>
          <w:p w14:paraId="5CD52EF3">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2000≤Y＜10000</w:t>
            </w:r>
          </w:p>
        </w:tc>
        <w:tc>
          <w:tcPr>
            <w:tcW w:w="1590" w:type="dxa"/>
            <w:tcMar>
              <w:top w:w="0" w:type="dxa"/>
              <w:left w:w="105" w:type="dxa"/>
              <w:bottom w:w="0" w:type="dxa"/>
              <w:right w:w="105" w:type="dxa"/>
            </w:tcMar>
            <w:vAlign w:val="center"/>
          </w:tcPr>
          <w:p w14:paraId="6994B82E">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100≤Y＜2000</w:t>
            </w:r>
          </w:p>
        </w:tc>
        <w:tc>
          <w:tcPr>
            <w:tcW w:w="1376" w:type="dxa"/>
            <w:tcMar>
              <w:top w:w="0" w:type="dxa"/>
              <w:left w:w="105" w:type="dxa"/>
              <w:bottom w:w="0" w:type="dxa"/>
              <w:right w:w="105" w:type="dxa"/>
            </w:tcMar>
            <w:vAlign w:val="center"/>
          </w:tcPr>
          <w:p w14:paraId="7AD50E0E">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Y＜100</w:t>
            </w:r>
          </w:p>
        </w:tc>
      </w:tr>
      <w:tr w14:paraId="232E609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51731446">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信息传输业</w:t>
            </w:r>
          </w:p>
        </w:tc>
        <w:tc>
          <w:tcPr>
            <w:tcW w:w="1618" w:type="dxa"/>
            <w:tcMar>
              <w:top w:w="0" w:type="dxa"/>
              <w:left w:w="105" w:type="dxa"/>
              <w:bottom w:w="0" w:type="dxa"/>
              <w:right w:w="105" w:type="dxa"/>
            </w:tcMar>
            <w:vAlign w:val="center"/>
          </w:tcPr>
          <w:p w14:paraId="3E7BD533">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54CE687F">
            <w:pPr>
              <w:pStyle w:val="267"/>
              <w:widowControl/>
              <w:spacing w:line="360" w:lineRule="auto"/>
              <w:rPr>
                <w:rFonts w:ascii="宋体" w:hAnsi="宋体" w:cs="宋体"/>
                <w:color w:val="auto"/>
                <w:sz w:val="21"/>
                <w:szCs w:val="21"/>
                <w:highlight w:val="none"/>
              </w:rPr>
            </w:pPr>
            <w:r>
              <w:rPr>
                <w:rStyle w:val="270"/>
                <w:rFonts w:hint="eastAsia" w:ascii="宋体" w:hAnsi="宋体" w:cs="宋体"/>
                <w:color w:val="auto"/>
                <w:sz w:val="21"/>
                <w:szCs w:val="21"/>
                <w:highlight w:val="none"/>
              </w:rPr>
              <w:t>人</w:t>
            </w:r>
          </w:p>
        </w:tc>
        <w:tc>
          <w:tcPr>
            <w:tcW w:w="1949" w:type="dxa"/>
            <w:tcMar>
              <w:top w:w="0" w:type="dxa"/>
              <w:left w:w="105" w:type="dxa"/>
              <w:bottom w:w="0" w:type="dxa"/>
              <w:right w:w="105" w:type="dxa"/>
            </w:tcMar>
            <w:vAlign w:val="center"/>
          </w:tcPr>
          <w:p w14:paraId="226428C6">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100≤X＜2000</w:t>
            </w:r>
          </w:p>
        </w:tc>
        <w:tc>
          <w:tcPr>
            <w:tcW w:w="1590" w:type="dxa"/>
            <w:tcMar>
              <w:top w:w="0" w:type="dxa"/>
              <w:left w:w="105" w:type="dxa"/>
              <w:bottom w:w="0" w:type="dxa"/>
              <w:right w:w="105" w:type="dxa"/>
            </w:tcMar>
            <w:vAlign w:val="center"/>
          </w:tcPr>
          <w:p w14:paraId="0217F634">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10≤X＜100</w:t>
            </w:r>
          </w:p>
        </w:tc>
        <w:tc>
          <w:tcPr>
            <w:tcW w:w="1376" w:type="dxa"/>
            <w:tcMar>
              <w:top w:w="0" w:type="dxa"/>
              <w:left w:w="105" w:type="dxa"/>
              <w:bottom w:w="0" w:type="dxa"/>
              <w:right w:w="105" w:type="dxa"/>
            </w:tcMar>
            <w:vAlign w:val="center"/>
          </w:tcPr>
          <w:p w14:paraId="07FDA935">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X＜10</w:t>
            </w:r>
          </w:p>
        </w:tc>
      </w:tr>
      <w:tr w14:paraId="52E3514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1E41F54F">
            <w:pPr>
              <w:widowControl/>
              <w:spacing w:line="360" w:lineRule="auto"/>
              <w:jc w:val="center"/>
              <w:rPr>
                <w:rFonts w:ascii="宋体" w:hAnsi="宋体" w:cs="宋体"/>
                <w:color w:val="auto"/>
                <w:szCs w:val="21"/>
                <w:highlight w:val="none"/>
              </w:rPr>
            </w:pPr>
          </w:p>
        </w:tc>
        <w:tc>
          <w:tcPr>
            <w:tcW w:w="1618" w:type="dxa"/>
            <w:tcMar>
              <w:top w:w="0" w:type="dxa"/>
              <w:left w:w="105" w:type="dxa"/>
              <w:bottom w:w="0" w:type="dxa"/>
              <w:right w:w="105" w:type="dxa"/>
            </w:tcMar>
            <w:vAlign w:val="center"/>
          </w:tcPr>
          <w:p w14:paraId="5D0F3D91">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6D0A32AD">
            <w:pPr>
              <w:pStyle w:val="267"/>
              <w:widowControl/>
              <w:spacing w:line="360" w:lineRule="auto"/>
              <w:rPr>
                <w:rFonts w:ascii="宋体" w:hAnsi="宋体" w:cs="宋体"/>
                <w:color w:val="auto"/>
                <w:sz w:val="21"/>
                <w:szCs w:val="21"/>
                <w:highlight w:val="none"/>
              </w:rPr>
            </w:pPr>
            <w:r>
              <w:rPr>
                <w:rStyle w:val="270"/>
                <w:rFonts w:hint="eastAsia" w:ascii="宋体" w:hAnsi="宋体" w:cs="宋体"/>
                <w:color w:val="auto"/>
                <w:sz w:val="21"/>
                <w:szCs w:val="21"/>
                <w:highlight w:val="none"/>
              </w:rPr>
              <w:t>万元</w:t>
            </w:r>
          </w:p>
        </w:tc>
        <w:tc>
          <w:tcPr>
            <w:tcW w:w="1949" w:type="dxa"/>
            <w:tcMar>
              <w:top w:w="0" w:type="dxa"/>
              <w:left w:w="105" w:type="dxa"/>
              <w:bottom w:w="0" w:type="dxa"/>
              <w:right w:w="105" w:type="dxa"/>
            </w:tcMar>
            <w:vAlign w:val="center"/>
          </w:tcPr>
          <w:p w14:paraId="671F83C6">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1000≤Y＜100000</w:t>
            </w:r>
          </w:p>
        </w:tc>
        <w:tc>
          <w:tcPr>
            <w:tcW w:w="1590" w:type="dxa"/>
            <w:tcMar>
              <w:top w:w="0" w:type="dxa"/>
              <w:left w:w="105" w:type="dxa"/>
              <w:bottom w:w="0" w:type="dxa"/>
              <w:right w:w="105" w:type="dxa"/>
            </w:tcMar>
            <w:vAlign w:val="center"/>
          </w:tcPr>
          <w:p w14:paraId="7D730B0B">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100≤Y＜1000</w:t>
            </w:r>
          </w:p>
        </w:tc>
        <w:tc>
          <w:tcPr>
            <w:tcW w:w="1376" w:type="dxa"/>
            <w:tcMar>
              <w:top w:w="0" w:type="dxa"/>
              <w:left w:w="105" w:type="dxa"/>
              <w:bottom w:w="0" w:type="dxa"/>
              <w:right w:w="105" w:type="dxa"/>
            </w:tcMar>
            <w:vAlign w:val="center"/>
          </w:tcPr>
          <w:p w14:paraId="34ED2B2A">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Y＜100</w:t>
            </w:r>
          </w:p>
        </w:tc>
      </w:tr>
      <w:tr w14:paraId="2FF1D1C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4FB72CA1">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软件和信息技术服务业</w:t>
            </w:r>
          </w:p>
        </w:tc>
        <w:tc>
          <w:tcPr>
            <w:tcW w:w="1618" w:type="dxa"/>
            <w:tcMar>
              <w:top w:w="0" w:type="dxa"/>
              <w:left w:w="105" w:type="dxa"/>
              <w:bottom w:w="0" w:type="dxa"/>
              <w:right w:w="105" w:type="dxa"/>
            </w:tcMar>
            <w:vAlign w:val="center"/>
          </w:tcPr>
          <w:p w14:paraId="6C57B5CC">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4517B8E7">
            <w:pPr>
              <w:pStyle w:val="267"/>
              <w:widowControl/>
              <w:spacing w:line="360" w:lineRule="auto"/>
              <w:rPr>
                <w:rFonts w:ascii="宋体" w:hAnsi="宋体" w:cs="宋体"/>
                <w:color w:val="auto"/>
                <w:sz w:val="21"/>
                <w:szCs w:val="21"/>
                <w:highlight w:val="none"/>
              </w:rPr>
            </w:pPr>
            <w:r>
              <w:rPr>
                <w:rStyle w:val="270"/>
                <w:rFonts w:hint="eastAsia" w:ascii="宋体" w:hAnsi="宋体" w:cs="宋体"/>
                <w:color w:val="auto"/>
                <w:sz w:val="21"/>
                <w:szCs w:val="21"/>
                <w:highlight w:val="none"/>
              </w:rPr>
              <w:t>人</w:t>
            </w:r>
          </w:p>
        </w:tc>
        <w:tc>
          <w:tcPr>
            <w:tcW w:w="1949" w:type="dxa"/>
            <w:tcMar>
              <w:top w:w="0" w:type="dxa"/>
              <w:left w:w="105" w:type="dxa"/>
              <w:bottom w:w="0" w:type="dxa"/>
              <w:right w:w="105" w:type="dxa"/>
            </w:tcMar>
            <w:vAlign w:val="center"/>
          </w:tcPr>
          <w:p w14:paraId="459EB9C5">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100≤X＜300</w:t>
            </w:r>
          </w:p>
        </w:tc>
        <w:tc>
          <w:tcPr>
            <w:tcW w:w="1590" w:type="dxa"/>
            <w:tcMar>
              <w:top w:w="0" w:type="dxa"/>
              <w:left w:w="105" w:type="dxa"/>
              <w:bottom w:w="0" w:type="dxa"/>
              <w:right w:w="105" w:type="dxa"/>
            </w:tcMar>
            <w:vAlign w:val="center"/>
          </w:tcPr>
          <w:p w14:paraId="2E3E17B3">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10≤X＜100</w:t>
            </w:r>
          </w:p>
        </w:tc>
        <w:tc>
          <w:tcPr>
            <w:tcW w:w="1376" w:type="dxa"/>
            <w:tcMar>
              <w:top w:w="0" w:type="dxa"/>
              <w:left w:w="105" w:type="dxa"/>
              <w:bottom w:w="0" w:type="dxa"/>
              <w:right w:w="105" w:type="dxa"/>
            </w:tcMar>
            <w:vAlign w:val="center"/>
          </w:tcPr>
          <w:p w14:paraId="61B8B63A">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X＜10</w:t>
            </w:r>
          </w:p>
        </w:tc>
      </w:tr>
      <w:tr w14:paraId="322905F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5B7CF15C">
            <w:pPr>
              <w:widowControl/>
              <w:spacing w:line="360" w:lineRule="auto"/>
              <w:jc w:val="center"/>
              <w:rPr>
                <w:rFonts w:ascii="宋体" w:hAnsi="宋体" w:cs="宋体"/>
                <w:color w:val="auto"/>
                <w:szCs w:val="21"/>
                <w:highlight w:val="none"/>
              </w:rPr>
            </w:pPr>
          </w:p>
        </w:tc>
        <w:tc>
          <w:tcPr>
            <w:tcW w:w="1618" w:type="dxa"/>
            <w:tcMar>
              <w:top w:w="0" w:type="dxa"/>
              <w:left w:w="105" w:type="dxa"/>
              <w:bottom w:w="0" w:type="dxa"/>
              <w:right w:w="105" w:type="dxa"/>
            </w:tcMar>
            <w:vAlign w:val="center"/>
          </w:tcPr>
          <w:p w14:paraId="49C6319E">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4D8BD011">
            <w:pPr>
              <w:pStyle w:val="267"/>
              <w:widowControl/>
              <w:spacing w:line="360" w:lineRule="auto"/>
              <w:rPr>
                <w:rFonts w:ascii="宋体" w:hAnsi="宋体" w:cs="宋体"/>
                <w:color w:val="auto"/>
                <w:sz w:val="21"/>
                <w:szCs w:val="21"/>
                <w:highlight w:val="none"/>
              </w:rPr>
            </w:pPr>
            <w:r>
              <w:rPr>
                <w:rStyle w:val="270"/>
                <w:rFonts w:hint="eastAsia" w:ascii="宋体" w:hAnsi="宋体" w:cs="宋体"/>
                <w:color w:val="auto"/>
                <w:sz w:val="21"/>
                <w:szCs w:val="21"/>
                <w:highlight w:val="none"/>
              </w:rPr>
              <w:t>万元</w:t>
            </w:r>
          </w:p>
        </w:tc>
        <w:tc>
          <w:tcPr>
            <w:tcW w:w="1949" w:type="dxa"/>
            <w:tcMar>
              <w:top w:w="0" w:type="dxa"/>
              <w:left w:w="105" w:type="dxa"/>
              <w:bottom w:w="0" w:type="dxa"/>
              <w:right w:w="105" w:type="dxa"/>
            </w:tcMar>
            <w:vAlign w:val="center"/>
          </w:tcPr>
          <w:p w14:paraId="51431255">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1000≤Y＜10000</w:t>
            </w:r>
          </w:p>
        </w:tc>
        <w:tc>
          <w:tcPr>
            <w:tcW w:w="1590" w:type="dxa"/>
            <w:tcMar>
              <w:top w:w="0" w:type="dxa"/>
              <w:left w:w="105" w:type="dxa"/>
              <w:bottom w:w="0" w:type="dxa"/>
              <w:right w:w="105" w:type="dxa"/>
            </w:tcMar>
            <w:vAlign w:val="center"/>
          </w:tcPr>
          <w:p w14:paraId="5172F30F">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50≤Y＜1000</w:t>
            </w:r>
          </w:p>
        </w:tc>
        <w:tc>
          <w:tcPr>
            <w:tcW w:w="1376" w:type="dxa"/>
            <w:tcMar>
              <w:top w:w="0" w:type="dxa"/>
              <w:left w:w="105" w:type="dxa"/>
              <w:bottom w:w="0" w:type="dxa"/>
              <w:right w:w="105" w:type="dxa"/>
            </w:tcMar>
            <w:vAlign w:val="center"/>
          </w:tcPr>
          <w:p w14:paraId="037735A6">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Y＜50</w:t>
            </w:r>
          </w:p>
        </w:tc>
      </w:tr>
      <w:tr w14:paraId="2B808C0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65CC6927">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房地产开发经营</w:t>
            </w:r>
          </w:p>
        </w:tc>
        <w:tc>
          <w:tcPr>
            <w:tcW w:w="1618" w:type="dxa"/>
            <w:tcMar>
              <w:top w:w="0" w:type="dxa"/>
              <w:left w:w="105" w:type="dxa"/>
              <w:bottom w:w="0" w:type="dxa"/>
              <w:right w:w="105" w:type="dxa"/>
            </w:tcMar>
            <w:vAlign w:val="center"/>
          </w:tcPr>
          <w:p w14:paraId="4CC61BFA">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4E1A8512">
            <w:pPr>
              <w:pStyle w:val="267"/>
              <w:widowControl/>
              <w:spacing w:line="360" w:lineRule="auto"/>
              <w:rPr>
                <w:rFonts w:ascii="宋体" w:hAnsi="宋体" w:cs="宋体"/>
                <w:color w:val="auto"/>
                <w:sz w:val="21"/>
                <w:szCs w:val="21"/>
                <w:highlight w:val="none"/>
              </w:rPr>
            </w:pPr>
            <w:r>
              <w:rPr>
                <w:rStyle w:val="270"/>
                <w:rFonts w:hint="eastAsia" w:ascii="宋体" w:hAnsi="宋体" w:cs="宋体"/>
                <w:color w:val="auto"/>
                <w:sz w:val="21"/>
                <w:szCs w:val="21"/>
                <w:highlight w:val="none"/>
              </w:rPr>
              <w:t>万元</w:t>
            </w:r>
          </w:p>
        </w:tc>
        <w:tc>
          <w:tcPr>
            <w:tcW w:w="1949" w:type="dxa"/>
            <w:tcMar>
              <w:top w:w="0" w:type="dxa"/>
              <w:left w:w="105" w:type="dxa"/>
              <w:bottom w:w="0" w:type="dxa"/>
              <w:right w:w="105" w:type="dxa"/>
            </w:tcMar>
            <w:vAlign w:val="center"/>
          </w:tcPr>
          <w:p w14:paraId="138827A8">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1000≤Y＜200000</w:t>
            </w:r>
          </w:p>
        </w:tc>
        <w:tc>
          <w:tcPr>
            <w:tcW w:w="1590" w:type="dxa"/>
            <w:tcMar>
              <w:top w:w="0" w:type="dxa"/>
              <w:left w:w="105" w:type="dxa"/>
              <w:bottom w:w="0" w:type="dxa"/>
              <w:right w:w="105" w:type="dxa"/>
            </w:tcMar>
            <w:vAlign w:val="center"/>
          </w:tcPr>
          <w:p w14:paraId="11E209E5">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100≤X＜1000</w:t>
            </w:r>
          </w:p>
        </w:tc>
        <w:tc>
          <w:tcPr>
            <w:tcW w:w="1376" w:type="dxa"/>
            <w:tcMar>
              <w:top w:w="0" w:type="dxa"/>
              <w:left w:w="105" w:type="dxa"/>
              <w:bottom w:w="0" w:type="dxa"/>
              <w:right w:w="105" w:type="dxa"/>
            </w:tcMar>
            <w:vAlign w:val="center"/>
          </w:tcPr>
          <w:p w14:paraId="328F39A5">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X＜100</w:t>
            </w:r>
          </w:p>
        </w:tc>
      </w:tr>
      <w:tr w14:paraId="0929B96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6F945511">
            <w:pPr>
              <w:widowControl/>
              <w:spacing w:line="360" w:lineRule="auto"/>
              <w:jc w:val="center"/>
              <w:rPr>
                <w:rFonts w:ascii="宋体" w:hAnsi="宋体" w:cs="宋体"/>
                <w:color w:val="auto"/>
                <w:szCs w:val="21"/>
                <w:highlight w:val="none"/>
              </w:rPr>
            </w:pPr>
          </w:p>
        </w:tc>
        <w:tc>
          <w:tcPr>
            <w:tcW w:w="1618" w:type="dxa"/>
            <w:tcMar>
              <w:top w:w="0" w:type="dxa"/>
              <w:left w:w="105" w:type="dxa"/>
              <w:bottom w:w="0" w:type="dxa"/>
              <w:right w:w="105" w:type="dxa"/>
            </w:tcMar>
            <w:vAlign w:val="center"/>
          </w:tcPr>
          <w:p w14:paraId="16C3B7F3">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资产总额（Z）</w:t>
            </w:r>
          </w:p>
        </w:tc>
        <w:tc>
          <w:tcPr>
            <w:tcW w:w="448" w:type="dxa"/>
            <w:tcMar>
              <w:top w:w="0" w:type="dxa"/>
              <w:left w:w="105" w:type="dxa"/>
              <w:bottom w:w="0" w:type="dxa"/>
              <w:right w:w="105" w:type="dxa"/>
            </w:tcMar>
            <w:vAlign w:val="center"/>
          </w:tcPr>
          <w:p w14:paraId="59D57044">
            <w:pPr>
              <w:pStyle w:val="267"/>
              <w:widowControl/>
              <w:spacing w:line="360" w:lineRule="auto"/>
              <w:rPr>
                <w:rFonts w:ascii="宋体" w:hAnsi="宋体" w:cs="宋体"/>
                <w:color w:val="auto"/>
                <w:sz w:val="21"/>
                <w:szCs w:val="21"/>
                <w:highlight w:val="none"/>
              </w:rPr>
            </w:pPr>
            <w:r>
              <w:rPr>
                <w:rStyle w:val="270"/>
                <w:rFonts w:hint="eastAsia" w:ascii="宋体" w:hAnsi="宋体" w:cs="宋体"/>
                <w:color w:val="auto"/>
                <w:sz w:val="21"/>
                <w:szCs w:val="21"/>
                <w:highlight w:val="none"/>
              </w:rPr>
              <w:t>万元</w:t>
            </w:r>
          </w:p>
        </w:tc>
        <w:tc>
          <w:tcPr>
            <w:tcW w:w="1949" w:type="dxa"/>
            <w:tcMar>
              <w:top w:w="0" w:type="dxa"/>
              <w:left w:w="105" w:type="dxa"/>
              <w:bottom w:w="0" w:type="dxa"/>
              <w:right w:w="105" w:type="dxa"/>
            </w:tcMar>
            <w:vAlign w:val="center"/>
          </w:tcPr>
          <w:p w14:paraId="2F8FB053">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5000≤Z＜10000</w:t>
            </w:r>
          </w:p>
        </w:tc>
        <w:tc>
          <w:tcPr>
            <w:tcW w:w="1590" w:type="dxa"/>
            <w:tcMar>
              <w:top w:w="0" w:type="dxa"/>
              <w:left w:w="105" w:type="dxa"/>
              <w:bottom w:w="0" w:type="dxa"/>
              <w:right w:w="105" w:type="dxa"/>
            </w:tcMar>
            <w:vAlign w:val="center"/>
          </w:tcPr>
          <w:p w14:paraId="08BC137D">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2000≤Y＜5000</w:t>
            </w:r>
          </w:p>
        </w:tc>
        <w:tc>
          <w:tcPr>
            <w:tcW w:w="1376" w:type="dxa"/>
            <w:tcMar>
              <w:top w:w="0" w:type="dxa"/>
              <w:left w:w="105" w:type="dxa"/>
              <w:bottom w:w="0" w:type="dxa"/>
              <w:right w:w="105" w:type="dxa"/>
            </w:tcMar>
            <w:vAlign w:val="center"/>
          </w:tcPr>
          <w:p w14:paraId="21CEF096">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Y＜2000</w:t>
            </w:r>
          </w:p>
        </w:tc>
      </w:tr>
      <w:tr w14:paraId="26604DB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60D2ADDA">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物业管理</w:t>
            </w:r>
          </w:p>
        </w:tc>
        <w:tc>
          <w:tcPr>
            <w:tcW w:w="1618" w:type="dxa"/>
            <w:tcMar>
              <w:top w:w="0" w:type="dxa"/>
              <w:left w:w="105" w:type="dxa"/>
              <w:bottom w:w="0" w:type="dxa"/>
              <w:right w:w="105" w:type="dxa"/>
            </w:tcMar>
            <w:vAlign w:val="center"/>
          </w:tcPr>
          <w:p w14:paraId="37852700">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33C45EC1">
            <w:pPr>
              <w:pStyle w:val="267"/>
              <w:widowControl/>
              <w:spacing w:line="360" w:lineRule="auto"/>
              <w:rPr>
                <w:rFonts w:ascii="宋体" w:hAnsi="宋体" w:cs="宋体"/>
                <w:color w:val="auto"/>
                <w:sz w:val="21"/>
                <w:szCs w:val="21"/>
                <w:highlight w:val="none"/>
              </w:rPr>
            </w:pPr>
            <w:r>
              <w:rPr>
                <w:rStyle w:val="270"/>
                <w:rFonts w:hint="eastAsia" w:ascii="宋体" w:hAnsi="宋体" w:cs="宋体"/>
                <w:color w:val="auto"/>
                <w:sz w:val="21"/>
                <w:szCs w:val="21"/>
                <w:highlight w:val="none"/>
              </w:rPr>
              <w:t>人</w:t>
            </w:r>
          </w:p>
        </w:tc>
        <w:tc>
          <w:tcPr>
            <w:tcW w:w="1949" w:type="dxa"/>
            <w:tcMar>
              <w:top w:w="0" w:type="dxa"/>
              <w:left w:w="105" w:type="dxa"/>
              <w:bottom w:w="0" w:type="dxa"/>
              <w:right w:w="105" w:type="dxa"/>
            </w:tcMar>
            <w:vAlign w:val="center"/>
          </w:tcPr>
          <w:p w14:paraId="6B82E7CD">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300≤X＜1000</w:t>
            </w:r>
          </w:p>
        </w:tc>
        <w:tc>
          <w:tcPr>
            <w:tcW w:w="1590" w:type="dxa"/>
            <w:tcMar>
              <w:top w:w="0" w:type="dxa"/>
              <w:left w:w="105" w:type="dxa"/>
              <w:bottom w:w="0" w:type="dxa"/>
              <w:right w:w="105" w:type="dxa"/>
            </w:tcMar>
            <w:vAlign w:val="center"/>
          </w:tcPr>
          <w:p w14:paraId="63B5D3E7">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100≤X＜300</w:t>
            </w:r>
          </w:p>
        </w:tc>
        <w:tc>
          <w:tcPr>
            <w:tcW w:w="1376" w:type="dxa"/>
            <w:tcMar>
              <w:top w:w="0" w:type="dxa"/>
              <w:left w:w="105" w:type="dxa"/>
              <w:bottom w:w="0" w:type="dxa"/>
              <w:right w:w="105" w:type="dxa"/>
            </w:tcMar>
            <w:vAlign w:val="center"/>
          </w:tcPr>
          <w:p w14:paraId="2F4514EF">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X＜100</w:t>
            </w:r>
          </w:p>
        </w:tc>
      </w:tr>
      <w:tr w14:paraId="177C8F1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4AFEFD00">
            <w:pPr>
              <w:widowControl/>
              <w:spacing w:line="360" w:lineRule="auto"/>
              <w:jc w:val="center"/>
              <w:rPr>
                <w:rFonts w:ascii="宋体" w:hAnsi="宋体" w:cs="宋体"/>
                <w:color w:val="auto"/>
                <w:szCs w:val="21"/>
                <w:highlight w:val="none"/>
              </w:rPr>
            </w:pPr>
          </w:p>
        </w:tc>
        <w:tc>
          <w:tcPr>
            <w:tcW w:w="1618" w:type="dxa"/>
            <w:tcMar>
              <w:top w:w="0" w:type="dxa"/>
              <w:left w:w="105" w:type="dxa"/>
              <w:bottom w:w="0" w:type="dxa"/>
              <w:right w:w="105" w:type="dxa"/>
            </w:tcMar>
            <w:vAlign w:val="center"/>
          </w:tcPr>
          <w:p w14:paraId="31431316">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59B9A1FC">
            <w:pPr>
              <w:pStyle w:val="267"/>
              <w:widowControl/>
              <w:spacing w:line="360" w:lineRule="auto"/>
              <w:rPr>
                <w:rFonts w:ascii="宋体" w:hAnsi="宋体" w:cs="宋体"/>
                <w:color w:val="auto"/>
                <w:sz w:val="21"/>
                <w:szCs w:val="21"/>
                <w:highlight w:val="none"/>
              </w:rPr>
            </w:pPr>
            <w:r>
              <w:rPr>
                <w:rStyle w:val="270"/>
                <w:rFonts w:hint="eastAsia" w:ascii="宋体" w:hAnsi="宋体" w:cs="宋体"/>
                <w:color w:val="auto"/>
                <w:sz w:val="21"/>
                <w:szCs w:val="21"/>
                <w:highlight w:val="none"/>
              </w:rPr>
              <w:t>万元</w:t>
            </w:r>
          </w:p>
        </w:tc>
        <w:tc>
          <w:tcPr>
            <w:tcW w:w="1949" w:type="dxa"/>
            <w:tcMar>
              <w:top w:w="0" w:type="dxa"/>
              <w:left w:w="105" w:type="dxa"/>
              <w:bottom w:w="0" w:type="dxa"/>
              <w:right w:w="105" w:type="dxa"/>
            </w:tcMar>
            <w:vAlign w:val="center"/>
          </w:tcPr>
          <w:p w14:paraId="49455B9D">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1000≤Y＜5000</w:t>
            </w:r>
          </w:p>
        </w:tc>
        <w:tc>
          <w:tcPr>
            <w:tcW w:w="1590" w:type="dxa"/>
            <w:tcMar>
              <w:top w:w="0" w:type="dxa"/>
              <w:left w:w="105" w:type="dxa"/>
              <w:bottom w:w="0" w:type="dxa"/>
              <w:right w:w="105" w:type="dxa"/>
            </w:tcMar>
            <w:vAlign w:val="center"/>
          </w:tcPr>
          <w:p w14:paraId="30DF8D2C">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500≤Y＜1000</w:t>
            </w:r>
          </w:p>
        </w:tc>
        <w:tc>
          <w:tcPr>
            <w:tcW w:w="1376" w:type="dxa"/>
            <w:tcMar>
              <w:top w:w="0" w:type="dxa"/>
              <w:left w:w="105" w:type="dxa"/>
              <w:bottom w:w="0" w:type="dxa"/>
              <w:right w:w="105" w:type="dxa"/>
            </w:tcMar>
            <w:vAlign w:val="center"/>
          </w:tcPr>
          <w:p w14:paraId="5EEA54DE">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Y＜500</w:t>
            </w:r>
          </w:p>
        </w:tc>
      </w:tr>
      <w:tr w14:paraId="0284CF5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2053C37A">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租赁和商务服务业</w:t>
            </w:r>
          </w:p>
        </w:tc>
        <w:tc>
          <w:tcPr>
            <w:tcW w:w="1618" w:type="dxa"/>
            <w:tcMar>
              <w:top w:w="0" w:type="dxa"/>
              <w:left w:w="105" w:type="dxa"/>
              <w:bottom w:w="0" w:type="dxa"/>
              <w:right w:w="105" w:type="dxa"/>
            </w:tcMar>
            <w:vAlign w:val="center"/>
          </w:tcPr>
          <w:p w14:paraId="71BFCF7A">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4951ECA5">
            <w:pPr>
              <w:pStyle w:val="267"/>
              <w:widowControl/>
              <w:spacing w:line="360" w:lineRule="auto"/>
              <w:rPr>
                <w:rFonts w:ascii="宋体" w:hAnsi="宋体" w:cs="宋体"/>
                <w:color w:val="auto"/>
                <w:sz w:val="21"/>
                <w:szCs w:val="21"/>
                <w:highlight w:val="none"/>
              </w:rPr>
            </w:pPr>
            <w:r>
              <w:rPr>
                <w:rStyle w:val="270"/>
                <w:rFonts w:hint="eastAsia" w:ascii="宋体" w:hAnsi="宋体" w:cs="宋体"/>
                <w:color w:val="auto"/>
                <w:sz w:val="21"/>
                <w:szCs w:val="21"/>
                <w:highlight w:val="none"/>
              </w:rPr>
              <w:t>人</w:t>
            </w:r>
          </w:p>
        </w:tc>
        <w:tc>
          <w:tcPr>
            <w:tcW w:w="1949" w:type="dxa"/>
            <w:tcMar>
              <w:top w:w="0" w:type="dxa"/>
              <w:left w:w="105" w:type="dxa"/>
              <w:bottom w:w="0" w:type="dxa"/>
              <w:right w:w="105" w:type="dxa"/>
            </w:tcMar>
            <w:vAlign w:val="center"/>
          </w:tcPr>
          <w:p w14:paraId="6E1A4445">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100≤X＜300</w:t>
            </w:r>
          </w:p>
        </w:tc>
        <w:tc>
          <w:tcPr>
            <w:tcW w:w="1590" w:type="dxa"/>
            <w:tcMar>
              <w:top w:w="0" w:type="dxa"/>
              <w:left w:w="105" w:type="dxa"/>
              <w:bottom w:w="0" w:type="dxa"/>
              <w:right w:w="105" w:type="dxa"/>
            </w:tcMar>
            <w:vAlign w:val="center"/>
          </w:tcPr>
          <w:p w14:paraId="54FF2796">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10≤X＜100</w:t>
            </w:r>
          </w:p>
        </w:tc>
        <w:tc>
          <w:tcPr>
            <w:tcW w:w="1376" w:type="dxa"/>
            <w:tcMar>
              <w:top w:w="0" w:type="dxa"/>
              <w:left w:w="105" w:type="dxa"/>
              <w:bottom w:w="0" w:type="dxa"/>
              <w:right w:w="105" w:type="dxa"/>
            </w:tcMar>
            <w:vAlign w:val="center"/>
          </w:tcPr>
          <w:p w14:paraId="32085B01">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X＜10</w:t>
            </w:r>
          </w:p>
        </w:tc>
      </w:tr>
      <w:tr w14:paraId="301679E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4C2F9341">
            <w:pPr>
              <w:widowControl/>
              <w:spacing w:line="360" w:lineRule="auto"/>
              <w:jc w:val="center"/>
              <w:rPr>
                <w:rFonts w:ascii="宋体" w:hAnsi="宋体" w:cs="宋体"/>
                <w:color w:val="auto"/>
                <w:szCs w:val="21"/>
                <w:highlight w:val="none"/>
              </w:rPr>
            </w:pPr>
          </w:p>
        </w:tc>
        <w:tc>
          <w:tcPr>
            <w:tcW w:w="1618" w:type="dxa"/>
            <w:tcMar>
              <w:top w:w="0" w:type="dxa"/>
              <w:left w:w="105" w:type="dxa"/>
              <w:bottom w:w="0" w:type="dxa"/>
              <w:right w:w="105" w:type="dxa"/>
            </w:tcMar>
            <w:vAlign w:val="center"/>
          </w:tcPr>
          <w:p w14:paraId="4CBB530E">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资产总额（Z）</w:t>
            </w:r>
          </w:p>
        </w:tc>
        <w:tc>
          <w:tcPr>
            <w:tcW w:w="448" w:type="dxa"/>
            <w:tcMar>
              <w:top w:w="0" w:type="dxa"/>
              <w:left w:w="105" w:type="dxa"/>
              <w:bottom w:w="0" w:type="dxa"/>
              <w:right w:w="105" w:type="dxa"/>
            </w:tcMar>
            <w:vAlign w:val="center"/>
          </w:tcPr>
          <w:p w14:paraId="46A7A1E3">
            <w:pPr>
              <w:pStyle w:val="267"/>
              <w:widowControl/>
              <w:spacing w:line="360" w:lineRule="auto"/>
              <w:rPr>
                <w:rFonts w:ascii="宋体" w:hAnsi="宋体" w:cs="宋体"/>
                <w:color w:val="auto"/>
                <w:sz w:val="21"/>
                <w:szCs w:val="21"/>
                <w:highlight w:val="none"/>
              </w:rPr>
            </w:pPr>
            <w:r>
              <w:rPr>
                <w:rStyle w:val="270"/>
                <w:rFonts w:hint="eastAsia" w:ascii="宋体" w:hAnsi="宋体" w:cs="宋体"/>
                <w:color w:val="auto"/>
                <w:sz w:val="21"/>
                <w:szCs w:val="21"/>
                <w:highlight w:val="none"/>
              </w:rPr>
              <w:t>万元</w:t>
            </w:r>
          </w:p>
        </w:tc>
        <w:tc>
          <w:tcPr>
            <w:tcW w:w="1949" w:type="dxa"/>
            <w:tcMar>
              <w:top w:w="0" w:type="dxa"/>
              <w:left w:w="105" w:type="dxa"/>
              <w:bottom w:w="0" w:type="dxa"/>
              <w:right w:w="105" w:type="dxa"/>
            </w:tcMar>
            <w:vAlign w:val="center"/>
          </w:tcPr>
          <w:p w14:paraId="46947B2D">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8000≤Z＜120000</w:t>
            </w:r>
          </w:p>
        </w:tc>
        <w:tc>
          <w:tcPr>
            <w:tcW w:w="1590" w:type="dxa"/>
            <w:tcMar>
              <w:top w:w="0" w:type="dxa"/>
              <w:left w:w="105" w:type="dxa"/>
              <w:bottom w:w="0" w:type="dxa"/>
              <w:right w:w="105" w:type="dxa"/>
            </w:tcMar>
            <w:vAlign w:val="center"/>
          </w:tcPr>
          <w:p w14:paraId="34D6F77E">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100≤Z＜8000</w:t>
            </w:r>
          </w:p>
        </w:tc>
        <w:tc>
          <w:tcPr>
            <w:tcW w:w="1376" w:type="dxa"/>
            <w:tcMar>
              <w:top w:w="0" w:type="dxa"/>
              <w:left w:w="105" w:type="dxa"/>
              <w:bottom w:w="0" w:type="dxa"/>
              <w:right w:w="105" w:type="dxa"/>
            </w:tcMar>
            <w:vAlign w:val="center"/>
          </w:tcPr>
          <w:p w14:paraId="5EFC8ECD">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Y＜100</w:t>
            </w:r>
          </w:p>
        </w:tc>
      </w:tr>
      <w:tr w14:paraId="6D8685F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tcMar>
              <w:top w:w="0" w:type="dxa"/>
              <w:left w:w="105" w:type="dxa"/>
              <w:bottom w:w="0" w:type="dxa"/>
              <w:right w:w="105" w:type="dxa"/>
            </w:tcMar>
            <w:vAlign w:val="center"/>
          </w:tcPr>
          <w:p w14:paraId="06D2C9A5">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其他未列明行业</w:t>
            </w:r>
          </w:p>
        </w:tc>
        <w:tc>
          <w:tcPr>
            <w:tcW w:w="1618" w:type="dxa"/>
            <w:tcMar>
              <w:top w:w="0" w:type="dxa"/>
              <w:left w:w="105" w:type="dxa"/>
              <w:bottom w:w="0" w:type="dxa"/>
              <w:right w:w="105" w:type="dxa"/>
            </w:tcMar>
            <w:vAlign w:val="center"/>
          </w:tcPr>
          <w:p w14:paraId="669D8E73">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3D63FE58">
            <w:pPr>
              <w:pStyle w:val="267"/>
              <w:widowControl/>
              <w:spacing w:line="360" w:lineRule="auto"/>
              <w:rPr>
                <w:rFonts w:ascii="宋体" w:hAnsi="宋体" w:cs="宋体"/>
                <w:color w:val="auto"/>
                <w:sz w:val="21"/>
                <w:szCs w:val="21"/>
                <w:highlight w:val="none"/>
              </w:rPr>
            </w:pPr>
            <w:r>
              <w:rPr>
                <w:rStyle w:val="270"/>
                <w:rFonts w:hint="eastAsia" w:ascii="宋体" w:hAnsi="宋体" w:cs="宋体"/>
                <w:color w:val="auto"/>
                <w:sz w:val="21"/>
                <w:szCs w:val="21"/>
                <w:highlight w:val="none"/>
              </w:rPr>
              <w:t>人</w:t>
            </w:r>
          </w:p>
        </w:tc>
        <w:tc>
          <w:tcPr>
            <w:tcW w:w="1949" w:type="dxa"/>
            <w:tcMar>
              <w:top w:w="0" w:type="dxa"/>
              <w:left w:w="105" w:type="dxa"/>
              <w:bottom w:w="0" w:type="dxa"/>
              <w:right w:w="105" w:type="dxa"/>
            </w:tcMar>
            <w:vAlign w:val="center"/>
          </w:tcPr>
          <w:p w14:paraId="31AC138B">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100≤X＜300</w:t>
            </w:r>
          </w:p>
        </w:tc>
        <w:tc>
          <w:tcPr>
            <w:tcW w:w="1590" w:type="dxa"/>
            <w:tcMar>
              <w:top w:w="0" w:type="dxa"/>
              <w:left w:w="105" w:type="dxa"/>
              <w:bottom w:w="0" w:type="dxa"/>
              <w:right w:w="105" w:type="dxa"/>
            </w:tcMar>
            <w:vAlign w:val="center"/>
          </w:tcPr>
          <w:p w14:paraId="023B9312">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10≤X＜100</w:t>
            </w:r>
          </w:p>
        </w:tc>
        <w:tc>
          <w:tcPr>
            <w:tcW w:w="1376" w:type="dxa"/>
            <w:tcMar>
              <w:top w:w="0" w:type="dxa"/>
              <w:left w:w="105" w:type="dxa"/>
              <w:bottom w:w="0" w:type="dxa"/>
              <w:right w:w="105" w:type="dxa"/>
            </w:tcMar>
            <w:vAlign w:val="center"/>
          </w:tcPr>
          <w:p w14:paraId="7D643B39">
            <w:pPr>
              <w:pStyle w:val="267"/>
              <w:widowControl/>
              <w:spacing w:line="360" w:lineRule="auto"/>
              <w:jc w:val="center"/>
              <w:rPr>
                <w:rFonts w:ascii="宋体" w:hAnsi="宋体" w:cs="宋体"/>
                <w:color w:val="auto"/>
                <w:sz w:val="21"/>
                <w:szCs w:val="21"/>
                <w:highlight w:val="none"/>
              </w:rPr>
            </w:pPr>
            <w:r>
              <w:rPr>
                <w:rStyle w:val="270"/>
                <w:rFonts w:hint="eastAsia" w:ascii="宋体" w:hAnsi="宋体" w:cs="宋体"/>
                <w:color w:val="auto"/>
                <w:sz w:val="21"/>
                <w:szCs w:val="21"/>
                <w:highlight w:val="none"/>
              </w:rPr>
              <w:t>X＜10</w:t>
            </w:r>
          </w:p>
        </w:tc>
      </w:tr>
    </w:tbl>
    <w:p w14:paraId="50AD5E10">
      <w:pPr>
        <w:pStyle w:val="267"/>
        <w:widowControl/>
        <w:spacing w:before="300" w:after="452" w:line="360" w:lineRule="auto"/>
        <w:ind w:firstLine="420"/>
        <w:rPr>
          <w:rStyle w:val="270"/>
          <w:rFonts w:ascii="宋体" w:hAnsi="宋体" w:cs="宋体"/>
          <w:color w:val="auto"/>
          <w:sz w:val="21"/>
          <w:szCs w:val="21"/>
          <w:highlight w:val="none"/>
        </w:rPr>
      </w:pPr>
      <w:r>
        <w:rPr>
          <w:rStyle w:val="270"/>
          <w:rFonts w:hint="eastAsia" w:ascii="宋体" w:hAnsi="宋体" w:cs="宋体"/>
          <w:color w:val="auto"/>
          <w:sz w:val="21"/>
          <w:szCs w:val="21"/>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0827F20B">
      <w:pPr>
        <w:spacing w:line="360" w:lineRule="auto"/>
        <w:jc w:val="center"/>
        <w:outlineLvl w:val="1"/>
        <w:rPr>
          <w:rFonts w:ascii="宋体" w:hAnsi="宋体" w:cs="宋体"/>
          <w:color w:val="auto"/>
          <w:highlight w:val="none"/>
        </w:rPr>
      </w:pPr>
      <w:r>
        <w:rPr>
          <w:rStyle w:val="270"/>
          <w:rFonts w:hint="eastAsia" w:ascii="宋体" w:hAnsi="宋体" w:cs="宋体"/>
          <w:color w:val="auto"/>
          <w:szCs w:val="21"/>
          <w:highlight w:val="none"/>
        </w:rPr>
        <w:br w:type="page" w:clear="all"/>
      </w:r>
      <w:r>
        <w:rPr>
          <w:rFonts w:hint="eastAsia" w:ascii="宋体" w:hAnsi="宋体" w:cs="宋体"/>
          <w:b/>
          <w:bCs/>
          <w:color w:val="auto"/>
          <w:highlight w:val="none"/>
        </w:rPr>
        <w:t>残疾人福利性单位声明函</w:t>
      </w:r>
    </w:p>
    <w:p w14:paraId="209A11E9">
      <w:pPr>
        <w:spacing w:line="360" w:lineRule="auto"/>
        <w:ind w:firstLine="624"/>
        <w:rPr>
          <w:rFonts w:ascii="宋体" w:hAnsi="宋体" w:cs="宋体"/>
          <w:color w:val="auto"/>
          <w:spacing w:val="6"/>
          <w:sz w:val="30"/>
          <w:szCs w:val="30"/>
          <w:highlight w:val="none"/>
        </w:rPr>
      </w:pPr>
    </w:p>
    <w:p w14:paraId="02981F6E">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项目采购活动提供本单位制造的产品或服务（由本单位承担工程/提供服务），或者提供其他残疾人福利性单位制造的产品或服务（不包括使用非残疾人福利性单位注册商标的产品或服务）。</w:t>
      </w:r>
    </w:p>
    <w:p w14:paraId="42D9DFA4">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圆整（￥：     ）。</w:t>
      </w:r>
    </w:p>
    <w:p w14:paraId="4F5A85E8">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本单位对上述声明的真实性负责。如有虚假，将依法承担相应责任。</w:t>
      </w:r>
    </w:p>
    <w:p w14:paraId="7E95CB34">
      <w:pPr>
        <w:spacing w:line="360" w:lineRule="auto"/>
        <w:ind w:firstLine="420"/>
        <w:rPr>
          <w:rFonts w:ascii="宋体" w:hAnsi="宋体" w:cs="宋体"/>
          <w:color w:val="auto"/>
          <w:szCs w:val="21"/>
          <w:highlight w:val="none"/>
        </w:rPr>
      </w:pPr>
    </w:p>
    <w:p w14:paraId="74CBE995">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（备注：1、供应商如不提供此声明函，价格将不做相应扣除。2、成交供应商为残疾人福利单位的，此声明函将随成交结果同时公告，接受社会监督）</w:t>
      </w:r>
    </w:p>
    <w:p w14:paraId="3D5118F0">
      <w:pPr>
        <w:spacing w:line="360" w:lineRule="auto"/>
        <w:ind w:firstLine="444"/>
        <w:rPr>
          <w:rFonts w:ascii="宋体" w:hAnsi="宋体" w:cs="宋体"/>
          <w:color w:val="auto"/>
          <w:spacing w:val="6"/>
          <w:szCs w:val="21"/>
          <w:highlight w:val="none"/>
        </w:rPr>
      </w:pPr>
    </w:p>
    <w:p w14:paraId="6DBAE41C">
      <w:pPr>
        <w:tabs>
          <w:tab w:val="left" w:pos="4860"/>
        </w:tabs>
        <w:spacing w:line="360" w:lineRule="auto"/>
        <w:ind w:right="1560" w:firstLine="444"/>
        <w:jc w:val="center"/>
        <w:outlineLvl w:val="0"/>
        <w:rPr>
          <w:rFonts w:ascii="宋体" w:hAnsi="宋体" w:cs="宋体"/>
          <w:color w:val="auto"/>
          <w:szCs w:val="21"/>
          <w:highlight w:val="none"/>
        </w:rPr>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供应商全称（盖章）：</w:t>
      </w:r>
    </w:p>
    <w:p w14:paraId="1A1CBAA1">
      <w:pPr>
        <w:tabs>
          <w:tab w:val="left" w:pos="4860"/>
        </w:tabs>
        <w:spacing w:line="360" w:lineRule="auto"/>
        <w:ind w:right="1560" w:firstLine="420"/>
        <w:jc w:val="center"/>
        <w:outlineLvl w:val="0"/>
        <w:rPr>
          <w:rFonts w:ascii="宋体" w:hAnsi="宋体" w:cs="宋体"/>
          <w:color w:val="auto"/>
          <w:szCs w:val="21"/>
          <w:highlight w:val="none"/>
        </w:rPr>
      </w:pPr>
      <w:r>
        <w:rPr>
          <w:rFonts w:hint="eastAsia" w:ascii="宋体" w:hAnsi="宋体" w:cs="宋体"/>
          <w:color w:val="auto"/>
          <w:szCs w:val="21"/>
          <w:highlight w:val="none"/>
        </w:rPr>
        <w:t xml:space="preserve">                              日  期：</w:t>
      </w:r>
    </w:p>
    <w:p w14:paraId="01F42A34">
      <w:pPr>
        <w:spacing w:line="360" w:lineRule="auto"/>
        <w:jc w:val="center"/>
        <w:outlineLvl w:val="0"/>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rPr>
        <w:t>四、磋商响应报价表</w:t>
      </w:r>
    </w:p>
    <w:p w14:paraId="438D66B5">
      <w:pPr>
        <w:spacing w:line="360" w:lineRule="auto"/>
        <w:rPr>
          <w:rFonts w:ascii="宋体" w:hAnsi="宋体" w:cs="宋体"/>
          <w:color w:val="auto"/>
          <w:highlight w:val="none"/>
        </w:rPr>
      </w:pPr>
      <w:r>
        <w:rPr>
          <w:rFonts w:hint="eastAsia" w:ascii="宋体" w:hAnsi="宋体" w:cs="宋体"/>
          <w:color w:val="auto"/>
          <w:highlight w:val="none"/>
        </w:rPr>
        <w:t xml:space="preserve">    </w:t>
      </w:r>
    </w:p>
    <w:p w14:paraId="74A35319">
      <w:pPr>
        <w:pStyle w:val="3"/>
        <w:keepNext w:val="0"/>
        <w:keepLines w:val="0"/>
        <w:widowControl/>
        <w:jc w:val="center"/>
        <w:rPr>
          <w:color w:val="auto"/>
          <w:highlight w:val="none"/>
        </w:rPr>
      </w:pPr>
      <w:r>
        <w:rPr>
          <w:rStyle w:val="43"/>
          <w:color w:val="auto"/>
          <w:highlight w:val="none"/>
        </w:rPr>
        <w:t>磋商报价表</w:t>
      </w:r>
    </w:p>
    <w:p w14:paraId="231CCA3C">
      <w:pPr>
        <w:pStyle w:val="38"/>
        <w:rPr>
          <w:color w:val="auto"/>
          <w:highlight w:val="none"/>
        </w:rPr>
      </w:pPr>
      <w:r>
        <w:rPr>
          <w:color w:val="auto"/>
          <w:highlight w:val="none"/>
        </w:rPr>
        <w:t>本次为首次报价                                  货币单位：人民币元</w:t>
      </w:r>
    </w:p>
    <w:p w14:paraId="0A2AB25E">
      <w:pPr>
        <w:pStyle w:val="311"/>
        <w:spacing w:line="360" w:lineRule="auto"/>
        <w:rPr>
          <w:rFonts w:ascii="仿宋_GB2312" w:eastAsia="仿宋_GB2312"/>
          <w:color w:val="auto"/>
          <w:szCs w:val="20"/>
          <w:highlight w:val="none"/>
        </w:rPr>
      </w:pPr>
      <w:r>
        <w:rPr>
          <w:rFonts w:hint="eastAsia" w:ascii="仿宋_GB2312" w:eastAsia="仿宋_GB2312"/>
          <w:color w:val="auto"/>
          <w:szCs w:val="20"/>
          <w:highlight w:val="none"/>
        </w:rPr>
        <w:t>项目编号：</w:t>
      </w:r>
    </w:p>
    <w:p w14:paraId="23097B6B">
      <w:pPr>
        <w:pStyle w:val="311"/>
        <w:spacing w:line="360" w:lineRule="auto"/>
        <w:rPr>
          <w:rFonts w:ascii="仿宋_GB2312" w:eastAsia="仿宋_GB2312"/>
          <w:color w:val="auto"/>
          <w:szCs w:val="20"/>
          <w:highlight w:val="none"/>
        </w:rPr>
      </w:pPr>
      <w:r>
        <w:rPr>
          <w:rFonts w:hint="eastAsia" w:ascii="仿宋_GB2312" w:eastAsia="仿宋_GB2312"/>
          <w:color w:val="auto"/>
          <w:szCs w:val="20"/>
          <w:highlight w:val="none"/>
        </w:rPr>
        <w:t>项目名称：</w:t>
      </w:r>
    </w:p>
    <w:tbl>
      <w:tblPr>
        <w:tblStyle w:val="40"/>
        <w:tblW w:w="8206" w:type="dxa"/>
        <w:tblCellSpacing w:w="0" w:type="dxa"/>
        <w:tblInd w:w="0" w:type="dxa"/>
        <w:tblLayout w:type="fixed"/>
        <w:tblCellMar>
          <w:top w:w="0" w:type="dxa"/>
          <w:left w:w="108" w:type="dxa"/>
          <w:bottom w:w="0" w:type="dxa"/>
          <w:right w:w="108" w:type="dxa"/>
        </w:tblCellMar>
      </w:tblPr>
      <w:tblGrid>
        <w:gridCol w:w="8206"/>
      </w:tblGrid>
      <w:tr w14:paraId="03987A22">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3DD08559">
            <w:pPr>
              <w:pStyle w:val="267"/>
              <w:jc w:val="both"/>
              <w:rPr>
                <w:color w:val="auto"/>
                <w:highlight w:val="none"/>
              </w:rPr>
            </w:pPr>
            <w:r>
              <w:rPr>
                <w:rFonts w:hint="eastAsia"/>
                <w:color w:val="auto"/>
                <w:highlight w:val="none"/>
              </w:rPr>
              <w:t>投标报价：</w:t>
            </w:r>
          </w:p>
        </w:tc>
      </w:tr>
      <w:tr w14:paraId="7DE892B2">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0B9212D1">
            <w:pPr>
              <w:pStyle w:val="267"/>
              <w:spacing w:line="0" w:lineRule="atLeast"/>
              <w:jc w:val="both"/>
              <w:rPr>
                <w:color w:val="auto"/>
                <w:highlight w:val="none"/>
              </w:rPr>
            </w:pPr>
            <w:r>
              <w:rPr>
                <w:rFonts w:hint="eastAsia"/>
                <w:color w:val="auto"/>
                <w:highlight w:val="none"/>
              </w:rPr>
              <w:t>小写：                 （人民币：元）</w:t>
            </w:r>
          </w:p>
        </w:tc>
      </w:tr>
    </w:tbl>
    <w:p w14:paraId="5E50AE66">
      <w:pPr>
        <w:pStyle w:val="311"/>
        <w:spacing w:line="360" w:lineRule="auto"/>
        <w:rPr>
          <w:color w:val="auto"/>
          <w:highlight w:val="none"/>
        </w:rPr>
      </w:pPr>
    </w:p>
    <w:p w14:paraId="583F6315">
      <w:pPr>
        <w:pStyle w:val="311"/>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12C90947">
      <w:pPr>
        <w:pStyle w:val="312"/>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4575AACE">
      <w:pPr>
        <w:pStyle w:val="312"/>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法定代表人（或授权代表）：（签字或盖章）</w:t>
      </w:r>
      <w:r>
        <w:rPr>
          <w:rFonts w:hint="eastAsia" w:ascii="仿宋_GB2312" w:eastAsia="仿宋_GB2312"/>
          <w:color w:val="auto"/>
          <w:sz w:val="24"/>
          <w:highlight w:val="none"/>
          <w:u w:val="single"/>
        </w:rPr>
        <w:t xml:space="preserve">              </w:t>
      </w:r>
    </w:p>
    <w:p w14:paraId="5E08EB76">
      <w:pPr>
        <w:spacing w:line="360" w:lineRule="auto"/>
        <w:rPr>
          <w:rFonts w:ascii="宋体" w:hAnsi="宋体" w:cs="宋体"/>
          <w:color w:val="auto"/>
          <w:highlight w:val="none"/>
        </w:rPr>
      </w:pPr>
    </w:p>
    <w:p w14:paraId="7B39D7EF">
      <w:pPr>
        <w:rPr>
          <w:rFonts w:ascii="宋体" w:hAnsi="宋体" w:cs="宋体"/>
          <w:color w:val="auto"/>
          <w:highlight w:val="none"/>
        </w:rPr>
      </w:pPr>
      <w:r>
        <w:rPr>
          <w:rFonts w:hint="eastAsia" w:ascii="宋体" w:hAnsi="宋体" w:cs="宋体"/>
          <w:color w:val="auto"/>
          <w:highlight w:val="none"/>
        </w:rPr>
        <w:br w:type="page" w:clear="all"/>
      </w:r>
    </w:p>
    <w:p w14:paraId="303C39E9">
      <w:pPr>
        <w:pStyle w:val="239"/>
        <w:spacing w:line="360" w:lineRule="auto"/>
        <w:jc w:val="center"/>
        <w:outlineLvl w:val="0"/>
        <w:rPr>
          <w:rFonts w:ascii="宋体" w:hAnsi="宋体" w:cs="宋体"/>
          <w:bCs w:val="0"/>
          <w:color w:val="auto"/>
          <w:highlight w:val="none"/>
        </w:rPr>
      </w:pPr>
      <w:bookmarkStart w:id="39" w:name="_Toc109304978"/>
      <w:r>
        <w:rPr>
          <w:rFonts w:hint="eastAsia" w:ascii="宋体" w:hAnsi="宋体" w:cs="宋体"/>
          <w:bCs w:val="0"/>
          <w:color w:val="auto"/>
          <w:highlight w:val="none"/>
        </w:rPr>
        <w:t>五、技术参数响应及偏离表</w:t>
      </w:r>
      <w:bookmarkEnd w:id="39"/>
    </w:p>
    <w:tbl>
      <w:tblPr>
        <w:tblStyle w:val="40"/>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9"/>
        <w:gridCol w:w="2256"/>
        <w:gridCol w:w="2139"/>
        <w:gridCol w:w="1897"/>
        <w:gridCol w:w="1072"/>
      </w:tblGrid>
      <w:tr w14:paraId="285E4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4" w:hRule="atLeast"/>
        </w:trPr>
        <w:tc>
          <w:tcPr>
            <w:tcW w:w="948" w:type="dxa"/>
            <w:vAlign w:val="center"/>
          </w:tcPr>
          <w:p w14:paraId="75F2A671">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2325" w:type="dxa"/>
            <w:vAlign w:val="center"/>
          </w:tcPr>
          <w:p w14:paraId="153F8E78">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采购要求</w:t>
            </w:r>
          </w:p>
        </w:tc>
        <w:tc>
          <w:tcPr>
            <w:tcW w:w="2204" w:type="dxa"/>
            <w:vAlign w:val="center"/>
          </w:tcPr>
          <w:p w14:paraId="424E53CE">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磋商响应</w:t>
            </w:r>
          </w:p>
        </w:tc>
        <w:tc>
          <w:tcPr>
            <w:tcW w:w="1945" w:type="dxa"/>
            <w:vAlign w:val="center"/>
          </w:tcPr>
          <w:p w14:paraId="6AB346CF">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超出、符合或偏离</w:t>
            </w:r>
          </w:p>
        </w:tc>
        <w:tc>
          <w:tcPr>
            <w:tcW w:w="1097" w:type="dxa"/>
            <w:vAlign w:val="center"/>
          </w:tcPr>
          <w:p w14:paraId="225F255A">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证明材料</w:t>
            </w:r>
          </w:p>
        </w:tc>
      </w:tr>
      <w:tr w14:paraId="78D60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48" w:type="dxa"/>
          </w:tcPr>
          <w:p w14:paraId="138BF383">
            <w:pPr>
              <w:spacing w:line="360" w:lineRule="auto"/>
              <w:jc w:val="center"/>
              <w:rPr>
                <w:rFonts w:ascii="宋体" w:hAnsi="宋体" w:cs="宋体"/>
                <w:color w:val="auto"/>
                <w:szCs w:val="21"/>
                <w:highlight w:val="none"/>
              </w:rPr>
            </w:pPr>
          </w:p>
        </w:tc>
        <w:tc>
          <w:tcPr>
            <w:tcW w:w="2325" w:type="dxa"/>
          </w:tcPr>
          <w:p w14:paraId="43C240B1">
            <w:pPr>
              <w:spacing w:line="360" w:lineRule="auto"/>
              <w:jc w:val="center"/>
              <w:rPr>
                <w:rFonts w:ascii="宋体" w:hAnsi="宋体" w:cs="宋体"/>
                <w:color w:val="auto"/>
                <w:szCs w:val="21"/>
                <w:highlight w:val="none"/>
              </w:rPr>
            </w:pPr>
          </w:p>
        </w:tc>
        <w:tc>
          <w:tcPr>
            <w:tcW w:w="2204" w:type="dxa"/>
          </w:tcPr>
          <w:p w14:paraId="4021D0C0">
            <w:pPr>
              <w:spacing w:line="360" w:lineRule="auto"/>
              <w:jc w:val="center"/>
              <w:rPr>
                <w:rFonts w:ascii="宋体" w:hAnsi="宋体" w:cs="宋体"/>
                <w:color w:val="auto"/>
                <w:szCs w:val="21"/>
                <w:highlight w:val="none"/>
              </w:rPr>
            </w:pPr>
          </w:p>
        </w:tc>
        <w:tc>
          <w:tcPr>
            <w:tcW w:w="1945" w:type="dxa"/>
          </w:tcPr>
          <w:p w14:paraId="29FFE9F7">
            <w:pPr>
              <w:spacing w:line="360" w:lineRule="auto"/>
              <w:jc w:val="center"/>
              <w:rPr>
                <w:rFonts w:ascii="宋体" w:hAnsi="宋体" w:cs="宋体"/>
                <w:color w:val="auto"/>
                <w:szCs w:val="21"/>
                <w:highlight w:val="none"/>
              </w:rPr>
            </w:pPr>
          </w:p>
        </w:tc>
        <w:tc>
          <w:tcPr>
            <w:tcW w:w="1097" w:type="dxa"/>
          </w:tcPr>
          <w:p w14:paraId="6FF9171B">
            <w:pPr>
              <w:spacing w:line="360" w:lineRule="auto"/>
              <w:jc w:val="center"/>
              <w:rPr>
                <w:rFonts w:ascii="宋体" w:hAnsi="宋体" w:cs="宋体"/>
                <w:color w:val="auto"/>
                <w:szCs w:val="21"/>
                <w:highlight w:val="none"/>
              </w:rPr>
            </w:pPr>
          </w:p>
        </w:tc>
      </w:tr>
      <w:tr w14:paraId="340F6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48" w:type="dxa"/>
          </w:tcPr>
          <w:p w14:paraId="003BA8E1">
            <w:pPr>
              <w:spacing w:line="360" w:lineRule="auto"/>
              <w:jc w:val="center"/>
              <w:rPr>
                <w:rFonts w:ascii="宋体" w:hAnsi="宋体" w:cs="宋体"/>
                <w:color w:val="auto"/>
                <w:szCs w:val="21"/>
                <w:highlight w:val="none"/>
              </w:rPr>
            </w:pPr>
          </w:p>
        </w:tc>
        <w:tc>
          <w:tcPr>
            <w:tcW w:w="2325" w:type="dxa"/>
          </w:tcPr>
          <w:p w14:paraId="3E07749B">
            <w:pPr>
              <w:spacing w:line="360" w:lineRule="auto"/>
              <w:jc w:val="center"/>
              <w:rPr>
                <w:rFonts w:ascii="宋体" w:hAnsi="宋体" w:cs="宋体"/>
                <w:color w:val="auto"/>
                <w:szCs w:val="21"/>
                <w:highlight w:val="none"/>
              </w:rPr>
            </w:pPr>
          </w:p>
        </w:tc>
        <w:tc>
          <w:tcPr>
            <w:tcW w:w="2204" w:type="dxa"/>
          </w:tcPr>
          <w:p w14:paraId="1BB40C2D">
            <w:pPr>
              <w:spacing w:line="360" w:lineRule="auto"/>
              <w:jc w:val="center"/>
              <w:rPr>
                <w:rFonts w:ascii="宋体" w:hAnsi="宋体" w:cs="宋体"/>
                <w:color w:val="auto"/>
                <w:szCs w:val="21"/>
                <w:highlight w:val="none"/>
              </w:rPr>
            </w:pPr>
          </w:p>
        </w:tc>
        <w:tc>
          <w:tcPr>
            <w:tcW w:w="1945" w:type="dxa"/>
          </w:tcPr>
          <w:p w14:paraId="27178877">
            <w:pPr>
              <w:spacing w:line="360" w:lineRule="auto"/>
              <w:jc w:val="center"/>
              <w:rPr>
                <w:rFonts w:ascii="宋体" w:hAnsi="宋体" w:cs="宋体"/>
                <w:color w:val="auto"/>
                <w:szCs w:val="21"/>
                <w:highlight w:val="none"/>
              </w:rPr>
            </w:pPr>
          </w:p>
        </w:tc>
        <w:tc>
          <w:tcPr>
            <w:tcW w:w="1097" w:type="dxa"/>
          </w:tcPr>
          <w:p w14:paraId="38661D6A">
            <w:pPr>
              <w:spacing w:line="360" w:lineRule="auto"/>
              <w:jc w:val="center"/>
              <w:rPr>
                <w:rFonts w:ascii="宋体" w:hAnsi="宋体" w:cs="宋体"/>
                <w:color w:val="auto"/>
                <w:szCs w:val="21"/>
                <w:highlight w:val="none"/>
              </w:rPr>
            </w:pPr>
          </w:p>
        </w:tc>
      </w:tr>
      <w:tr w14:paraId="21F46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48" w:type="dxa"/>
          </w:tcPr>
          <w:p w14:paraId="0E556FD6">
            <w:pPr>
              <w:spacing w:line="360" w:lineRule="auto"/>
              <w:jc w:val="center"/>
              <w:rPr>
                <w:rFonts w:ascii="宋体" w:hAnsi="宋体" w:cs="宋体"/>
                <w:color w:val="auto"/>
                <w:szCs w:val="21"/>
                <w:highlight w:val="none"/>
              </w:rPr>
            </w:pPr>
          </w:p>
        </w:tc>
        <w:tc>
          <w:tcPr>
            <w:tcW w:w="2325" w:type="dxa"/>
          </w:tcPr>
          <w:p w14:paraId="6981051C">
            <w:pPr>
              <w:spacing w:line="360" w:lineRule="auto"/>
              <w:jc w:val="center"/>
              <w:rPr>
                <w:rFonts w:ascii="宋体" w:hAnsi="宋体" w:cs="宋体"/>
                <w:color w:val="auto"/>
                <w:szCs w:val="21"/>
                <w:highlight w:val="none"/>
              </w:rPr>
            </w:pPr>
          </w:p>
        </w:tc>
        <w:tc>
          <w:tcPr>
            <w:tcW w:w="2204" w:type="dxa"/>
          </w:tcPr>
          <w:p w14:paraId="7C8096BB">
            <w:pPr>
              <w:spacing w:line="360" w:lineRule="auto"/>
              <w:jc w:val="center"/>
              <w:rPr>
                <w:rFonts w:ascii="宋体" w:hAnsi="宋体" w:cs="宋体"/>
                <w:color w:val="auto"/>
                <w:szCs w:val="21"/>
                <w:highlight w:val="none"/>
              </w:rPr>
            </w:pPr>
          </w:p>
        </w:tc>
        <w:tc>
          <w:tcPr>
            <w:tcW w:w="1945" w:type="dxa"/>
          </w:tcPr>
          <w:p w14:paraId="588E9D73">
            <w:pPr>
              <w:spacing w:line="360" w:lineRule="auto"/>
              <w:jc w:val="center"/>
              <w:rPr>
                <w:rFonts w:ascii="宋体" w:hAnsi="宋体" w:cs="宋体"/>
                <w:color w:val="auto"/>
                <w:szCs w:val="21"/>
                <w:highlight w:val="none"/>
              </w:rPr>
            </w:pPr>
          </w:p>
        </w:tc>
        <w:tc>
          <w:tcPr>
            <w:tcW w:w="1097" w:type="dxa"/>
          </w:tcPr>
          <w:p w14:paraId="3F78FA44">
            <w:pPr>
              <w:spacing w:line="360" w:lineRule="auto"/>
              <w:jc w:val="center"/>
              <w:rPr>
                <w:rFonts w:ascii="宋体" w:hAnsi="宋体" w:cs="宋体"/>
                <w:color w:val="auto"/>
                <w:szCs w:val="21"/>
                <w:highlight w:val="none"/>
              </w:rPr>
            </w:pPr>
          </w:p>
        </w:tc>
      </w:tr>
      <w:tr w14:paraId="05AA39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48" w:type="dxa"/>
          </w:tcPr>
          <w:p w14:paraId="228AC21E">
            <w:pPr>
              <w:spacing w:line="360" w:lineRule="auto"/>
              <w:jc w:val="center"/>
              <w:rPr>
                <w:rFonts w:ascii="宋体" w:hAnsi="宋体" w:cs="宋体"/>
                <w:color w:val="auto"/>
                <w:szCs w:val="21"/>
                <w:highlight w:val="none"/>
              </w:rPr>
            </w:pPr>
          </w:p>
        </w:tc>
        <w:tc>
          <w:tcPr>
            <w:tcW w:w="2325" w:type="dxa"/>
          </w:tcPr>
          <w:p w14:paraId="119842B9">
            <w:pPr>
              <w:spacing w:line="360" w:lineRule="auto"/>
              <w:jc w:val="center"/>
              <w:rPr>
                <w:rFonts w:ascii="宋体" w:hAnsi="宋体" w:cs="宋体"/>
                <w:color w:val="auto"/>
                <w:szCs w:val="21"/>
                <w:highlight w:val="none"/>
              </w:rPr>
            </w:pPr>
          </w:p>
        </w:tc>
        <w:tc>
          <w:tcPr>
            <w:tcW w:w="2204" w:type="dxa"/>
          </w:tcPr>
          <w:p w14:paraId="747EF4E6">
            <w:pPr>
              <w:spacing w:line="360" w:lineRule="auto"/>
              <w:jc w:val="center"/>
              <w:rPr>
                <w:rFonts w:ascii="宋体" w:hAnsi="宋体" w:cs="宋体"/>
                <w:color w:val="auto"/>
                <w:szCs w:val="21"/>
                <w:highlight w:val="none"/>
              </w:rPr>
            </w:pPr>
          </w:p>
        </w:tc>
        <w:tc>
          <w:tcPr>
            <w:tcW w:w="1945" w:type="dxa"/>
          </w:tcPr>
          <w:p w14:paraId="6F51AD17">
            <w:pPr>
              <w:spacing w:line="360" w:lineRule="auto"/>
              <w:jc w:val="center"/>
              <w:rPr>
                <w:rFonts w:ascii="宋体" w:hAnsi="宋体" w:cs="宋体"/>
                <w:color w:val="auto"/>
                <w:szCs w:val="21"/>
                <w:highlight w:val="none"/>
              </w:rPr>
            </w:pPr>
          </w:p>
        </w:tc>
        <w:tc>
          <w:tcPr>
            <w:tcW w:w="1097" w:type="dxa"/>
          </w:tcPr>
          <w:p w14:paraId="7514000C">
            <w:pPr>
              <w:spacing w:line="360" w:lineRule="auto"/>
              <w:jc w:val="center"/>
              <w:rPr>
                <w:rFonts w:ascii="宋体" w:hAnsi="宋体" w:cs="宋体"/>
                <w:color w:val="auto"/>
                <w:szCs w:val="21"/>
                <w:highlight w:val="none"/>
              </w:rPr>
            </w:pPr>
          </w:p>
        </w:tc>
      </w:tr>
      <w:tr w14:paraId="3020F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48" w:type="dxa"/>
          </w:tcPr>
          <w:p w14:paraId="5A2CDD49">
            <w:pPr>
              <w:spacing w:line="360" w:lineRule="auto"/>
              <w:jc w:val="center"/>
              <w:rPr>
                <w:rFonts w:ascii="宋体" w:hAnsi="宋体" w:cs="宋体"/>
                <w:color w:val="auto"/>
                <w:szCs w:val="21"/>
                <w:highlight w:val="none"/>
              </w:rPr>
            </w:pPr>
          </w:p>
        </w:tc>
        <w:tc>
          <w:tcPr>
            <w:tcW w:w="2325" w:type="dxa"/>
          </w:tcPr>
          <w:p w14:paraId="3C62B69B">
            <w:pPr>
              <w:spacing w:line="360" w:lineRule="auto"/>
              <w:jc w:val="center"/>
              <w:rPr>
                <w:rFonts w:ascii="宋体" w:hAnsi="宋体" w:cs="宋体"/>
                <w:color w:val="auto"/>
                <w:szCs w:val="21"/>
                <w:highlight w:val="none"/>
              </w:rPr>
            </w:pPr>
          </w:p>
        </w:tc>
        <w:tc>
          <w:tcPr>
            <w:tcW w:w="2204" w:type="dxa"/>
          </w:tcPr>
          <w:p w14:paraId="45EE6970">
            <w:pPr>
              <w:spacing w:line="360" w:lineRule="auto"/>
              <w:jc w:val="center"/>
              <w:rPr>
                <w:rFonts w:ascii="宋体" w:hAnsi="宋体" w:cs="宋体"/>
                <w:color w:val="auto"/>
                <w:szCs w:val="21"/>
                <w:highlight w:val="none"/>
              </w:rPr>
            </w:pPr>
          </w:p>
        </w:tc>
        <w:tc>
          <w:tcPr>
            <w:tcW w:w="1945" w:type="dxa"/>
          </w:tcPr>
          <w:p w14:paraId="35456EA8">
            <w:pPr>
              <w:spacing w:line="360" w:lineRule="auto"/>
              <w:jc w:val="center"/>
              <w:rPr>
                <w:rFonts w:ascii="宋体" w:hAnsi="宋体" w:cs="宋体"/>
                <w:color w:val="auto"/>
                <w:szCs w:val="21"/>
                <w:highlight w:val="none"/>
              </w:rPr>
            </w:pPr>
          </w:p>
        </w:tc>
        <w:tc>
          <w:tcPr>
            <w:tcW w:w="1097" w:type="dxa"/>
          </w:tcPr>
          <w:p w14:paraId="765D05D3">
            <w:pPr>
              <w:spacing w:line="360" w:lineRule="auto"/>
              <w:jc w:val="center"/>
              <w:rPr>
                <w:rFonts w:ascii="宋体" w:hAnsi="宋体" w:cs="宋体"/>
                <w:color w:val="auto"/>
                <w:szCs w:val="21"/>
                <w:highlight w:val="none"/>
              </w:rPr>
            </w:pPr>
          </w:p>
        </w:tc>
      </w:tr>
      <w:tr w14:paraId="0CB41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48" w:type="dxa"/>
          </w:tcPr>
          <w:p w14:paraId="7D5B21A7">
            <w:pPr>
              <w:spacing w:line="360" w:lineRule="auto"/>
              <w:jc w:val="center"/>
              <w:rPr>
                <w:rFonts w:ascii="宋体" w:hAnsi="宋体" w:cs="宋体"/>
                <w:color w:val="auto"/>
                <w:szCs w:val="21"/>
                <w:highlight w:val="none"/>
              </w:rPr>
            </w:pPr>
          </w:p>
        </w:tc>
        <w:tc>
          <w:tcPr>
            <w:tcW w:w="2325" w:type="dxa"/>
          </w:tcPr>
          <w:p w14:paraId="60C8FC46">
            <w:pPr>
              <w:spacing w:line="360" w:lineRule="auto"/>
              <w:jc w:val="center"/>
              <w:rPr>
                <w:rFonts w:ascii="宋体" w:hAnsi="宋体" w:cs="宋体"/>
                <w:color w:val="auto"/>
                <w:szCs w:val="21"/>
                <w:highlight w:val="none"/>
              </w:rPr>
            </w:pPr>
          </w:p>
        </w:tc>
        <w:tc>
          <w:tcPr>
            <w:tcW w:w="2204" w:type="dxa"/>
          </w:tcPr>
          <w:p w14:paraId="53D62316">
            <w:pPr>
              <w:spacing w:line="360" w:lineRule="auto"/>
              <w:jc w:val="center"/>
              <w:rPr>
                <w:rFonts w:ascii="宋体" w:hAnsi="宋体" w:cs="宋体"/>
                <w:color w:val="auto"/>
                <w:szCs w:val="21"/>
                <w:highlight w:val="none"/>
              </w:rPr>
            </w:pPr>
          </w:p>
        </w:tc>
        <w:tc>
          <w:tcPr>
            <w:tcW w:w="1945" w:type="dxa"/>
          </w:tcPr>
          <w:p w14:paraId="2675C11D">
            <w:pPr>
              <w:spacing w:line="360" w:lineRule="auto"/>
              <w:jc w:val="center"/>
              <w:rPr>
                <w:rFonts w:ascii="宋体" w:hAnsi="宋体" w:cs="宋体"/>
                <w:color w:val="auto"/>
                <w:szCs w:val="21"/>
                <w:highlight w:val="none"/>
              </w:rPr>
            </w:pPr>
          </w:p>
        </w:tc>
        <w:tc>
          <w:tcPr>
            <w:tcW w:w="1097" w:type="dxa"/>
          </w:tcPr>
          <w:p w14:paraId="3EBF2662">
            <w:pPr>
              <w:spacing w:line="360" w:lineRule="auto"/>
              <w:jc w:val="center"/>
              <w:rPr>
                <w:rFonts w:ascii="宋体" w:hAnsi="宋体" w:cs="宋体"/>
                <w:color w:val="auto"/>
                <w:szCs w:val="21"/>
                <w:highlight w:val="none"/>
              </w:rPr>
            </w:pPr>
          </w:p>
        </w:tc>
      </w:tr>
      <w:tr w14:paraId="49916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48" w:type="dxa"/>
          </w:tcPr>
          <w:p w14:paraId="6CA83974">
            <w:pPr>
              <w:spacing w:line="360" w:lineRule="auto"/>
              <w:jc w:val="center"/>
              <w:rPr>
                <w:rFonts w:ascii="宋体" w:hAnsi="宋体" w:cs="宋体"/>
                <w:color w:val="auto"/>
                <w:szCs w:val="21"/>
                <w:highlight w:val="none"/>
              </w:rPr>
            </w:pPr>
          </w:p>
        </w:tc>
        <w:tc>
          <w:tcPr>
            <w:tcW w:w="2325" w:type="dxa"/>
          </w:tcPr>
          <w:p w14:paraId="68150D1A">
            <w:pPr>
              <w:spacing w:line="360" w:lineRule="auto"/>
              <w:jc w:val="center"/>
              <w:rPr>
                <w:rFonts w:ascii="宋体" w:hAnsi="宋体" w:cs="宋体"/>
                <w:color w:val="auto"/>
                <w:szCs w:val="21"/>
                <w:highlight w:val="none"/>
              </w:rPr>
            </w:pPr>
          </w:p>
        </w:tc>
        <w:tc>
          <w:tcPr>
            <w:tcW w:w="2204" w:type="dxa"/>
          </w:tcPr>
          <w:p w14:paraId="31DE118B">
            <w:pPr>
              <w:spacing w:line="360" w:lineRule="auto"/>
              <w:jc w:val="center"/>
              <w:rPr>
                <w:rFonts w:ascii="宋体" w:hAnsi="宋体" w:cs="宋体"/>
                <w:color w:val="auto"/>
                <w:szCs w:val="21"/>
                <w:highlight w:val="none"/>
              </w:rPr>
            </w:pPr>
          </w:p>
        </w:tc>
        <w:tc>
          <w:tcPr>
            <w:tcW w:w="1945" w:type="dxa"/>
          </w:tcPr>
          <w:p w14:paraId="544B9C14">
            <w:pPr>
              <w:spacing w:line="360" w:lineRule="auto"/>
              <w:jc w:val="center"/>
              <w:rPr>
                <w:rFonts w:ascii="宋体" w:hAnsi="宋体" w:cs="宋体"/>
                <w:color w:val="auto"/>
                <w:szCs w:val="21"/>
                <w:highlight w:val="none"/>
              </w:rPr>
            </w:pPr>
          </w:p>
        </w:tc>
        <w:tc>
          <w:tcPr>
            <w:tcW w:w="1097" w:type="dxa"/>
          </w:tcPr>
          <w:p w14:paraId="240E875A">
            <w:pPr>
              <w:spacing w:line="360" w:lineRule="auto"/>
              <w:jc w:val="center"/>
              <w:rPr>
                <w:rFonts w:ascii="宋体" w:hAnsi="宋体" w:cs="宋体"/>
                <w:color w:val="auto"/>
                <w:szCs w:val="21"/>
                <w:highlight w:val="none"/>
              </w:rPr>
            </w:pPr>
          </w:p>
        </w:tc>
      </w:tr>
      <w:tr w14:paraId="38B88D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48" w:type="dxa"/>
          </w:tcPr>
          <w:p w14:paraId="5220AEAD">
            <w:pPr>
              <w:spacing w:line="360" w:lineRule="auto"/>
              <w:jc w:val="center"/>
              <w:rPr>
                <w:rFonts w:ascii="宋体" w:hAnsi="宋体" w:cs="宋体"/>
                <w:color w:val="auto"/>
                <w:szCs w:val="21"/>
                <w:highlight w:val="none"/>
              </w:rPr>
            </w:pPr>
          </w:p>
        </w:tc>
        <w:tc>
          <w:tcPr>
            <w:tcW w:w="2325" w:type="dxa"/>
          </w:tcPr>
          <w:p w14:paraId="2F630980">
            <w:pPr>
              <w:spacing w:line="360" w:lineRule="auto"/>
              <w:jc w:val="center"/>
              <w:rPr>
                <w:rFonts w:ascii="宋体" w:hAnsi="宋体" w:cs="宋体"/>
                <w:color w:val="auto"/>
                <w:szCs w:val="21"/>
                <w:highlight w:val="none"/>
              </w:rPr>
            </w:pPr>
          </w:p>
        </w:tc>
        <w:tc>
          <w:tcPr>
            <w:tcW w:w="2204" w:type="dxa"/>
          </w:tcPr>
          <w:p w14:paraId="37E92D95">
            <w:pPr>
              <w:spacing w:line="360" w:lineRule="auto"/>
              <w:jc w:val="center"/>
              <w:rPr>
                <w:rFonts w:ascii="宋体" w:hAnsi="宋体" w:cs="宋体"/>
                <w:color w:val="auto"/>
                <w:szCs w:val="21"/>
                <w:highlight w:val="none"/>
              </w:rPr>
            </w:pPr>
          </w:p>
        </w:tc>
        <w:tc>
          <w:tcPr>
            <w:tcW w:w="1945" w:type="dxa"/>
          </w:tcPr>
          <w:p w14:paraId="06FAEB1B">
            <w:pPr>
              <w:spacing w:line="360" w:lineRule="auto"/>
              <w:jc w:val="center"/>
              <w:rPr>
                <w:rFonts w:ascii="宋体" w:hAnsi="宋体" w:cs="宋体"/>
                <w:color w:val="auto"/>
                <w:szCs w:val="21"/>
                <w:highlight w:val="none"/>
              </w:rPr>
            </w:pPr>
          </w:p>
        </w:tc>
        <w:tc>
          <w:tcPr>
            <w:tcW w:w="1097" w:type="dxa"/>
          </w:tcPr>
          <w:p w14:paraId="07917F7C">
            <w:pPr>
              <w:spacing w:line="360" w:lineRule="auto"/>
              <w:jc w:val="center"/>
              <w:rPr>
                <w:rFonts w:ascii="宋体" w:hAnsi="宋体" w:cs="宋体"/>
                <w:color w:val="auto"/>
                <w:szCs w:val="21"/>
                <w:highlight w:val="none"/>
              </w:rPr>
            </w:pPr>
          </w:p>
        </w:tc>
      </w:tr>
    </w:tbl>
    <w:p w14:paraId="5A0027A5">
      <w:pPr>
        <w:spacing w:line="360" w:lineRule="auto"/>
        <w:rPr>
          <w:rFonts w:ascii="宋体" w:hAnsi="宋体" w:cs="宋体"/>
          <w:color w:val="auto"/>
          <w:sz w:val="24"/>
          <w:szCs w:val="24"/>
          <w:highlight w:val="none"/>
        </w:rPr>
      </w:pPr>
    </w:p>
    <w:p w14:paraId="0E5E8177">
      <w:pPr>
        <w:spacing w:line="360" w:lineRule="auto"/>
        <w:rPr>
          <w:rFonts w:ascii="宋体" w:hAnsi="宋体" w:cs="宋体"/>
          <w:color w:val="auto"/>
          <w:szCs w:val="21"/>
          <w:highlight w:val="none"/>
        </w:rPr>
      </w:pPr>
      <w:r>
        <w:rPr>
          <w:rFonts w:hint="eastAsia" w:ascii="宋体" w:hAnsi="宋体" w:cs="宋体"/>
          <w:color w:val="auto"/>
          <w:szCs w:val="21"/>
          <w:highlight w:val="none"/>
        </w:rPr>
        <w:t>注：1、按照基本技术要求详细填列。</w:t>
      </w:r>
    </w:p>
    <w:p w14:paraId="1EBECA76">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2、行数不够，可自行添加。</w:t>
      </w:r>
    </w:p>
    <w:p w14:paraId="2D3E555F">
      <w:pPr>
        <w:pStyle w:val="239"/>
        <w:spacing w:line="360" w:lineRule="auto"/>
        <w:jc w:val="center"/>
        <w:outlineLvl w:val="0"/>
        <w:rPr>
          <w:rFonts w:ascii="宋体" w:hAnsi="宋体" w:cs="宋体"/>
          <w:bCs w:val="0"/>
          <w:color w:val="auto"/>
          <w:highlight w:val="none"/>
        </w:rPr>
      </w:pPr>
      <w:bookmarkStart w:id="40" w:name="_Hlt26955054"/>
      <w:bookmarkEnd w:id="40"/>
      <w:bookmarkStart w:id="41" w:name="_Toc109304979"/>
      <w:r>
        <w:rPr>
          <w:rFonts w:hint="eastAsia" w:ascii="宋体" w:hAnsi="宋体" w:cs="宋体"/>
          <w:bCs w:val="0"/>
          <w:color w:val="auto"/>
          <w:highlight w:val="none"/>
        </w:rPr>
        <w:br w:type="page" w:clear="all"/>
      </w:r>
      <w:r>
        <w:rPr>
          <w:rFonts w:hint="eastAsia" w:ascii="宋体" w:hAnsi="宋体" w:cs="宋体"/>
          <w:bCs w:val="0"/>
          <w:color w:val="auto"/>
          <w:highlight w:val="none"/>
        </w:rPr>
        <w:t>六、商务条款响应及偏离表</w:t>
      </w:r>
      <w:bookmarkEnd w:id="41"/>
    </w:p>
    <w:tbl>
      <w:tblPr>
        <w:tblStyle w:val="40"/>
        <w:tblW w:w="4998" w:type="pct"/>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top w:w="0" w:type="dxa"/>
          <w:left w:w="108" w:type="dxa"/>
          <w:bottom w:w="0" w:type="dxa"/>
          <w:right w:w="108" w:type="dxa"/>
        </w:tblCellMar>
      </w:tblPr>
      <w:tblGrid>
        <w:gridCol w:w="1593"/>
        <w:gridCol w:w="2427"/>
        <w:gridCol w:w="1786"/>
        <w:gridCol w:w="2487"/>
      </w:tblGrid>
      <w:tr w14:paraId="58F47CE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42" w:hRule="atLeast"/>
        </w:trPr>
        <w:tc>
          <w:tcPr>
            <w:tcW w:w="1633" w:type="dxa"/>
            <w:tcBorders>
              <w:bottom w:val="single" w:color="000000" w:sz="4" w:space="0"/>
              <w:right w:val="single" w:color="000000" w:sz="4" w:space="0"/>
            </w:tcBorders>
          </w:tcPr>
          <w:p w14:paraId="29259BB2">
            <w:pPr>
              <w:spacing w:before="156" w:line="360" w:lineRule="auto"/>
              <w:jc w:val="center"/>
              <w:rPr>
                <w:rFonts w:ascii="宋体" w:hAnsi="宋体" w:cs="宋体"/>
                <w:color w:val="auto"/>
                <w:szCs w:val="21"/>
                <w:highlight w:val="none"/>
              </w:rPr>
            </w:pPr>
            <w:r>
              <w:rPr>
                <w:rFonts w:hint="eastAsia" w:ascii="宋体" w:hAnsi="宋体" w:cs="宋体"/>
                <w:color w:val="auto"/>
                <w:szCs w:val="21"/>
                <w:highlight w:val="none"/>
              </w:rPr>
              <w:t>项目</w:t>
            </w:r>
          </w:p>
        </w:tc>
        <w:tc>
          <w:tcPr>
            <w:tcW w:w="2496" w:type="dxa"/>
            <w:tcBorders>
              <w:left w:val="single" w:color="000000" w:sz="4" w:space="0"/>
              <w:bottom w:val="single" w:color="000000" w:sz="4" w:space="0"/>
              <w:right w:val="single" w:color="000000" w:sz="4" w:space="0"/>
            </w:tcBorders>
          </w:tcPr>
          <w:p w14:paraId="7D55598F">
            <w:pPr>
              <w:spacing w:before="156" w:line="360" w:lineRule="auto"/>
              <w:jc w:val="center"/>
              <w:rPr>
                <w:rFonts w:ascii="宋体" w:hAnsi="宋体" w:cs="宋体"/>
                <w:color w:val="auto"/>
                <w:szCs w:val="21"/>
                <w:highlight w:val="none"/>
              </w:rPr>
            </w:pPr>
            <w:r>
              <w:rPr>
                <w:rFonts w:hint="eastAsia" w:ascii="宋体" w:hAnsi="宋体" w:cs="宋体"/>
                <w:color w:val="auto"/>
                <w:szCs w:val="21"/>
                <w:highlight w:val="none"/>
              </w:rPr>
              <w:t>采购文件要求</w:t>
            </w:r>
          </w:p>
        </w:tc>
        <w:tc>
          <w:tcPr>
            <w:tcW w:w="1833" w:type="dxa"/>
            <w:tcBorders>
              <w:left w:val="single" w:color="000000" w:sz="4" w:space="0"/>
              <w:bottom w:val="single" w:color="000000" w:sz="4" w:space="0"/>
              <w:right w:val="single" w:color="000000" w:sz="4" w:space="0"/>
            </w:tcBorders>
          </w:tcPr>
          <w:p w14:paraId="6CAA7791">
            <w:pPr>
              <w:spacing w:before="156" w:line="360" w:lineRule="auto"/>
              <w:jc w:val="center"/>
              <w:rPr>
                <w:rFonts w:ascii="宋体" w:hAnsi="宋体" w:cs="宋体"/>
                <w:color w:val="auto"/>
                <w:szCs w:val="21"/>
                <w:highlight w:val="none"/>
              </w:rPr>
            </w:pPr>
            <w:r>
              <w:rPr>
                <w:rFonts w:hint="eastAsia" w:ascii="宋体" w:hAnsi="宋体" w:cs="宋体"/>
                <w:color w:val="auto"/>
                <w:szCs w:val="21"/>
                <w:highlight w:val="none"/>
              </w:rPr>
              <w:t>是否响应</w:t>
            </w:r>
          </w:p>
        </w:tc>
        <w:tc>
          <w:tcPr>
            <w:tcW w:w="2557" w:type="dxa"/>
            <w:tcBorders>
              <w:left w:val="single" w:color="000000" w:sz="4" w:space="0"/>
              <w:bottom w:val="single" w:color="000000" w:sz="4" w:space="0"/>
            </w:tcBorders>
          </w:tcPr>
          <w:p w14:paraId="57B19499">
            <w:pPr>
              <w:spacing w:before="156" w:line="360" w:lineRule="auto"/>
              <w:jc w:val="center"/>
              <w:rPr>
                <w:rFonts w:ascii="宋体" w:hAnsi="宋体" w:cs="宋体"/>
                <w:color w:val="auto"/>
                <w:szCs w:val="21"/>
                <w:highlight w:val="none"/>
              </w:rPr>
            </w:pPr>
            <w:r>
              <w:rPr>
                <w:rFonts w:hint="eastAsia" w:ascii="宋体" w:hAnsi="宋体" w:cs="宋体"/>
                <w:color w:val="auto"/>
                <w:szCs w:val="21"/>
                <w:highlight w:val="none"/>
              </w:rPr>
              <w:t>供应商的承诺或说明</w:t>
            </w:r>
          </w:p>
        </w:tc>
      </w:tr>
      <w:tr w14:paraId="55A7B8B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40" w:hRule="atLeast"/>
        </w:trPr>
        <w:tc>
          <w:tcPr>
            <w:tcW w:w="1633" w:type="dxa"/>
            <w:tcBorders>
              <w:top w:val="single" w:color="000000" w:sz="4" w:space="0"/>
              <w:bottom w:val="single" w:color="000000" w:sz="4" w:space="0"/>
              <w:right w:val="single" w:color="000000" w:sz="4" w:space="0"/>
            </w:tcBorders>
          </w:tcPr>
          <w:p w14:paraId="1B783D15">
            <w:pPr>
              <w:rPr>
                <w:color w:val="auto"/>
                <w:highlight w:val="none"/>
              </w:rPr>
            </w:pPr>
          </w:p>
        </w:tc>
        <w:tc>
          <w:tcPr>
            <w:tcW w:w="2496" w:type="dxa"/>
            <w:tcBorders>
              <w:top w:val="single" w:color="000000" w:sz="4" w:space="0"/>
              <w:left w:val="single" w:color="000000" w:sz="4" w:space="0"/>
              <w:bottom w:val="single" w:color="000000" w:sz="4" w:space="0"/>
              <w:right w:val="single" w:color="000000" w:sz="4" w:space="0"/>
            </w:tcBorders>
          </w:tcPr>
          <w:p w14:paraId="3BC860A1">
            <w:pPr>
              <w:spacing w:before="156" w:line="360" w:lineRule="auto"/>
              <w:jc w:val="center"/>
              <w:rPr>
                <w:rFonts w:ascii="宋体" w:hAnsi="宋体" w:cs="宋体"/>
                <w:color w:val="auto"/>
                <w:szCs w:val="21"/>
                <w:highlight w:val="none"/>
              </w:rPr>
            </w:pPr>
          </w:p>
        </w:tc>
        <w:tc>
          <w:tcPr>
            <w:tcW w:w="1833" w:type="dxa"/>
            <w:tcBorders>
              <w:top w:val="single" w:color="000000" w:sz="4" w:space="0"/>
              <w:left w:val="single" w:color="000000" w:sz="4" w:space="0"/>
              <w:bottom w:val="single" w:color="000000" w:sz="4" w:space="0"/>
              <w:right w:val="single" w:color="000000" w:sz="4" w:space="0"/>
            </w:tcBorders>
          </w:tcPr>
          <w:p w14:paraId="6D3CAC7C">
            <w:pPr>
              <w:spacing w:before="156" w:line="360" w:lineRule="auto"/>
              <w:ind w:left="43"/>
              <w:jc w:val="center"/>
              <w:rPr>
                <w:rFonts w:ascii="宋体" w:hAnsi="宋体" w:cs="宋体"/>
                <w:color w:val="auto"/>
                <w:szCs w:val="21"/>
                <w:highlight w:val="none"/>
              </w:rPr>
            </w:pPr>
          </w:p>
        </w:tc>
        <w:tc>
          <w:tcPr>
            <w:tcW w:w="2557" w:type="dxa"/>
            <w:tcBorders>
              <w:top w:val="single" w:color="000000" w:sz="4" w:space="0"/>
              <w:left w:val="single" w:color="000000" w:sz="4" w:space="0"/>
              <w:bottom w:val="single" w:color="000000" w:sz="4" w:space="0"/>
            </w:tcBorders>
          </w:tcPr>
          <w:p w14:paraId="302D7B1B">
            <w:pPr>
              <w:spacing w:before="156" w:line="360" w:lineRule="auto"/>
              <w:ind w:left="43"/>
              <w:jc w:val="center"/>
              <w:rPr>
                <w:rFonts w:ascii="宋体" w:hAnsi="宋体" w:cs="宋体"/>
                <w:color w:val="auto"/>
                <w:szCs w:val="21"/>
                <w:highlight w:val="none"/>
              </w:rPr>
            </w:pPr>
          </w:p>
        </w:tc>
      </w:tr>
      <w:tr w14:paraId="114556D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40" w:hRule="atLeast"/>
        </w:trPr>
        <w:tc>
          <w:tcPr>
            <w:tcW w:w="1633" w:type="dxa"/>
            <w:tcBorders>
              <w:top w:val="single" w:color="000000" w:sz="4" w:space="0"/>
              <w:bottom w:val="single" w:color="000000" w:sz="4" w:space="0"/>
              <w:right w:val="single" w:color="000000" w:sz="4" w:space="0"/>
            </w:tcBorders>
          </w:tcPr>
          <w:p w14:paraId="39407A19">
            <w:pPr>
              <w:rPr>
                <w:color w:val="auto"/>
                <w:highlight w:val="none"/>
              </w:rPr>
            </w:pPr>
          </w:p>
        </w:tc>
        <w:tc>
          <w:tcPr>
            <w:tcW w:w="2496" w:type="dxa"/>
            <w:tcBorders>
              <w:top w:val="single" w:color="000000" w:sz="4" w:space="0"/>
              <w:left w:val="single" w:color="000000" w:sz="4" w:space="0"/>
              <w:bottom w:val="single" w:color="000000" w:sz="4" w:space="0"/>
              <w:right w:val="single" w:color="000000" w:sz="4" w:space="0"/>
            </w:tcBorders>
          </w:tcPr>
          <w:p w14:paraId="114258F1">
            <w:pPr>
              <w:spacing w:before="156" w:line="360" w:lineRule="auto"/>
              <w:rPr>
                <w:rFonts w:ascii="宋体" w:hAnsi="宋体" w:cs="宋体"/>
                <w:color w:val="auto"/>
                <w:szCs w:val="21"/>
                <w:highlight w:val="none"/>
              </w:rPr>
            </w:pPr>
          </w:p>
        </w:tc>
        <w:tc>
          <w:tcPr>
            <w:tcW w:w="1833" w:type="dxa"/>
            <w:tcBorders>
              <w:top w:val="single" w:color="000000" w:sz="4" w:space="0"/>
              <w:left w:val="single" w:color="000000" w:sz="4" w:space="0"/>
              <w:bottom w:val="single" w:color="000000" w:sz="4" w:space="0"/>
              <w:right w:val="single" w:color="000000" w:sz="4" w:space="0"/>
            </w:tcBorders>
          </w:tcPr>
          <w:p w14:paraId="15E297B8">
            <w:pPr>
              <w:spacing w:before="156" w:line="360" w:lineRule="auto"/>
              <w:ind w:left="43"/>
              <w:jc w:val="center"/>
              <w:rPr>
                <w:rFonts w:ascii="宋体" w:hAnsi="宋体" w:cs="宋体"/>
                <w:color w:val="auto"/>
                <w:szCs w:val="21"/>
                <w:highlight w:val="none"/>
              </w:rPr>
            </w:pPr>
          </w:p>
        </w:tc>
        <w:tc>
          <w:tcPr>
            <w:tcW w:w="2557" w:type="dxa"/>
            <w:tcBorders>
              <w:top w:val="single" w:color="000000" w:sz="4" w:space="0"/>
              <w:left w:val="single" w:color="000000" w:sz="4" w:space="0"/>
              <w:bottom w:val="single" w:color="000000" w:sz="4" w:space="0"/>
            </w:tcBorders>
          </w:tcPr>
          <w:p w14:paraId="4062E45D">
            <w:pPr>
              <w:spacing w:before="156" w:line="360" w:lineRule="auto"/>
              <w:ind w:left="43"/>
              <w:jc w:val="center"/>
              <w:rPr>
                <w:rFonts w:ascii="宋体" w:hAnsi="宋体" w:cs="宋体"/>
                <w:color w:val="auto"/>
                <w:szCs w:val="21"/>
                <w:highlight w:val="none"/>
              </w:rPr>
            </w:pPr>
          </w:p>
        </w:tc>
      </w:tr>
      <w:tr w14:paraId="1FC905F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60" w:hRule="atLeast"/>
        </w:trPr>
        <w:tc>
          <w:tcPr>
            <w:tcW w:w="1633" w:type="dxa"/>
            <w:tcBorders>
              <w:top w:val="single" w:color="000000" w:sz="4" w:space="0"/>
              <w:bottom w:val="single" w:color="000000" w:sz="4" w:space="0"/>
              <w:right w:val="single" w:color="000000" w:sz="4" w:space="0"/>
            </w:tcBorders>
          </w:tcPr>
          <w:p w14:paraId="734B22EC">
            <w:pPr>
              <w:rPr>
                <w:color w:val="auto"/>
                <w:highlight w:val="none"/>
              </w:rPr>
            </w:pPr>
          </w:p>
        </w:tc>
        <w:tc>
          <w:tcPr>
            <w:tcW w:w="2496" w:type="dxa"/>
            <w:tcBorders>
              <w:top w:val="single" w:color="000000" w:sz="4" w:space="0"/>
              <w:left w:val="single" w:color="000000" w:sz="4" w:space="0"/>
              <w:bottom w:val="single" w:color="000000" w:sz="4" w:space="0"/>
              <w:right w:val="single" w:color="000000" w:sz="4" w:space="0"/>
            </w:tcBorders>
          </w:tcPr>
          <w:p w14:paraId="497C43BD">
            <w:pPr>
              <w:spacing w:before="156" w:line="360" w:lineRule="auto"/>
              <w:rPr>
                <w:rFonts w:ascii="宋体" w:hAnsi="宋体" w:cs="宋体"/>
                <w:color w:val="auto"/>
                <w:szCs w:val="21"/>
                <w:highlight w:val="none"/>
              </w:rPr>
            </w:pPr>
          </w:p>
        </w:tc>
        <w:tc>
          <w:tcPr>
            <w:tcW w:w="1833" w:type="dxa"/>
            <w:tcBorders>
              <w:top w:val="single" w:color="000000" w:sz="4" w:space="0"/>
              <w:left w:val="single" w:color="000000" w:sz="4" w:space="0"/>
              <w:bottom w:val="single" w:color="000000" w:sz="4" w:space="0"/>
              <w:right w:val="single" w:color="000000" w:sz="4" w:space="0"/>
            </w:tcBorders>
          </w:tcPr>
          <w:p w14:paraId="41706012">
            <w:pPr>
              <w:spacing w:before="156" w:line="360" w:lineRule="auto"/>
              <w:ind w:left="43"/>
              <w:jc w:val="center"/>
              <w:rPr>
                <w:rFonts w:ascii="宋体" w:hAnsi="宋体" w:cs="宋体"/>
                <w:color w:val="auto"/>
                <w:szCs w:val="21"/>
                <w:highlight w:val="none"/>
              </w:rPr>
            </w:pPr>
          </w:p>
        </w:tc>
        <w:tc>
          <w:tcPr>
            <w:tcW w:w="2557" w:type="dxa"/>
            <w:tcBorders>
              <w:top w:val="single" w:color="000000" w:sz="4" w:space="0"/>
              <w:left w:val="single" w:color="000000" w:sz="4" w:space="0"/>
              <w:bottom w:val="single" w:color="000000" w:sz="4" w:space="0"/>
            </w:tcBorders>
          </w:tcPr>
          <w:p w14:paraId="4DCB7CDB">
            <w:pPr>
              <w:spacing w:before="156" w:line="360" w:lineRule="auto"/>
              <w:ind w:left="43"/>
              <w:jc w:val="center"/>
              <w:rPr>
                <w:rFonts w:ascii="宋体" w:hAnsi="宋体" w:cs="宋体"/>
                <w:color w:val="auto"/>
                <w:szCs w:val="21"/>
                <w:highlight w:val="none"/>
              </w:rPr>
            </w:pPr>
          </w:p>
        </w:tc>
      </w:tr>
      <w:tr w14:paraId="7954BB2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02" w:hRule="atLeast"/>
        </w:trPr>
        <w:tc>
          <w:tcPr>
            <w:tcW w:w="1633" w:type="dxa"/>
            <w:tcBorders>
              <w:top w:val="single" w:color="000000" w:sz="4" w:space="0"/>
              <w:bottom w:val="single" w:color="000000" w:sz="4" w:space="0"/>
              <w:right w:val="single" w:color="000000" w:sz="4" w:space="0"/>
            </w:tcBorders>
          </w:tcPr>
          <w:p w14:paraId="73210265">
            <w:pPr>
              <w:rPr>
                <w:color w:val="auto"/>
                <w:highlight w:val="none"/>
              </w:rPr>
            </w:pPr>
          </w:p>
        </w:tc>
        <w:tc>
          <w:tcPr>
            <w:tcW w:w="2496" w:type="dxa"/>
            <w:tcBorders>
              <w:top w:val="single" w:color="000000" w:sz="4" w:space="0"/>
              <w:left w:val="single" w:color="000000" w:sz="4" w:space="0"/>
              <w:bottom w:val="single" w:color="000000" w:sz="4" w:space="0"/>
              <w:right w:val="single" w:color="000000" w:sz="4" w:space="0"/>
            </w:tcBorders>
          </w:tcPr>
          <w:p w14:paraId="3D996D6E">
            <w:pPr>
              <w:spacing w:before="156" w:line="360" w:lineRule="auto"/>
              <w:rPr>
                <w:rFonts w:ascii="宋体" w:hAnsi="宋体" w:cs="宋体"/>
                <w:color w:val="auto"/>
                <w:szCs w:val="21"/>
                <w:highlight w:val="none"/>
              </w:rPr>
            </w:pPr>
          </w:p>
        </w:tc>
        <w:tc>
          <w:tcPr>
            <w:tcW w:w="1833" w:type="dxa"/>
            <w:tcBorders>
              <w:top w:val="single" w:color="000000" w:sz="4" w:space="0"/>
              <w:left w:val="single" w:color="000000" w:sz="4" w:space="0"/>
              <w:bottom w:val="single" w:color="000000" w:sz="4" w:space="0"/>
              <w:right w:val="single" w:color="000000" w:sz="4" w:space="0"/>
            </w:tcBorders>
          </w:tcPr>
          <w:p w14:paraId="34636F79">
            <w:pPr>
              <w:spacing w:before="156" w:line="360" w:lineRule="auto"/>
              <w:jc w:val="center"/>
              <w:rPr>
                <w:rFonts w:ascii="宋体" w:hAnsi="宋体" w:cs="宋体"/>
                <w:color w:val="auto"/>
                <w:szCs w:val="21"/>
                <w:highlight w:val="none"/>
              </w:rPr>
            </w:pPr>
          </w:p>
        </w:tc>
        <w:tc>
          <w:tcPr>
            <w:tcW w:w="2557" w:type="dxa"/>
            <w:tcBorders>
              <w:top w:val="single" w:color="000000" w:sz="4" w:space="0"/>
              <w:left w:val="single" w:color="000000" w:sz="4" w:space="0"/>
              <w:bottom w:val="single" w:color="000000" w:sz="4" w:space="0"/>
            </w:tcBorders>
          </w:tcPr>
          <w:p w14:paraId="36A5DCDE">
            <w:pPr>
              <w:spacing w:before="156" w:line="360" w:lineRule="auto"/>
              <w:jc w:val="center"/>
              <w:rPr>
                <w:rFonts w:ascii="宋体" w:hAnsi="宋体" w:cs="宋体"/>
                <w:color w:val="auto"/>
                <w:szCs w:val="21"/>
                <w:highlight w:val="none"/>
              </w:rPr>
            </w:pPr>
          </w:p>
        </w:tc>
      </w:tr>
      <w:tr w14:paraId="420A25B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633" w:type="dxa"/>
            <w:tcBorders>
              <w:top w:val="single" w:color="000000" w:sz="4" w:space="0"/>
              <w:right w:val="single" w:color="000000" w:sz="4" w:space="0"/>
            </w:tcBorders>
          </w:tcPr>
          <w:p w14:paraId="4E39D83F">
            <w:pPr>
              <w:rPr>
                <w:color w:val="auto"/>
                <w:highlight w:val="none"/>
              </w:rPr>
            </w:pPr>
          </w:p>
        </w:tc>
        <w:tc>
          <w:tcPr>
            <w:tcW w:w="2496" w:type="dxa"/>
            <w:tcBorders>
              <w:top w:val="single" w:color="000000" w:sz="4" w:space="0"/>
              <w:left w:val="single" w:color="000000" w:sz="4" w:space="0"/>
              <w:right w:val="single" w:color="000000" w:sz="4" w:space="0"/>
            </w:tcBorders>
          </w:tcPr>
          <w:p w14:paraId="13CFBA00">
            <w:pPr>
              <w:rPr>
                <w:color w:val="auto"/>
                <w:highlight w:val="none"/>
              </w:rPr>
            </w:pPr>
          </w:p>
        </w:tc>
        <w:tc>
          <w:tcPr>
            <w:tcW w:w="1833" w:type="dxa"/>
            <w:tcBorders>
              <w:top w:val="single" w:color="000000" w:sz="4" w:space="0"/>
              <w:left w:val="single" w:color="000000" w:sz="4" w:space="0"/>
              <w:right w:val="single" w:color="000000" w:sz="4" w:space="0"/>
            </w:tcBorders>
          </w:tcPr>
          <w:p w14:paraId="728EEF8D">
            <w:pPr>
              <w:spacing w:before="156" w:line="360" w:lineRule="auto"/>
              <w:jc w:val="center"/>
              <w:rPr>
                <w:rFonts w:ascii="宋体" w:hAnsi="宋体" w:cs="宋体"/>
                <w:color w:val="auto"/>
                <w:szCs w:val="21"/>
                <w:highlight w:val="none"/>
              </w:rPr>
            </w:pPr>
          </w:p>
        </w:tc>
        <w:tc>
          <w:tcPr>
            <w:tcW w:w="2557" w:type="dxa"/>
            <w:tcBorders>
              <w:top w:val="single" w:color="000000" w:sz="4" w:space="0"/>
              <w:left w:val="single" w:color="000000" w:sz="4" w:space="0"/>
            </w:tcBorders>
          </w:tcPr>
          <w:p w14:paraId="77318A28">
            <w:pPr>
              <w:spacing w:before="156" w:line="360" w:lineRule="auto"/>
              <w:jc w:val="center"/>
              <w:rPr>
                <w:rFonts w:ascii="宋体" w:hAnsi="宋体" w:cs="宋体"/>
                <w:color w:val="auto"/>
                <w:szCs w:val="21"/>
                <w:highlight w:val="none"/>
              </w:rPr>
            </w:pPr>
          </w:p>
        </w:tc>
      </w:tr>
    </w:tbl>
    <w:p w14:paraId="643DEBEF">
      <w:pPr>
        <w:rPr>
          <w:rFonts w:ascii="宋体" w:hAnsi="宋体" w:cs="宋体"/>
          <w:b/>
          <w:color w:val="auto"/>
          <w:sz w:val="32"/>
          <w:szCs w:val="32"/>
          <w:highlight w:val="none"/>
        </w:rPr>
      </w:pPr>
      <w:bookmarkStart w:id="42" w:name="_Hlt26671343"/>
      <w:bookmarkEnd w:id="42"/>
      <w:bookmarkStart w:id="43" w:name="_Hlt26782999"/>
      <w:bookmarkEnd w:id="43"/>
      <w:bookmarkStart w:id="44" w:name="_Hlt26955056"/>
      <w:bookmarkEnd w:id="44"/>
      <w:bookmarkStart w:id="45" w:name="_Hlt26580838"/>
      <w:bookmarkEnd w:id="45"/>
      <w:bookmarkStart w:id="46" w:name="_Hlt24879081"/>
      <w:bookmarkEnd w:id="46"/>
      <w:bookmarkStart w:id="47" w:name="_Hlt26609391"/>
      <w:bookmarkEnd w:id="47"/>
      <w:bookmarkStart w:id="48" w:name="_Hlt26955064"/>
      <w:bookmarkEnd w:id="48"/>
      <w:bookmarkStart w:id="49" w:name="_Hlt26671372"/>
      <w:bookmarkEnd w:id="49"/>
      <w:r>
        <w:rPr>
          <w:rFonts w:hint="eastAsia" w:ascii="宋体" w:hAnsi="宋体" w:cs="宋体"/>
          <w:b/>
          <w:color w:val="auto"/>
          <w:highlight w:val="none"/>
        </w:rPr>
        <w:br w:type="page" w:clear="all"/>
      </w:r>
    </w:p>
    <w:p w14:paraId="017F5DF3">
      <w:pPr>
        <w:widowControl/>
        <w:spacing w:line="360" w:lineRule="auto"/>
        <w:jc w:val="center"/>
        <w:outlineLvl w:val="0"/>
        <w:rPr>
          <w:rFonts w:ascii="宋体" w:hAnsi="宋体" w:cs="宋体"/>
          <w:b/>
          <w:color w:val="auto"/>
          <w:sz w:val="32"/>
          <w:szCs w:val="32"/>
          <w:highlight w:val="none"/>
        </w:rPr>
      </w:pPr>
      <w:r>
        <w:rPr>
          <w:rFonts w:hint="eastAsia" w:ascii="宋体" w:hAnsi="宋体" w:cs="宋体"/>
          <w:b/>
          <w:color w:val="auto"/>
          <w:sz w:val="32"/>
          <w:szCs w:val="32"/>
          <w:highlight w:val="none"/>
        </w:rPr>
        <w:t>八、拟参与本项目人员一览表</w:t>
      </w:r>
    </w:p>
    <w:p w14:paraId="62C51E74">
      <w:pPr>
        <w:pStyle w:val="15"/>
        <w:tabs>
          <w:tab w:val="left" w:pos="5711"/>
        </w:tabs>
        <w:jc w:val="left"/>
        <w:rPr>
          <w:color w:val="auto"/>
          <w:highlight w:val="none"/>
        </w:rPr>
      </w:pPr>
    </w:p>
    <w:p w14:paraId="5D65503C">
      <w:pPr>
        <w:pStyle w:val="15"/>
        <w:tabs>
          <w:tab w:val="left" w:pos="5711"/>
        </w:tabs>
        <w:jc w:val="left"/>
        <w:outlineLvl w:val="1"/>
        <w:rPr>
          <w:color w:val="auto"/>
          <w:highlight w:val="none"/>
        </w:rPr>
      </w:pPr>
      <w:r>
        <w:rPr>
          <w:color w:val="auto"/>
          <w:highlight w:val="none"/>
        </w:rPr>
        <w:t>项目名称：</w:t>
      </w:r>
      <w:r>
        <w:rPr>
          <w:color w:val="auto"/>
          <w:highlight w:val="none"/>
        </w:rPr>
        <w:tab/>
      </w:r>
      <w:r>
        <w:rPr>
          <w:color w:val="auto"/>
          <w:highlight w:val="none"/>
        </w:rPr>
        <w:t>项目编号：</w:t>
      </w:r>
    </w:p>
    <w:p w14:paraId="0B5555BC">
      <w:pPr>
        <w:spacing w:before="1"/>
        <w:rPr>
          <w:rFonts w:ascii="宋体" w:hAnsi="宋体" w:cs="宋体"/>
          <w:color w:val="auto"/>
          <w:sz w:val="3"/>
          <w:szCs w:val="3"/>
          <w:highlight w:val="none"/>
        </w:rPr>
      </w:pPr>
    </w:p>
    <w:tbl>
      <w:tblPr>
        <w:tblStyle w:val="40"/>
        <w:tblW w:w="0" w:type="auto"/>
        <w:jc w:val="center"/>
        <w:tblLayout w:type="fixed"/>
        <w:tblCellMar>
          <w:top w:w="0" w:type="dxa"/>
          <w:left w:w="0" w:type="dxa"/>
          <w:bottom w:w="0" w:type="dxa"/>
          <w:right w:w="0" w:type="dxa"/>
        </w:tblCellMar>
      </w:tblPr>
      <w:tblGrid>
        <w:gridCol w:w="692"/>
        <w:gridCol w:w="738"/>
        <w:gridCol w:w="663"/>
        <w:gridCol w:w="709"/>
        <w:gridCol w:w="1134"/>
        <w:gridCol w:w="1056"/>
        <w:gridCol w:w="1020"/>
        <w:gridCol w:w="1174"/>
        <w:gridCol w:w="1588"/>
        <w:gridCol w:w="851"/>
      </w:tblGrid>
      <w:tr w14:paraId="309633AF">
        <w:tblPrEx>
          <w:tblCellMar>
            <w:top w:w="0" w:type="dxa"/>
            <w:left w:w="0" w:type="dxa"/>
            <w:bottom w:w="0" w:type="dxa"/>
            <w:right w:w="0" w:type="dxa"/>
          </w:tblCellMar>
        </w:tblPrEx>
        <w:trPr>
          <w:trHeight w:val="1117" w:hRule="exact"/>
          <w:jc w:val="center"/>
        </w:trPr>
        <w:tc>
          <w:tcPr>
            <w:tcW w:w="692" w:type="dxa"/>
            <w:tcBorders>
              <w:top w:val="single" w:color="000000" w:sz="4" w:space="0"/>
              <w:left w:val="single" w:color="000000" w:sz="4" w:space="0"/>
              <w:bottom w:val="single" w:color="000000" w:sz="4" w:space="0"/>
              <w:right w:val="single" w:color="000000" w:sz="4" w:space="0"/>
            </w:tcBorders>
          </w:tcPr>
          <w:p w14:paraId="2CEE8CD3">
            <w:pPr>
              <w:pStyle w:val="281"/>
              <w:spacing w:before="11"/>
              <w:jc w:val="left"/>
              <w:rPr>
                <w:color w:val="auto"/>
                <w:sz w:val="18"/>
                <w:szCs w:val="18"/>
                <w:highlight w:val="none"/>
              </w:rPr>
            </w:pPr>
          </w:p>
          <w:p w14:paraId="35A89ED6">
            <w:pPr>
              <w:pStyle w:val="281"/>
              <w:ind w:left="156" w:right="157"/>
              <w:jc w:val="left"/>
              <w:rPr>
                <w:color w:val="auto"/>
                <w:szCs w:val="21"/>
                <w:highlight w:val="none"/>
              </w:rPr>
            </w:pPr>
            <w:r>
              <w:rPr>
                <w:b/>
                <w:bCs/>
                <w:color w:val="auto"/>
                <w:szCs w:val="21"/>
                <w:highlight w:val="none"/>
              </w:rPr>
              <w:t>序号</w:t>
            </w:r>
          </w:p>
        </w:tc>
        <w:tc>
          <w:tcPr>
            <w:tcW w:w="738" w:type="dxa"/>
            <w:tcBorders>
              <w:top w:val="single" w:color="000000" w:sz="4" w:space="0"/>
              <w:left w:val="single" w:color="000000" w:sz="4" w:space="0"/>
              <w:bottom w:val="single" w:color="000000" w:sz="4" w:space="0"/>
              <w:right w:val="single" w:color="000000" w:sz="4" w:space="0"/>
            </w:tcBorders>
          </w:tcPr>
          <w:p w14:paraId="655922AF">
            <w:pPr>
              <w:pStyle w:val="281"/>
              <w:spacing w:before="4"/>
              <w:jc w:val="left"/>
              <w:rPr>
                <w:color w:val="auto"/>
                <w:sz w:val="29"/>
                <w:szCs w:val="29"/>
                <w:highlight w:val="none"/>
              </w:rPr>
            </w:pPr>
          </w:p>
          <w:p w14:paraId="6EF8C8FE">
            <w:pPr>
              <w:pStyle w:val="281"/>
              <w:ind w:left="234"/>
              <w:jc w:val="left"/>
              <w:rPr>
                <w:color w:val="auto"/>
                <w:szCs w:val="21"/>
                <w:highlight w:val="none"/>
              </w:rPr>
            </w:pPr>
            <w:r>
              <w:rPr>
                <w:b/>
                <w:bCs/>
                <w:color w:val="auto"/>
                <w:szCs w:val="21"/>
                <w:highlight w:val="none"/>
              </w:rPr>
              <w:t>姓名</w:t>
            </w:r>
          </w:p>
        </w:tc>
        <w:tc>
          <w:tcPr>
            <w:tcW w:w="663" w:type="dxa"/>
            <w:tcBorders>
              <w:top w:val="single" w:color="000000" w:sz="4" w:space="0"/>
              <w:left w:val="single" w:color="000000" w:sz="4" w:space="0"/>
              <w:bottom w:val="single" w:color="000000" w:sz="4" w:space="0"/>
              <w:right w:val="single" w:color="000000" w:sz="4" w:space="0"/>
            </w:tcBorders>
          </w:tcPr>
          <w:p w14:paraId="00FA7187">
            <w:pPr>
              <w:pStyle w:val="281"/>
              <w:spacing w:before="4"/>
              <w:jc w:val="left"/>
              <w:rPr>
                <w:color w:val="auto"/>
                <w:sz w:val="29"/>
                <w:szCs w:val="29"/>
                <w:highlight w:val="none"/>
              </w:rPr>
            </w:pPr>
          </w:p>
          <w:p w14:paraId="3A72A9AD">
            <w:pPr>
              <w:pStyle w:val="281"/>
              <w:ind w:left="115"/>
              <w:jc w:val="left"/>
              <w:rPr>
                <w:color w:val="auto"/>
                <w:szCs w:val="21"/>
                <w:highlight w:val="none"/>
              </w:rPr>
            </w:pPr>
            <w:r>
              <w:rPr>
                <w:b/>
                <w:bCs/>
                <w:color w:val="auto"/>
                <w:szCs w:val="21"/>
                <w:highlight w:val="none"/>
              </w:rPr>
              <w:t>性别</w:t>
            </w:r>
          </w:p>
        </w:tc>
        <w:tc>
          <w:tcPr>
            <w:tcW w:w="709" w:type="dxa"/>
            <w:tcBorders>
              <w:top w:val="single" w:color="000000" w:sz="4" w:space="0"/>
              <w:left w:val="single" w:color="000000" w:sz="4" w:space="0"/>
              <w:bottom w:val="single" w:color="000000" w:sz="4" w:space="0"/>
              <w:right w:val="single" w:color="000000" w:sz="4" w:space="0"/>
            </w:tcBorders>
          </w:tcPr>
          <w:p w14:paraId="29622220">
            <w:pPr>
              <w:pStyle w:val="281"/>
              <w:spacing w:before="4"/>
              <w:jc w:val="left"/>
              <w:rPr>
                <w:color w:val="auto"/>
                <w:sz w:val="29"/>
                <w:szCs w:val="29"/>
                <w:highlight w:val="none"/>
              </w:rPr>
            </w:pPr>
          </w:p>
          <w:p w14:paraId="1939CE07">
            <w:pPr>
              <w:pStyle w:val="281"/>
              <w:ind w:left="138"/>
              <w:jc w:val="left"/>
              <w:rPr>
                <w:color w:val="auto"/>
                <w:szCs w:val="21"/>
                <w:highlight w:val="none"/>
              </w:rPr>
            </w:pPr>
            <w:r>
              <w:rPr>
                <w:b/>
                <w:bCs/>
                <w:color w:val="auto"/>
                <w:szCs w:val="21"/>
                <w:highlight w:val="none"/>
              </w:rPr>
              <w:t>年龄</w:t>
            </w:r>
          </w:p>
        </w:tc>
        <w:tc>
          <w:tcPr>
            <w:tcW w:w="1134" w:type="dxa"/>
            <w:tcBorders>
              <w:top w:val="single" w:color="000000" w:sz="4" w:space="0"/>
              <w:left w:val="single" w:color="000000" w:sz="4" w:space="0"/>
              <w:bottom w:val="single" w:color="000000" w:sz="4" w:space="0"/>
              <w:right w:val="single" w:color="000000" w:sz="4" w:space="0"/>
            </w:tcBorders>
          </w:tcPr>
          <w:p w14:paraId="5EA758EF">
            <w:pPr>
              <w:pStyle w:val="281"/>
              <w:spacing w:before="11"/>
              <w:jc w:val="left"/>
              <w:rPr>
                <w:color w:val="auto"/>
                <w:sz w:val="18"/>
                <w:szCs w:val="18"/>
                <w:highlight w:val="none"/>
              </w:rPr>
            </w:pPr>
          </w:p>
          <w:p w14:paraId="50E54105">
            <w:pPr>
              <w:pStyle w:val="281"/>
              <w:ind w:left="351" w:right="245" w:hanging="106"/>
              <w:jc w:val="left"/>
              <w:rPr>
                <w:color w:val="auto"/>
                <w:szCs w:val="21"/>
                <w:highlight w:val="none"/>
              </w:rPr>
            </w:pPr>
            <w:r>
              <w:rPr>
                <w:b/>
                <w:bCs/>
                <w:color w:val="auto"/>
                <w:szCs w:val="21"/>
                <w:highlight w:val="none"/>
              </w:rPr>
              <w:t>学历及专业</w:t>
            </w:r>
          </w:p>
        </w:tc>
        <w:tc>
          <w:tcPr>
            <w:tcW w:w="1056" w:type="dxa"/>
            <w:tcBorders>
              <w:top w:val="single" w:color="000000" w:sz="4" w:space="0"/>
              <w:left w:val="single" w:color="000000" w:sz="4" w:space="0"/>
              <w:bottom w:val="single" w:color="000000" w:sz="4" w:space="0"/>
              <w:right w:val="single" w:color="000000" w:sz="4" w:space="0"/>
            </w:tcBorders>
          </w:tcPr>
          <w:p w14:paraId="5E42A709">
            <w:pPr>
              <w:pStyle w:val="281"/>
              <w:spacing w:before="112" w:line="237" w:lineRule="auto"/>
              <w:ind w:left="208" w:right="204" w:firstLine="103"/>
              <w:jc w:val="left"/>
              <w:rPr>
                <w:color w:val="auto"/>
                <w:szCs w:val="21"/>
                <w:highlight w:val="none"/>
              </w:rPr>
            </w:pPr>
            <w:r>
              <w:rPr>
                <w:b/>
                <w:bCs/>
                <w:color w:val="auto"/>
                <w:szCs w:val="21"/>
                <w:highlight w:val="none"/>
              </w:rPr>
              <w:t>执业资格及证书号</w:t>
            </w:r>
          </w:p>
        </w:tc>
        <w:tc>
          <w:tcPr>
            <w:tcW w:w="1020" w:type="dxa"/>
            <w:tcBorders>
              <w:top w:val="single" w:color="000000" w:sz="4" w:space="0"/>
              <w:left w:val="single" w:color="000000" w:sz="4" w:space="0"/>
              <w:bottom w:val="single" w:color="000000" w:sz="4" w:space="0"/>
              <w:right w:val="single" w:color="000000" w:sz="4" w:space="0"/>
            </w:tcBorders>
          </w:tcPr>
          <w:p w14:paraId="4742BA91">
            <w:pPr>
              <w:pStyle w:val="281"/>
              <w:spacing w:before="11"/>
              <w:jc w:val="left"/>
              <w:rPr>
                <w:color w:val="auto"/>
                <w:sz w:val="18"/>
                <w:szCs w:val="18"/>
                <w:highlight w:val="none"/>
              </w:rPr>
            </w:pPr>
          </w:p>
          <w:p w14:paraId="504A454A">
            <w:pPr>
              <w:pStyle w:val="281"/>
              <w:ind w:left="295" w:right="293"/>
              <w:jc w:val="left"/>
              <w:rPr>
                <w:color w:val="auto"/>
                <w:szCs w:val="21"/>
                <w:highlight w:val="none"/>
              </w:rPr>
            </w:pPr>
            <w:r>
              <w:rPr>
                <w:b/>
                <w:bCs/>
                <w:color w:val="auto"/>
                <w:szCs w:val="21"/>
                <w:highlight w:val="none"/>
              </w:rPr>
              <w:t>技术职称</w:t>
            </w:r>
          </w:p>
        </w:tc>
        <w:tc>
          <w:tcPr>
            <w:tcW w:w="1174" w:type="dxa"/>
            <w:tcBorders>
              <w:top w:val="single" w:color="000000" w:sz="4" w:space="0"/>
              <w:left w:val="single" w:color="000000" w:sz="4" w:space="0"/>
              <w:bottom w:val="single" w:color="000000" w:sz="4" w:space="0"/>
              <w:right w:val="single" w:color="000000" w:sz="4" w:space="0"/>
            </w:tcBorders>
          </w:tcPr>
          <w:p w14:paraId="2DD6304B">
            <w:pPr>
              <w:pStyle w:val="281"/>
              <w:spacing w:before="112" w:line="237" w:lineRule="auto"/>
              <w:ind w:left="163" w:right="156"/>
              <w:rPr>
                <w:color w:val="auto"/>
                <w:szCs w:val="21"/>
                <w:highlight w:val="none"/>
              </w:rPr>
            </w:pPr>
            <w:r>
              <w:rPr>
                <w:b/>
                <w:bCs/>
                <w:color w:val="auto"/>
                <w:szCs w:val="21"/>
                <w:highlight w:val="none"/>
              </w:rPr>
              <w:t>相关工作年限及工作经历</w:t>
            </w:r>
          </w:p>
        </w:tc>
        <w:tc>
          <w:tcPr>
            <w:tcW w:w="1588" w:type="dxa"/>
            <w:tcBorders>
              <w:top w:val="single" w:color="000000" w:sz="4" w:space="0"/>
              <w:left w:val="single" w:color="000000" w:sz="4" w:space="0"/>
              <w:bottom w:val="single" w:color="000000" w:sz="4" w:space="0"/>
              <w:right w:val="single" w:color="000000" w:sz="4" w:space="0"/>
            </w:tcBorders>
          </w:tcPr>
          <w:p w14:paraId="6519DE39">
            <w:pPr>
              <w:pStyle w:val="281"/>
              <w:spacing w:before="11"/>
              <w:jc w:val="left"/>
              <w:rPr>
                <w:color w:val="auto"/>
                <w:sz w:val="18"/>
                <w:szCs w:val="18"/>
                <w:highlight w:val="none"/>
              </w:rPr>
            </w:pPr>
          </w:p>
          <w:p w14:paraId="4E2810F7">
            <w:pPr>
              <w:pStyle w:val="281"/>
              <w:ind w:left="369" w:right="155" w:hanging="212"/>
              <w:jc w:val="left"/>
              <w:rPr>
                <w:color w:val="auto"/>
                <w:szCs w:val="21"/>
                <w:highlight w:val="none"/>
              </w:rPr>
            </w:pPr>
            <w:r>
              <w:rPr>
                <w:b/>
                <w:bCs/>
                <w:color w:val="auto"/>
                <w:szCs w:val="21"/>
                <w:highlight w:val="none"/>
              </w:rPr>
              <w:t>拟担任本项目何种工作</w:t>
            </w:r>
          </w:p>
        </w:tc>
        <w:tc>
          <w:tcPr>
            <w:tcW w:w="851" w:type="dxa"/>
            <w:tcBorders>
              <w:top w:val="single" w:color="000000" w:sz="4" w:space="0"/>
              <w:left w:val="single" w:color="000000" w:sz="4" w:space="0"/>
              <w:bottom w:val="single" w:color="000000" w:sz="4" w:space="0"/>
              <w:right w:val="single" w:color="000000" w:sz="4" w:space="0"/>
            </w:tcBorders>
          </w:tcPr>
          <w:p w14:paraId="050CEE2B">
            <w:pPr>
              <w:pStyle w:val="281"/>
              <w:spacing w:before="4"/>
              <w:jc w:val="left"/>
              <w:rPr>
                <w:color w:val="auto"/>
                <w:sz w:val="29"/>
                <w:szCs w:val="29"/>
                <w:highlight w:val="none"/>
              </w:rPr>
            </w:pPr>
          </w:p>
          <w:p w14:paraId="4CE64E1C">
            <w:pPr>
              <w:pStyle w:val="281"/>
              <w:ind w:left="209"/>
              <w:jc w:val="left"/>
              <w:rPr>
                <w:color w:val="auto"/>
                <w:szCs w:val="21"/>
                <w:highlight w:val="none"/>
              </w:rPr>
            </w:pPr>
            <w:r>
              <w:rPr>
                <w:b/>
                <w:bCs/>
                <w:color w:val="auto"/>
                <w:szCs w:val="21"/>
                <w:highlight w:val="none"/>
              </w:rPr>
              <w:t>备注</w:t>
            </w:r>
          </w:p>
        </w:tc>
      </w:tr>
      <w:tr w14:paraId="217FA157">
        <w:tblPrEx>
          <w:tblCellMar>
            <w:top w:w="0" w:type="dxa"/>
            <w:left w:w="0" w:type="dxa"/>
            <w:bottom w:w="0" w:type="dxa"/>
            <w:right w:w="0" w:type="dxa"/>
          </w:tblCellMar>
        </w:tblPrEx>
        <w:trPr>
          <w:trHeight w:val="282" w:hRule="exact"/>
          <w:jc w:val="center"/>
        </w:trPr>
        <w:tc>
          <w:tcPr>
            <w:tcW w:w="692" w:type="dxa"/>
            <w:tcBorders>
              <w:top w:val="single" w:color="000000" w:sz="4" w:space="0"/>
              <w:left w:val="single" w:color="000000" w:sz="4" w:space="0"/>
              <w:bottom w:val="single" w:color="000000" w:sz="4" w:space="0"/>
              <w:right w:val="single" w:color="000000" w:sz="4" w:space="0"/>
            </w:tcBorders>
          </w:tcPr>
          <w:p w14:paraId="4F6F0F10">
            <w:pPr>
              <w:rPr>
                <w:color w:val="auto"/>
                <w:highlight w:val="none"/>
              </w:rPr>
            </w:pPr>
          </w:p>
        </w:tc>
        <w:tc>
          <w:tcPr>
            <w:tcW w:w="738" w:type="dxa"/>
            <w:tcBorders>
              <w:top w:val="single" w:color="000000" w:sz="4" w:space="0"/>
              <w:left w:val="single" w:color="000000" w:sz="4" w:space="0"/>
              <w:bottom w:val="single" w:color="000000" w:sz="4" w:space="0"/>
              <w:right w:val="single" w:color="000000" w:sz="4" w:space="0"/>
            </w:tcBorders>
          </w:tcPr>
          <w:p w14:paraId="5E06D267">
            <w:pPr>
              <w:rPr>
                <w:color w:val="auto"/>
                <w:highlight w:val="none"/>
              </w:rPr>
            </w:pPr>
          </w:p>
        </w:tc>
        <w:tc>
          <w:tcPr>
            <w:tcW w:w="663" w:type="dxa"/>
            <w:tcBorders>
              <w:top w:val="single" w:color="000000" w:sz="4" w:space="0"/>
              <w:left w:val="single" w:color="000000" w:sz="4" w:space="0"/>
              <w:bottom w:val="single" w:color="000000" w:sz="4" w:space="0"/>
              <w:right w:val="single" w:color="000000" w:sz="4" w:space="0"/>
            </w:tcBorders>
          </w:tcPr>
          <w:p w14:paraId="528A213A">
            <w:pPr>
              <w:rPr>
                <w:color w:val="auto"/>
                <w:highlight w:val="none"/>
              </w:rPr>
            </w:pPr>
          </w:p>
        </w:tc>
        <w:tc>
          <w:tcPr>
            <w:tcW w:w="709" w:type="dxa"/>
            <w:tcBorders>
              <w:top w:val="single" w:color="000000" w:sz="4" w:space="0"/>
              <w:left w:val="single" w:color="000000" w:sz="4" w:space="0"/>
              <w:bottom w:val="single" w:color="000000" w:sz="4" w:space="0"/>
              <w:right w:val="single" w:color="000000" w:sz="4" w:space="0"/>
            </w:tcBorders>
          </w:tcPr>
          <w:p w14:paraId="3628BFD5">
            <w:pPr>
              <w:rPr>
                <w:color w:val="auto"/>
                <w:highlight w:val="none"/>
              </w:rPr>
            </w:pPr>
          </w:p>
        </w:tc>
        <w:tc>
          <w:tcPr>
            <w:tcW w:w="1134" w:type="dxa"/>
            <w:tcBorders>
              <w:top w:val="single" w:color="000000" w:sz="4" w:space="0"/>
              <w:left w:val="single" w:color="000000" w:sz="4" w:space="0"/>
              <w:bottom w:val="single" w:color="000000" w:sz="4" w:space="0"/>
              <w:right w:val="single" w:color="000000" w:sz="4" w:space="0"/>
            </w:tcBorders>
          </w:tcPr>
          <w:p w14:paraId="563E480A">
            <w:pPr>
              <w:rPr>
                <w:color w:val="auto"/>
                <w:highlight w:val="none"/>
              </w:rPr>
            </w:pPr>
          </w:p>
        </w:tc>
        <w:tc>
          <w:tcPr>
            <w:tcW w:w="1056" w:type="dxa"/>
            <w:tcBorders>
              <w:top w:val="single" w:color="000000" w:sz="4" w:space="0"/>
              <w:left w:val="single" w:color="000000" w:sz="4" w:space="0"/>
              <w:bottom w:val="single" w:color="000000" w:sz="4" w:space="0"/>
              <w:right w:val="single" w:color="000000" w:sz="4" w:space="0"/>
            </w:tcBorders>
          </w:tcPr>
          <w:p w14:paraId="3A82DA4C">
            <w:pPr>
              <w:rPr>
                <w:color w:val="auto"/>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5F7DAA7F">
            <w:pPr>
              <w:rPr>
                <w:color w:val="auto"/>
                <w:highlight w:val="none"/>
              </w:rPr>
            </w:pPr>
          </w:p>
        </w:tc>
        <w:tc>
          <w:tcPr>
            <w:tcW w:w="1174" w:type="dxa"/>
            <w:tcBorders>
              <w:top w:val="single" w:color="000000" w:sz="4" w:space="0"/>
              <w:left w:val="single" w:color="000000" w:sz="4" w:space="0"/>
              <w:bottom w:val="single" w:color="000000" w:sz="4" w:space="0"/>
              <w:right w:val="single" w:color="000000" w:sz="4" w:space="0"/>
            </w:tcBorders>
          </w:tcPr>
          <w:p w14:paraId="2AA2846A">
            <w:pPr>
              <w:rPr>
                <w:color w:val="auto"/>
                <w:highlight w:val="none"/>
              </w:rPr>
            </w:pPr>
          </w:p>
        </w:tc>
        <w:tc>
          <w:tcPr>
            <w:tcW w:w="1588" w:type="dxa"/>
            <w:tcBorders>
              <w:top w:val="single" w:color="000000" w:sz="4" w:space="0"/>
              <w:left w:val="single" w:color="000000" w:sz="4" w:space="0"/>
              <w:bottom w:val="single" w:color="000000" w:sz="4" w:space="0"/>
              <w:right w:val="single" w:color="000000" w:sz="4" w:space="0"/>
            </w:tcBorders>
          </w:tcPr>
          <w:p w14:paraId="5D5C1CB4">
            <w:pPr>
              <w:rPr>
                <w:color w:val="auto"/>
                <w:highlight w:val="none"/>
              </w:rPr>
            </w:pPr>
          </w:p>
        </w:tc>
        <w:tc>
          <w:tcPr>
            <w:tcW w:w="851" w:type="dxa"/>
            <w:tcBorders>
              <w:top w:val="single" w:color="000000" w:sz="4" w:space="0"/>
              <w:left w:val="single" w:color="000000" w:sz="4" w:space="0"/>
              <w:bottom w:val="single" w:color="000000" w:sz="4" w:space="0"/>
              <w:right w:val="single" w:color="000000" w:sz="4" w:space="0"/>
            </w:tcBorders>
          </w:tcPr>
          <w:p w14:paraId="24F4A8EF">
            <w:pPr>
              <w:rPr>
                <w:color w:val="auto"/>
                <w:highlight w:val="none"/>
              </w:rPr>
            </w:pPr>
          </w:p>
        </w:tc>
      </w:tr>
      <w:tr w14:paraId="1E9286A8">
        <w:tblPrEx>
          <w:tblCellMar>
            <w:top w:w="0" w:type="dxa"/>
            <w:left w:w="0" w:type="dxa"/>
            <w:bottom w:w="0" w:type="dxa"/>
            <w:right w:w="0" w:type="dxa"/>
          </w:tblCellMar>
        </w:tblPrEx>
        <w:trPr>
          <w:trHeight w:val="283" w:hRule="exact"/>
          <w:jc w:val="center"/>
        </w:trPr>
        <w:tc>
          <w:tcPr>
            <w:tcW w:w="692" w:type="dxa"/>
            <w:tcBorders>
              <w:top w:val="single" w:color="000000" w:sz="4" w:space="0"/>
              <w:left w:val="single" w:color="000000" w:sz="4" w:space="0"/>
              <w:bottom w:val="single" w:color="000000" w:sz="4" w:space="0"/>
              <w:right w:val="single" w:color="000000" w:sz="4" w:space="0"/>
            </w:tcBorders>
          </w:tcPr>
          <w:p w14:paraId="3476C639">
            <w:pPr>
              <w:rPr>
                <w:color w:val="auto"/>
                <w:highlight w:val="none"/>
              </w:rPr>
            </w:pPr>
          </w:p>
        </w:tc>
        <w:tc>
          <w:tcPr>
            <w:tcW w:w="738" w:type="dxa"/>
            <w:tcBorders>
              <w:top w:val="single" w:color="000000" w:sz="4" w:space="0"/>
              <w:left w:val="single" w:color="000000" w:sz="4" w:space="0"/>
              <w:bottom w:val="single" w:color="000000" w:sz="4" w:space="0"/>
              <w:right w:val="single" w:color="000000" w:sz="4" w:space="0"/>
            </w:tcBorders>
          </w:tcPr>
          <w:p w14:paraId="5370C102">
            <w:pPr>
              <w:rPr>
                <w:color w:val="auto"/>
                <w:highlight w:val="none"/>
              </w:rPr>
            </w:pPr>
          </w:p>
        </w:tc>
        <w:tc>
          <w:tcPr>
            <w:tcW w:w="663" w:type="dxa"/>
            <w:tcBorders>
              <w:top w:val="single" w:color="000000" w:sz="4" w:space="0"/>
              <w:left w:val="single" w:color="000000" w:sz="4" w:space="0"/>
              <w:bottom w:val="single" w:color="000000" w:sz="4" w:space="0"/>
              <w:right w:val="single" w:color="000000" w:sz="4" w:space="0"/>
            </w:tcBorders>
          </w:tcPr>
          <w:p w14:paraId="6D7970CC">
            <w:pPr>
              <w:rPr>
                <w:color w:val="auto"/>
                <w:highlight w:val="none"/>
              </w:rPr>
            </w:pPr>
          </w:p>
        </w:tc>
        <w:tc>
          <w:tcPr>
            <w:tcW w:w="709" w:type="dxa"/>
            <w:tcBorders>
              <w:top w:val="single" w:color="000000" w:sz="4" w:space="0"/>
              <w:left w:val="single" w:color="000000" w:sz="4" w:space="0"/>
              <w:bottom w:val="single" w:color="000000" w:sz="4" w:space="0"/>
              <w:right w:val="single" w:color="000000" w:sz="4" w:space="0"/>
            </w:tcBorders>
          </w:tcPr>
          <w:p w14:paraId="1E90B9E2">
            <w:pPr>
              <w:rPr>
                <w:color w:val="auto"/>
                <w:highlight w:val="none"/>
              </w:rPr>
            </w:pPr>
          </w:p>
        </w:tc>
        <w:tc>
          <w:tcPr>
            <w:tcW w:w="1134" w:type="dxa"/>
            <w:tcBorders>
              <w:top w:val="single" w:color="000000" w:sz="4" w:space="0"/>
              <w:left w:val="single" w:color="000000" w:sz="4" w:space="0"/>
              <w:bottom w:val="single" w:color="000000" w:sz="4" w:space="0"/>
              <w:right w:val="single" w:color="000000" w:sz="4" w:space="0"/>
            </w:tcBorders>
          </w:tcPr>
          <w:p w14:paraId="1124C693">
            <w:pPr>
              <w:rPr>
                <w:color w:val="auto"/>
                <w:highlight w:val="none"/>
              </w:rPr>
            </w:pPr>
          </w:p>
        </w:tc>
        <w:tc>
          <w:tcPr>
            <w:tcW w:w="1056" w:type="dxa"/>
            <w:tcBorders>
              <w:top w:val="single" w:color="000000" w:sz="4" w:space="0"/>
              <w:left w:val="single" w:color="000000" w:sz="4" w:space="0"/>
              <w:bottom w:val="single" w:color="000000" w:sz="4" w:space="0"/>
              <w:right w:val="single" w:color="000000" w:sz="4" w:space="0"/>
            </w:tcBorders>
          </w:tcPr>
          <w:p w14:paraId="031BBF8A">
            <w:pPr>
              <w:rPr>
                <w:color w:val="auto"/>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42C4EEDE">
            <w:pPr>
              <w:rPr>
                <w:color w:val="auto"/>
                <w:highlight w:val="none"/>
              </w:rPr>
            </w:pPr>
          </w:p>
        </w:tc>
        <w:tc>
          <w:tcPr>
            <w:tcW w:w="1174" w:type="dxa"/>
            <w:tcBorders>
              <w:top w:val="single" w:color="000000" w:sz="4" w:space="0"/>
              <w:left w:val="single" w:color="000000" w:sz="4" w:space="0"/>
              <w:bottom w:val="single" w:color="000000" w:sz="4" w:space="0"/>
              <w:right w:val="single" w:color="000000" w:sz="4" w:space="0"/>
            </w:tcBorders>
          </w:tcPr>
          <w:p w14:paraId="4EC81B62">
            <w:pPr>
              <w:rPr>
                <w:color w:val="auto"/>
                <w:highlight w:val="none"/>
              </w:rPr>
            </w:pPr>
          </w:p>
        </w:tc>
        <w:tc>
          <w:tcPr>
            <w:tcW w:w="1588" w:type="dxa"/>
            <w:tcBorders>
              <w:top w:val="single" w:color="000000" w:sz="4" w:space="0"/>
              <w:left w:val="single" w:color="000000" w:sz="4" w:space="0"/>
              <w:bottom w:val="single" w:color="000000" w:sz="4" w:space="0"/>
              <w:right w:val="single" w:color="000000" w:sz="4" w:space="0"/>
            </w:tcBorders>
          </w:tcPr>
          <w:p w14:paraId="33AD032F">
            <w:pPr>
              <w:rPr>
                <w:color w:val="auto"/>
                <w:highlight w:val="none"/>
              </w:rPr>
            </w:pPr>
          </w:p>
        </w:tc>
        <w:tc>
          <w:tcPr>
            <w:tcW w:w="851" w:type="dxa"/>
            <w:tcBorders>
              <w:top w:val="single" w:color="000000" w:sz="4" w:space="0"/>
              <w:left w:val="single" w:color="000000" w:sz="4" w:space="0"/>
              <w:bottom w:val="single" w:color="000000" w:sz="4" w:space="0"/>
              <w:right w:val="single" w:color="000000" w:sz="4" w:space="0"/>
            </w:tcBorders>
          </w:tcPr>
          <w:p w14:paraId="67DD0892">
            <w:pPr>
              <w:rPr>
                <w:color w:val="auto"/>
                <w:highlight w:val="none"/>
              </w:rPr>
            </w:pPr>
          </w:p>
        </w:tc>
      </w:tr>
      <w:tr w14:paraId="7736E889">
        <w:tblPrEx>
          <w:tblCellMar>
            <w:top w:w="0" w:type="dxa"/>
            <w:left w:w="0" w:type="dxa"/>
            <w:bottom w:w="0" w:type="dxa"/>
            <w:right w:w="0" w:type="dxa"/>
          </w:tblCellMar>
        </w:tblPrEx>
        <w:trPr>
          <w:trHeight w:val="282" w:hRule="exact"/>
          <w:jc w:val="center"/>
        </w:trPr>
        <w:tc>
          <w:tcPr>
            <w:tcW w:w="692" w:type="dxa"/>
            <w:tcBorders>
              <w:top w:val="single" w:color="000000" w:sz="4" w:space="0"/>
              <w:left w:val="single" w:color="000000" w:sz="4" w:space="0"/>
              <w:bottom w:val="single" w:color="000000" w:sz="4" w:space="0"/>
              <w:right w:val="single" w:color="000000" w:sz="4" w:space="0"/>
            </w:tcBorders>
          </w:tcPr>
          <w:p w14:paraId="1848CE91">
            <w:pPr>
              <w:rPr>
                <w:color w:val="auto"/>
                <w:highlight w:val="none"/>
              </w:rPr>
            </w:pPr>
          </w:p>
        </w:tc>
        <w:tc>
          <w:tcPr>
            <w:tcW w:w="738" w:type="dxa"/>
            <w:tcBorders>
              <w:top w:val="single" w:color="000000" w:sz="4" w:space="0"/>
              <w:left w:val="single" w:color="000000" w:sz="4" w:space="0"/>
              <w:bottom w:val="single" w:color="000000" w:sz="4" w:space="0"/>
              <w:right w:val="single" w:color="000000" w:sz="4" w:space="0"/>
            </w:tcBorders>
          </w:tcPr>
          <w:p w14:paraId="443A1172">
            <w:pPr>
              <w:rPr>
                <w:color w:val="auto"/>
                <w:highlight w:val="none"/>
              </w:rPr>
            </w:pPr>
          </w:p>
        </w:tc>
        <w:tc>
          <w:tcPr>
            <w:tcW w:w="663" w:type="dxa"/>
            <w:tcBorders>
              <w:top w:val="single" w:color="000000" w:sz="4" w:space="0"/>
              <w:left w:val="single" w:color="000000" w:sz="4" w:space="0"/>
              <w:bottom w:val="single" w:color="000000" w:sz="4" w:space="0"/>
              <w:right w:val="single" w:color="000000" w:sz="4" w:space="0"/>
            </w:tcBorders>
          </w:tcPr>
          <w:p w14:paraId="1A8B9CB7">
            <w:pPr>
              <w:rPr>
                <w:color w:val="auto"/>
                <w:highlight w:val="none"/>
              </w:rPr>
            </w:pPr>
          </w:p>
        </w:tc>
        <w:tc>
          <w:tcPr>
            <w:tcW w:w="709" w:type="dxa"/>
            <w:tcBorders>
              <w:top w:val="single" w:color="000000" w:sz="4" w:space="0"/>
              <w:left w:val="single" w:color="000000" w:sz="4" w:space="0"/>
              <w:bottom w:val="single" w:color="000000" w:sz="4" w:space="0"/>
              <w:right w:val="single" w:color="000000" w:sz="4" w:space="0"/>
            </w:tcBorders>
          </w:tcPr>
          <w:p w14:paraId="5E6FB1A9">
            <w:pPr>
              <w:rPr>
                <w:color w:val="auto"/>
                <w:highlight w:val="none"/>
              </w:rPr>
            </w:pPr>
          </w:p>
        </w:tc>
        <w:tc>
          <w:tcPr>
            <w:tcW w:w="1134" w:type="dxa"/>
            <w:tcBorders>
              <w:top w:val="single" w:color="000000" w:sz="4" w:space="0"/>
              <w:left w:val="single" w:color="000000" w:sz="4" w:space="0"/>
              <w:bottom w:val="single" w:color="000000" w:sz="4" w:space="0"/>
              <w:right w:val="single" w:color="000000" w:sz="4" w:space="0"/>
            </w:tcBorders>
          </w:tcPr>
          <w:p w14:paraId="1BFF02E6">
            <w:pPr>
              <w:rPr>
                <w:color w:val="auto"/>
                <w:highlight w:val="none"/>
              </w:rPr>
            </w:pPr>
          </w:p>
        </w:tc>
        <w:tc>
          <w:tcPr>
            <w:tcW w:w="1056" w:type="dxa"/>
            <w:tcBorders>
              <w:top w:val="single" w:color="000000" w:sz="4" w:space="0"/>
              <w:left w:val="single" w:color="000000" w:sz="4" w:space="0"/>
              <w:bottom w:val="single" w:color="000000" w:sz="4" w:space="0"/>
              <w:right w:val="single" w:color="000000" w:sz="4" w:space="0"/>
            </w:tcBorders>
          </w:tcPr>
          <w:p w14:paraId="53245043">
            <w:pPr>
              <w:rPr>
                <w:color w:val="auto"/>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4F3944DF">
            <w:pPr>
              <w:rPr>
                <w:color w:val="auto"/>
                <w:highlight w:val="none"/>
              </w:rPr>
            </w:pPr>
          </w:p>
        </w:tc>
        <w:tc>
          <w:tcPr>
            <w:tcW w:w="1174" w:type="dxa"/>
            <w:tcBorders>
              <w:top w:val="single" w:color="000000" w:sz="4" w:space="0"/>
              <w:left w:val="single" w:color="000000" w:sz="4" w:space="0"/>
              <w:bottom w:val="single" w:color="000000" w:sz="4" w:space="0"/>
              <w:right w:val="single" w:color="000000" w:sz="4" w:space="0"/>
            </w:tcBorders>
          </w:tcPr>
          <w:p w14:paraId="62F3473C">
            <w:pPr>
              <w:rPr>
                <w:color w:val="auto"/>
                <w:highlight w:val="none"/>
              </w:rPr>
            </w:pPr>
          </w:p>
        </w:tc>
        <w:tc>
          <w:tcPr>
            <w:tcW w:w="1588" w:type="dxa"/>
            <w:tcBorders>
              <w:top w:val="single" w:color="000000" w:sz="4" w:space="0"/>
              <w:left w:val="single" w:color="000000" w:sz="4" w:space="0"/>
              <w:bottom w:val="single" w:color="000000" w:sz="4" w:space="0"/>
              <w:right w:val="single" w:color="000000" w:sz="4" w:space="0"/>
            </w:tcBorders>
          </w:tcPr>
          <w:p w14:paraId="3B92C3C6">
            <w:pPr>
              <w:rPr>
                <w:color w:val="auto"/>
                <w:highlight w:val="none"/>
              </w:rPr>
            </w:pPr>
          </w:p>
        </w:tc>
        <w:tc>
          <w:tcPr>
            <w:tcW w:w="851" w:type="dxa"/>
            <w:tcBorders>
              <w:top w:val="single" w:color="000000" w:sz="4" w:space="0"/>
              <w:left w:val="single" w:color="000000" w:sz="4" w:space="0"/>
              <w:bottom w:val="single" w:color="000000" w:sz="4" w:space="0"/>
              <w:right w:val="single" w:color="000000" w:sz="4" w:space="0"/>
            </w:tcBorders>
          </w:tcPr>
          <w:p w14:paraId="31DFF413">
            <w:pPr>
              <w:rPr>
                <w:color w:val="auto"/>
                <w:highlight w:val="none"/>
              </w:rPr>
            </w:pPr>
          </w:p>
        </w:tc>
      </w:tr>
      <w:tr w14:paraId="20AD7039">
        <w:tblPrEx>
          <w:tblCellMar>
            <w:top w:w="0" w:type="dxa"/>
            <w:left w:w="0" w:type="dxa"/>
            <w:bottom w:w="0" w:type="dxa"/>
            <w:right w:w="0" w:type="dxa"/>
          </w:tblCellMar>
        </w:tblPrEx>
        <w:trPr>
          <w:trHeight w:val="282" w:hRule="exact"/>
          <w:jc w:val="center"/>
        </w:trPr>
        <w:tc>
          <w:tcPr>
            <w:tcW w:w="692" w:type="dxa"/>
            <w:tcBorders>
              <w:top w:val="single" w:color="000000" w:sz="4" w:space="0"/>
              <w:left w:val="single" w:color="000000" w:sz="4" w:space="0"/>
              <w:bottom w:val="single" w:color="000000" w:sz="4" w:space="0"/>
              <w:right w:val="single" w:color="000000" w:sz="4" w:space="0"/>
            </w:tcBorders>
          </w:tcPr>
          <w:p w14:paraId="7B0E9F19">
            <w:pPr>
              <w:rPr>
                <w:color w:val="auto"/>
                <w:highlight w:val="none"/>
              </w:rPr>
            </w:pPr>
          </w:p>
        </w:tc>
        <w:tc>
          <w:tcPr>
            <w:tcW w:w="738" w:type="dxa"/>
            <w:tcBorders>
              <w:top w:val="single" w:color="000000" w:sz="4" w:space="0"/>
              <w:left w:val="single" w:color="000000" w:sz="4" w:space="0"/>
              <w:bottom w:val="single" w:color="000000" w:sz="4" w:space="0"/>
              <w:right w:val="single" w:color="000000" w:sz="4" w:space="0"/>
            </w:tcBorders>
          </w:tcPr>
          <w:p w14:paraId="70428729">
            <w:pPr>
              <w:rPr>
                <w:color w:val="auto"/>
                <w:highlight w:val="none"/>
              </w:rPr>
            </w:pPr>
          </w:p>
        </w:tc>
        <w:tc>
          <w:tcPr>
            <w:tcW w:w="663" w:type="dxa"/>
            <w:tcBorders>
              <w:top w:val="single" w:color="000000" w:sz="4" w:space="0"/>
              <w:left w:val="single" w:color="000000" w:sz="4" w:space="0"/>
              <w:bottom w:val="single" w:color="000000" w:sz="4" w:space="0"/>
              <w:right w:val="single" w:color="000000" w:sz="4" w:space="0"/>
            </w:tcBorders>
          </w:tcPr>
          <w:p w14:paraId="463D2988">
            <w:pPr>
              <w:rPr>
                <w:color w:val="auto"/>
                <w:highlight w:val="none"/>
              </w:rPr>
            </w:pPr>
          </w:p>
        </w:tc>
        <w:tc>
          <w:tcPr>
            <w:tcW w:w="709" w:type="dxa"/>
            <w:tcBorders>
              <w:top w:val="single" w:color="000000" w:sz="4" w:space="0"/>
              <w:left w:val="single" w:color="000000" w:sz="4" w:space="0"/>
              <w:bottom w:val="single" w:color="000000" w:sz="4" w:space="0"/>
              <w:right w:val="single" w:color="000000" w:sz="4" w:space="0"/>
            </w:tcBorders>
          </w:tcPr>
          <w:p w14:paraId="6DB69F61">
            <w:pPr>
              <w:rPr>
                <w:color w:val="auto"/>
                <w:highlight w:val="none"/>
              </w:rPr>
            </w:pPr>
          </w:p>
        </w:tc>
        <w:tc>
          <w:tcPr>
            <w:tcW w:w="1134" w:type="dxa"/>
            <w:tcBorders>
              <w:top w:val="single" w:color="000000" w:sz="4" w:space="0"/>
              <w:left w:val="single" w:color="000000" w:sz="4" w:space="0"/>
              <w:bottom w:val="single" w:color="000000" w:sz="4" w:space="0"/>
              <w:right w:val="single" w:color="000000" w:sz="4" w:space="0"/>
            </w:tcBorders>
          </w:tcPr>
          <w:p w14:paraId="56CF172F">
            <w:pPr>
              <w:rPr>
                <w:color w:val="auto"/>
                <w:highlight w:val="none"/>
              </w:rPr>
            </w:pPr>
          </w:p>
        </w:tc>
        <w:tc>
          <w:tcPr>
            <w:tcW w:w="1056" w:type="dxa"/>
            <w:tcBorders>
              <w:top w:val="single" w:color="000000" w:sz="4" w:space="0"/>
              <w:left w:val="single" w:color="000000" w:sz="4" w:space="0"/>
              <w:bottom w:val="single" w:color="000000" w:sz="4" w:space="0"/>
              <w:right w:val="single" w:color="000000" w:sz="4" w:space="0"/>
            </w:tcBorders>
          </w:tcPr>
          <w:p w14:paraId="40DF76ED">
            <w:pPr>
              <w:rPr>
                <w:color w:val="auto"/>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5387E1F0">
            <w:pPr>
              <w:rPr>
                <w:color w:val="auto"/>
                <w:highlight w:val="none"/>
              </w:rPr>
            </w:pPr>
          </w:p>
        </w:tc>
        <w:tc>
          <w:tcPr>
            <w:tcW w:w="1174" w:type="dxa"/>
            <w:tcBorders>
              <w:top w:val="single" w:color="000000" w:sz="4" w:space="0"/>
              <w:left w:val="single" w:color="000000" w:sz="4" w:space="0"/>
              <w:bottom w:val="single" w:color="000000" w:sz="4" w:space="0"/>
              <w:right w:val="single" w:color="000000" w:sz="4" w:space="0"/>
            </w:tcBorders>
          </w:tcPr>
          <w:p w14:paraId="05CBEFA7">
            <w:pPr>
              <w:rPr>
                <w:color w:val="auto"/>
                <w:highlight w:val="none"/>
              </w:rPr>
            </w:pPr>
          </w:p>
        </w:tc>
        <w:tc>
          <w:tcPr>
            <w:tcW w:w="1588" w:type="dxa"/>
            <w:tcBorders>
              <w:top w:val="single" w:color="000000" w:sz="4" w:space="0"/>
              <w:left w:val="single" w:color="000000" w:sz="4" w:space="0"/>
              <w:bottom w:val="single" w:color="000000" w:sz="4" w:space="0"/>
              <w:right w:val="single" w:color="000000" w:sz="4" w:space="0"/>
            </w:tcBorders>
          </w:tcPr>
          <w:p w14:paraId="52B16680">
            <w:pPr>
              <w:rPr>
                <w:color w:val="auto"/>
                <w:highlight w:val="none"/>
              </w:rPr>
            </w:pPr>
          </w:p>
        </w:tc>
        <w:tc>
          <w:tcPr>
            <w:tcW w:w="851" w:type="dxa"/>
            <w:tcBorders>
              <w:top w:val="single" w:color="000000" w:sz="4" w:space="0"/>
              <w:left w:val="single" w:color="000000" w:sz="4" w:space="0"/>
              <w:bottom w:val="single" w:color="000000" w:sz="4" w:space="0"/>
              <w:right w:val="single" w:color="000000" w:sz="4" w:space="0"/>
            </w:tcBorders>
          </w:tcPr>
          <w:p w14:paraId="7097F28D">
            <w:pPr>
              <w:rPr>
                <w:color w:val="auto"/>
                <w:highlight w:val="none"/>
              </w:rPr>
            </w:pPr>
          </w:p>
        </w:tc>
      </w:tr>
      <w:tr w14:paraId="6C4CF659">
        <w:tblPrEx>
          <w:tblCellMar>
            <w:top w:w="0" w:type="dxa"/>
            <w:left w:w="0" w:type="dxa"/>
            <w:bottom w:w="0" w:type="dxa"/>
            <w:right w:w="0" w:type="dxa"/>
          </w:tblCellMar>
        </w:tblPrEx>
        <w:trPr>
          <w:trHeight w:val="283" w:hRule="exact"/>
          <w:jc w:val="center"/>
        </w:trPr>
        <w:tc>
          <w:tcPr>
            <w:tcW w:w="692" w:type="dxa"/>
            <w:tcBorders>
              <w:top w:val="single" w:color="000000" w:sz="4" w:space="0"/>
              <w:left w:val="single" w:color="000000" w:sz="4" w:space="0"/>
              <w:bottom w:val="single" w:color="000000" w:sz="4" w:space="0"/>
              <w:right w:val="single" w:color="000000" w:sz="4" w:space="0"/>
            </w:tcBorders>
          </w:tcPr>
          <w:p w14:paraId="6D9C3D59">
            <w:pPr>
              <w:rPr>
                <w:color w:val="auto"/>
                <w:highlight w:val="none"/>
              </w:rPr>
            </w:pPr>
          </w:p>
        </w:tc>
        <w:tc>
          <w:tcPr>
            <w:tcW w:w="738" w:type="dxa"/>
            <w:tcBorders>
              <w:top w:val="single" w:color="000000" w:sz="4" w:space="0"/>
              <w:left w:val="single" w:color="000000" w:sz="4" w:space="0"/>
              <w:bottom w:val="single" w:color="000000" w:sz="4" w:space="0"/>
              <w:right w:val="single" w:color="000000" w:sz="4" w:space="0"/>
            </w:tcBorders>
          </w:tcPr>
          <w:p w14:paraId="00A83B69">
            <w:pPr>
              <w:rPr>
                <w:color w:val="auto"/>
                <w:highlight w:val="none"/>
              </w:rPr>
            </w:pPr>
          </w:p>
        </w:tc>
        <w:tc>
          <w:tcPr>
            <w:tcW w:w="663" w:type="dxa"/>
            <w:tcBorders>
              <w:top w:val="single" w:color="000000" w:sz="4" w:space="0"/>
              <w:left w:val="single" w:color="000000" w:sz="4" w:space="0"/>
              <w:bottom w:val="single" w:color="000000" w:sz="4" w:space="0"/>
              <w:right w:val="single" w:color="000000" w:sz="4" w:space="0"/>
            </w:tcBorders>
          </w:tcPr>
          <w:p w14:paraId="3E0931CD">
            <w:pPr>
              <w:rPr>
                <w:color w:val="auto"/>
                <w:highlight w:val="none"/>
              </w:rPr>
            </w:pPr>
          </w:p>
        </w:tc>
        <w:tc>
          <w:tcPr>
            <w:tcW w:w="709" w:type="dxa"/>
            <w:tcBorders>
              <w:top w:val="single" w:color="000000" w:sz="4" w:space="0"/>
              <w:left w:val="single" w:color="000000" w:sz="4" w:space="0"/>
              <w:bottom w:val="single" w:color="000000" w:sz="4" w:space="0"/>
              <w:right w:val="single" w:color="000000" w:sz="4" w:space="0"/>
            </w:tcBorders>
          </w:tcPr>
          <w:p w14:paraId="34905986">
            <w:pPr>
              <w:rPr>
                <w:color w:val="auto"/>
                <w:highlight w:val="none"/>
              </w:rPr>
            </w:pPr>
          </w:p>
        </w:tc>
        <w:tc>
          <w:tcPr>
            <w:tcW w:w="1134" w:type="dxa"/>
            <w:tcBorders>
              <w:top w:val="single" w:color="000000" w:sz="4" w:space="0"/>
              <w:left w:val="single" w:color="000000" w:sz="4" w:space="0"/>
              <w:bottom w:val="single" w:color="000000" w:sz="4" w:space="0"/>
              <w:right w:val="single" w:color="000000" w:sz="4" w:space="0"/>
            </w:tcBorders>
          </w:tcPr>
          <w:p w14:paraId="765AA6F1">
            <w:pPr>
              <w:rPr>
                <w:color w:val="auto"/>
                <w:highlight w:val="none"/>
              </w:rPr>
            </w:pPr>
          </w:p>
        </w:tc>
        <w:tc>
          <w:tcPr>
            <w:tcW w:w="1056" w:type="dxa"/>
            <w:tcBorders>
              <w:top w:val="single" w:color="000000" w:sz="4" w:space="0"/>
              <w:left w:val="single" w:color="000000" w:sz="4" w:space="0"/>
              <w:bottom w:val="single" w:color="000000" w:sz="4" w:space="0"/>
              <w:right w:val="single" w:color="000000" w:sz="4" w:space="0"/>
            </w:tcBorders>
          </w:tcPr>
          <w:p w14:paraId="72891FBE">
            <w:pPr>
              <w:rPr>
                <w:color w:val="auto"/>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6DD113F3">
            <w:pPr>
              <w:rPr>
                <w:color w:val="auto"/>
                <w:highlight w:val="none"/>
              </w:rPr>
            </w:pPr>
          </w:p>
        </w:tc>
        <w:tc>
          <w:tcPr>
            <w:tcW w:w="1174" w:type="dxa"/>
            <w:tcBorders>
              <w:top w:val="single" w:color="000000" w:sz="4" w:space="0"/>
              <w:left w:val="single" w:color="000000" w:sz="4" w:space="0"/>
              <w:bottom w:val="single" w:color="000000" w:sz="4" w:space="0"/>
              <w:right w:val="single" w:color="000000" w:sz="4" w:space="0"/>
            </w:tcBorders>
          </w:tcPr>
          <w:p w14:paraId="646E0EEE">
            <w:pPr>
              <w:rPr>
                <w:color w:val="auto"/>
                <w:highlight w:val="none"/>
              </w:rPr>
            </w:pPr>
          </w:p>
        </w:tc>
        <w:tc>
          <w:tcPr>
            <w:tcW w:w="1588" w:type="dxa"/>
            <w:tcBorders>
              <w:top w:val="single" w:color="000000" w:sz="4" w:space="0"/>
              <w:left w:val="single" w:color="000000" w:sz="4" w:space="0"/>
              <w:bottom w:val="single" w:color="000000" w:sz="4" w:space="0"/>
              <w:right w:val="single" w:color="000000" w:sz="4" w:space="0"/>
            </w:tcBorders>
          </w:tcPr>
          <w:p w14:paraId="16B1D037">
            <w:pPr>
              <w:rPr>
                <w:color w:val="auto"/>
                <w:highlight w:val="none"/>
              </w:rPr>
            </w:pPr>
          </w:p>
        </w:tc>
        <w:tc>
          <w:tcPr>
            <w:tcW w:w="851" w:type="dxa"/>
            <w:tcBorders>
              <w:top w:val="single" w:color="000000" w:sz="4" w:space="0"/>
              <w:left w:val="single" w:color="000000" w:sz="4" w:space="0"/>
              <w:bottom w:val="single" w:color="000000" w:sz="4" w:space="0"/>
              <w:right w:val="single" w:color="000000" w:sz="4" w:space="0"/>
            </w:tcBorders>
          </w:tcPr>
          <w:p w14:paraId="4EC4E173">
            <w:pPr>
              <w:rPr>
                <w:color w:val="auto"/>
                <w:highlight w:val="none"/>
              </w:rPr>
            </w:pPr>
          </w:p>
        </w:tc>
      </w:tr>
      <w:tr w14:paraId="066DE347">
        <w:tblPrEx>
          <w:tblCellMar>
            <w:top w:w="0" w:type="dxa"/>
            <w:left w:w="0" w:type="dxa"/>
            <w:bottom w:w="0" w:type="dxa"/>
            <w:right w:w="0" w:type="dxa"/>
          </w:tblCellMar>
        </w:tblPrEx>
        <w:trPr>
          <w:trHeight w:val="282" w:hRule="exact"/>
          <w:jc w:val="center"/>
        </w:trPr>
        <w:tc>
          <w:tcPr>
            <w:tcW w:w="692" w:type="dxa"/>
            <w:tcBorders>
              <w:top w:val="single" w:color="000000" w:sz="4" w:space="0"/>
              <w:left w:val="single" w:color="000000" w:sz="4" w:space="0"/>
              <w:bottom w:val="single" w:color="000000" w:sz="4" w:space="0"/>
              <w:right w:val="single" w:color="000000" w:sz="4" w:space="0"/>
            </w:tcBorders>
          </w:tcPr>
          <w:p w14:paraId="4E98AE5C">
            <w:pPr>
              <w:rPr>
                <w:color w:val="auto"/>
                <w:highlight w:val="none"/>
              </w:rPr>
            </w:pPr>
          </w:p>
        </w:tc>
        <w:tc>
          <w:tcPr>
            <w:tcW w:w="738" w:type="dxa"/>
            <w:tcBorders>
              <w:top w:val="single" w:color="000000" w:sz="4" w:space="0"/>
              <w:left w:val="single" w:color="000000" w:sz="4" w:space="0"/>
              <w:bottom w:val="single" w:color="000000" w:sz="4" w:space="0"/>
              <w:right w:val="single" w:color="000000" w:sz="4" w:space="0"/>
            </w:tcBorders>
          </w:tcPr>
          <w:p w14:paraId="79D7765F">
            <w:pPr>
              <w:rPr>
                <w:color w:val="auto"/>
                <w:highlight w:val="none"/>
              </w:rPr>
            </w:pPr>
          </w:p>
        </w:tc>
        <w:tc>
          <w:tcPr>
            <w:tcW w:w="663" w:type="dxa"/>
            <w:tcBorders>
              <w:top w:val="single" w:color="000000" w:sz="4" w:space="0"/>
              <w:left w:val="single" w:color="000000" w:sz="4" w:space="0"/>
              <w:bottom w:val="single" w:color="000000" w:sz="4" w:space="0"/>
              <w:right w:val="single" w:color="000000" w:sz="4" w:space="0"/>
            </w:tcBorders>
          </w:tcPr>
          <w:p w14:paraId="6004A0FA">
            <w:pPr>
              <w:rPr>
                <w:color w:val="auto"/>
                <w:highlight w:val="none"/>
              </w:rPr>
            </w:pPr>
          </w:p>
        </w:tc>
        <w:tc>
          <w:tcPr>
            <w:tcW w:w="709" w:type="dxa"/>
            <w:tcBorders>
              <w:top w:val="single" w:color="000000" w:sz="4" w:space="0"/>
              <w:left w:val="single" w:color="000000" w:sz="4" w:space="0"/>
              <w:bottom w:val="single" w:color="000000" w:sz="4" w:space="0"/>
              <w:right w:val="single" w:color="000000" w:sz="4" w:space="0"/>
            </w:tcBorders>
          </w:tcPr>
          <w:p w14:paraId="58493766">
            <w:pPr>
              <w:rPr>
                <w:color w:val="auto"/>
                <w:highlight w:val="none"/>
              </w:rPr>
            </w:pPr>
          </w:p>
        </w:tc>
        <w:tc>
          <w:tcPr>
            <w:tcW w:w="1134" w:type="dxa"/>
            <w:tcBorders>
              <w:top w:val="single" w:color="000000" w:sz="4" w:space="0"/>
              <w:left w:val="single" w:color="000000" w:sz="4" w:space="0"/>
              <w:bottom w:val="single" w:color="000000" w:sz="4" w:space="0"/>
              <w:right w:val="single" w:color="000000" w:sz="4" w:space="0"/>
            </w:tcBorders>
          </w:tcPr>
          <w:p w14:paraId="3847E105">
            <w:pPr>
              <w:rPr>
                <w:color w:val="auto"/>
                <w:highlight w:val="none"/>
              </w:rPr>
            </w:pPr>
          </w:p>
        </w:tc>
        <w:tc>
          <w:tcPr>
            <w:tcW w:w="1056" w:type="dxa"/>
            <w:tcBorders>
              <w:top w:val="single" w:color="000000" w:sz="4" w:space="0"/>
              <w:left w:val="single" w:color="000000" w:sz="4" w:space="0"/>
              <w:bottom w:val="single" w:color="000000" w:sz="4" w:space="0"/>
              <w:right w:val="single" w:color="000000" w:sz="4" w:space="0"/>
            </w:tcBorders>
          </w:tcPr>
          <w:p w14:paraId="58C98A2D">
            <w:pPr>
              <w:rPr>
                <w:color w:val="auto"/>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6413A7C3">
            <w:pPr>
              <w:rPr>
                <w:color w:val="auto"/>
                <w:highlight w:val="none"/>
              </w:rPr>
            </w:pPr>
          </w:p>
        </w:tc>
        <w:tc>
          <w:tcPr>
            <w:tcW w:w="1174" w:type="dxa"/>
            <w:tcBorders>
              <w:top w:val="single" w:color="000000" w:sz="4" w:space="0"/>
              <w:left w:val="single" w:color="000000" w:sz="4" w:space="0"/>
              <w:bottom w:val="single" w:color="000000" w:sz="4" w:space="0"/>
              <w:right w:val="single" w:color="000000" w:sz="4" w:space="0"/>
            </w:tcBorders>
          </w:tcPr>
          <w:p w14:paraId="5E48B51F">
            <w:pPr>
              <w:rPr>
                <w:color w:val="auto"/>
                <w:highlight w:val="none"/>
              </w:rPr>
            </w:pPr>
          </w:p>
        </w:tc>
        <w:tc>
          <w:tcPr>
            <w:tcW w:w="1588" w:type="dxa"/>
            <w:tcBorders>
              <w:top w:val="single" w:color="000000" w:sz="4" w:space="0"/>
              <w:left w:val="single" w:color="000000" w:sz="4" w:space="0"/>
              <w:bottom w:val="single" w:color="000000" w:sz="4" w:space="0"/>
              <w:right w:val="single" w:color="000000" w:sz="4" w:space="0"/>
            </w:tcBorders>
          </w:tcPr>
          <w:p w14:paraId="639D8F77">
            <w:pPr>
              <w:rPr>
                <w:color w:val="auto"/>
                <w:highlight w:val="none"/>
              </w:rPr>
            </w:pPr>
          </w:p>
        </w:tc>
        <w:tc>
          <w:tcPr>
            <w:tcW w:w="851" w:type="dxa"/>
            <w:tcBorders>
              <w:top w:val="single" w:color="000000" w:sz="4" w:space="0"/>
              <w:left w:val="single" w:color="000000" w:sz="4" w:space="0"/>
              <w:bottom w:val="single" w:color="000000" w:sz="4" w:space="0"/>
              <w:right w:val="single" w:color="000000" w:sz="4" w:space="0"/>
            </w:tcBorders>
          </w:tcPr>
          <w:p w14:paraId="03BBDD51">
            <w:pPr>
              <w:rPr>
                <w:color w:val="auto"/>
                <w:highlight w:val="none"/>
              </w:rPr>
            </w:pPr>
          </w:p>
        </w:tc>
      </w:tr>
    </w:tbl>
    <w:p w14:paraId="5EDB43D5">
      <w:pPr>
        <w:spacing w:before="2"/>
        <w:rPr>
          <w:rFonts w:ascii="宋体" w:hAnsi="宋体" w:cs="宋体"/>
          <w:color w:val="auto"/>
          <w:sz w:val="23"/>
          <w:szCs w:val="23"/>
          <w:highlight w:val="none"/>
        </w:rPr>
      </w:pPr>
    </w:p>
    <w:p w14:paraId="5F950C59">
      <w:pPr>
        <w:pStyle w:val="15"/>
        <w:tabs>
          <w:tab w:val="left" w:pos="4717"/>
        </w:tabs>
        <w:spacing w:before="34" w:line="360" w:lineRule="auto"/>
        <w:jc w:val="left"/>
        <w:outlineLvl w:val="1"/>
        <w:rPr>
          <w:rFonts w:ascii="宋体" w:hAnsi="宋体" w:eastAsia="宋体" w:cs="宋体"/>
          <w:color w:val="auto"/>
          <w:sz w:val="11"/>
          <w:szCs w:val="11"/>
          <w:highlight w:val="none"/>
        </w:rPr>
      </w:pPr>
      <w:r>
        <w:rPr>
          <w:rFonts w:hint="eastAsia" w:ascii="宋体" w:hAnsi="宋体" w:eastAsia="宋体" w:cs="宋体"/>
          <w:color w:val="auto"/>
          <w:highlight w:val="none"/>
        </w:rPr>
        <w:t>供应商（盖章）</w:t>
      </w:r>
      <w:r>
        <w:rPr>
          <w:rFonts w:ascii="宋体" w:hAnsi="宋体" w:eastAsia="宋体" w:cs="宋体"/>
          <w:color w:val="auto"/>
          <w:highlight w:val="none"/>
        </w:rPr>
        <w:t>:</w:t>
      </w:r>
      <w:r>
        <w:rPr>
          <w:rFonts w:ascii="宋体" w:hAnsi="宋体" w:eastAsia="宋体" w:cs="宋体"/>
          <w:color w:val="auto"/>
          <w:highlight w:val="none"/>
          <w:u w:val="single"/>
        </w:rPr>
        <w:tab/>
      </w:r>
    </w:p>
    <w:p w14:paraId="0315C2F1">
      <w:pPr>
        <w:pStyle w:val="15"/>
        <w:tabs>
          <w:tab w:val="left" w:pos="4717"/>
        </w:tabs>
        <w:spacing w:before="34" w:line="360" w:lineRule="auto"/>
        <w:jc w:val="left"/>
        <w:outlineLvl w:val="1"/>
        <w:rPr>
          <w:rFonts w:ascii="宋体" w:hAnsi="宋体" w:eastAsia="宋体" w:cs="宋体"/>
          <w:color w:val="auto"/>
          <w:sz w:val="10"/>
          <w:szCs w:val="10"/>
          <w:highlight w:val="none"/>
        </w:rPr>
      </w:pPr>
      <w:r>
        <w:rPr>
          <w:rFonts w:hint="eastAsia" w:ascii="宋体" w:hAnsi="宋体" w:eastAsia="宋体" w:cs="宋体"/>
          <w:color w:val="auto"/>
          <w:highlight w:val="none"/>
        </w:rPr>
        <w:t>授权代表（签字）：</w:t>
      </w:r>
      <w:r>
        <w:rPr>
          <w:rFonts w:ascii="宋体" w:hAnsi="宋体" w:eastAsia="宋体" w:cs="宋体"/>
          <w:color w:val="auto"/>
          <w:highlight w:val="none"/>
          <w:u w:val="single"/>
        </w:rPr>
        <w:tab/>
      </w:r>
    </w:p>
    <w:p w14:paraId="172E99B4">
      <w:pPr>
        <w:widowControl/>
        <w:spacing w:line="360" w:lineRule="auto"/>
        <w:jc w:val="left"/>
        <w:rPr>
          <w:rFonts w:ascii="宋体" w:hAnsi="宋体" w:cs="宋体"/>
          <w:color w:val="auto"/>
          <w:sz w:val="28"/>
          <w:szCs w:val="28"/>
          <w:highlight w:val="none"/>
        </w:rPr>
      </w:pPr>
      <w:r>
        <w:rPr>
          <w:rFonts w:hint="eastAsia" w:ascii="宋体" w:hAnsi="宋体" w:cs="宋体"/>
          <w:color w:val="auto"/>
          <w:sz w:val="28"/>
          <w:szCs w:val="28"/>
          <w:highlight w:val="none"/>
        </w:rPr>
        <w:t>日</w:t>
      </w:r>
      <w:r>
        <w:rPr>
          <w:rFonts w:ascii="宋体" w:hAnsi="宋体" w:cs="宋体"/>
          <w:color w:val="auto"/>
          <w:sz w:val="28"/>
          <w:szCs w:val="28"/>
          <w:highlight w:val="none"/>
        </w:rPr>
        <w:tab/>
      </w:r>
      <w:r>
        <w:rPr>
          <w:rFonts w:hint="eastAsia" w:ascii="宋体" w:hAnsi="宋体" w:cs="宋体"/>
          <w:color w:val="auto"/>
          <w:sz w:val="28"/>
          <w:szCs w:val="28"/>
          <w:highlight w:val="none"/>
        </w:rPr>
        <w:t>期：</w:t>
      </w:r>
      <w:r>
        <w:rPr>
          <w:rFonts w:ascii="宋体" w:hAnsi="宋体" w:cs="宋体"/>
          <w:color w:val="auto"/>
          <w:sz w:val="28"/>
          <w:szCs w:val="28"/>
          <w:highlight w:val="none"/>
        </w:rPr>
        <w:tab/>
      </w:r>
      <w:r>
        <w:rPr>
          <w:rFonts w:hint="eastAsia" w:ascii="宋体" w:hAnsi="宋体" w:cs="宋体"/>
          <w:color w:val="auto"/>
          <w:sz w:val="28"/>
          <w:szCs w:val="28"/>
          <w:highlight w:val="none"/>
        </w:rPr>
        <w:t>年</w:t>
      </w:r>
      <w:r>
        <w:rPr>
          <w:rFonts w:ascii="宋体" w:hAnsi="宋体" w:cs="宋体"/>
          <w:color w:val="auto"/>
          <w:sz w:val="28"/>
          <w:szCs w:val="28"/>
          <w:highlight w:val="none"/>
        </w:rPr>
        <w:tab/>
      </w:r>
      <w:r>
        <w:rPr>
          <w:rFonts w:hint="eastAsia" w:ascii="宋体" w:hAnsi="宋体" w:cs="宋体"/>
          <w:color w:val="auto"/>
          <w:sz w:val="28"/>
          <w:szCs w:val="28"/>
          <w:highlight w:val="none"/>
        </w:rPr>
        <w:t>月</w:t>
      </w:r>
      <w:r>
        <w:rPr>
          <w:rFonts w:ascii="宋体" w:hAnsi="宋体" w:cs="宋体"/>
          <w:color w:val="auto"/>
          <w:sz w:val="28"/>
          <w:szCs w:val="28"/>
          <w:highlight w:val="none"/>
        </w:rPr>
        <w:tab/>
      </w:r>
      <w:r>
        <w:rPr>
          <w:rFonts w:hint="eastAsia" w:ascii="宋体" w:hAnsi="宋体" w:cs="宋体"/>
          <w:color w:val="auto"/>
          <w:sz w:val="28"/>
          <w:szCs w:val="28"/>
          <w:highlight w:val="none"/>
        </w:rPr>
        <w:t>日</w:t>
      </w:r>
    </w:p>
    <w:p w14:paraId="0C5387AB">
      <w:pPr>
        <w:pStyle w:val="15"/>
        <w:tabs>
          <w:tab w:val="left" w:pos="4717"/>
        </w:tabs>
        <w:spacing w:before="34"/>
        <w:ind w:left="677"/>
        <w:jc w:val="left"/>
        <w:rPr>
          <w:color w:val="auto"/>
          <w:highlight w:val="none"/>
        </w:rPr>
      </w:pPr>
    </w:p>
    <w:p w14:paraId="5B0FD0D2">
      <w:pPr>
        <w:pStyle w:val="15"/>
        <w:tabs>
          <w:tab w:val="left" w:pos="4717"/>
        </w:tabs>
        <w:spacing w:before="34"/>
        <w:ind w:left="677"/>
        <w:jc w:val="left"/>
        <w:rPr>
          <w:color w:val="auto"/>
          <w:highlight w:val="none"/>
        </w:rPr>
      </w:pPr>
    </w:p>
    <w:p w14:paraId="26B04056">
      <w:pPr>
        <w:outlineLvl w:val="0"/>
        <w:rPr>
          <w:rFonts w:ascii="宋体" w:hAnsi="宋体" w:cs="宋体"/>
          <w:b/>
          <w:bCs/>
          <w:color w:val="auto"/>
          <w:sz w:val="32"/>
          <w:szCs w:val="32"/>
          <w:highlight w:val="none"/>
        </w:rPr>
      </w:pPr>
      <w:r>
        <w:rPr>
          <w:rFonts w:hint="eastAsia" w:ascii="宋体" w:hAnsi="宋体" w:cs="宋体"/>
          <w:b/>
          <w:color w:val="auto"/>
          <w:sz w:val="32"/>
          <w:szCs w:val="32"/>
          <w:highlight w:val="none"/>
        </w:rPr>
        <w:br w:type="page" w:clear="all"/>
      </w:r>
    </w:p>
    <w:p w14:paraId="72BAC868">
      <w:pPr>
        <w:widowControl/>
        <w:spacing w:line="360" w:lineRule="auto"/>
        <w:jc w:val="center"/>
        <w:outlineLvl w:val="0"/>
        <w:rPr>
          <w:rFonts w:ascii="宋体" w:hAnsi="宋体" w:cs="宋体"/>
          <w:b/>
          <w:bCs/>
          <w:color w:val="auto"/>
          <w:sz w:val="32"/>
          <w:szCs w:val="32"/>
          <w:highlight w:val="none"/>
        </w:rPr>
      </w:pPr>
      <w:bookmarkStart w:id="50" w:name="附件八、供应商类似业绩情况表"/>
      <w:bookmarkEnd w:id="50"/>
      <w:r>
        <w:rPr>
          <w:rFonts w:hint="eastAsia" w:ascii="宋体" w:hAnsi="宋体" w:cs="宋体"/>
          <w:b/>
          <w:color w:val="auto"/>
          <w:sz w:val="32"/>
          <w:szCs w:val="32"/>
          <w:highlight w:val="none"/>
        </w:rPr>
        <w:t>九、供应商类似业绩情况表</w:t>
      </w:r>
    </w:p>
    <w:p w14:paraId="4D649B90">
      <w:pPr>
        <w:spacing w:before="4"/>
        <w:rPr>
          <w:rFonts w:ascii="宋体" w:hAnsi="宋体" w:cs="宋体"/>
          <w:b/>
          <w:bCs/>
          <w:color w:val="auto"/>
          <w:sz w:val="28"/>
          <w:szCs w:val="28"/>
          <w:highlight w:val="none"/>
        </w:rPr>
      </w:pPr>
    </w:p>
    <w:p w14:paraId="576F08DA">
      <w:pPr>
        <w:ind w:firstLine="3373"/>
        <w:jc w:val="left"/>
        <w:outlineLvl w:val="0"/>
        <w:rPr>
          <w:rFonts w:ascii="宋体" w:hAnsi="宋体" w:cs="宋体"/>
          <w:color w:val="auto"/>
          <w:sz w:val="28"/>
          <w:szCs w:val="28"/>
          <w:highlight w:val="none"/>
        </w:rPr>
      </w:pPr>
      <w:r>
        <w:rPr>
          <w:rFonts w:ascii="宋体" w:hAnsi="宋体" w:cs="宋体"/>
          <w:b/>
          <w:bCs/>
          <w:color w:val="auto"/>
          <w:sz w:val="28"/>
          <w:szCs w:val="28"/>
          <w:highlight w:val="none"/>
        </w:rPr>
        <w:t>供应商类似业绩情况表</w:t>
      </w:r>
    </w:p>
    <w:p w14:paraId="30741E4E">
      <w:pPr>
        <w:spacing w:before="5"/>
        <w:rPr>
          <w:rFonts w:ascii="宋体" w:hAnsi="宋体" w:cs="宋体"/>
          <w:b/>
          <w:bCs/>
          <w:color w:val="auto"/>
          <w:sz w:val="8"/>
          <w:szCs w:val="8"/>
          <w:highlight w:val="none"/>
        </w:rPr>
      </w:pPr>
    </w:p>
    <w:tbl>
      <w:tblPr>
        <w:tblStyle w:val="40"/>
        <w:tblW w:w="9392" w:type="dxa"/>
        <w:jc w:val="center"/>
        <w:tblLayout w:type="fixed"/>
        <w:tblCellMar>
          <w:top w:w="0" w:type="dxa"/>
          <w:left w:w="0" w:type="dxa"/>
          <w:bottom w:w="0" w:type="dxa"/>
          <w:right w:w="0" w:type="dxa"/>
        </w:tblCellMar>
      </w:tblPr>
      <w:tblGrid>
        <w:gridCol w:w="636"/>
        <w:gridCol w:w="1836"/>
        <w:gridCol w:w="2028"/>
        <w:gridCol w:w="2004"/>
        <w:gridCol w:w="1827"/>
        <w:gridCol w:w="1061"/>
      </w:tblGrid>
      <w:tr w14:paraId="2F9070B5">
        <w:tblPrEx>
          <w:tblCellMar>
            <w:top w:w="0" w:type="dxa"/>
            <w:left w:w="0" w:type="dxa"/>
            <w:bottom w:w="0" w:type="dxa"/>
            <w:right w:w="0" w:type="dxa"/>
          </w:tblCellMar>
        </w:tblPrEx>
        <w:trPr>
          <w:trHeight w:val="589" w:hRule="exact"/>
          <w:jc w:val="center"/>
        </w:trPr>
        <w:tc>
          <w:tcPr>
            <w:tcW w:w="636" w:type="dxa"/>
            <w:tcBorders>
              <w:top w:val="single" w:color="000000" w:sz="4" w:space="0"/>
              <w:left w:val="single" w:color="000000" w:sz="4" w:space="0"/>
              <w:bottom w:val="single" w:color="000000" w:sz="4" w:space="0"/>
              <w:right w:val="single" w:color="000000" w:sz="4" w:space="0"/>
            </w:tcBorders>
            <w:vAlign w:val="center"/>
          </w:tcPr>
          <w:p w14:paraId="4B7E9A92">
            <w:pPr>
              <w:pStyle w:val="281"/>
              <w:jc w:val="center"/>
              <w:rPr>
                <w:color w:val="auto"/>
                <w:szCs w:val="21"/>
                <w:highlight w:val="none"/>
              </w:rPr>
            </w:pPr>
            <w:r>
              <w:rPr>
                <w:b/>
                <w:bCs/>
                <w:color w:val="auto"/>
                <w:szCs w:val="21"/>
                <w:highlight w:val="none"/>
              </w:rPr>
              <w:t>序号</w:t>
            </w:r>
          </w:p>
        </w:tc>
        <w:tc>
          <w:tcPr>
            <w:tcW w:w="1836" w:type="dxa"/>
            <w:tcBorders>
              <w:top w:val="single" w:color="000000" w:sz="4" w:space="0"/>
              <w:left w:val="single" w:color="000000" w:sz="4" w:space="0"/>
              <w:bottom w:val="single" w:color="000000" w:sz="4" w:space="0"/>
              <w:right w:val="single" w:color="000000" w:sz="4" w:space="0"/>
            </w:tcBorders>
            <w:vAlign w:val="center"/>
          </w:tcPr>
          <w:p w14:paraId="61AA3FBF">
            <w:pPr>
              <w:pStyle w:val="281"/>
              <w:jc w:val="center"/>
              <w:rPr>
                <w:color w:val="auto"/>
                <w:szCs w:val="21"/>
                <w:highlight w:val="none"/>
              </w:rPr>
            </w:pPr>
            <w:r>
              <w:rPr>
                <w:b/>
                <w:bCs/>
                <w:color w:val="auto"/>
                <w:szCs w:val="21"/>
                <w:highlight w:val="none"/>
              </w:rPr>
              <w:t>项目名称</w:t>
            </w:r>
          </w:p>
        </w:tc>
        <w:tc>
          <w:tcPr>
            <w:tcW w:w="2028" w:type="dxa"/>
            <w:tcBorders>
              <w:top w:val="single" w:color="000000" w:sz="4" w:space="0"/>
              <w:left w:val="single" w:color="000000" w:sz="4" w:space="0"/>
              <w:bottom w:val="single" w:color="000000" w:sz="4" w:space="0"/>
              <w:right w:val="single" w:color="000000" w:sz="4" w:space="0"/>
            </w:tcBorders>
            <w:vAlign w:val="center"/>
          </w:tcPr>
          <w:p w14:paraId="6E1B220C">
            <w:pPr>
              <w:pStyle w:val="281"/>
              <w:jc w:val="center"/>
              <w:rPr>
                <w:color w:val="auto"/>
                <w:szCs w:val="21"/>
                <w:highlight w:val="none"/>
              </w:rPr>
            </w:pPr>
            <w:r>
              <w:rPr>
                <w:b/>
                <w:bCs/>
                <w:color w:val="auto"/>
                <w:szCs w:val="21"/>
                <w:highlight w:val="none"/>
              </w:rPr>
              <w:t>业主单位</w:t>
            </w:r>
          </w:p>
        </w:tc>
        <w:tc>
          <w:tcPr>
            <w:tcW w:w="2004" w:type="dxa"/>
            <w:tcBorders>
              <w:top w:val="single" w:color="000000" w:sz="4" w:space="0"/>
              <w:left w:val="single" w:color="000000" w:sz="4" w:space="0"/>
              <w:bottom w:val="single" w:color="000000" w:sz="4" w:space="0"/>
              <w:right w:val="single" w:color="000000" w:sz="4" w:space="0"/>
            </w:tcBorders>
            <w:vAlign w:val="center"/>
          </w:tcPr>
          <w:p w14:paraId="7FC60430">
            <w:pPr>
              <w:pStyle w:val="281"/>
              <w:spacing w:line="272" w:lineRule="exact"/>
              <w:ind w:right="351"/>
              <w:jc w:val="center"/>
              <w:rPr>
                <w:color w:val="auto"/>
                <w:szCs w:val="21"/>
                <w:highlight w:val="none"/>
              </w:rPr>
            </w:pPr>
            <w:r>
              <w:rPr>
                <w:b/>
                <w:bCs/>
                <w:color w:val="auto"/>
                <w:szCs w:val="21"/>
                <w:highlight w:val="none"/>
              </w:rPr>
              <w:t>工作主要内容</w:t>
            </w:r>
          </w:p>
        </w:tc>
        <w:tc>
          <w:tcPr>
            <w:tcW w:w="1827" w:type="dxa"/>
            <w:tcBorders>
              <w:top w:val="single" w:color="000000" w:sz="4" w:space="0"/>
              <w:left w:val="single" w:color="000000" w:sz="4" w:space="0"/>
              <w:bottom w:val="single" w:color="000000" w:sz="4" w:space="0"/>
              <w:right w:val="single" w:color="000000" w:sz="4" w:space="0"/>
            </w:tcBorders>
            <w:vAlign w:val="center"/>
          </w:tcPr>
          <w:p w14:paraId="1E5BE247">
            <w:pPr>
              <w:pStyle w:val="281"/>
              <w:jc w:val="center"/>
              <w:rPr>
                <w:color w:val="auto"/>
                <w:szCs w:val="21"/>
                <w:highlight w:val="none"/>
              </w:rPr>
            </w:pPr>
            <w:r>
              <w:rPr>
                <w:rFonts w:hint="eastAsia"/>
                <w:b/>
                <w:bCs/>
                <w:color w:val="auto"/>
                <w:szCs w:val="21"/>
                <w:highlight w:val="none"/>
              </w:rPr>
              <w:t>项目规模</w:t>
            </w:r>
          </w:p>
        </w:tc>
        <w:tc>
          <w:tcPr>
            <w:tcW w:w="1061" w:type="dxa"/>
            <w:tcBorders>
              <w:top w:val="single" w:color="000000" w:sz="4" w:space="0"/>
              <w:left w:val="single" w:color="000000" w:sz="4" w:space="0"/>
              <w:bottom w:val="single" w:color="000000" w:sz="4" w:space="0"/>
              <w:right w:val="single" w:color="000000" w:sz="4" w:space="0"/>
            </w:tcBorders>
            <w:vAlign w:val="center"/>
          </w:tcPr>
          <w:p w14:paraId="6C6C1207">
            <w:pPr>
              <w:pStyle w:val="281"/>
              <w:jc w:val="center"/>
              <w:rPr>
                <w:b/>
                <w:bCs/>
                <w:color w:val="auto"/>
                <w:szCs w:val="21"/>
                <w:highlight w:val="none"/>
              </w:rPr>
            </w:pPr>
            <w:r>
              <w:rPr>
                <w:b/>
                <w:bCs/>
                <w:color w:val="auto"/>
                <w:szCs w:val="21"/>
                <w:highlight w:val="none"/>
              </w:rPr>
              <w:t>备注</w:t>
            </w:r>
          </w:p>
        </w:tc>
      </w:tr>
      <w:tr w14:paraId="09E423C3">
        <w:tblPrEx>
          <w:tblCellMar>
            <w:top w:w="0" w:type="dxa"/>
            <w:left w:w="0" w:type="dxa"/>
            <w:bottom w:w="0" w:type="dxa"/>
            <w:right w:w="0" w:type="dxa"/>
          </w:tblCellMar>
        </w:tblPrEx>
        <w:trPr>
          <w:trHeight w:val="390" w:hRule="exact"/>
          <w:jc w:val="center"/>
        </w:trPr>
        <w:tc>
          <w:tcPr>
            <w:tcW w:w="636" w:type="dxa"/>
            <w:tcBorders>
              <w:top w:val="single" w:color="000000" w:sz="4" w:space="0"/>
              <w:left w:val="single" w:color="000000" w:sz="4" w:space="0"/>
              <w:bottom w:val="single" w:color="000000" w:sz="4" w:space="0"/>
              <w:right w:val="single" w:color="000000" w:sz="4" w:space="0"/>
            </w:tcBorders>
          </w:tcPr>
          <w:p w14:paraId="68F09CC4">
            <w:pPr>
              <w:rPr>
                <w:color w:val="auto"/>
                <w:highlight w:val="none"/>
              </w:rPr>
            </w:pPr>
          </w:p>
        </w:tc>
        <w:tc>
          <w:tcPr>
            <w:tcW w:w="1836" w:type="dxa"/>
            <w:tcBorders>
              <w:top w:val="single" w:color="000000" w:sz="4" w:space="0"/>
              <w:left w:val="single" w:color="000000" w:sz="4" w:space="0"/>
              <w:bottom w:val="single" w:color="000000" w:sz="4" w:space="0"/>
              <w:right w:val="single" w:color="000000" w:sz="4" w:space="0"/>
            </w:tcBorders>
          </w:tcPr>
          <w:p w14:paraId="71563940">
            <w:pPr>
              <w:rPr>
                <w:color w:val="auto"/>
                <w:highlight w:val="none"/>
              </w:rPr>
            </w:pPr>
          </w:p>
        </w:tc>
        <w:tc>
          <w:tcPr>
            <w:tcW w:w="2028" w:type="dxa"/>
            <w:tcBorders>
              <w:top w:val="single" w:color="000000" w:sz="4" w:space="0"/>
              <w:left w:val="single" w:color="000000" w:sz="4" w:space="0"/>
              <w:bottom w:val="single" w:color="000000" w:sz="4" w:space="0"/>
              <w:right w:val="single" w:color="000000" w:sz="4" w:space="0"/>
            </w:tcBorders>
          </w:tcPr>
          <w:p w14:paraId="6A0EE6C1">
            <w:pPr>
              <w:rPr>
                <w:color w:val="auto"/>
                <w:highlight w:val="none"/>
              </w:rPr>
            </w:pPr>
          </w:p>
        </w:tc>
        <w:tc>
          <w:tcPr>
            <w:tcW w:w="2004" w:type="dxa"/>
            <w:tcBorders>
              <w:top w:val="single" w:color="000000" w:sz="4" w:space="0"/>
              <w:left w:val="single" w:color="000000" w:sz="4" w:space="0"/>
              <w:bottom w:val="single" w:color="000000" w:sz="4" w:space="0"/>
              <w:right w:val="single" w:color="000000" w:sz="4" w:space="0"/>
            </w:tcBorders>
          </w:tcPr>
          <w:p w14:paraId="2571EEB5">
            <w:pPr>
              <w:rPr>
                <w:color w:val="auto"/>
                <w:highlight w:val="none"/>
              </w:rPr>
            </w:pPr>
          </w:p>
        </w:tc>
        <w:tc>
          <w:tcPr>
            <w:tcW w:w="1827" w:type="dxa"/>
            <w:tcBorders>
              <w:top w:val="single" w:color="000000" w:sz="4" w:space="0"/>
              <w:left w:val="single" w:color="000000" w:sz="4" w:space="0"/>
              <w:bottom w:val="single" w:color="000000" w:sz="4" w:space="0"/>
              <w:right w:val="single" w:color="000000" w:sz="4" w:space="0"/>
            </w:tcBorders>
          </w:tcPr>
          <w:p w14:paraId="76D77233">
            <w:pPr>
              <w:rPr>
                <w:color w:val="auto"/>
                <w:highlight w:val="none"/>
              </w:rPr>
            </w:pPr>
          </w:p>
        </w:tc>
        <w:tc>
          <w:tcPr>
            <w:tcW w:w="1061" w:type="dxa"/>
            <w:tcBorders>
              <w:top w:val="single" w:color="000000" w:sz="4" w:space="0"/>
              <w:left w:val="single" w:color="000000" w:sz="4" w:space="0"/>
              <w:bottom w:val="single" w:color="000000" w:sz="4" w:space="0"/>
              <w:right w:val="single" w:color="000000" w:sz="4" w:space="0"/>
            </w:tcBorders>
          </w:tcPr>
          <w:p w14:paraId="7417436C">
            <w:pPr>
              <w:rPr>
                <w:color w:val="auto"/>
                <w:highlight w:val="none"/>
              </w:rPr>
            </w:pPr>
          </w:p>
        </w:tc>
      </w:tr>
      <w:tr w14:paraId="20A464FA">
        <w:tblPrEx>
          <w:tblCellMar>
            <w:top w:w="0" w:type="dxa"/>
            <w:left w:w="0" w:type="dxa"/>
            <w:bottom w:w="0" w:type="dxa"/>
            <w:right w:w="0" w:type="dxa"/>
          </w:tblCellMar>
        </w:tblPrEx>
        <w:trPr>
          <w:trHeight w:val="390" w:hRule="exact"/>
          <w:jc w:val="center"/>
        </w:trPr>
        <w:tc>
          <w:tcPr>
            <w:tcW w:w="636" w:type="dxa"/>
            <w:tcBorders>
              <w:top w:val="single" w:color="000000" w:sz="4" w:space="0"/>
              <w:left w:val="single" w:color="000000" w:sz="4" w:space="0"/>
              <w:bottom w:val="single" w:color="000000" w:sz="4" w:space="0"/>
              <w:right w:val="single" w:color="000000" w:sz="4" w:space="0"/>
            </w:tcBorders>
          </w:tcPr>
          <w:p w14:paraId="0E1C38D6">
            <w:pPr>
              <w:rPr>
                <w:color w:val="auto"/>
                <w:highlight w:val="none"/>
              </w:rPr>
            </w:pPr>
          </w:p>
        </w:tc>
        <w:tc>
          <w:tcPr>
            <w:tcW w:w="1836" w:type="dxa"/>
            <w:tcBorders>
              <w:top w:val="single" w:color="000000" w:sz="4" w:space="0"/>
              <w:left w:val="single" w:color="000000" w:sz="4" w:space="0"/>
              <w:bottom w:val="single" w:color="000000" w:sz="4" w:space="0"/>
              <w:right w:val="single" w:color="000000" w:sz="4" w:space="0"/>
            </w:tcBorders>
          </w:tcPr>
          <w:p w14:paraId="4ABC4EDD">
            <w:pPr>
              <w:rPr>
                <w:color w:val="auto"/>
                <w:highlight w:val="none"/>
              </w:rPr>
            </w:pPr>
          </w:p>
        </w:tc>
        <w:tc>
          <w:tcPr>
            <w:tcW w:w="2028" w:type="dxa"/>
            <w:tcBorders>
              <w:top w:val="single" w:color="000000" w:sz="4" w:space="0"/>
              <w:left w:val="single" w:color="000000" w:sz="4" w:space="0"/>
              <w:bottom w:val="single" w:color="000000" w:sz="4" w:space="0"/>
              <w:right w:val="single" w:color="000000" w:sz="4" w:space="0"/>
            </w:tcBorders>
          </w:tcPr>
          <w:p w14:paraId="77019DDD">
            <w:pPr>
              <w:rPr>
                <w:color w:val="auto"/>
                <w:highlight w:val="none"/>
              </w:rPr>
            </w:pPr>
          </w:p>
        </w:tc>
        <w:tc>
          <w:tcPr>
            <w:tcW w:w="2004" w:type="dxa"/>
            <w:tcBorders>
              <w:top w:val="single" w:color="000000" w:sz="4" w:space="0"/>
              <w:left w:val="single" w:color="000000" w:sz="4" w:space="0"/>
              <w:bottom w:val="single" w:color="000000" w:sz="4" w:space="0"/>
              <w:right w:val="single" w:color="000000" w:sz="4" w:space="0"/>
            </w:tcBorders>
          </w:tcPr>
          <w:p w14:paraId="6468C366">
            <w:pPr>
              <w:rPr>
                <w:color w:val="auto"/>
                <w:highlight w:val="none"/>
              </w:rPr>
            </w:pPr>
          </w:p>
        </w:tc>
        <w:tc>
          <w:tcPr>
            <w:tcW w:w="1827" w:type="dxa"/>
            <w:tcBorders>
              <w:top w:val="single" w:color="000000" w:sz="4" w:space="0"/>
              <w:left w:val="single" w:color="000000" w:sz="4" w:space="0"/>
              <w:bottom w:val="single" w:color="000000" w:sz="4" w:space="0"/>
              <w:right w:val="single" w:color="000000" w:sz="4" w:space="0"/>
            </w:tcBorders>
          </w:tcPr>
          <w:p w14:paraId="3DD4AAA2">
            <w:pPr>
              <w:rPr>
                <w:color w:val="auto"/>
                <w:highlight w:val="none"/>
              </w:rPr>
            </w:pPr>
          </w:p>
        </w:tc>
        <w:tc>
          <w:tcPr>
            <w:tcW w:w="1061" w:type="dxa"/>
            <w:tcBorders>
              <w:top w:val="single" w:color="000000" w:sz="4" w:space="0"/>
              <w:left w:val="single" w:color="000000" w:sz="4" w:space="0"/>
              <w:bottom w:val="single" w:color="000000" w:sz="4" w:space="0"/>
              <w:right w:val="single" w:color="000000" w:sz="4" w:space="0"/>
            </w:tcBorders>
          </w:tcPr>
          <w:p w14:paraId="7F183E44">
            <w:pPr>
              <w:rPr>
                <w:color w:val="auto"/>
                <w:highlight w:val="none"/>
              </w:rPr>
            </w:pPr>
          </w:p>
        </w:tc>
      </w:tr>
      <w:tr w14:paraId="1D6C0E66">
        <w:tblPrEx>
          <w:tblCellMar>
            <w:top w:w="0" w:type="dxa"/>
            <w:left w:w="0" w:type="dxa"/>
            <w:bottom w:w="0" w:type="dxa"/>
            <w:right w:w="0" w:type="dxa"/>
          </w:tblCellMar>
        </w:tblPrEx>
        <w:trPr>
          <w:trHeight w:val="401" w:hRule="exact"/>
          <w:jc w:val="center"/>
        </w:trPr>
        <w:tc>
          <w:tcPr>
            <w:tcW w:w="636" w:type="dxa"/>
            <w:tcBorders>
              <w:top w:val="single" w:color="000000" w:sz="4" w:space="0"/>
              <w:left w:val="single" w:color="000000" w:sz="4" w:space="0"/>
              <w:bottom w:val="single" w:color="000000" w:sz="4" w:space="0"/>
              <w:right w:val="single" w:color="000000" w:sz="4" w:space="0"/>
            </w:tcBorders>
          </w:tcPr>
          <w:p w14:paraId="1CB4EE6E">
            <w:pPr>
              <w:rPr>
                <w:color w:val="auto"/>
                <w:highlight w:val="none"/>
              </w:rPr>
            </w:pPr>
          </w:p>
        </w:tc>
        <w:tc>
          <w:tcPr>
            <w:tcW w:w="1836" w:type="dxa"/>
            <w:tcBorders>
              <w:top w:val="single" w:color="000000" w:sz="4" w:space="0"/>
              <w:left w:val="single" w:color="000000" w:sz="4" w:space="0"/>
              <w:bottom w:val="single" w:color="000000" w:sz="4" w:space="0"/>
              <w:right w:val="single" w:color="000000" w:sz="4" w:space="0"/>
            </w:tcBorders>
          </w:tcPr>
          <w:p w14:paraId="4F987D42">
            <w:pPr>
              <w:rPr>
                <w:color w:val="auto"/>
                <w:highlight w:val="none"/>
              </w:rPr>
            </w:pPr>
          </w:p>
        </w:tc>
        <w:tc>
          <w:tcPr>
            <w:tcW w:w="2028" w:type="dxa"/>
            <w:tcBorders>
              <w:top w:val="single" w:color="000000" w:sz="4" w:space="0"/>
              <w:left w:val="single" w:color="000000" w:sz="4" w:space="0"/>
              <w:bottom w:val="single" w:color="000000" w:sz="4" w:space="0"/>
              <w:right w:val="single" w:color="000000" w:sz="4" w:space="0"/>
            </w:tcBorders>
          </w:tcPr>
          <w:p w14:paraId="7D226FB3">
            <w:pPr>
              <w:rPr>
                <w:color w:val="auto"/>
                <w:highlight w:val="none"/>
              </w:rPr>
            </w:pPr>
          </w:p>
        </w:tc>
        <w:tc>
          <w:tcPr>
            <w:tcW w:w="2004" w:type="dxa"/>
            <w:tcBorders>
              <w:top w:val="single" w:color="000000" w:sz="4" w:space="0"/>
              <w:left w:val="single" w:color="000000" w:sz="4" w:space="0"/>
              <w:bottom w:val="single" w:color="000000" w:sz="4" w:space="0"/>
              <w:right w:val="single" w:color="000000" w:sz="4" w:space="0"/>
            </w:tcBorders>
          </w:tcPr>
          <w:p w14:paraId="07E131A0">
            <w:pPr>
              <w:rPr>
                <w:color w:val="auto"/>
                <w:highlight w:val="none"/>
              </w:rPr>
            </w:pPr>
          </w:p>
        </w:tc>
        <w:tc>
          <w:tcPr>
            <w:tcW w:w="1827" w:type="dxa"/>
            <w:tcBorders>
              <w:top w:val="single" w:color="000000" w:sz="4" w:space="0"/>
              <w:left w:val="single" w:color="000000" w:sz="4" w:space="0"/>
              <w:bottom w:val="single" w:color="000000" w:sz="4" w:space="0"/>
              <w:right w:val="single" w:color="000000" w:sz="4" w:space="0"/>
            </w:tcBorders>
          </w:tcPr>
          <w:p w14:paraId="1F120CFC">
            <w:pPr>
              <w:rPr>
                <w:color w:val="auto"/>
                <w:highlight w:val="none"/>
              </w:rPr>
            </w:pPr>
          </w:p>
        </w:tc>
        <w:tc>
          <w:tcPr>
            <w:tcW w:w="1061" w:type="dxa"/>
            <w:tcBorders>
              <w:top w:val="single" w:color="000000" w:sz="4" w:space="0"/>
              <w:left w:val="single" w:color="000000" w:sz="4" w:space="0"/>
              <w:bottom w:val="single" w:color="000000" w:sz="4" w:space="0"/>
              <w:right w:val="single" w:color="000000" w:sz="4" w:space="0"/>
            </w:tcBorders>
          </w:tcPr>
          <w:p w14:paraId="1A929E3C">
            <w:pPr>
              <w:rPr>
                <w:color w:val="auto"/>
                <w:highlight w:val="none"/>
              </w:rPr>
            </w:pPr>
          </w:p>
        </w:tc>
      </w:tr>
      <w:tr w14:paraId="2441E65E">
        <w:tblPrEx>
          <w:tblCellMar>
            <w:top w:w="0" w:type="dxa"/>
            <w:left w:w="0" w:type="dxa"/>
            <w:bottom w:w="0" w:type="dxa"/>
            <w:right w:w="0" w:type="dxa"/>
          </w:tblCellMar>
        </w:tblPrEx>
        <w:trPr>
          <w:trHeight w:val="401" w:hRule="exact"/>
          <w:jc w:val="center"/>
        </w:trPr>
        <w:tc>
          <w:tcPr>
            <w:tcW w:w="636" w:type="dxa"/>
            <w:tcBorders>
              <w:top w:val="single" w:color="000000" w:sz="4" w:space="0"/>
              <w:left w:val="single" w:color="000000" w:sz="4" w:space="0"/>
              <w:bottom w:val="single" w:color="000000" w:sz="4" w:space="0"/>
              <w:right w:val="single" w:color="000000" w:sz="4" w:space="0"/>
            </w:tcBorders>
          </w:tcPr>
          <w:p w14:paraId="424AD365">
            <w:pPr>
              <w:rPr>
                <w:color w:val="auto"/>
                <w:highlight w:val="none"/>
              </w:rPr>
            </w:pPr>
          </w:p>
        </w:tc>
        <w:tc>
          <w:tcPr>
            <w:tcW w:w="1836" w:type="dxa"/>
            <w:tcBorders>
              <w:top w:val="single" w:color="000000" w:sz="4" w:space="0"/>
              <w:left w:val="single" w:color="000000" w:sz="4" w:space="0"/>
              <w:bottom w:val="single" w:color="000000" w:sz="4" w:space="0"/>
              <w:right w:val="single" w:color="000000" w:sz="4" w:space="0"/>
            </w:tcBorders>
          </w:tcPr>
          <w:p w14:paraId="0603ECE1">
            <w:pPr>
              <w:rPr>
                <w:color w:val="auto"/>
                <w:highlight w:val="none"/>
              </w:rPr>
            </w:pPr>
          </w:p>
        </w:tc>
        <w:tc>
          <w:tcPr>
            <w:tcW w:w="2028" w:type="dxa"/>
            <w:tcBorders>
              <w:top w:val="single" w:color="000000" w:sz="4" w:space="0"/>
              <w:left w:val="single" w:color="000000" w:sz="4" w:space="0"/>
              <w:bottom w:val="single" w:color="000000" w:sz="4" w:space="0"/>
              <w:right w:val="single" w:color="000000" w:sz="4" w:space="0"/>
            </w:tcBorders>
          </w:tcPr>
          <w:p w14:paraId="13AA1F6E">
            <w:pPr>
              <w:rPr>
                <w:color w:val="auto"/>
                <w:highlight w:val="none"/>
              </w:rPr>
            </w:pPr>
          </w:p>
        </w:tc>
        <w:tc>
          <w:tcPr>
            <w:tcW w:w="2004" w:type="dxa"/>
            <w:tcBorders>
              <w:top w:val="single" w:color="000000" w:sz="4" w:space="0"/>
              <w:left w:val="single" w:color="000000" w:sz="4" w:space="0"/>
              <w:bottom w:val="single" w:color="000000" w:sz="4" w:space="0"/>
              <w:right w:val="single" w:color="000000" w:sz="4" w:space="0"/>
            </w:tcBorders>
          </w:tcPr>
          <w:p w14:paraId="142D2D6D">
            <w:pPr>
              <w:rPr>
                <w:color w:val="auto"/>
                <w:highlight w:val="none"/>
              </w:rPr>
            </w:pPr>
          </w:p>
        </w:tc>
        <w:tc>
          <w:tcPr>
            <w:tcW w:w="1827" w:type="dxa"/>
            <w:tcBorders>
              <w:top w:val="single" w:color="000000" w:sz="4" w:space="0"/>
              <w:left w:val="single" w:color="000000" w:sz="4" w:space="0"/>
              <w:bottom w:val="single" w:color="000000" w:sz="4" w:space="0"/>
              <w:right w:val="single" w:color="000000" w:sz="4" w:space="0"/>
            </w:tcBorders>
          </w:tcPr>
          <w:p w14:paraId="1B2AA8FA">
            <w:pPr>
              <w:rPr>
                <w:color w:val="auto"/>
                <w:highlight w:val="none"/>
              </w:rPr>
            </w:pPr>
          </w:p>
        </w:tc>
        <w:tc>
          <w:tcPr>
            <w:tcW w:w="1061" w:type="dxa"/>
            <w:tcBorders>
              <w:top w:val="single" w:color="000000" w:sz="4" w:space="0"/>
              <w:left w:val="single" w:color="000000" w:sz="4" w:space="0"/>
              <w:bottom w:val="single" w:color="000000" w:sz="4" w:space="0"/>
              <w:right w:val="single" w:color="000000" w:sz="4" w:space="0"/>
            </w:tcBorders>
          </w:tcPr>
          <w:p w14:paraId="53C69672">
            <w:pPr>
              <w:rPr>
                <w:color w:val="auto"/>
                <w:highlight w:val="none"/>
              </w:rPr>
            </w:pPr>
          </w:p>
        </w:tc>
      </w:tr>
      <w:tr w14:paraId="34D432C7">
        <w:tblPrEx>
          <w:tblCellMar>
            <w:top w:w="0" w:type="dxa"/>
            <w:left w:w="0" w:type="dxa"/>
            <w:bottom w:w="0" w:type="dxa"/>
            <w:right w:w="0" w:type="dxa"/>
          </w:tblCellMar>
        </w:tblPrEx>
        <w:trPr>
          <w:trHeight w:val="412" w:hRule="exact"/>
          <w:jc w:val="center"/>
        </w:trPr>
        <w:tc>
          <w:tcPr>
            <w:tcW w:w="636" w:type="dxa"/>
            <w:tcBorders>
              <w:top w:val="single" w:color="000000" w:sz="4" w:space="0"/>
              <w:left w:val="single" w:color="000000" w:sz="4" w:space="0"/>
              <w:bottom w:val="single" w:color="000000" w:sz="4" w:space="0"/>
              <w:right w:val="single" w:color="000000" w:sz="4" w:space="0"/>
            </w:tcBorders>
          </w:tcPr>
          <w:p w14:paraId="5F42C876">
            <w:pPr>
              <w:rPr>
                <w:color w:val="auto"/>
                <w:highlight w:val="none"/>
              </w:rPr>
            </w:pPr>
          </w:p>
        </w:tc>
        <w:tc>
          <w:tcPr>
            <w:tcW w:w="1836" w:type="dxa"/>
            <w:tcBorders>
              <w:top w:val="single" w:color="000000" w:sz="4" w:space="0"/>
              <w:left w:val="single" w:color="000000" w:sz="4" w:space="0"/>
              <w:bottom w:val="single" w:color="000000" w:sz="4" w:space="0"/>
              <w:right w:val="single" w:color="000000" w:sz="4" w:space="0"/>
            </w:tcBorders>
          </w:tcPr>
          <w:p w14:paraId="16BB8D6C">
            <w:pPr>
              <w:rPr>
                <w:color w:val="auto"/>
                <w:highlight w:val="none"/>
              </w:rPr>
            </w:pPr>
          </w:p>
        </w:tc>
        <w:tc>
          <w:tcPr>
            <w:tcW w:w="2028" w:type="dxa"/>
            <w:tcBorders>
              <w:top w:val="single" w:color="000000" w:sz="4" w:space="0"/>
              <w:left w:val="single" w:color="000000" w:sz="4" w:space="0"/>
              <w:bottom w:val="single" w:color="000000" w:sz="4" w:space="0"/>
              <w:right w:val="single" w:color="000000" w:sz="4" w:space="0"/>
            </w:tcBorders>
          </w:tcPr>
          <w:p w14:paraId="179ADC64">
            <w:pPr>
              <w:rPr>
                <w:color w:val="auto"/>
                <w:highlight w:val="none"/>
              </w:rPr>
            </w:pPr>
          </w:p>
        </w:tc>
        <w:tc>
          <w:tcPr>
            <w:tcW w:w="2004" w:type="dxa"/>
            <w:tcBorders>
              <w:top w:val="single" w:color="000000" w:sz="4" w:space="0"/>
              <w:left w:val="single" w:color="000000" w:sz="4" w:space="0"/>
              <w:bottom w:val="single" w:color="000000" w:sz="4" w:space="0"/>
              <w:right w:val="single" w:color="000000" w:sz="4" w:space="0"/>
            </w:tcBorders>
          </w:tcPr>
          <w:p w14:paraId="1DC596B4">
            <w:pPr>
              <w:rPr>
                <w:color w:val="auto"/>
                <w:highlight w:val="none"/>
              </w:rPr>
            </w:pPr>
          </w:p>
        </w:tc>
        <w:tc>
          <w:tcPr>
            <w:tcW w:w="1827" w:type="dxa"/>
            <w:tcBorders>
              <w:top w:val="single" w:color="000000" w:sz="4" w:space="0"/>
              <w:left w:val="single" w:color="000000" w:sz="4" w:space="0"/>
              <w:bottom w:val="single" w:color="000000" w:sz="4" w:space="0"/>
              <w:right w:val="single" w:color="000000" w:sz="4" w:space="0"/>
            </w:tcBorders>
          </w:tcPr>
          <w:p w14:paraId="67350877">
            <w:pPr>
              <w:rPr>
                <w:color w:val="auto"/>
                <w:highlight w:val="none"/>
              </w:rPr>
            </w:pPr>
          </w:p>
        </w:tc>
        <w:tc>
          <w:tcPr>
            <w:tcW w:w="1061" w:type="dxa"/>
            <w:tcBorders>
              <w:top w:val="single" w:color="000000" w:sz="4" w:space="0"/>
              <w:left w:val="single" w:color="000000" w:sz="4" w:space="0"/>
              <w:bottom w:val="single" w:color="000000" w:sz="4" w:space="0"/>
              <w:right w:val="single" w:color="000000" w:sz="4" w:space="0"/>
            </w:tcBorders>
          </w:tcPr>
          <w:p w14:paraId="35FA3DA7">
            <w:pPr>
              <w:rPr>
                <w:color w:val="auto"/>
                <w:highlight w:val="none"/>
              </w:rPr>
            </w:pPr>
          </w:p>
        </w:tc>
      </w:tr>
    </w:tbl>
    <w:p w14:paraId="0BEDB52C">
      <w:pPr>
        <w:spacing w:before="1"/>
        <w:rPr>
          <w:rFonts w:ascii="宋体" w:hAnsi="宋体" w:cs="宋体"/>
          <w:b/>
          <w:bCs/>
          <w:color w:val="auto"/>
          <w:sz w:val="23"/>
          <w:szCs w:val="23"/>
          <w:highlight w:val="none"/>
        </w:rPr>
      </w:pPr>
    </w:p>
    <w:p w14:paraId="6BEBB731">
      <w:pPr>
        <w:pStyle w:val="15"/>
        <w:tabs>
          <w:tab w:val="left" w:pos="4717"/>
        </w:tabs>
        <w:spacing w:before="34" w:line="360" w:lineRule="auto"/>
        <w:jc w:val="left"/>
        <w:rPr>
          <w:rFonts w:ascii="宋体" w:hAnsi="宋体" w:eastAsia="宋体" w:cs="宋体"/>
          <w:color w:val="auto"/>
          <w:sz w:val="11"/>
          <w:szCs w:val="11"/>
          <w:highlight w:val="none"/>
        </w:rPr>
      </w:pPr>
      <w:r>
        <w:rPr>
          <w:rFonts w:hint="eastAsia" w:ascii="宋体" w:hAnsi="宋体" w:eastAsia="宋体" w:cs="宋体"/>
          <w:color w:val="auto"/>
          <w:highlight w:val="none"/>
        </w:rPr>
        <w:t>供应商（盖章）</w:t>
      </w:r>
      <w:r>
        <w:rPr>
          <w:rFonts w:ascii="宋体" w:hAnsi="宋体" w:eastAsia="宋体" w:cs="宋体"/>
          <w:color w:val="auto"/>
          <w:highlight w:val="none"/>
        </w:rPr>
        <w:t>:</w:t>
      </w:r>
      <w:r>
        <w:rPr>
          <w:rFonts w:ascii="宋体" w:hAnsi="宋体" w:eastAsia="宋体" w:cs="宋体"/>
          <w:color w:val="auto"/>
          <w:highlight w:val="none"/>
          <w:u w:val="single"/>
        </w:rPr>
        <w:tab/>
      </w:r>
    </w:p>
    <w:p w14:paraId="2316CE61">
      <w:pPr>
        <w:pStyle w:val="15"/>
        <w:tabs>
          <w:tab w:val="left" w:pos="4717"/>
        </w:tabs>
        <w:spacing w:before="34" w:line="360" w:lineRule="auto"/>
        <w:jc w:val="left"/>
        <w:rPr>
          <w:rFonts w:ascii="宋体" w:hAnsi="宋体" w:eastAsia="宋体" w:cs="宋体"/>
          <w:color w:val="auto"/>
          <w:sz w:val="10"/>
          <w:szCs w:val="10"/>
          <w:highlight w:val="none"/>
        </w:rPr>
      </w:pPr>
      <w:r>
        <w:rPr>
          <w:rFonts w:hint="eastAsia" w:ascii="宋体" w:hAnsi="宋体" w:eastAsia="宋体" w:cs="宋体"/>
          <w:color w:val="auto"/>
          <w:highlight w:val="none"/>
        </w:rPr>
        <w:t>授权代表（签字）：</w:t>
      </w:r>
      <w:r>
        <w:rPr>
          <w:rFonts w:ascii="宋体" w:hAnsi="宋体" w:eastAsia="宋体" w:cs="宋体"/>
          <w:color w:val="auto"/>
          <w:highlight w:val="none"/>
          <w:u w:val="single"/>
        </w:rPr>
        <w:tab/>
      </w:r>
    </w:p>
    <w:p w14:paraId="669456D4">
      <w:pPr>
        <w:widowControl/>
        <w:spacing w:line="360" w:lineRule="auto"/>
        <w:jc w:val="left"/>
        <w:rPr>
          <w:rFonts w:ascii="宋体" w:hAnsi="宋体" w:cs="宋体"/>
          <w:color w:val="auto"/>
          <w:sz w:val="28"/>
          <w:szCs w:val="28"/>
          <w:highlight w:val="none"/>
        </w:rPr>
      </w:pPr>
      <w:r>
        <w:rPr>
          <w:rFonts w:hint="eastAsia" w:ascii="宋体" w:hAnsi="宋体" w:cs="宋体"/>
          <w:color w:val="auto"/>
          <w:sz w:val="28"/>
          <w:szCs w:val="28"/>
          <w:highlight w:val="none"/>
        </w:rPr>
        <w:t>日</w:t>
      </w:r>
      <w:r>
        <w:rPr>
          <w:rFonts w:ascii="宋体" w:hAnsi="宋体" w:cs="宋体"/>
          <w:color w:val="auto"/>
          <w:sz w:val="28"/>
          <w:szCs w:val="28"/>
          <w:highlight w:val="none"/>
        </w:rPr>
        <w:tab/>
      </w:r>
      <w:r>
        <w:rPr>
          <w:rFonts w:hint="eastAsia" w:ascii="宋体" w:hAnsi="宋体" w:cs="宋体"/>
          <w:color w:val="auto"/>
          <w:sz w:val="28"/>
          <w:szCs w:val="28"/>
          <w:highlight w:val="none"/>
        </w:rPr>
        <w:t>期：</w:t>
      </w:r>
      <w:r>
        <w:rPr>
          <w:rFonts w:ascii="宋体" w:hAnsi="宋体" w:cs="宋体"/>
          <w:color w:val="auto"/>
          <w:sz w:val="28"/>
          <w:szCs w:val="28"/>
          <w:highlight w:val="none"/>
        </w:rPr>
        <w:tab/>
      </w:r>
      <w:r>
        <w:rPr>
          <w:rFonts w:hint="eastAsia" w:ascii="宋体" w:hAnsi="宋体" w:cs="宋体"/>
          <w:color w:val="auto"/>
          <w:sz w:val="28"/>
          <w:szCs w:val="28"/>
          <w:highlight w:val="none"/>
        </w:rPr>
        <w:t>年</w:t>
      </w:r>
      <w:r>
        <w:rPr>
          <w:rFonts w:ascii="宋体" w:hAnsi="宋体" w:cs="宋体"/>
          <w:color w:val="auto"/>
          <w:sz w:val="28"/>
          <w:szCs w:val="28"/>
          <w:highlight w:val="none"/>
        </w:rPr>
        <w:tab/>
      </w:r>
      <w:r>
        <w:rPr>
          <w:rFonts w:hint="eastAsia" w:ascii="宋体" w:hAnsi="宋体" w:cs="宋体"/>
          <w:color w:val="auto"/>
          <w:sz w:val="28"/>
          <w:szCs w:val="28"/>
          <w:highlight w:val="none"/>
        </w:rPr>
        <w:t>月</w:t>
      </w:r>
      <w:r>
        <w:rPr>
          <w:rFonts w:ascii="宋体" w:hAnsi="宋体" w:cs="宋体"/>
          <w:color w:val="auto"/>
          <w:sz w:val="28"/>
          <w:szCs w:val="28"/>
          <w:highlight w:val="none"/>
        </w:rPr>
        <w:tab/>
      </w:r>
      <w:r>
        <w:rPr>
          <w:rFonts w:hint="eastAsia" w:ascii="宋体" w:hAnsi="宋体" w:cs="宋体"/>
          <w:color w:val="auto"/>
          <w:sz w:val="28"/>
          <w:szCs w:val="28"/>
          <w:highlight w:val="none"/>
        </w:rPr>
        <w:t>日</w:t>
      </w:r>
    </w:p>
    <w:sectPr>
      <w:footerReference r:id="rId5" w:type="default"/>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黑体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KSOFE44F9426">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802D56">
    <w:pPr>
      <w:pStyle w:val="260"/>
      <w:jc w:val="center"/>
    </w:pPr>
    <w:r>
      <w:fldChar w:fldCharType="begin"/>
    </w:r>
    <w:r>
      <w:instrText xml:space="preserve">PAGE   \* MERGEFORMAT</w:instrText>
    </w:r>
    <w:r>
      <w:fldChar w:fldCharType="separate"/>
    </w:r>
    <w:r>
      <w:rPr>
        <w:lang w:val="zh-CN"/>
      </w:rPr>
      <w:t>36</w:t>
    </w:r>
    <w:r>
      <w:fldChar w:fldCharType="end"/>
    </w:r>
  </w:p>
  <w:p w14:paraId="360D313E">
    <w:pPr>
      <w:pStyle w:val="2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E7CD5B">
    <w:pPr>
      <w:pStyle w:val="260"/>
      <w:jc w:val="center"/>
    </w:pPr>
    <w:r>
      <w:fldChar w:fldCharType="begin"/>
    </w:r>
    <w:r>
      <w:instrText xml:space="preserve">PAGE   \* MERGEFORMAT</w:instrText>
    </w:r>
    <w:r>
      <w:fldChar w:fldCharType="separate"/>
    </w:r>
    <w:r>
      <w:rPr>
        <w:lang w:val="zh-CN"/>
      </w:rPr>
      <w:t>61</w:t>
    </w:r>
    <w:r>
      <w:fldChar w:fldCharType="end"/>
    </w:r>
  </w:p>
  <w:p w14:paraId="00461EFF">
    <w:pPr>
      <w:pStyle w:val="2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53D0F">
    <w:pPr>
      <w:pStyle w:val="263"/>
      <w:jc w:val="both"/>
      <w:rPr>
        <w:szCs w:val="22"/>
      </w:rPr>
    </w:pPr>
    <w:bookmarkStart w:id="51" w:name="_Hlk69393956"/>
    <w:bookmarkStart w:id="52" w:name="_Hlk69393955"/>
    <w:r>
      <w:t xml:space="preserve">               </w:t>
    </w:r>
    <w:bookmarkEnd w:id="51"/>
    <w:bookmarkEnd w:id="52"/>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C01B0B"/>
    <w:multiLevelType w:val="singleLevel"/>
    <w:tmpl w:val="85C01B0B"/>
    <w:lvl w:ilvl="0" w:tentative="0">
      <w:start w:val="3"/>
      <w:numFmt w:val="chineseCounting"/>
      <w:suff w:val="space"/>
      <w:lvlText w:val="第%1章"/>
      <w:lvlJc w:val="left"/>
      <w:rPr>
        <w:rFonts w:hint="eastAsia"/>
      </w:rPr>
    </w:lvl>
  </w:abstractNum>
  <w:abstractNum w:abstractNumId="1">
    <w:nsid w:val="9C8AC8EF"/>
    <w:multiLevelType w:val="multilevel"/>
    <w:tmpl w:val="9C8AC8EF"/>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C8879AEF"/>
    <w:multiLevelType w:val="multilevel"/>
    <w:tmpl w:val="C8879AEF"/>
    <w:lvl w:ilvl="0" w:tentative="0">
      <w:start w:val="1"/>
      <w:numFmt w:val="bullet"/>
      <w:pStyle w:val="82"/>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F4B5D9F5"/>
    <w:multiLevelType w:val="multilevel"/>
    <w:tmpl w:val="F4B5D9F5"/>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4D4DC07F"/>
    <w:multiLevelType w:val="multilevel"/>
    <w:tmpl w:val="4D4DC07F"/>
    <w:lvl w:ilvl="0" w:tentative="0">
      <w:start w:val="1"/>
      <w:numFmt w:val="bullet"/>
      <w:pStyle w:val="282"/>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bordersDoNotSurroundHeader w:val="0"/>
  <w:bordersDoNotSurroundFooter w:val="0"/>
  <w:revisionView w:markup="0"/>
  <w:trackRevisions w:val="1"/>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795"/>
    <w:rsid w:val="000B6660"/>
    <w:rsid w:val="001D1EE6"/>
    <w:rsid w:val="002C698A"/>
    <w:rsid w:val="002D2330"/>
    <w:rsid w:val="003047C0"/>
    <w:rsid w:val="003868D0"/>
    <w:rsid w:val="003B2F97"/>
    <w:rsid w:val="003C3784"/>
    <w:rsid w:val="004151D8"/>
    <w:rsid w:val="00533FD4"/>
    <w:rsid w:val="005361CB"/>
    <w:rsid w:val="00682795"/>
    <w:rsid w:val="00776881"/>
    <w:rsid w:val="00837280"/>
    <w:rsid w:val="0089437C"/>
    <w:rsid w:val="009054DE"/>
    <w:rsid w:val="00D813FC"/>
    <w:rsid w:val="00FE64EA"/>
    <w:rsid w:val="01500436"/>
    <w:rsid w:val="02954528"/>
    <w:rsid w:val="04AD18A4"/>
    <w:rsid w:val="06E90DCC"/>
    <w:rsid w:val="0812478F"/>
    <w:rsid w:val="0A876C58"/>
    <w:rsid w:val="0CD30126"/>
    <w:rsid w:val="0CEC11E8"/>
    <w:rsid w:val="1083712E"/>
    <w:rsid w:val="117B32BD"/>
    <w:rsid w:val="11916A02"/>
    <w:rsid w:val="1352051C"/>
    <w:rsid w:val="13BF7656"/>
    <w:rsid w:val="18163111"/>
    <w:rsid w:val="186E2746"/>
    <w:rsid w:val="19445D81"/>
    <w:rsid w:val="19AB37BD"/>
    <w:rsid w:val="1A651A29"/>
    <w:rsid w:val="1B90717F"/>
    <w:rsid w:val="1BFD50DB"/>
    <w:rsid w:val="1D320E99"/>
    <w:rsid w:val="1D6079E6"/>
    <w:rsid w:val="1EBB0B47"/>
    <w:rsid w:val="1EDB7E85"/>
    <w:rsid w:val="21001530"/>
    <w:rsid w:val="234C4978"/>
    <w:rsid w:val="235C6944"/>
    <w:rsid w:val="23CF07AE"/>
    <w:rsid w:val="24894B8B"/>
    <w:rsid w:val="254718B6"/>
    <w:rsid w:val="274912B9"/>
    <w:rsid w:val="279369D8"/>
    <w:rsid w:val="27F56E4F"/>
    <w:rsid w:val="28CC3ADF"/>
    <w:rsid w:val="2DF53F49"/>
    <w:rsid w:val="30986834"/>
    <w:rsid w:val="32E807F8"/>
    <w:rsid w:val="338C0DA0"/>
    <w:rsid w:val="344949D6"/>
    <w:rsid w:val="346E6E1E"/>
    <w:rsid w:val="354F2F61"/>
    <w:rsid w:val="380826A5"/>
    <w:rsid w:val="39456083"/>
    <w:rsid w:val="3A0B2CF9"/>
    <w:rsid w:val="3A211622"/>
    <w:rsid w:val="3B91142D"/>
    <w:rsid w:val="3CB36996"/>
    <w:rsid w:val="3FA330D9"/>
    <w:rsid w:val="40E652A8"/>
    <w:rsid w:val="412A03CA"/>
    <w:rsid w:val="417173B6"/>
    <w:rsid w:val="41940419"/>
    <w:rsid w:val="41B97434"/>
    <w:rsid w:val="424C7A58"/>
    <w:rsid w:val="43E268C5"/>
    <w:rsid w:val="46715CDF"/>
    <w:rsid w:val="47332F94"/>
    <w:rsid w:val="4B035A7D"/>
    <w:rsid w:val="4FAD15FD"/>
    <w:rsid w:val="50AE3C1F"/>
    <w:rsid w:val="511E38A6"/>
    <w:rsid w:val="512F6EC2"/>
    <w:rsid w:val="52B21CF8"/>
    <w:rsid w:val="53966EF5"/>
    <w:rsid w:val="56226FF5"/>
    <w:rsid w:val="58B06210"/>
    <w:rsid w:val="58E80600"/>
    <w:rsid w:val="5A7A082C"/>
    <w:rsid w:val="5C5E2199"/>
    <w:rsid w:val="5F217E4A"/>
    <w:rsid w:val="5F8B2F9F"/>
    <w:rsid w:val="616325FC"/>
    <w:rsid w:val="61CA737D"/>
    <w:rsid w:val="62383234"/>
    <w:rsid w:val="63F50C0B"/>
    <w:rsid w:val="64393E88"/>
    <w:rsid w:val="65FD20AE"/>
    <w:rsid w:val="6659611C"/>
    <w:rsid w:val="66ED0821"/>
    <w:rsid w:val="68F42274"/>
    <w:rsid w:val="69350B98"/>
    <w:rsid w:val="69B16B05"/>
    <w:rsid w:val="6A046C7D"/>
    <w:rsid w:val="6C2B055A"/>
    <w:rsid w:val="6C8C0D9E"/>
    <w:rsid w:val="6CA517CF"/>
    <w:rsid w:val="6CE34991"/>
    <w:rsid w:val="72D500F1"/>
    <w:rsid w:val="732733B1"/>
    <w:rsid w:val="73397A01"/>
    <w:rsid w:val="75A75AC7"/>
    <w:rsid w:val="773F22D9"/>
    <w:rsid w:val="77F3503C"/>
    <w:rsid w:val="780F314B"/>
    <w:rsid w:val="79096BA0"/>
    <w:rsid w:val="79BB4445"/>
    <w:rsid w:val="7BDE0C48"/>
    <w:rsid w:val="7C480A7B"/>
    <w:rsid w:val="7F020ED3"/>
    <w:rsid w:val="7F1E29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0"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iPriority="99" w:semiHidden="0" w:name="envelope return"/>
    <w:lsdException w:qFormat="1" w:uiPriority="0" w:semiHidden="0" w:name="footnote reference"/>
    <w:lsdException w:qFormat="1"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link w:val="52"/>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3"/>
    <w:qFormat/>
    <w:uiPriority w:val="9"/>
    <w:pPr>
      <w:keepNext/>
      <w:keepLines/>
      <w:spacing w:before="360" w:after="200"/>
      <w:outlineLvl w:val="1"/>
    </w:pPr>
    <w:rPr>
      <w:rFonts w:ascii="Arial" w:hAnsi="Arial" w:eastAsia="Arial" w:cs="Arial"/>
      <w:sz w:val="34"/>
    </w:rPr>
  </w:style>
  <w:style w:type="paragraph" w:styleId="4">
    <w:name w:val="heading 3"/>
    <w:basedOn w:val="1"/>
    <w:next w:val="5"/>
    <w:link w:val="54"/>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5"/>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6"/>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7"/>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58"/>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59"/>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60"/>
    <w:qFormat/>
    <w:uiPriority w:val="9"/>
    <w:pPr>
      <w:keepNext/>
      <w:keepLines/>
      <w:spacing w:before="320" w:after="200"/>
      <w:outlineLvl w:val="8"/>
    </w:pPr>
    <w:rPr>
      <w:rFonts w:ascii="Arial" w:hAnsi="Arial" w:eastAsia="Arial" w:cs="Arial"/>
      <w:i/>
      <w:iCs/>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spacing w:line="360" w:lineRule="atLeast"/>
      <w:ind w:firstLine="482"/>
    </w:pPr>
    <w:rPr>
      <w:sz w:val="24"/>
      <w:szCs w:val="20"/>
    </w:rPr>
  </w:style>
  <w:style w:type="paragraph" w:styleId="12">
    <w:name w:val="toc 7"/>
    <w:basedOn w:val="1"/>
    <w:next w:val="1"/>
    <w:unhideWhenUsed/>
    <w:qFormat/>
    <w:uiPriority w:val="39"/>
    <w:pPr>
      <w:spacing w:after="57"/>
      <w:ind w:left="1701"/>
    </w:pPr>
  </w:style>
  <w:style w:type="paragraph" w:styleId="13">
    <w:name w:val="caption"/>
    <w:basedOn w:val="1"/>
    <w:next w:val="1"/>
    <w:qFormat/>
    <w:uiPriority w:val="35"/>
    <w:pPr>
      <w:spacing w:line="276" w:lineRule="auto"/>
    </w:pPr>
    <w:rPr>
      <w:b/>
      <w:bCs/>
      <w:color w:val="4F81BD"/>
      <w:sz w:val="18"/>
      <w:szCs w:val="18"/>
    </w:rPr>
  </w:style>
  <w:style w:type="paragraph" w:styleId="14">
    <w:name w:val="annotation text"/>
    <w:basedOn w:val="1"/>
    <w:unhideWhenUsed/>
    <w:qFormat/>
    <w:uiPriority w:val="99"/>
    <w:pPr>
      <w:jc w:val="left"/>
    </w:pPr>
  </w:style>
  <w:style w:type="paragraph" w:styleId="15">
    <w:name w:val="Body Text"/>
    <w:basedOn w:val="1"/>
    <w:qFormat/>
    <w:uiPriority w:val="0"/>
    <w:rPr>
      <w:rFonts w:ascii="楷体_GB2312" w:hAnsi="Arial" w:eastAsia="楷体_GB2312"/>
      <w:sz w:val="28"/>
      <w:szCs w:val="28"/>
    </w:rPr>
  </w:style>
  <w:style w:type="paragraph" w:styleId="16">
    <w:name w:val="Body Text Indent"/>
    <w:basedOn w:val="1"/>
    <w:next w:val="17"/>
    <w:unhideWhenUsed/>
    <w:qFormat/>
    <w:uiPriority w:val="99"/>
    <w:pPr>
      <w:spacing w:after="120"/>
      <w:ind w:left="420"/>
    </w:pPr>
  </w:style>
  <w:style w:type="paragraph" w:styleId="17">
    <w:name w:val="envelope return"/>
    <w:basedOn w:val="1"/>
    <w:unhideWhenUsed/>
    <w:qFormat/>
    <w:uiPriority w:val="99"/>
    <w:rPr>
      <w:rFonts w:ascii="Arial" w:hAnsi="Arial"/>
    </w:rPr>
  </w:style>
  <w:style w:type="paragraph" w:styleId="18">
    <w:name w:val="index 4"/>
    <w:basedOn w:val="1"/>
    <w:next w:val="1"/>
    <w:qFormat/>
    <w:uiPriority w:val="0"/>
    <w:pPr>
      <w:ind w:left="600"/>
    </w:pPr>
    <w:rPr>
      <w:rFonts w:ascii="Calibri" w:hAnsi="Calibri" w:eastAsia="Times New Roman"/>
      <w:sz w:val="24"/>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link w:val="64"/>
    <w:qFormat/>
    <w:uiPriority w:val="0"/>
    <w:rPr>
      <w:rFonts w:ascii="宋体" w:hAnsi="Courier New"/>
      <w:sz w:val="20"/>
      <w:szCs w:val="21"/>
    </w:rPr>
  </w:style>
  <w:style w:type="paragraph" w:styleId="22">
    <w:name w:val="toc 8"/>
    <w:basedOn w:val="1"/>
    <w:next w:val="1"/>
    <w:unhideWhenUsed/>
    <w:qFormat/>
    <w:uiPriority w:val="39"/>
    <w:pPr>
      <w:spacing w:after="57"/>
      <w:ind w:left="1984"/>
    </w:pPr>
  </w:style>
  <w:style w:type="paragraph" w:styleId="23">
    <w:name w:val="Body Text Indent 2"/>
    <w:basedOn w:val="1"/>
    <w:qFormat/>
    <w:uiPriority w:val="99"/>
    <w:pPr>
      <w:spacing w:line="480" w:lineRule="exact"/>
      <w:ind w:firstLine="562"/>
    </w:pPr>
    <w:rPr>
      <w:rFonts w:ascii="楷体_GB2312" w:eastAsia="楷体_GB2312"/>
      <w:b/>
      <w:bCs/>
      <w:sz w:val="28"/>
      <w:szCs w:val="24"/>
    </w:rPr>
  </w:style>
  <w:style w:type="paragraph" w:styleId="24">
    <w:name w:val="endnote text"/>
    <w:basedOn w:val="1"/>
    <w:link w:val="66"/>
    <w:unhideWhenUsed/>
    <w:qFormat/>
    <w:uiPriority w:val="99"/>
    <w:rPr>
      <w:sz w:val="20"/>
    </w:rPr>
  </w:style>
  <w:style w:type="paragraph" w:styleId="25">
    <w:name w:val="Balloon Text"/>
    <w:basedOn w:val="1"/>
    <w:link w:val="67"/>
    <w:unhideWhenUsed/>
    <w:qFormat/>
    <w:uiPriority w:val="99"/>
    <w:rPr>
      <w:sz w:val="18"/>
      <w:szCs w:val="18"/>
    </w:rPr>
  </w:style>
  <w:style w:type="paragraph" w:styleId="26">
    <w:name w:val="footer"/>
    <w:basedOn w:val="1"/>
    <w:link w:val="68"/>
    <w:unhideWhenUsed/>
    <w:qFormat/>
    <w:uiPriority w:val="99"/>
    <w:pPr>
      <w:tabs>
        <w:tab w:val="center" w:pos="7143"/>
        <w:tab w:val="right" w:pos="14287"/>
      </w:tabs>
    </w:pPr>
  </w:style>
  <w:style w:type="paragraph" w:styleId="27">
    <w:name w:val="header"/>
    <w:basedOn w:val="1"/>
    <w:link w:val="69"/>
    <w:unhideWhenUsed/>
    <w:qFormat/>
    <w:uiPriority w:val="99"/>
    <w:pPr>
      <w:tabs>
        <w:tab w:val="center" w:pos="7143"/>
        <w:tab w:val="right" w:pos="14287"/>
      </w:tabs>
    </w:p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link w:val="72"/>
    <w:qFormat/>
    <w:uiPriority w:val="11"/>
    <w:pPr>
      <w:spacing w:before="200" w:after="200"/>
    </w:pPr>
    <w:rPr>
      <w:sz w:val="24"/>
      <w:szCs w:val="24"/>
    </w:rPr>
  </w:style>
  <w:style w:type="paragraph" w:styleId="31">
    <w:name w:val="footnote text"/>
    <w:basedOn w:val="1"/>
    <w:link w:val="73"/>
    <w:unhideWhenUsed/>
    <w:qFormat/>
    <w:uiPriority w:val="0"/>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Body Text 2"/>
    <w:basedOn w:val="1"/>
    <w:qFormat/>
    <w:uiPriority w:val="0"/>
    <w:pPr>
      <w:spacing w:after="120" w:line="480" w:lineRule="auto"/>
    </w:pPr>
  </w:style>
  <w:style w:type="paragraph" w:styleId="37">
    <w:name w:val="Message Header"/>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500" w:hanging="1080"/>
    </w:pPr>
    <w:rPr>
      <w:rFonts w:ascii="Arial" w:hAnsi="Arial"/>
      <w:sz w:val="24"/>
    </w:rPr>
  </w:style>
  <w:style w:type="paragraph" w:styleId="38">
    <w:name w:val="Normal (Web)"/>
    <w:basedOn w:val="1"/>
    <w:qFormat/>
    <w:uiPriority w:val="0"/>
    <w:pPr>
      <w:widowControl/>
      <w:spacing w:before="100" w:beforeAutospacing="1" w:after="100" w:afterAutospacing="1"/>
      <w:jc w:val="left"/>
    </w:pPr>
    <w:rPr>
      <w:rFonts w:ascii="Verdana" w:hAnsi="Verdana" w:cs="Verdana"/>
      <w:sz w:val="24"/>
      <w:szCs w:val="24"/>
    </w:rPr>
  </w:style>
  <w:style w:type="paragraph" w:styleId="39">
    <w:name w:val="Title"/>
    <w:basedOn w:val="1"/>
    <w:next w:val="1"/>
    <w:link w:val="77"/>
    <w:qFormat/>
    <w:uiPriority w:val="10"/>
    <w:pPr>
      <w:spacing w:before="300" w:after="200"/>
      <w:contextualSpacing/>
    </w:pPr>
    <w:rPr>
      <w:sz w:val="48"/>
      <w:szCs w:val="48"/>
    </w:rPr>
  </w:style>
  <w:style w:type="table" w:styleId="41">
    <w:name w:val="Table Grid"/>
    <w:qFormat/>
    <w:uiPriority w:val="59"/>
    <w:tblPr>
      <w:tblCellMar>
        <w:top w:w="0" w:type="dxa"/>
        <w:left w:w="0" w:type="dxa"/>
        <w:bottom w:w="0" w:type="dxa"/>
        <w:right w:w="0" w:type="dxa"/>
      </w:tblCellMar>
    </w:tblPr>
  </w:style>
  <w:style w:type="character" w:styleId="43">
    <w:name w:val="Strong"/>
    <w:qFormat/>
    <w:uiPriority w:val="22"/>
    <w:rPr>
      <w:b/>
    </w:rPr>
  </w:style>
  <w:style w:type="character" w:styleId="44">
    <w:name w:val="endnote reference"/>
    <w:unhideWhenUsed/>
    <w:qFormat/>
    <w:uiPriority w:val="99"/>
    <w:rPr>
      <w:vertAlign w:val="superscript"/>
    </w:rPr>
  </w:style>
  <w:style w:type="character" w:styleId="45">
    <w:name w:val="Hyperlink"/>
    <w:unhideWhenUsed/>
    <w:qFormat/>
    <w:uiPriority w:val="99"/>
    <w:rPr>
      <w:color w:val="0000FF"/>
      <w:u w:val="single"/>
    </w:rPr>
  </w:style>
  <w:style w:type="character" w:styleId="46">
    <w:name w:val="annotation reference"/>
    <w:basedOn w:val="42"/>
    <w:semiHidden/>
    <w:unhideWhenUsed/>
    <w:qFormat/>
    <w:uiPriority w:val="99"/>
    <w:rPr>
      <w:sz w:val="21"/>
      <w:szCs w:val="21"/>
    </w:rPr>
  </w:style>
  <w:style w:type="character" w:styleId="47">
    <w:name w:val="footnote reference"/>
    <w:unhideWhenUsed/>
    <w:qFormat/>
    <w:uiPriority w:val="0"/>
    <w:rPr>
      <w:vertAlign w:val="superscript"/>
    </w:rPr>
  </w:style>
  <w:style w:type="paragraph" w:styleId="48">
    <w:name w:val="List Paragraph"/>
    <w:basedOn w:val="1"/>
    <w:qFormat/>
    <w:uiPriority w:val="0"/>
    <w:pPr>
      <w:ind w:left="720"/>
      <w:contextualSpacing/>
    </w:pPr>
  </w:style>
  <w:style w:type="paragraph" w:styleId="49">
    <w:name w:val="No Spacing"/>
    <w:qFormat/>
    <w:uiPriority w:val="1"/>
    <w:rPr>
      <w:rFonts w:ascii="Times New Roman" w:hAnsi="Times New Roman" w:eastAsia="宋体" w:cs="Times New Roman"/>
      <w:lang w:val="en-US" w:eastAsia="zh-CN" w:bidi="ar-SA"/>
    </w:rPr>
  </w:style>
  <w:style w:type="paragraph" w:styleId="50">
    <w:name w:val="Quote"/>
    <w:basedOn w:val="1"/>
    <w:next w:val="1"/>
    <w:link w:val="127"/>
    <w:qFormat/>
    <w:uiPriority w:val="29"/>
    <w:pPr>
      <w:ind w:left="720" w:right="720"/>
    </w:pPr>
    <w:rPr>
      <w:i/>
    </w:rPr>
  </w:style>
  <w:style w:type="paragraph" w:styleId="51">
    <w:name w:val="Intense Quote"/>
    <w:basedOn w:val="1"/>
    <w:next w:val="1"/>
    <w:link w:val="12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2">
    <w:name w:val="标题 1 字符"/>
    <w:link w:val="2"/>
    <w:qFormat/>
    <w:uiPriority w:val="9"/>
    <w:rPr>
      <w:rFonts w:ascii="Arial" w:hAnsi="Arial" w:eastAsia="Arial" w:cs="Arial"/>
      <w:sz w:val="40"/>
      <w:szCs w:val="40"/>
    </w:rPr>
  </w:style>
  <w:style w:type="character" w:customStyle="1" w:styleId="53">
    <w:name w:val="标题 2 字符"/>
    <w:link w:val="3"/>
    <w:qFormat/>
    <w:uiPriority w:val="9"/>
    <w:rPr>
      <w:rFonts w:ascii="Arial" w:hAnsi="Arial" w:eastAsia="Arial" w:cs="Arial"/>
      <w:sz w:val="34"/>
    </w:rPr>
  </w:style>
  <w:style w:type="character" w:customStyle="1" w:styleId="54">
    <w:name w:val="标题 3 字符"/>
    <w:link w:val="4"/>
    <w:qFormat/>
    <w:uiPriority w:val="9"/>
    <w:rPr>
      <w:rFonts w:ascii="Arial" w:hAnsi="Arial" w:eastAsia="Arial" w:cs="Arial"/>
      <w:sz w:val="30"/>
      <w:szCs w:val="30"/>
    </w:rPr>
  </w:style>
  <w:style w:type="character" w:customStyle="1" w:styleId="55">
    <w:name w:val="标题 4 字符"/>
    <w:link w:val="6"/>
    <w:qFormat/>
    <w:uiPriority w:val="9"/>
    <w:rPr>
      <w:rFonts w:ascii="Arial" w:hAnsi="Arial" w:eastAsia="Arial" w:cs="Arial"/>
      <w:b/>
      <w:bCs/>
      <w:sz w:val="26"/>
      <w:szCs w:val="26"/>
    </w:rPr>
  </w:style>
  <w:style w:type="character" w:customStyle="1" w:styleId="56">
    <w:name w:val="标题 5 字符"/>
    <w:link w:val="7"/>
    <w:qFormat/>
    <w:uiPriority w:val="9"/>
    <w:rPr>
      <w:rFonts w:ascii="Arial" w:hAnsi="Arial" w:eastAsia="Arial" w:cs="Arial"/>
      <w:b/>
      <w:bCs/>
      <w:sz w:val="24"/>
      <w:szCs w:val="24"/>
    </w:rPr>
  </w:style>
  <w:style w:type="character" w:customStyle="1" w:styleId="57">
    <w:name w:val="标题 6 字符"/>
    <w:link w:val="8"/>
    <w:qFormat/>
    <w:uiPriority w:val="9"/>
    <w:rPr>
      <w:rFonts w:ascii="Arial" w:hAnsi="Arial" w:eastAsia="Arial" w:cs="Arial"/>
      <w:b/>
      <w:bCs/>
      <w:sz w:val="22"/>
      <w:szCs w:val="22"/>
    </w:rPr>
  </w:style>
  <w:style w:type="character" w:customStyle="1" w:styleId="58">
    <w:name w:val="标题 7 字符"/>
    <w:link w:val="9"/>
    <w:qFormat/>
    <w:uiPriority w:val="9"/>
    <w:rPr>
      <w:rFonts w:ascii="Arial" w:hAnsi="Arial" w:eastAsia="Arial" w:cs="Arial"/>
      <w:b/>
      <w:bCs/>
      <w:i/>
      <w:iCs/>
      <w:sz w:val="22"/>
      <w:szCs w:val="22"/>
    </w:rPr>
  </w:style>
  <w:style w:type="character" w:customStyle="1" w:styleId="59">
    <w:name w:val="标题 8 字符"/>
    <w:link w:val="10"/>
    <w:qFormat/>
    <w:uiPriority w:val="9"/>
    <w:rPr>
      <w:rFonts w:ascii="Arial" w:hAnsi="Arial" w:eastAsia="Arial" w:cs="Arial"/>
      <w:i/>
      <w:iCs/>
      <w:sz w:val="22"/>
      <w:szCs w:val="22"/>
    </w:rPr>
  </w:style>
  <w:style w:type="character" w:customStyle="1" w:styleId="60">
    <w:name w:val="标题 9 字符"/>
    <w:link w:val="11"/>
    <w:qFormat/>
    <w:uiPriority w:val="9"/>
    <w:rPr>
      <w:rFonts w:ascii="Arial" w:hAnsi="Arial" w:eastAsia="Arial" w:cs="Arial"/>
      <w:i/>
      <w:iCs/>
      <w:sz w:val="21"/>
      <w:szCs w:val="21"/>
    </w:rPr>
  </w:style>
  <w:style w:type="paragraph" w:customStyle="1" w:styleId="61">
    <w:name w:val="目录 71"/>
    <w:basedOn w:val="1"/>
    <w:next w:val="1"/>
    <w:unhideWhenUsed/>
    <w:qFormat/>
    <w:uiPriority w:val="39"/>
    <w:pPr>
      <w:spacing w:after="57"/>
      <w:ind w:left="1701"/>
    </w:pPr>
  </w:style>
  <w:style w:type="paragraph" w:customStyle="1" w:styleId="62">
    <w:name w:val="目录 51"/>
    <w:basedOn w:val="1"/>
    <w:next w:val="1"/>
    <w:unhideWhenUsed/>
    <w:qFormat/>
    <w:uiPriority w:val="39"/>
    <w:pPr>
      <w:spacing w:after="57"/>
      <w:ind w:left="1134"/>
    </w:pPr>
  </w:style>
  <w:style w:type="paragraph" w:customStyle="1" w:styleId="63">
    <w:name w:val="目录 31"/>
    <w:basedOn w:val="1"/>
    <w:next w:val="1"/>
    <w:unhideWhenUsed/>
    <w:qFormat/>
    <w:uiPriority w:val="39"/>
    <w:pPr>
      <w:spacing w:after="57"/>
      <w:ind w:left="567"/>
    </w:pPr>
  </w:style>
  <w:style w:type="character" w:customStyle="1" w:styleId="64">
    <w:name w:val="纯文本 字符"/>
    <w:link w:val="21"/>
    <w:qFormat/>
    <w:uiPriority w:val="0"/>
    <w:rPr>
      <w:rFonts w:ascii="宋体" w:hAnsi="Courier New"/>
      <w:szCs w:val="21"/>
    </w:rPr>
  </w:style>
  <w:style w:type="paragraph" w:customStyle="1" w:styleId="65">
    <w:name w:val="目录 81"/>
    <w:basedOn w:val="1"/>
    <w:next w:val="1"/>
    <w:unhideWhenUsed/>
    <w:qFormat/>
    <w:uiPriority w:val="39"/>
    <w:pPr>
      <w:spacing w:after="57"/>
      <w:ind w:left="1984"/>
    </w:pPr>
  </w:style>
  <w:style w:type="character" w:customStyle="1" w:styleId="66">
    <w:name w:val="尾注文本 字符"/>
    <w:link w:val="24"/>
    <w:qFormat/>
    <w:uiPriority w:val="99"/>
    <w:rPr>
      <w:sz w:val="20"/>
    </w:rPr>
  </w:style>
  <w:style w:type="character" w:customStyle="1" w:styleId="67">
    <w:name w:val="批注框文本 字符"/>
    <w:link w:val="25"/>
    <w:semiHidden/>
    <w:qFormat/>
    <w:uiPriority w:val="99"/>
    <w:rPr>
      <w:sz w:val="18"/>
      <w:szCs w:val="18"/>
    </w:rPr>
  </w:style>
  <w:style w:type="character" w:customStyle="1" w:styleId="68">
    <w:name w:val="页脚 字符"/>
    <w:link w:val="26"/>
    <w:qFormat/>
    <w:uiPriority w:val="99"/>
  </w:style>
  <w:style w:type="character" w:customStyle="1" w:styleId="69">
    <w:name w:val="页眉 字符"/>
    <w:link w:val="27"/>
    <w:qFormat/>
    <w:uiPriority w:val="99"/>
  </w:style>
  <w:style w:type="paragraph" w:customStyle="1" w:styleId="70">
    <w:name w:val="目录 111"/>
    <w:basedOn w:val="1"/>
    <w:next w:val="1"/>
    <w:unhideWhenUsed/>
    <w:qFormat/>
    <w:uiPriority w:val="39"/>
    <w:pPr>
      <w:spacing w:after="57"/>
    </w:pPr>
  </w:style>
  <w:style w:type="paragraph" w:customStyle="1" w:styleId="71">
    <w:name w:val="目录 41"/>
    <w:basedOn w:val="1"/>
    <w:next w:val="1"/>
    <w:unhideWhenUsed/>
    <w:qFormat/>
    <w:uiPriority w:val="39"/>
    <w:pPr>
      <w:spacing w:after="57"/>
      <w:ind w:left="850"/>
    </w:pPr>
  </w:style>
  <w:style w:type="character" w:customStyle="1" w:styleId="72">
    <w:name w:val="副标题 字符"/>
    <w:link w:val="30"/>
    <w:qFormat/>
    <w:uiPriority w:val="11"/>
    <w:rPr>
      <w:sz w:val="24"/>
      <w:szCs w:val="24"/>
    </w:rPr>
  </w:style>
  <w:style w:type="character" w:customStyle="1" w:styleId="73">
    <w:name w:val="脚注文本 字符"/>
    <w:link w:val="31"/>
    <w:qFormat/>
    <w:uiPriority w:val="0"/>
    <w:rPr>
      <w:sz w:val="18"/>
    </w:rPr>
  </w:style>
  <w:style w:type="paragraph" w:customStyle="1" w:styleId="74">
    <w:name w:val="目录 61"/>
    <w:basedOn w:val="1"/>
    <w:next w:val="1"/>
    <w:unhideWhenUsed/>
    <w:qFormat/>
    <w:uiPriority w:val="39"/>
    <w:pPr>
      <w:spacing w:after="57"/>
      <w:ind w:left="1417"/>
    </w:pPr>
  </w:style>
  <w:style w:type="paragraph" w:customStyle="1" w:styleId="75">
    <w:name w:val="目录 211"/>
    <w:basedOn w:val="1"/>
    <w:next w:val="1"/>
    <w:unhideWhenUsed/>
    <w:qFormat/>
    <w:uiPriority w:val="39"/>
    <w:pPr>
      <w:spacing w:after="57"/>
      <w:ind w:left="283"/>
    </w:pPr>
  </w:style>
  <w:style w:type="paragraph" w:customStyle="1" w:styleId="76">
    <w:name w:val="目录 91"/>
    <w:basedOn w:val="1"/>
    <w:next w:val="1"/>
    <w:unhideWhenUsed/>
    <w:qFormat/>
    <w:uiPriority w:val="39"/>
    <w:pPr>
      <w:spacing w:after="57"/>
      <w:ind w:left="2268"/>
    </w:pPr>
  </w:style>
  <w:style w:type="character" w:customStyle="1" w:styleId="77">
    <w:name w:val="标题 字符"/>
    <w:link w:val="39"/>
    <w:qFormat/>
    <w:uiPriority w:val="10"/>
    <w:rPr>
      <w:sz w:val="48"/>
      <w:szCs w:val="48"/>
    </w:rPr>
  </w:style>
  <w:style w:type="paragraph" w:customStyle="1" w:styleId="78">
    <w:name w:val="正文首行缩进 211"/>
    <w:basedOn w:val="16"/>
    <w:next w:val="1"/>
    <w:unhideWhenUsed/>
    <w:qFormat/>
    <w:uiPriority w:val="99"/>
    <w:pPr>
      <w:ind w:firstLine="420"/>
    </w:pPr>
  </w:style>
  <w:style w:type="paragraph" w:customStyle="1" w:styleId="79">
    <w:name w:val="标题 311"/>
    <w:basedOn w:val="1"/>
    <w:next w:val="1"/>
    <w:qFormat/>
    <w:uiPriority w:val="0"/>
    <w:pPr>
      <w:keepNext/>
      <w:keepLines/>
      <w:spacing w:before="260" w:after="260" w:line="416" w:lineRule="auto"/>
      <w:outlineLvl w:val="2"/>
    </w:pPr>
    <w:rPr>
      <w:b/>
      <w:sz w:val="32"/>
      <w:szCs w:val="20"/>
    </w:rPr>
  </w:style>
  <w:style w:type="paragraph" w:customStyle="1" w:styleId="80">
    <w:name w:val="TOC 标题1"/>
    <w:unhideWhenUsed/>
    <w:qFormat/>
    <w:uiPriority w:val="39"/>
    <w:rPr>
      <w:rFonts w:ascii="Times New Roman" w:hAnsi="Times New Roman" w:eastAsia="宋体" w:cs="Times New Roman"/>
      <w:lang w:val="en-US" w:eastAsia="zh-CN" w:bidi="ar-SA"/>
    </w:rPr>
  </w:style>
  <w:style w:type="paragraph" w:customStyle="1" w:styleId="81">
    <w:name w:val="文本块1"/>
    <w:basedOn w:val="1"/>
    <w:unhideWhenUsed/>
    <w:qFormat/>
    <w:uiPriority w:val="99"/>
    <w:pPr>
      <w:spacing w:after="120"/>
      <w:ind w:left="1440" w:right="1440"/>
    </w:pPr>
  </w:style>
  <w:style w:type="paragraph" w:customStyle="1" w:styleId="82">
    <w:name w:val="ListBullet21"/>
    <w:basedOn w:val="1"/>
    <w:qFormat/>
    <w:uiPriority w:val="0"/>
    <w:pPr>
      <w:numPr>
        <w:ilvl w:val="0"/>
        <w:numId w:val="1"/>
      </w:numPr>
    </w:pPr>
  </w:style>
  <w:style w:type="paragraph" w:customStyle="1" w:styleId="83">
    <w:name w:val="正文（缩进）"/>
    <w:basedOn w:val="1"/>
    <w:next w:val="84"/>
    <w:qFormat/>
    <w:uiPriority w:val="0"/>
    <w:pPr>
      <w:ind w:firstLine="480"/>
    </w:pPr>
  </w:style>
  <w:style w:type="paragraph" w:customStyle="1" w:styleId="84">
    <w:name w:val="Char Char Char Char Char Char Char Char Char"/>
    <w:basedOn w:val="1"/>
    <w:next w:val="85"/>
    <w:qFormat/>
    <w:uiPriority w:val="99"/>
    <w:pPr>
      <w:ind w:left="360" w:firstLine="5784"/>
    </w:pPr>
  </w:style>
  <w:style w:type="paragraph" w:customStyle="1" w:styleId="85">
    <w:name w:val="正文文本 21"/>
    <w:basedOn w:val="1"/>
    <w:next w:val="86"/>
    <w:qFormat/>
    <w:uiPriority w:val="99"/>
    <w:pPr>
      <w:widowControl/>
      <w:ind w:left="720" w:firstLine="5680"/>
    </w:pPr>
  </w:style>
  <w:style w:type="paragraph" w:customStyle="1" w:styleId="86">
    <w:name w:val="默认段落字体 Para Char Char Char Char Char Char Char"/>
    <w:basedOn w:val="1"/>
    <w:next w:val="87"/>
    <w:qFormat/>
    <w:uiPriority w:val="99"/>
    <w:pPr>
      <w:ind w:firstLine="200"/>
    </w:pPr>
    <w:rPr>
      <w:rFonts w:cs="Arial"/>
    </w:rPr>
  </w:style>
  <w:style w:type="paragraph" w:customStyle="1" w:styleId="87">
    <w:name w:val="样式 首行缩进:  2 字符"/>
    <w:basedOn w:val="1"/>
    <w:next w:val="88"/>
    <w:qFormat/>
    <w:uiPriority w:val="99"/>
    <w:pPr>
      <w:spacing w:line="360" w:lineRule="auto"/>
      <w:ind w:left="480" w:firstLine="5856"/>
    </w:pPr>
  </w:style>
  <w:style w:type="paragraph" w:customStyle="1" w:styleId="88">
    <w:name w:val="样式 段后: 0.25 行"/>
    <w:basedOn w:val="1"/>
    <w:next w:val="89"/>
    <w:qFormat/>
    <w:uiPriority w:val="99"/>
    <w:pPr>
      <w:widowControl/>
      <w:spacing w:line="300" w:lineRule="auto"/>
      <w:ind w:left="420" w:firstLine="5796"/>
    </w:pPr>
  </w:style>
  <w:style w:type="paragraph" w:customStyle="1" w:styleId="89">
    <w:name w:val="正文 New New New New New New New New New New New New New New"/>
    <w:next w:val="76"/>
    <w:qFormat/>
    <w:uiPriority w:val="99"/>
    <w:pPr>
      <w:widowControl w:val="0"/>
      <w:ind w:firstLine="2048"/>
      <w:jc w:val="both"/>
    </w:pPr>
    <w:rPr>
      <w:rFonts w:ascii="Calibri" w:hAnsi="Calibri" w:eastAsia="宋体" w:cs="Times New Roman"/>
      <w:lang w:val="en-US" w:eastAsia="zh-CN" w:bidi="ar-SA"/>
    </w:rPr>
  </w:style>
  <w:style w:type="character" w:customStyle="1" w:styleId="90">
    <w:name w:val="Heading 1 Char"/>
    <w:qFormat/>
    <w:uiPriority w:val="9"/>
    <w:rPr>
      <w:rFonts w:ascii="Arial" w:hAnsi="Arial" w:eastAsia="Arial" w:cs="Arial"/>
      <w:sz w:val="40"/>
      <w:szCs w:val="40"/>
    </w:rPr>
  </w:style>
  <w:style w:type="character" w:customStyle="1" w:styleId="91">
    <w:name w:val="Heading 2 Char"/>
    <w:qFormat/>
    <w:uiPriority w:val="9"/>
    <w:rPr>
      <w:rFonts w:ascii="Arial" w:hAnsi="Arial" w:eastAsia="Arial" w:cs="Arial"/>
      <w:sz w:val="34"/>
    </w:rPr>
  </w:style>
  <w:style w:type="character" w:customStyle="1" w:styleId="92">
    <w:name w:val="Heading 3 Char"/>
    <w:qFormat/>
    <w:uiPriority w:val="9"/>
    <w:rPr>
      <w:rFonts w:ascii="Arial" w:hAnsi="Arial" w:eastAsia="Arial" w:cs="Arial"/>
      <w:sz w:val="30"/>
      <w:szCs w:val="30"/>
    </w:rPr>
  </w:style>
  <w:style w:type="character" w:customStyle="1" w:styleId="93">
    <w:name w:val="Heading 4 Char"/>
    <w:qFormat/>
    <w:uiPriority w:val="9"/>
    <w:rPr>
      <w:rFonts w:ascii="Arial" w:hAnsi="Arial" w:eastAsia="Arial" w:cs="Arial"/>
      <w:b/>
      <w:bCs/>
      <w:sz w:val="26"/>
      <w:szCs w:val="26"/>
    </w:rPr>
  </w:style>
  <w:style w:type="character" w:customStyle="1" w:styleId="94">
    <w:name w:val="Heading 5 Char"/>
    <w:qFormat/>
    <w:uiPriority w:val="9"/>
    <w:rPr>
      <w:rFonts w:ascii="Arial" w:hAnsi="Arial" w:eastAsia="Arial" w:cs="Arial"/>
      <w:b/>
      <w:bCs/>
      <w:sz w:val="24"/>
      <w:szCs w:val="24"/>
    </w:rPr>
  </w:style>
  <w:style w:type="character" w:customStyle="1" w:styleId="95">
    <w:name w:val="Heading 6 Char"/>
    <w:qFormat/>
    <w:uiPriority w:val="9"/>
    <w:rPr>
      <w:rFonts w:ascii="Arial" w:hAnsi="Arial" w:eastAsia="Arial" w:cs="Arial"/>
      <w:b/>
      <w:bCs/>
      <w:sz w:val="22"/>
      <w:szCs w:val="22"/>
    </w:rPr>
  </w:style>
  <w:style w:type="character" w:customStyle="1" w:styleId="96">
    <w:name w:val="Heading 7 Char"/>
    <w:qFormat/>
    <w:uiPriority w:val="9"/>
    <w:rPr>
      <w:rFonts w:ascii="Arial" w:hAnsi="Arial" w:eastAsia="Arial" w:cs="Arial"/>
      <w:b/>
      <w:bCs/>
      <w:i/>
      <w:iCs/>
      <w:sz w:val="22"/>
      <w:szCs w:val="22"/>
    </w:rPr>
  </w:style>
  <w:style w:type="character" w:customStyle="1" w:styleId="97">
    <w:name w:val="Heading 8 Char"/>
    <w:qFormat/>
    <w:uiPriority w:val="9"/>
    <w:rPr>
      <w:rFonts w:ascii="Arial" w:hAnsi="Arial" w:eastAsia="Arial" w:cs="Arial"/>
      <w:i/>
      <w:iCs/>
      <w:sz w:val="22"/>
      <w:szCs w:val="22"/>
    </w:rPr>
  </w:style>
  <w:style w:type="character" w:customStyle="1" w:styleId="98">
    <w:name w:val="Heading 9 Char"/>
    <w:qFormat/>
    <w:uiPriority w:val="9"/>
    <w:rPr>
      <w:rFonts w:ascii="Arial" w:hAnsi="Arial" w:eastAsia="Arial" w:cs="Arial"/>
      <w:i/>
      <w:iCs/>
      <w:sz w:val="21"/>
      <w:szCs w:val="21"/>
    </w:rPr>
  </w:style>
  <w:style w:type="character" w:customStyle="1" w:styleId="99">
    <w:name w:val="Title Char"/>
    <w:qFormat/>
    <w:uiPriority w:val="10"/>
    <w:rPr>
      <w:sz w:val="48"/>
      <w:szCs w:val="48"/>
    </w:rPr>
  </w:style>
  <w:style w:type="character" w:customStyle="1" w:styleId="100">
    <w:name w:val="Subtitle Char"/>
    <w:qFormat/>
    <w:uiPriority w:val="11"/>
    <w:rPr>
      <w:sz w:val="24"/>
      <w:szCs w:val="24"/>
    </w:rPr>
  </w:style>
  <w:style w:type="character" w:customStyle="1" w:styleId="101">
    <w:name w:val="Quote Char"/>
    <w:qFormat/>
    <w:uiPriority w:val="29"/>
    <w:rPr>
      <w:i/>
    </w:rPr>
  </w:style>
  <w:style w:type="character" w:customStyle="1" w:styleId="102">
    <w:name w:val="Intense Quote Char"/>
    <w:qFormat/>
    <w:uiPriority w:val="30"/>
    <w:rPr>
      <w:i/>
    </w:rPr>
  </w:style>
  <w:style w:type="character" w:customStyle="1" w:styleId="103">
    <w:name w:val="Header Char"/>
    <w:qFormat/>
    <w:uiPriority w:val="99"/>
  </w:style>
  <w:style w:type="character" w:customStyle="1" w:styleId="104">
    <w:name w:val="Caption Char"/>
    <w:qFormat/>
    <w:uiPriority w:val="99"/>
  </w:style>
  <w:style w:type="table" w:customStyle="1" w:styleId="105">
    <w:name w:val="无格式表格 11"/>
    <w:basedOn w:val="40"/>
    <w:qFormat/>
    <w:uiPriority w:val="59"/>
    <w:tblPr>
      <w:tblCellMar>
        <w:left w:w="0" w:type="dxa"/>
        <w:right w:w="0" w:type="dxa"/>
      </w:tblCellMar>
    </w:tblPr>
  </w:style>
  <w:style w:type="table" w:customStyle="1" w:styleId="106">
    <w:name w:val="无格式表格 21"/>
    <w:basedOn w:val="40"/>
    <w:qFormat/>
    <w:uiPriority w:val="59"/>
    <w:tblPr>
      <w:tblCellMar>
        <w:left w:w="0" w:type="dxa"/>
        <w:right w:w="0" w:type="dxa"/>
      </w:tblCellMar>
    </w:tblPr>
  </w:style>
  <w:style w:type="table" w:customStyle="1" w:styleId="107">
    <w:name w:val="无格式表格 31"/>
    <w:basedOn w:val="40"/>
    <w:qFormat/>
    <w:uiPriority w:val="99"/>
    <w:tblPr>
      <w:tblCellMar>
        <w:left w:w="0" w:type="dxa"/>
        <w:right w:w="0" w:type="dxa"/>
      </w:tblCellMar>
    </w:tblPr>
  </w:style>
  <w:style w:type="table" w:customStyle="1" w:styleId="108">
    <w:name w:val="无格式表格 41"/>
    <w:basedOn w:val="40"/>
    <w:qFormat/>
    <w:uiPriority w:val="99"/>
    <w:tblPr>
      <w:tblCellMar>
        <w:left w:w="0" w:type="dxa"/>
        <w:right w:w="0" w:type="dxa"/>
      </w:tblCellMar>
    </w:tblPr>
  </w:style>
  <w:style w:type="table" w:customStyle="1" w:styleId="109">
    <w:name w:val="无格式表格 51"/>
    <w:basedOn w:val="40"/>
    <w:qFormat/>
    <w:uiPriority w:val="99"/>
    <w:tblPr>
      <w:tblCellMar>
        <w:left w:w="0" w:type="dxa"/>
        <w:right w:w="0" w:type="dxa"/>
      </w:tblCellMar>
    </w:tblPr>
  </w:style>
  <w:style w:type="table" w:customStyle="1" w:styleId="110">
    <w:name w:val="网格表 1 浅色1"/>
    <w:basedOn w:val="40"/>
    <w:qFormat/>
    <w:uiPriority w:val="99"/>
    <w:tblPr>
      <w:tblCellMar>
        <w:left w:w="0" w:type="dxa"/>
        <w:right w:w="0" w:type="dxa"/>
      </w:tblCellMar>
    </w:tblPr>
  </w:style>
  <w:style w:type="table" w:customStyle="1" w:styleId="111">
    <w:name w:val="网格表 21"/>
    <w:basedOn w:val="40"/>
    <w:qFormat/>
    <w:uiPriority w:val="99"/>
    <w:tblPr>
      <w:tblCellMar>
        <w:left w:w="0" w:type="dxa"/>
        <w:right w:w="0" w:type="dxa"/>
      </w:tblCellMar>
    </w:tblPr>
  </w:style>
  <w:style w:type="table" w:customStyle="1" w:styleId="112">
    <w:name w:val="网格表 31"/>
    <w:basedOn w:val="40"/>
    <w:qFormat/>
    <w:uiPriority w:val="99"/>
    <w:tblPr>
      <w:tblCellMar>
        <w:left w:w="0" w:type="dxa"/>
        <w:right w:w="0" w:type="dxa"/>
      </w:tblCellMar>
    </w:tblPr>
  </w:style>
  <w:style w:type="table" w:customStyle="1" w:styleId="113">
    <w:name w:val="网格表 41"/>
    <w:basedOn w:val="40"/>
    <w:qFormat/>
    <w:uiPriority w:val="59"/>
    <w:tblPr>
      <w:tblCellMar>
        <w:left w:w="0" w:type="dxa"/>
        <w:right w:w="0" w:type="dxa"/>
      </w:tblCellMar>
    </w:tblPr>
  </w:style>
  <w:style w:type="table" w:customStyle="1" w:styleId="114">
    <w:name w:val="网格表 5 深色1"/>
    <w:basedOn w:val="40"/>
    <w:qFormat/>
    <w:uiPriority w:val="99"/>
    <w:tblPr>
      <w:tblCellMar>
        <w:left w:w="0" w:type="dxa"/>
        <w:right w:w="0" w:type="dxa"/>
      </w:tblCellMar>
    </w:tblPr>
  </w:style>
  <w:style w:type="table" w:customStyle="1" w:styleId="115">
    <w:name w:val="网格表 6 彩色1"/>
    <w:basedOn w:val="40"/>
    <w:qFormat/>
    <w:uiPriority w:val="99"/>
    <w:tblPr>
      <w:tblCellMar>
        <w:left w:w="0" w:type="dxa"/>
        <w:right w:w="0" w:type="dxa"/>
      </w:tblCellMar>
    </w:tblPr>
  </w:style>
  <w:style w:type="table" w:customStyle="1" w:styleId="116">
    <w:name w:val="网格表 7 彩色1"/>
    <w:basedOn w:val="40"/>
    <w:qFormat/>
    <w:uiPriority w:val="99"/>
    <w:tblPr>
      <w:tblCellMar>
        <w:left w:w="0" w:type="dxa"/>
        <w:right w:w="0" w:type="dxa"/>
      </w:tblCellMar>
    </w:tblPr>
  </w:style>
  <w:style w:type="table" w:customStyle="1" w:styleId="117">
    <w:name w:val="清单表 1 浅色1"/>
    <w:basedOn w:val="40"/>
    <w:qFormat/>
    <w:uiPriority w:val="99"/>
    <w:tblPr>
      <w:tblCellMar>
        <w:left w:w="0" w:type="dxa"/>
        <w:right w:w="0" w:type="dxa"/>
      </w:tblCellMar>
    </w:tblPr>
  </w:style>
  <w:style w:type="table" w:customStyle="1" w:styleId="118">
    <w:name w:val="清单表 21"/>
    <w:basedOn w:val="40"/>
    <w:qFormat/>
    <w:uiPriority w:val="99"/>
    <w:tblPr>
      <w:tblCellMar>
        <w:left w:w="0" w:type="dxa"/>
        <w:right w:w="0" w:type="dxa"/>
      </w:tblCellMar>
    </w:tblPr>
  </w:style>
  <w:style w:type="table" w:customStyle="1" w:styleId="119">
    <w:name w:val="清单表 31"/>
    <w:basedOn w:val="40"/>
    <w:qFormat/>
    <w:uiPriority w:val="99"/>
    <w:tblPr>
      <w:tblCellMar>
        <w:left w:w="0" w:type="dxa"/>
        <w:right w:w="0" w:type="dxa"/>
      </w:tblCellMar>
    </w:tblPr>
  </w:style>
  <w:style w:type="table" w:customStyle="1" w:styleId="120">
    <w:name w:val="清单表 41"/>
    <w:basedOn w:val="40"/>
    <w:qFormat/>
    <w:uiPriority w:val="99"/>
    <w:tblPr>
      <w:tblCellMar>
        <w:left w:w="0" w:type="dxa"/>
        <w:right w:w="0" w:type="dxa"/>
      </w:tblCellMar>
    </w:tblPr>
  </w:style>
  <w:style w:type="table" w:customStyle="1" w:styleId="121">
    <w:name w:val="清单表 5 深色1"/>
    <w:basedOn w:val="40"/>
    <w:qFormat/>
    <w:uiPriority w:val="99"/>
    <w:tblPr>
      <w:tblCellMar>
        <w:left w:w="0" w:type="dxa"/>
        <w:right w:w="0" w:type="dxa"/>
      </w:tblCellMar>
    </w:tblPr>
  </w:style>
  <w:style w:type="table" w:customStyle="1" w:styleId="122">
    <w:name w:val="清单表 6 彩色1"/>
    <w:basedOn w:val="40"/>
    <w:qFormat/>
    <w:uiPriority w:val="99"/>
    <w:tblPr>
      <w:tblCellMar>
        <w:left w:w="0" w:type="dxa"/>
        <w:right w:w="0" w:type="dxa"/>
      </w:tblCellMar>
    </w:tblPr>
  </w:style>
  <w:style w:type="table" w:customStyle="1" w:styleId="123">
    <w:name w:val="清单表 7 彩色1"/>
    <w:basedOn w:val="40"/>
    <w:qFormat/>
    <w:uiPriority w:val="99"/>
    <w:tblPr>
      <w:tblCellMar>
        <w:left w:w="0" w:type="dxa"/>
        <w:right w:w="0" w:type="dxa"/>
      </w:tblCellMar>
    </w:tblPr>
  </w:style>
  <w:style w:type="character" w:customStyle="1" w:styleId="124">
    <w:name w:val="Footnote Text Char"/>
    <w:qFormat/>
    <w:uiPriority w:val="99"/>
    <w:rPr>
      <w:sz w:val="18"/>
    </w:rPr>
  </w:style>
  <w:style w:type="character" w:customStyle="1" w:styleId="125">
    <w:name w:val="Endnote Text Char"/>
    <w:qFormat/>
    <w:uiPriority w:val="99"/>
    <w:rPr>
      <w:sz w:val="20"/>
    </w:rPr>
  </w:style>
  <w:style w:type="paragraph" w:customStyle="1" w:styleId="126">
    <w:name w:val="TOC 标题111"/>
    <w:unhideWhenUsed/>
    <w:qFormat/>
    <w:uiPriority w:val="39"/>
    <w:rPr>
      <w:rFonts w:ascii="Times New Roman" w:hAnsi="Times New Roman" w:eastAsia="宋体" w:cs="Times New Roman"/>
      <w:lang w:val="en-US" w:eastAsia="zh-CN" w:bidi="ar-SA"/>
    </w:rPr>
  </w:style>
  <w:style w:type="character" w:customStyle="1" w:styleId="127">
    <w:name w:val="引用 字符"/>
    <w:link w:val="50"/>
    <w:qFormat/>
    <w:uiPriority w:val="29"/>
    <w:rPr>
      <w:i/>
    </w:rPr>
  </w:style>
  <w:style w:type="character" w:customStyle="1" w:styleId="128">
    <w:name w:val="明显引用 字符"/>
    <w:link w:val="51"/>
    <w:qFormat/>
    <w:uiPriority w:val="30"/>
    <w:rPr>
      <w:i/>
    </w:rPr>
  </w:style>
  <w:style w:type="character" w:customStyle="1" w:styleId="129">
    <w:name w:val="Footer Char"/>
    <w:qFormat/>
    <w:uiPriority w:val="99"/>
  </w:style>
  <w:style w:type="table" w:customStyle="1" w:styleId="130">
    <w:name w:val="Table Grid Light"/>
    <w:qFormat/>
    <w:uiPriority w:val="59"/>
    <w:tblPr>
      <w:tblCellMar>
        <w:top w:w="0" w:type="dxa"/>
        <w:left w:w="0" w:type="dxa"/>
        <w:bottom w:w="0" w:type="dxa"/>
        <w:right w:w="0" w:type="dxa"/>
      </w:tblCellMar>
    </w:tblPr>
  </w:style>
  <w:style w:type="table" w:customStyle="1" w:styleId="131">
    <w:name w:val="Grid Table 1 Light - Accent 1"/>
    <w:qFormat/>
    <w:uiPriority w:val="99"/>
    <w:tblPr>
      <w:tblCellMar>
        <w:top w:w="0" w:type="dxa"/>
        <w:left w:w="0" w:type="dxa"/>
        <w:bottom w:w="0" w:type="dxa"/>
        <w:right w:w="0" w:type="dxa"/>
      </w:tblCellMar>
    </w:tblPr>
  </w:style>
  <w:style w:type="table" w:customStyle="1" w:styleId="132">
    <w:name w:val="Grid Table 1 Light - Accent 2"/>
    <w:qFormat/>
    <w:uiPriority w:val="99"/>
    <w:tblPr>
      <w:tblCellMar>
        <w:top w:w="0" w:type="dxa"/>
        <w:left w:w="0" w:type="dxa"/>
        <w:bottom w:w="0" w:type="dxa"/>
        <w:right w:w="0" w:type="dxa"/>
      </w:tblCellMar>
    </w:tblPr>
  </w:style>
  <w:style w:type="table" w:customStyle="1" w:styleId="133">
    <w:name w:val="Grid Table 1 Light - Accent 3"/>
    <w:qFormat/>
    <w:uiPriority w:val="99"/>
    <w:tblPr>
      <w:tblCellMar>
        <w:top w:w="0" w:type="dxa"/>
        <w:left w:w="0" w:type="dxa"/>
        <w:bottom w:w="0" w:type="dxa"/>
        <w:right w:w="0" w:type="dxa"/>
      </w:tblCellMar>
    </w:tblPr>
  </w:style>
  <w:style w:type="table" w:customStyle="1" w:styleId="134">
    <w:name w:val="Grid Table 1 Light - Accent 4"/>
    <w:qFormat/>
    <w:uiPriority w:val="99"/>
    <w:tblPr>
      <w:tblCellMar>
        <w:top w:w="0" w:type="dxa"/>
        <w:left w:w="0" w:type="dxa"/>
        <w:bottom w:w="0" w:type="dxa"/>
        <w:right w:w="0" w:type="dxa"/>
      </w:tblCellMar>
    </w:tblPr>
  </w:style>
  <w:style w:type="table" w:customStyle="1" w:styleId="135">
    <w:name w:val="Grid Table 1 Light - Accent 5"/>
    <w:qFormat/>
    <w:uiPriority w:val="99"/>
    <w:tblPr>
      <w:tblCellMar>
        <w:top w:w="0" w:type="dxa"/>
        <w:left w:w="0" w:type="dxa"/>
        <w:bottom w:w="0" w:type="dxa"/>
        <w:right w:w="0" w:type="dxa"/>
      </w:tblCellMar>
    </w:tblPr>
  </w:style>
  <w:style w:type="table" w:customStyle="1" w:styleId="136">
    <w:name w:val="Grid Table 1 Light - Accent 6"/>
    <w:qFormat/>
    <w:uiPriority w:val="99"/>
    <w:tblPr>
      <w:tblCellMar>
        <w:top w:w="0" w:type="dxa"/>
        <w:left w:w="0" w:type="dxa"/>
        <w:bottom w:w="0" w:type="dxa"/>
        <w:right w:w="0" w:type="dxa"/>
      </w:tblCellMar>
    </w:tblPr>
  </w:style>
  <w:style w:type="table" w:customStyle="1" w:styleId="137">
    <w:name w:val="Grid Table 2 - Accent 1"/>
    <w:qFormat/>
    <w:uiPriority w:val="99"/>
    <w:tblPr>
      <w:tblCellMar>
        <w:top w:w="0" w:type="dxa"/>
        <w:left w:w="0" w:type="dxa"/>
        <w:bottom w:w="0" w:type="dxa"/>
        <w:right w:w="0" w:type="dxa"/>
      </w:tblCellMar>
    </w:tblPr>
  </w:style>
  <w:style w:type="table" w:customStyle="1" w:styleId="138">
    <w:name w:val="Grid Table 2 - Accent 2"/>
    <w:qFormat/>
    <w:uiPriority w:val="99"/>
    <w:tblPr>
      <w:tblCellMar>
        <w:top w:w="0" w:type="dxa"/>
        <w:left w:w="0" w:type="dxa"/>
        <w:bottom w:w="0" w:type="dxa"/>
        <w:right w:w="0" w:type="dxa"/>
      </w:tblCellMar>
    </w:tblPr>
  </w:style>
  <w:style w:type="table" w:customStyle="1" w:styleId="139">
    <w:name w:val="Grid Table 2 - Accent 3"/>
    <w:qFormat/>
    <w:uiPriority w:val="99"/>
    <w:tblPr>
      <w:tblCellMar>
        <w:top w:w="0" w:type="dxa"/>
        <w:left w:w="0" w:type="dxa"/>
        <w:bottom w:w="0" w:type="dxa"/>
        <w:right w:w="0" w:type="dxa"/>
      </w:tblCellMar>
    </w:tblPr>
  </w:style>
  <w:style w:type="table" w:customStyle="1" w:styleId="140">
    <w:name w:val="Grid Table 2 - Accent 4"/>
    <w:qFormat/>
    <w:uiPriority w:val="99"/>
    <w:tblPr>
      <w:tblCellMar>
        <w:top w:w="0" w:type="dxa"/>
        <w:left w:w="0" w:type="dxa"/>
        <w:bottom w:w="0" w:type="dxa"/>
        <w:right w:w="0" w:type="dxa"/>
      </w:tblCellMar>
    </w:tblPr>
  </w:style>
  <w:style w:type="table" w:customStyle="1" w:styleId="141">
    <w:name w:val="Grid Table 2 - Accent 5"/>
    <w:qFormat/>
    <w:uiPriority w:val="99"/>
    <w:tblPr>
      <w:tblCellMar>
        <w:top w:w="0" w:type="dxa"/>
        <w:left w:w="0" w:type="dxa"/>
        <w:bottom w:w="0" w:type="dxa"/>
        <w:right w:w="0" w:type="dxa"/>
      </w:tblCellMar>
    </w:tblPr>
  </w:style>
  <w:style w:type="table" w:customStyle="1" w:styleId="142">
    <w:name w:val="Grid Table 2 - Accent 6"/>
    <w:qFormat/>
    <w:uiPriority w:val="99"/>
    <w:tblPr>
      <w:tblCellMar>
        <w:top w:w="0" w:type="dxa"/>
        <w:left w:w="0" w:type="dxa"/>
        <w:bottom w:w="0" w:type="dxa"/>
        <w:right w:w="0" w:type="dxa"/>
      </w:tblCellMar>
    </w:tblPr>
  </w:style>
  <w:style w:type="table" w:customStyle="1" w:styleId="143">
    <w:name w:val="Grid Table 3 - Accent 1"/>
    <w:qFormat/>
    <w:uiPriority w:val="99"/>
    <w:tblPr>
      <w:tblCellMar>
        <w:top w:w="0" w:type="dxa"/>
        <w:left w:w="0" w:type="dxa"/>
        <w:bottom w:w="0" w:type="dxa"/>
        <w:right w:w="0" w:type="dxa"/>
      </w:tblCellMar>
    </w:tblPr>
  </w:style>
  <w:style w:type="table" w:customStyle="1" w:styleId="144">
    <w:name w:val="Grid Table 3 - Accent 2"/>
    <w:qFormat/>
    <w:uiPriority w:val="99"/>
    <w:tblPr>
      <w:tblCellMar>
        <w:top w:w="0" w:type="dxa"/>
        <w:left w:w="0" w:type="dxa"/>
        <w:bottom w:w="0" w:type="dxa"/>
        <w:right w:w="0" w:type="dxa"/>
      </w:tblCellMar>
    </w:tblPr>
  </w:style>
  <w:style w:type="table" w:customStyle="1" w:styleId="145">
    <w:name w:val="Grid Table 3 - Accent 3"/>
    <w:qFormat/>
    <w:uiPriority w:val="99"/>
    <w:tblPr>
      <w:tblCellMar>
        <w:top w:w="0" w:type="dxa"/>
        <w:left w:w="0" w:type="dxa"/>
        <w:bottom w:w="0" w:type="dxa"/>
        <w:right w:w="0" w:type="dxa"/>
      </w:tblCellMar>
    </w:tblPr>
  </w:style>
  <w:style w:type="table" w:customStyle="1" w:styleId="146">
    <w:name w:val="Grid Table 3 - Accent 4"/>
    <w:qFormat/>
    <w:uiPriority w:val="99"/>
    <w:tblPr>
      <w:tblCellMar>
        <w:top w:w="0" w:type="dxa"/>
        <w:left w:w="0" w:type="dxa"/>
        <w:bottom w:w="0" w:type="dxa"/>
        <w:right w:w="0" w:type="dxa"/>
      </w:tblCellMar>
    </w:tblPr>
  </w:style>
  <w:style w:type="table" w:customStyle="1" w:styleId="147">
    <w:name w:val="Grid Table 3 - Accent 5"/>
    <w:qFormat/>
    <w:uiPriority w:val="99"/>
    <w:tblPr>
      <w:tblCellMar>
        <w:top w:w="0" w:type="dxa"/>
        <w:left w:w="0" w:type="dxa"/>
        <w:bottom w:w="0" w:type="dxa"/>
        <w:right w:w="0" w:type="dxa"/>
      </w:tblCellMar>
    </w:tblPr>
  </w:style>
  <w:style w:type="table" w:customStyle="1" w:styleId="148">
    <w:name w:val="Grid Table 3 - Accent 6"/>
    <w:qFormat/>
    <w:uiPriority w:val="99"/>
    <w:tblPr>
      <w:tblCellMar>
        <w:top w:w="0" w:type="dxa"/>
        <w:left w:w="0" w:type="dxa"/>
        <w:bottom w:w="0" w:type="dxa"/>
        <w:right w:w="0" w:type="dxa"/>
      </w:tblCellMar>
    </w:tblPr>
  </w:style>
  <w:style w:type="table" w:customStyle="1" w:styleId="149">
    <w:name w:val="Grid Table 4 - Accent 1"/>
    <w:qFormat/>
    <w:uiPriority w:val="59"/>
    <w:tblPr>
      <w:tblCellMar>
        <w:top w:w="0" w:type="dxa"/>
        <w:left w:w="0" w:type="dxa"/>
        <w:bottom w:w="0" w:type="dxa"/>
        <w:right w:w="0" w:type="dxa"/>
      </w:tblCellMar>
    </w:tblPr>
  </w:style>
  <w:style w:type="table" w:customStyle="1" w:styleId="150">
    <w:name w:val="Grid Table 4 - Accent 2"/>
    <w:qFormat/>
    <w:uiPriority w:val="59"/>
    <w:tblPr>
      <w:tblCellMar>
        <w:top w:w="0" w:type="dxa"/>
        <w:left w:w="0" w:type="dxa"/>
        <w:bottom w:w="0" w:type="dxa"/>
        <w:right w:w="0" w:type="dxa"/>
      </w:tblCellMar>
    </w:tblPr>
  </w:style>
  <w:style w:type="table" w:customStyle="1" w:styleId="151">
    <w:name w:val="Grid Table 4 - Accent 3"/>
    <w:qFormat/>
    <w:uiPriority w:val="59"/>
    <w:tblPr>
      <w:tblCellMar>
        <w:top w:w="0" w:type="dxa"/>
        <w:left w:w="0" w:type="dxa"/>
        <w:bottom w:w="0" w:type="dxa"/>
        <w:right w:w="0" w:type="dxa"/>
      </w:tblCellMar>
    </w:tblPr>
  </w:style>
  <w:style w:type="table" w:customStyle="1" w:styleId="152">
    <w:name w:val="Grid Table 4 - Accent 4"/>
    <w:qFormat/>
    <w:uiPriority w:val="59"/>
    <w:tblPr>
      <w:tblCellMar>
        <w:top w:w="0" w:type="dxa"/>
        <w:left w:w="0" w:type="dxa"/>
        <w:bottom w:w="0" w:type="dxa"/>
        <w:right w:w="0" w:type="dxa"/>
      </w:tblCellMar>
    </w:tblPr>
  </w:style>
  <w:style w:type="table" w:customStyle="1" w:styleId="153">
    <w:name w:val="Grid Table 4 - Accent 5"/>
    <w:qFormat/>
    <w:uiPriority w:val="59"/>
    <w:tblPr>
      <w:tblCellMar>
        <w:top w:w="0" w:type="dxa"/>
        <w:left w:w="0" w:type="dxa"/>
        <w:bottom w:w="0" w:type="dxa"/>
        <w:right w:w="0" w:type="dxa"/>
      </w:tblCellMar>
    </w:tblPr>
  </w:style>
  <w:style w:type="table" w:customStyle="1" w:styleId="154">
    <w:name w:val="Grid Table 4 - Accent 6"/>
    <w:qFormat/>
    <w:uiPriority w:val="59"/>
    <w:tblPr>
      <w:tblCellMar>
        <w:top w:w="0" w:type="dxa"/>
        <w:left w:w="0" w:type="dxa"/>
        <w:bottom w:w="0" w:type="dxa"/>
        <w:right w:w="0" w:type="dxa"/>
      </w:tblCellMar>
    </w:tblPr>
  </w:style>
  <w:style w:type="table" w:customStyle="1" w:styleId="155">
    <w:name w:val="Grid Table 5 Dark- Accent 1"/>
    <w:qFormat/>
    <w:uiPriority w:val="99"/>
    <w:tblPr>
      <w:tblCellMar>
        <w:top w:w="0" w:type="dxa"/>
        <w:left w:w="0" w:type="dxa"/>
        <w:bottom w:w="0" w:type="dxa"/>
        <w:right w:w="0" w:type="dxa"/>
      </w:tblCellMar>
    </w:tblPr>
  </w:style>
  <w:style w:type="table" w:customStyle="1" w:styleId="156">
    <w:name w:val="Grid Table 5 Dark - Accent 2"/>
    <w:qFormat/>
    <w:uiPriority w:val="99"/>
    <w:tblPr>
      <w:tblCellMar>
        <w:top w:w="0" w:type="dxa"/>
        <w:left w:w="0" w:type="dxa"/>
        <w:bottom w:w="0" w:type="dxa"/>
        <w:right w:w="0" w:type="dxa"/>
      </w:tblCellMar>
    </w:tblPr>
  </w:style>
  <w:style w:type="table" w:customStyle="1" w:styleId="157">
    <w:name w:val="Grid Table 5 Dark - Accent 3"/>
    <w:qFormat/>
    <w:uiPriority w:val="99"/>
    <w:tblPr>
      <w:tblCellMar>
        <w:top w:w="0" w:type="dxa"/>
        <w:left w:w="0" w:type="dxa"/>
        <w:bottom w:w="0" w:type="dxa"/>
        <w:right w:w="0" w:type="dxa"/>
      </w:tblCellMar>
    </w:tblPr>
  </w:style>
  <w:style w:type="table" w:customStyle="1" w:styleId="158">
    <w:name w:val="Grid Table 5 Dark- Accent 4"/>
    <w:qFormat/>
    <w:uiPriority w:val="99"/>
    <w:tblPr>
      <w:tblCellMar>
        <w:top w:w="0" w:type="dxa"/>
        <w:left w:w="0" w:type="dxa"/>
        <w:bottom w:w="0" w:type="dxa"/>
        <w:right w:w="0" w:type="dxa"/>
      </w:tblCellMar>
    </w:tblPr>
  </w:style>
  <w:style w:type="table" w:customStyle="1" w:styleId="159">
    <w:name w:val="Grid Table 5 Dark - Accent 5"/>
    <w:qFormat/>
    <w:uiPriority w:val="99"/>
    <w:tblPr>
      <w:tblCellMar>
        <w:top w:w="0" w:type="dxa"/>
        <w:left w:w="0" w:type="dxa"/>
        <w:bottom w:w="0" w:type="dxa"/>
        <w:right w:w="0" w:type="dxa"/>
      </w:tblCellMar>
    </w:tblPr>
  </w:style>
  <w:style w:type="table" w:customStyle="1" w:styleId="160">
    <w:name w:val="Grid Table 5 Dark - Accent 6"/>
    <w:qFormat/>
    <w:uiPriority w:val="99"/>
    <w:tblPr>
      <w:tblCellMar>
        <w:top w:w="0" w:type="dxa"/>
        <w:left w:w="0" w:type="dxa"/>
        <w:bottom w:w="0" w:type="dxa"/>
        <w:right w:w="0" w:type="dxa"/>
      </w:tblCellMar>
    </w:tblPr>
  </w:style>
  <w:style w:type="table" w:customStyle="1" w:styleId="161">
    <w:name w:val="Grid Table 6 Colorful - Accent 1"/>
    <w:qFormat/>
    <w:uiPriority w:val="99"/>
    <w:tblPr>
      <w:tblCellMar>
        <w:top w:w="0" w:type="dxa"/>
        <w:left w:w="0" w:type="dxa"/>
        <w:bottom w:w="0" w:type="dxa"/>
        <w:right w:w="0" w:type="dxa"/>
      </w:tblCellMar>
    </w:tblPr>
  </w:style>
  <w:style w:type="table" w:customStyle="1" w:styleId="162">
    <w:name w:val="Grid Table 6 Colorful - Accent 2"/>
    <w:qFormat/>
    <w:uiPriority w:val="99"/>
    <w:tblPr>
      <w:tblCellMar>
        <w:top w:w="0" w:type="dxa"/>
        <w:left w:w="0" w:type="dxa"/>
        <w:bottom w:w="0" w:type="dxa"/>
        <w:right w:w="0" w:type="dxa"/>
      </w:tblCellMar>
    </w:tblPr>
  </w:style>
  <w:style w:type="table" w:customStyle="1" w:styleId="163">
    <w:name w:val="Grid Table 6 Colorful - Accent 3"/>
    <w:qFormat/>
    <w:uiPriority w:val="99"/>
    <w:tblPr>
      <w:tblCellMar>
        <w:top w:w="0" w:type="dxa"/>
        <w:left w:w="0" w:type="dxa"/>
        <w:bottom w:w="0" w:type="dxa"/>
        <w:right w:w="0" w:type="dxa"/>
      </w:tblCellMar>
    </w:tblPr>
  </w:style>
  <w:style w:type="table" w:customStyle="1" w:styleId="164">
    <w:name w:val="Grid Table 6 Colorful - Accent 4"/>
    <w:qFormat/>
    <w:uiPriority w:val="99"/>
    <w:tblPr>
      <w:tblCellMar>
        <w:top w:w="0" w:type="dxa"/>
        <w:left w:w="0" w:type="dxa"/>
        <w:bottom w:w="0" w:type="dxa"/>
        <w:right w:w="0" w:type="dxa"/>
      </w:tblCellMar>
    </w:tblPr>
  </w:style>
  <w:style w:type="table" w:customStyle="1" w:styleId="165">
    <w:name w:val="Grid Table 6 Colorful - Accent 5"/>
    <w:qFormat/>
    <w:uiPriority w:val="99"/>
    <w:tblPr>
      <w:tblCellMar>
        <w:top w:w="0" w:type="dxa"/>
        <w:left w:w="0" w:type="dxa"/>
        <w:bottom w:w="0" w:type="dxa"/>
        <w:right w:w="0" w:type="dxa"/>
      </w:tblCellMar>
    </w:tblPr>
  </w:style>
  <w:style w:type="table" w:customStyle="1" w:styleId="166">
    <w:name w:val="Grid Table 6 Colorful - Accent 6"/>
    <w:qFormat/>
    <w:uiPriority w:val="99"/>
    <w:tblPr>
      <w:tblCellMar>
        <w:top w:w="0" w:type="dxa"/>
        <w:left w:w="0" w:type="dxa"/>
        <w:bottom w:w="0" w:type="dxa"/>
        <w:right w:w="0" w:type="dxa"/>
      </w:tblCellMar>
    </w:tblPr>
  </w:style>
  <w:style w:type="table" w:customStyle="1" w:styleId="167">
    <w:name w:val="Grid Table 7 Colorful - Accent 1"/>
    <w:qFormat/>
    <w:uiPriority w:val="99"/>
    <w:tblPr>
      <w:tblCellMar>
        <w:top w:w="0" w:type="dxa"/>
        <w:left w:w="0" w:type="dxa"/>
        <w:bottom w:w="0" w:type="dxa"/>
        <w:right w:w="0" w:type="dxa"/>
      </w:tblCellMar>
    </w:tblPr>
  </w:style>
  <w:style w:type="table" w:customStyle="1" w:styleId="168">
    <w:name w:val="Grid Table 7 Colorful - Accent 2"/>
    <w:qFormat/>
    <w:uiPriority w:val="99"/>
    <w:tblPr>
      <w:tblCellMar>
        <w:top w:w="0" w:type="dxa"/>
        <w:left w:w="0" w:type="dxa"/>
        <w:bottom w:w="0" w:type="dxa"/>
        <w:right w:w="0" w:type="dxa"/>
      </w:tblCellMar>
    </w:tblPr>
  </w:style>
  <w:style w:type="table" w:customStyle="1" w:styleId="169">
    <w:name w:val="Grid Table 7 Colorful - Accent 3"/>
    <w:qFormat/>
    <w:uiPriority w:val="99"/>
    <w:tblPr>
      <w:tblCellMar>
        <w:top w:w="0" w:type="dxa"/>
        <w:left w:w="0" w:type="dxa"/>
        <w:bottom w:w="0" w:type="dxa"/>
        <w:right w:w="0" w:type="dxa"/>
      </w:tblCellMar>
    </w:tblPr>
  </w:style>
  <w:style w:type="table" w:customStyle="1" w:styleId="170">
    <w:name w:val="Grid Table 7 Colorful - Accent 4"/>
    <w:qFormat/>
    <w:uiPriority w:val="99"/>
    <w:tblPr>
      <w:tblCellMar>
        <w:top w:w="0" w:type="dxa"/>
        <w:left w:w="0" w:type="dxa"/>
        <w:bottom w:w="0" w:type="dxa"/>
        <w:right w:w="0" w:type="dxa"/>
      </w:tblCellMar>
    </w:tblPr>
  </w:style>
  <w:style w:type="table" w:customStyle="1" w:styleId="171">
    <w:name w:val="Grid Table 7 Colorful - Accent 5"/>
    <w:qFormat/>
    <w:uiPriority w:val="99"/>
    <w:tblPr>
      <w:tblCellMar>
        <w:top w:w="0" w:type="dxa"/>
        <w:left w:w="0" w:type="dxa"/>
        <w:bottom w:w="0" w:type="dxa"/>
        <w:right w:w="0" w:type="dxa"/>
      </w:tblCellMar>
    </w:tblPr>
  </w:style>
  <w:style w:type="table" w:customStyle="1" w:styleId="172">
    <w:name w:val="Grid Table 7 Colorful - Accent 6"/>
    <w:qFormat/>
    <w:uiPriority w:val="99"/>
    <w:tblPr>
      <w:tblCellMar>
        <w:top w:w="0" w:type="dxa"/>
        <w:left w:w="0" w:type="dxa"/>
        <w:bottom w:w="0" w:type="dxa"/>
        <w:right w:w="0" w:type="dxa"/>
      </w:tblCellMar>
    </w:tblPr>
  </w:style>
  <w:style w:type="table" w:customStyle="1" w:styleId="173">
    <w:name w:val="List Table 1 Light - Accent 1"/>
    <w:qFormat/>
    <w:uiPriority w:val="99"/>
    <w:tblPr>
      <w:tblCellMar>
        <w:top w:w="0" w:type="dxa"/>
        <w:left w:w="0" w:type="dxa"/>
        <w:bottom w:w="0" w:type="dxa"/>
        <w:right w:w="0" w:type="dxa"/>
      </w:tblCellMar>
    </w:tblPr>
  </w:style>
  <w:style w:type="table" w:customStyle="1" w:styleId="174">
    <w:name w:val="List Table 1 Light - Accent 2"/>
    <w:qFormat/>
    <w:uiPriority w:val="99"/>
    <w:tblPr>
      <w:tblCellMar>
        <w:top w:w="0" w:type="dxa"/>
        <w:left w:w="0" w:type="dxa"/>
        <w:bottom w:w="0" w:type="dxa"/>
        <w:right w:w="0" w:type="dxa"/>
      </w:tblCellMar>
    </w:tblPr>
  </w:style>
  <w:style w:type="table" w:customStyle="1" w:styleId="175">
    <w:name w:val="List Table 1 Light - Accent 3"/>
    <w:qFormat/>
    <w:uiPriority w:val="99"/>
    <w:tblPr>
      <w:tblCellMar>
        <w:top w:w="0" w:type="dxa"/>
        <w:left w:w="0" w:type="dxa"/>
        <w:bottom w:w="0" w:type="dxa"/>
        <w:right w:w="0" w:type="dxa"/>
      </w:tblCellMar>
    </w:tblPr>
  </w:style>
  <w:style w:type="table" w:customStyle="1" w:styleId="176">
    <w:name w:val="List Table 1 Light - Accent 4"/>
    <w:qFormat/>
    <w:uiPriority w:val="99"/>
    <w:tblPr>
      <w:tblCellMar>
        <w:top w:w="0" w:type="dxa"/>
        <w:left w:w="0" w:type="dxa"/>
        <w:bottom w:w="0" w:type="dxa"/>
        <w:right w:w="0" w:type="dxa"/>
      </w:tblCellMar>
    </w:tblPr>
  </w:style>
  <w:style w:type="table" w:customStyle="1" w:styleId="177">
    <w:name w:val="List Table 1 Light - Accent 5"/>
    <w:qFormat/>
    <w:uiPriority w:val="99"/>
    <w:tblPr>
      <w:tblCellMar>
        <w:top w:w="0" w:type="dxa"/>
        <w:left w:w="0" w:type="dxa"/>
        <w:bottom w:w="0" w:type="dxa"/>
        <w:right w:w="0" w:type="dxa"/>
      </w:tblCellMar>
    </w:tblPr>
  </w:style>
  <w:style w:type="table" w:customStyle="1" w:styleId="178">
    <w:name w:val="List Table 1 Light - Accent 6"/>
    <w:qFormat/>
    <w:uiPriority w:val="99"/>
    <w:tblPr>
      <w:tblCellMar>
        <w:top w:w="0" w:type="dxa"/>
        <w:left w:w="0" w:type="dxa"/>
        <w:bottom w:w="0" w:type="dxa"/>
        <w:right w:w="0" w:type="dxa"/>
      </w:tblCellMar>
    </w:tblPr>
  </w:style>
  <w:style w:type="table" w:customStyle="1" w:styleId="179">
    <w:name w:val="List Table 2 - Accent 1"/>
    <w:qFormat/>
    <w:uiPriority w:val="99"/>
    <w:tblPr>
      <w:tblCellMar>
        <w:top w:w="0" w:type="dxa"/>
        <w:left w:w="0" w:type="dxa"/>
        <w:bottom w:w="0" w:type="dxa"/>
        <w:right w:w="0" w:type="dxa"/>
      </w:tblCellMar>
    </w:tblPr>
  </w:style>
  <w:style w:type="table" w:customStyle="1" w:styleId="180">
    <w:name w:val="List Table 2 - Accent 2"/>
    <w:qFormat/>
    <w:uiPriority w:val="99"/>
    <w:tblPr>
      <w:tblCellMar>
        <w:top w:w="0" w:type="dxa"/>
        <w:left w:w="0" w:type="dxa"/>
        <w:bottom w:w="0" w:type="dxa"/>
        <w:right w:w="0" w:type="dxa"/>
      </w:tblCellMar>
    </w:tblPr>
  </w:style>
  <w:style w:type="table" w:customStyle="1" w:styleId="181">
    <w:name w:val="List Table 2 - Accent 3"/>
    <w:qFormat/>
    <w:uiPriority w:val="99"/>
    <w:tblPr>
      <w:tblCellMar>
        <w:top w:w="0" w:type="dxa"/>
        <w:left w:w="0" w:type="dxa"/>
        <w:bottom w:w="0" w:type="dxa"/>
        <w:right w:w="0" w:type="dxa"/>
      </w:tblCellMar>
    </w:tblPr>
  </w:style>
  <w:style w:type="table" w:customStyle="1" w:styleId="182">
    <w:name w:val="List Table 2 - Accent 4"/>
    <w:qFormat/>
    <w:uiPriority w:val="99"/>
    <w:tblPr>
      <w:tblCellMar>
        <w:top w:w="0" w:type="dxa"/>
        <w:left w:w="0" w:type="dxa"/>
        <w:bottom w:w="0" w:type="dxa"/>
        <w:right w:w="0" w:type="dxa"/>
      </w:tblCellMar>
    </w:tblPr>
  </w:style>
  <w:style w:type="table" w:customStyle="1" w:styleId="183">
    <w:name w:val="List Table 2 - Accent 5"/>
    <w:qFormat/>
    <w:uiPriority w:val="99"/>
    <w:tblPr>
      <w:tblCellMar>
        <w:top w:w="0" w:type="dxa"/>
        <w:left w:w="0" w:type="dxa"/>
        <w:bottom w:w="0" w:type="dxa"/>
        <w:right w:w="0" w:type="dxa"/>
      </w:tblCellMar>
    </w:tblPr>
  </w:style>
  <w:style w:type="table" w:customStyle="1" w:styleId="184">
    <w:name w:val="List Table 2 - Accent 6"/>
    <w:qFormat/>
    <w:uiPriority w:val="99"/>
    <w:tblPr>
      <w:tblCellMar>
        <w:top w:w="0" w:type="dxa"/>
        <w:left w:w="0" w:type="dxa"/>
        <w:bottom w:w="0" w:type="dxa"/>
        <w:right w:w="0" w:type="dxa"/>
      </w:tblCellMar>
    </w:tblPr>
  </w:style>
  <w:style w:type="table" w:customStyle="1" w:styleId="185">
    <w:name w:val="List Table 3 - Accent 1"/>
    <w:qFormat/>
    <w:uiPriority w:val="99"/>
    <w:tblPr>
      <w:tblCellMar>
        <w:top w:w="0" w:type="dxa"/>
        <w:left w:w="0" w:type="dxa"/>
        <w:bottom w:w="0" w:type="dxa"/>
        <w:right w:w="0" w:type="dxa"/>
      </w:tblCellMar>
    </w:tblPr>
  </w:style>
  <w:style w:type="table" w:customStyle="1" w:styleId="186">
    <w:name w:val="List Table 3 - Accent 2"/>
    <w:qFormat/>
    <w:uiPriority w:val="99"/>
    <w:tblPr>
      <w:tblCellMar>
        <w:top w:w="0" w:type="dxa"/>
        <w:left w:w="0" w:type="dxa"/>
        <w:bottom w:w="0" w:type="dxa"/>
        <w:right w:w="0" w:type="dxa"/>
      </w:tblCellMar>
    </w:tblPr>
  </w:style>
  <w:style w:type="table" w:customStyle="1" w:styleId="187">
    <w:name w:val="List Table 3 - Accent 3"/>
    <w:qFormat/>
    <w:uiPriority w:val="99"/>
    <w:tblPr>
      <w:tblCellMar>
        <w:top w:w="0" w:type="dxa"/>
        <w:left w:w="0" w:type="dxa"/>
        <w:bottom w:w="0" w:type="dxa"/>
        <w:right w:w="0" w:type="dxa"/>
      </w:tblCellMar>
    </w:tblPr>
  </w:style>
  <w:style w:type="table" w:customStyle="1" w:styleId="188">
    <w:name w:val="List Table 3 - Accent 4"/>
    <w:qFormat/>
    <w:uiPriority w:val="99"/>
    <w:tblPr>
      <w:tblCellMar>
        <w:top w:w="0" w:type="dxa"/>
        <w:left w:w="0" w:type="dxa"/>
        <w:bottom w:w="0" w:type="dxa"/>
        <w:right w:w="0" w:type="dxa"/>
      </w:tblCellMar>
    </w:tblPr>
  </w:style>
  <w:style w:type="table" w:customStyle="1" w:styleId="189">
    <w:name w:val="List Table 3 - Accent 5"/>
    <w:qFormat/>
    <w:uiPriority w:val="99"/>
    <w:tblPr>
      <w:tblCellMar>
        <w:top w:w="0" w:type="dxa"/>
        <w:left w:w="0" w:type="dxa"/>
        <w:bottom w:w="0" w:type="dxa"/>
        <w:right w:w="0" w:type="dxa"/>
      </w:tblCellMar>
    </w:tblPr>
  </w:style>
  <w:style w:type="table" w:customStyle="1" w:styleId="190">
    <w:name w:val="List Table 3 - Accent 6"/>
    <w:qFormat/>
    <w:uiPriority w:val="99"/>
    <w:tblPr>
      <w:tblCellMar>
        <w:top w:w="0" w:type="dxa"/>
        <w:left w:w="0" w:type="dxa"/>
        <w:bottom w:w="0" w:type="dxa"/>
        <w:right w:w="0" w:type="dxa"/>
      </w:tblCellMar>
    </w:tblPr>
  </w:style>
  <w:style w:type="table" w:customStyle="1" w:styleId="191">
    <w:name w:val="List Table 4 - Accent 1"/>
    <w:qFormat/>
    <w:uiPriority w:val="99"/>
    <w:tblPr>
      <w:tblCellMar>
        <w:top w:w="0" w:type="dxa"/>
        <w:left w:w="0" w:type="dxa"/>
        <w:bottom w:w="0" w:type="dxa"/>
        <w:right w:w="0" w:type="dxa"/>
      </w:tblCellMar>
    </w:tblPr>
  </w:style>
  <w:style w:type="table" w:customStyle="1" w:styleId="192">
    <w:name w:val="List Table 4 - Accent 2"/>
    <w:qFormat/>
    <w:uiPriority w:val="99"/>
    <w:tblPr>
      <w:tblCellMar>
        <w:top w:w="0" w:type="dxa"/>
        <w:left w:w="0" w:type="dxa"/>
        <w:bottom w:w="0" w:type="dxa"/>
        <w:right w:w="0" w:type="dxa"/>
      </w:tblCellMar>
    </w:tblPr>
  </w:style>
  <w:style w:type="table" w:customStyle="1" w:styleId="193">
    <w:name w:val="List Table 4 - Accent 3"/>
    <w:qFormat/>
    <w:uiPriority w:val="99"/>
    <w:tblPr>
      <w:tblCellMar>
        <w:top w:w="0" w:type="dxa"/>
        <w:left w:w="0" w:type="dxa"/>
        <w:bottom w:w="0" w:type="dxa"/>
        <w:right w:w="0" w:type="dxa"/>
      </w:tblCellMar>
    </w:tblPr>
  </w:style>
  <w:style w:type="table" w:customStyle="1" w:styleId="194">
    <w:name w:val="List Table 4 - Accent 4"/>
    <w:qFormat/>
    <w:uiPriority w:val="99"/>
    <w:tblPr>
      <w:tblCellMar>
        <w:top w:w="0" w:type="dxa"/>
        <w:left w:w="0" w:type="dxa"/>
        <w:bottom w:w="0" w:type="dxa"/>
        <w:right w:w="0" w:type="dxa"/>
      </w:tblCellMar>
    </w:tblPr>
  </w:style>
  <w:style w:type="table" w:customStyle="1" w:styleId="195">
    <w:name w:val="List Table 4 - Accent 5"/>
    <w:qFormat/>
    <w:uiPriority w:val="99"/>
    <w:tblPr>
      <w:tblCellMar>
        <w:top w:w="0" w:type="dxa"/>
        <w:left w:w="0" w:type="dxa"/>
        <w:bottom w:w="0" w:type="dxa"/>
        <w:right w:w="0" w:type="dxa"/>
      </w:tblCellMar>
    </w:tblPr>
  </w:style>
  <w:style w:type="table" w:customStyle="1" w:styleId="196">
    <w:name w:val="List Table 4 - Accent 6"/>
    <w:qFormat/>
    <w:uiPriority w:val="99"/>
    <w:tblPr>
      <w:tblCellMar>
        <w:top w:w="0" w:type="dxa"/>
        <w:left w:w="0" w:type="dxa"/>
        <w:bottom w:w="0" w:type="dxa"/>
        <w:right w:w="0" w:type="dxa"/>
      </w:tblCellMar>
    </w:tblPr>
  </w:style>
  <w:style w:type="table" w:customStyle="1" w:styleId="197">
    <w:name w:val="List Table 5 Dark - Accent 1"/>
    <w:qFormat/>
    <w:uiPriority w:val="99"/>
    <w:tblPr>
      <w:tblCellMar>
        <w:top w:w="0" w:type="dxa"/>
        <w:left w:w="0" w:type="dxa"/>
        <w:bottom w:w="0" w:type="dxa"/>
        <w:right w:w="0" w:type="dxa"/>
      </w:tblCellMar>
    </w:tblPr>
  </w:style>
  <w:style w:type="table" w:customStyle="1" w:styleId="198">
    <w:name w:val="List Table 5 Dark - Accent 2"/>
    <w:qFormat/>
    <w:uiPriority w:val="99"/>
    <w:tblPr>
      <w:tblCellMar>
        <w:top w:w="0" w:type="dxa"/>
        <w:left w:w="0" w:type="dxa"/>
        <w:bottom w:w="0" w:type="dxa"/>
        <w:right w:w="0" w:type="dxa"/>
      </w:tblCellMar>
    </w:tblPr>
  </w:style>
  <w:style w:type="table" w:customStyle="1" w:styleId="199">
    <w:name w:val="List Table 5 Dark - Accent 3"/>
    <w:qFormat/>
    <w:uiPriority w:val="99"/>
    <w:tblPr>
      <w:tblCellMar>
        <w:top w:w="0" w:type="dxa"/>
        <w:left w:w="0" w:type="dxa"/>
        <w:bottom w:w="0" w:type="dxa"/>
        <w:right w:w="0" w:type="dxa"/>
      </w:tblCellMar>
    </w:tblPr>
  </w:style>
  <w:style w:type="table" w:customStyle="1" w:styleId="200">
    <w:name w:val="List Table 5 Dark - Accent 4"/>
    <w:qFormat/>
    <w:uiPriority w:val="99"/>
    <w:tblPr>
      <w:tblCellMar>
        <w:top w:w="0" w:type="dxa"/>
        <w:left w:w="0" w:type="dxa"/>
        <w:bottom w:w="0" w:type="dxa"/>
        <w:right w:w="0" w:type="dxa"/>
      </w:tblCellMar>
    </w:tblPr>
  </w:style>
  <w:style w:type="table" w:customStyle="1" w:styleId="201">
    <w:name w:val="List Table 5 Dark - Accent 5"/>
    <w:qFormat/>
    <w:uiPriority w:val="99"/>
    <w:tblPr>
      <w:tblCellMar>
        <w:top w:w="0" w:type="dxa"/>
        <w:left w:w="0" w:type="dxa"/>
        <w:bottom w:w="0" w:type="dxa"/>
        <w:right w:w="0" w:type="dxa"/>
      </w:tblCellMar>
    </w:tblPr>
  </w:style>
  <w:style w:type="table" w:customStyle="1" w:styleId="202">
    <w:name w:val="List Table 5 Dark - Accent 6"/>
    <w:qFormat/>
    <w:uiPriority w:val="99"/>
    <w:tblPr>
      <w:tblCellMar>
        <w:top w:w="0" w:type="dxa"/>
        <w:left w:w="0" w:type="dxa"/>
        <w:bottom w:w="0" w:type="dxa"/>
        <w:right w:w="0" w:type="dxa"/>
      </w:tblCellMar>
    </w:tblPr>
  </w:style>
  <w:style w:type="table" w:customStyle="1" w:styleId="203">
    <w:name w:val="List Table 6 Colorful - Accent 1"/>
    <w:qFormat/>
    <w:uiPriority w:val="99"/>
    <w:tblPr>
      <w:tblCellMar>
        <w:top w:w="0" w:type="dxa"/>
        <w:left w:w="0" w:type="dxa"/>
        <w:bottom w:w="0" w:type="dxa"/>
        <w:right w:w="0" w:type="dxa"/>
      </w:tblCellMar>
    </w:tblPr>
  </w:style>
  <w:style w:type="table" w:customStyle="1" w:styleId="204">
    <w:name w:val="List Table 6 Colorful - Accent 2"/>
    <w:qFormat/>
    <w:uiPriority w:val="99"/>
    <w:tblPr>
      <w:tblCellMar>
        <w:top w:w="0" w:type="dxa"/>
        <w:left w:w="0" w:type="dxa"/>
        <w:bottom w:w="0" w:type="dxa"/>
        <w:right w:w="0" w:type="dxa"/>
      </w:tblCellMar>
    </w:tblPr>
  </w:style>
  <w:style w:type="table" w:customStyle="1" w:styleId="205">
    <w:name w:val="List Table 6 Colorful - Accent 3"/>
    <w:qFormat/>
    <w:uiPriority w:val="99"/>
    <w:tblPr>
      <w:tblCellMar>
        <w:top w:w="0" w:type="dxa"/>
        <w:left w:w="0" w:type="dxa"/>
        <w:bottom w:w="0" w:type="dxa"/>
        <w:right w:w="0" w:type="dxa"/>
      </w:tblCellMar>
    </w:tblPr>
  </w:style>
  <w:style w:type="table" w:customStyle="1" w:styleId="206">
    <w:name w:val="List Table 6 Colorful - Accent 4"/>
    <w:qFormat/>
    <w:uiPriority w:val="99"/>
    <w:tblPr>
      <w:tblCellMar>
        <w:top w:w="0" w:type="dxa"/>
        <w:left w:w="0" w:type="dxa"/>
        <w:bottom w:w="0" w:type="dxa"/>
        <w:right w:w="0" w:type="dxa"/>
      </w:tblCellMar>
    </w:tblPr>
  </w:style>
  <w:style w:type="table" w:customStyle="1" w:styleId="207">
    <w:name w:val="List Table 6 Colorful - Accent 5"/>
    <w:qFormat/>
    <w:uiPriority w:val="99"/>
    <w:tblPr>
      <w:tblCellMar>
        <w:top w:w="0" w:type="dxa"/>
        <w:left w:w="0" w:type="dxa"/>
        <w:bottom w:w="0" w:type="dxa"/>
        <w:right w:w="0" w:type="dxa"/>
      </w:tblCellMar>
    </w:tblPr>
  </w:style>
  <w:style w:type="table" w:customStyle="1" w:styleId="208">
    <w:name w:val="List Table 6 Colorful - Accent 6"/>
    <w:qFormat/>
    <w:uiPriority w:val="99"/>
    <w:tblPr>
      <w:tblCellMar>
        <w:top w:w="0" w:type="dxa"/>
        <w:left w:w="0" w:type="dxa"/>
        <w:bottom w:w="0" w:type="dxa"/>
        <w:right w:w="0" w:type="dxa"/>
      </w:tblCellMar>
    </w:tblPr>
  </w:style>
  <w:style w:type="table" w:customStyle="1" w:styleId="209">
    <w:name w:val="List Table 7 Colorful - Accent 1"/>
    <w:qFormat/>
    <w:uiPriority w:val="99"/>
    <w:tblPr>
      <w:tblCellMar>
        <w:top w:w="0" w:type="dxa"/>
        <w:left w:w="0" w:type="dxa"/>
        <w:bottom w:w="0" w:type="dxa"/>
        <w:right w:w="0" w:type="dxa"/>
      </w:tblCellMar>
    </w:tblPr>
  </w:style>
  <w:style w:type="table" w:customStyle="1" w:styleId="210">
    <w:name w:val="List Table 7 Colorful - Accent 2"/>
    <w:qFormat/>
    <w:uiPriority w:val="99"/>
    <w:tblPr>
      <w:tblCellMar>
        <w:top w:w="0" w:type="dxa"/>
        <w:left w:w="0" w:type="dxa"/>
        <w:bottom w:w="0" w:type="dxa"/>
        <w:right w:w="0" w:type="dxa"/>
      </w:tblCellMar>
    </w:tblPr>
  </w:style>
  <w:style w:type="table" w:customStyle="1" w:styleId="211">
    <w:name w:val="List Table 7 Colorful - Accent 3"/>
    <w:qFormat/>
    <w:uiPriority w:val="99"/>
    <w:tblPr>
      <w:tblCellMar>
        <w:top w:w="0" w:type="dxa"/>
        <w:left w:w="0" w:type="dxa"/>
        <w:bottom w:w="0" w:type="dxa"/>
        <w:right w:w="0" w:type="dxa"/>
      </w:tblCellMar>
    </w:tblPr>
  </w:style>
  <w:style w:type="table" w:customStyle="1" w:styleId="212">
    <w:name w:val="List Table 7 Colorful - Accent 4"/>
    <w:qFormat/>
    <w:uiPriority w:val="99"/>
    <w:tblPr>
      <w:tblCellMar>
        <w:top w:w="0" w:type="dxa"/>
        <w:left w:w="0" w:type="dxa"/>
        <w:bottom w:w="0" w:type="dxa"/>
        <w:right w:w="0" w:type="dxa"/>
      </w:tblCellMar>
    </w:tblPr>
  </w:style>
  <w:style w:type="table" w:customStyle="1" w:styleId="213">
    <w:name w:val="List Table 7 Colorful - Accent 5"/>
    <w:qFormat/>
    <w:uiPriority w:val="99"/>
    <w:tblPr>
      <w:tblCellMar>
        <w:top w:w="0" w:type="dxa"/>
        <w:left w:w="0" w:type="dxa"/>
        <w:bottom w:w="0" w:type="dxa"/>
        <w:right w:w="0" w:type="dxa"/>
      </w:tblCellMar>
    </w:tblPr>
  </w:style>
  <w:style w:type="table" w:customStyle="1" w:styleId="214">
    <w:name w:val="List Table 7 Colorful - Accent 6"/>
    <w:qFormat/>
    <w:uiPriority w:val="99"/>
    <w:tblPr>
      <w:tblCellMar>
        <w:top w:w="0" w:type="dxa"/>
        <w:left w:w="0" w:type="dxa"/>
        <w:bottom w:w="0" w:type="dxa"/>
        <w:right w:w="0" w:type="dxa"/>
      </w:tblCellMar>
    </w:tblPr>
  </w:style>
  <w:style w:type="table" w:customStyle="1" w:styleId="215">
    <w:name w:val="Lined - Accent"/>
    <w:qFormat/>
    <w:uiPriority w:val="99"/>
    <w:rPr>
      <w:color w:val="404040"/>
    </w:rPr>
    <w:tblPr>
      <w:tblCellMar>
        <w:top w:w="0" w:type="dxa"/>
        <w:left w:w="0" w:type="dxa"/>
        <w:bottom w:w="0" w:type="dxa"/>
        <w:right w:w="0" w:type="dxa"/>
      </w:tblCellMar>
    </w:tblPr>
  </w:style>
  <w:style w:type="table" w:customStyle="1" w:styleId="216">
    <w:name w:val="Lined - Accent 1"/>
    <w:qFormat/>
    <w:uiPriority w:val="99"/>
    <w:rPr>
      <w:color w:val="404040"/>
    </w:rPr>
    <w:tblPr>
      <w:tblCellMar>
        <w:top w:w="0" w:type="dxa"/>
        <w:left w:w="0" w:type="dxa"/>
        <w:bottom w:w="0" w:type="dxa"/>
        <w:right w:w="0" w:type="dxa"/>
      </w:tblCellMar>
    </w:tblPr>
  </w:style>
  <w:style w:type="table" w:customStyle="1" w:styleId="217">
    <w:name w:val="Lined - Accent 2"/>
    <w:qFormat/>
    <w:uiPriority w:val="99"/>
    <w:rPr>
      <w:color w:val="404040"/>
    </w:rPr>
    <w:tblPr>
      <w:tblCellMar>
        <w:top w:w="0" w:type="dxa"/>
        <w:left w:w="0" w:type="dxa"/>
        <w:bottom w:w="0" w:type="dxa"/>
        <w:right w:w="0" w:type="dxa"/>
      </w:tblCellMar>
    </w:tblPr>
  </w:style>
  <w:style w:type="table" w:customStyle="1" w:styleId="218">
    <w:name w:val="Lined - Accent 3"/>
    <w:qFormat/>
    <w:uiPriority w:val="99"/>
    <w:rPr>
      <w:color w:val="404040"/>
    </w:rPr>
    <w:tblPr>
      <w:tblCellMar>
        <w:top w:w="0" w:type="dxa"/>
        <w:left w:w="0" w:type="dxa"/>
        <w:bottom w:w="0" w:type="dxa"/>
        <w:right w:w="0" w:type="dxa"/>
      </w:tblCellMar>
    </w:tblPr>
  </w:style>
  <w:style w:type="table" w:customStyle="1" w:styleId="219">
    <w:name w:val="Lined - Accent 4"/>
    <w:qFormat/>
    <w:uiPriority w:val="99"/>
    <w:rPr>
      <w:color w:val="404040"/>
    </w:rPr>
    <w:tblPr>
      <w:tblCellMar>
        <w:top w:w="0" w:type="dxa"/>
        <w:left w:w="0" w:type="dxa"/>
        <w:bottom w:w="0" w:type="dxa"/>
        <w:right w:w="0" w:type="dxa"/>
      </w:tblCellMar>
    </w:tblPr>
  </w:style>
  <w:style w:type="table" w:customStyle="1" w:styleId="220">
    <w:name w:val="Lined - Accent 5"/>
    <w:qFormat/>
    <w:uiPriority w:val="99"/>
    <w:rPr>
      <w:color w:val="404040"/>
    </w:rPr>
    <w:tblPr>
      <w:tblCellMar>
        <w:top w:w="0" w:type="dxa"/>
        <w:left w:w="0" w:type="dxa"/>
        <w:bottom w:w="0" w:type="dxa"/>
        <w:right w:w="0" w:type="dxa"/>
      </w:tblCellMar>
    </w:tblPr>
  </w:style>
  <w:style w:type="table" w:customStyle="1" w:styleId="221">
    <w:name w:val="Lined - Accent 6"/>
    <w:qFormat/>
    <w:uiPriority w:val="99"/>
    <w:rPr>
      <w:color w:val="404040"/>
    </w:rPr>
    <w:tblPr>
      <w:tblCellMar>
        <w:top w:w="0" w:type="dxa"/>
        <w:left w:w="0" w:type="dxa"/>
        <w:bottom w:w="0" w:type="dxa"/>
        <w:right w:w="0" w:type="dxa"/>
      </w:tblCellMar>
    </w:tblPr>
  </w:style>
  <w:style w:type="table" w:customStyle="1" w:styleId="222">
    <w:name w:val="Bordered &amp; Lined - Accent"/>
    <w:qFormat/>
    <w:uiPriority w:val="99"/>
    <w:rPr>
      <w:color w:val="404040"/>
    </w:rPr>
    <w:tblPr>
      <w:tblCellMar>
        <w:top w:w="0" w:type="dxa"/>
        <w:left w:w="0" w:type="dxa"/>
        <w:bottom w:w="0" w:type="dxa"/>
        <w:right w:w="0" w:type="dxa"/>
      </w:tblCellMar>
    </w:tblPr>
  </w:style>
  <w:style w:type="table" w:customStyle="1" w:styleId="223">
    <w:name w:val="Bordered &amp; Lined - Accent 1"/>
    <w:qFormat/>
    <w:uiPriority w:val="99"/>
    <w:rPr>
      <w:color w:val="404040"/>
    </w:rPr>
    <w:tblPr>
      <w:tblCellMar>
        <w:top w:w="0" w:type="dxa"/>
        <w:left w:w="0" w:type="dxa"/>
        <w:bottom w:w="0" w:type="dxa"/>
        <w:right w:w="0" w:type="dxa"/>
      </w:tblCellMar>
    </w:tblPr>
  </w:style>
  <w:style w:type="table" w:customStyle="1" w:styleId="224">
    <w:name w:val="Bordered &amp; Lined - Accent 2"/>
    <w:qFormat/>
    <w:uiPriority w:val="99"/>
    <w:rPr>
      <w:color w:val="404040"/>
    </w:rPr>
    <w:tblPr>
      <w:tblCellMar>
        <w:top w:w="0" w:type="dxa"/>
        <w:left w:w="0" w:type="dxa"/>
        <w:bottom w:w="0" w:type="dxa"/>
        <w:right w:w="0" w:type="dxa"/>
      </w:tblCellMar>
    </w:tblPr>
  </w:style>
  <w:style w:type="table" w:customStyle="1" w:styleId="225">
    <w:name w:val="Bordered &amp; Lined - Accent 3"/>
    <w:qFormat/>
    <w:uiPriority w:val="99"/>
    <w:rPr>
      <w:color w:val="404040"/>
    </w:rPr>
    <w:tblPr>
      <w:tblCellMar>
        <w:top w:w="0" w:type="dxa"/>
        <w:left w:w="0" w:type="dxa"/>
        <w:bottom w:w="0" w:type="dxa"/>
        <w:right w:w="0" w:type="dxa"/>
      </w:tblCellMar>
    </w:tblPr>
  </w:style>
  <w:style w:type="table" w:customStyle="1" w:styleId="226">
    <w:name w:val="Bordered &amp; Lined - Accent 4"/>
    <w:qFormat/>
    <w:uiPriority w:val="99"/>
    <w:rPr>
      <w:color w:val="404040"/>
    </w:rPr>
    <w:tblPr>
      <w:tblCellMar>
        <w:top w:w="0" w:type="dxa"/>
        <w:left w:w="0" w:type="dxa"/>
        <w:bottom w:w="0" w:type="dxa"/>
        <w:right w:w="0" w:type="dxa"/>
      </w:tblCellMar>
    </w:tblPr>
  </w:style>
  <w:style w:type="table" w:customStyle="1" w:styleId="227">
    <w:name w:val="Bordered &amp; Lined - Accent 5"/>
    <w:qFormat/>
    <w:uiPriority w:val="99"/>
    <w:rPr>
      <w:color w:val="404040"/>
    </w:rPr>
    <w:tblPr>
      <w:tblCellMar>
        <w:top w:w="0" w:type="dxa"/>
        <w:left w:w="0" w:type="dxa"/>
        <w:bottom w:w="0" w:type="dxa"/>
        <w:right w:w="0" w:type="dxa"/>
      </w:tblCellMar>
    </w:tblPr>
  </w:style>
  <w:style w:type="table" w:customStyle="1" w:styleId="228">
    <w:name w:val="Bordered &amp; Lined - Accent 6"/>
    <w:qFormat/>
    <w:uiPriority w:val="99"/>
    <w:rPr>
      <w:color w:val="404040"/>
    </w:rPr>
    <w:tblPr>
      <w:tblCellMar>
        <w:top w:w="0" w:type="dxa"/>
        <w:left w:w="0" w:type="dxa"/>
        <w:bottom w:w="0" w:type="dxa"/>
        <w:right w:w="0" w:type="dxa"/>
      </w:tblCellMar>
    </w:tblPr>
  </w:style>
  <w:style w:type="table" w:customStyle="1" w:styleId="229">
    <w:name w:val="Bordered"/>
    <w:qFormat/>
    <w:uiPriority w:val="99"/>
    <w:tblPr>
      <w:tblCellMar>
        <w:top w:w="0" w:type="dxa"/>
        <w:left w:w="0" w:type="dxa"/>
        <w:bottom w:w="0" w:type="dxa"/>
        <w:right w:w="0" w:type="dxa"/>
      </w:tblCellMar>
    </w:tblPr>
  </w:style>
  <w:style w:type="table" w:customStyle="1" w:styleId="230">
    <w:name w:val="Bordered - Accent 1"/>
    <w:qFormat/>
    <w:uiPriority w:val="99"/>
    <w:tblPr>
      <w:tblCellMar>
        <w:top w:w="0" w:type="dxa"/>
        <w:left w:w="0" w:type="dxa"/>
        <w:bottom w:w="0" w:type="dxa"/>
        <w:right w:w="0" w:type="dxa"/>
      </w:tblCellMar>
    </w:tblPr>
  </w:style>
  <w:style w:type="table" w:customStyle="1" w:styleId="231">
    <w:name w:val="Bordered - Accent 2"/>
    <w:qFormat/>
    <w:uiPriority w:val="99"/>
    <w:tblPr>
      <w:tblCellMar>
        <w:top w:w="0" w:type="dxa"/>
        <w:left w:w="0" w:type="dxa"/>
        <w:bottom w:w="0" w:type="dxa"/>
        <w:right w:w="0" w:type="dxa"/>
      </w:tblCellMar>
    </w:tblPr>
  </w:style>
  <w:style w:type="table" w:customStyle="1" w:styleId="232">
    <w:name w:val="Bordered - Accent 3"/>
    <w:qFormat/>
    <w:uiPriority w:val="99"/>
    <w:tblPr>
      <w:tblCellMar>
        <w:top w:w="0" w:type="dxa"/>
        <w:left w:w="0" w:type="dxa"/>
        <w:bottom w:w="0" w:type="dxa"/>
        <w:right w:w="0" w:type="dxa"/>
      </w:tblCellMar>
    </w:tblPr>
  </w:style>
  <w:style w:type="table" w:customStyle="1" w:styleId="233">
    <w:name w:val="Bordered - Accent 4"/>
    <w:qFormat/>
    <w:uiPriority w:val="99"/>
    <w:tblPr>
      <w:tblCellMar>
        <w:top w:w="0" w:type="dxa"/>
        <w:left w:w="0" w:type="dxa"/>
        <w:bottom w:w="0" w:type="dxa"/>
        <w:right w:w="0" w:type="dxa"/>
      </w:tblCellMar>
    </w:tblPr>
  </w:style>
  <w:style w:type="table" w:customStyle="1" w:styleId="234">
    <w:name w:val="Bordered - Accent 5"/>
    <w:qFormat/>
    <w:uiPriority w:val="99"/>
    <w:tblPr>
      <w:tblCellMar>
        <w:top w:w="0" w:type="dxa"/>
        <w:left w:w="0" w:type="dxa"/>
        <w:bottom w:w="0" w:type="dxa"/>
        <w:right w:w="0" w:type="dxa"/>
      </w:tblCellMar>
    </w:tblPr>
  </w:style>
  <w:style w:type="table" w:customStyle="1" w:styleId="235">
    <w:name w:val="Bordered - Accent 6"/>
    <w:qFormat/>
    <w:uiPriority w:val="99"/>
    <w:tblPr>
      <w:tblCellMar>
        <w:top w:w="0" w:type="dxa"/>
        <w:left w:w="0" w:type="dxa"/>
        <w:bottom w:w="0" w:type="dxa"/>
        <w:right w:w="0" w:type="dxa"/>
      </w:tblCellMar>
    </w:tblPr>
  </w:style>
  <w:style w:type="paragraph" w:customStyle="1" w:styleId="236">
    <w:name w:val="TOC 标题11"/>
    <w:unhideWhenUsed/>
    <w:qFormat/>
    <w:uiPriority w:val="39"/>
    <w:rPr>
      <w:rFonts w:ascii="Times New Roman" w:hAnsi="Times New Roman" w:eastAsia="宋体" w:cs="Times New Roman"/>
      <w:lang w:val="en-US" w:eastAsia="zh-CN" w:bidi="ar-SA"/>
    </w:rPr>
  </w:style>
  <w:style w:type="paragraph" w:customStyle="1" w:styleId="237">
    <w:name w:val="标题 11"/>
    <w:basedOn w:val="1"/>
    <w:next w:val="1"/>
    <w:link w:val="238"/>
    <w:qFormat/>
    <w:uiPriority w:val="0"/>
    <w:pPr>
      <w:keepNext/>
      <w:keepLines/>
      <w:spacing w:before="340" w:after="330" w:line="578" w:lineRule="auto"/>
      <w:outlineLvl w:val="0"/>
    </w:pPr>
    <w:rPr>
      <w:rFonts w:ascii="Calibri" w:hAnsi="Calibri"/>
      <w:b/>
      <w:bCs/>
      <w:sz w:val="44"/>
      <w:szCs w:val="44"/>
    </w:rPr>
  </w:style>
  <w:style w:type="character" w:customStyle="1" w:styleId="238">
    <w:name w:val="标题 1 Char"/>
    <w:link w:val="237"/>
    <w:qFormat/>
    <w:uiPriority w:val="0"/>
    <w:rPr>
      <w:rFonts w:ascii="Calibri" w:hAnsi="Calibri" w:eastAsia="宋体" w:cs="Times New Roman"/>
      <w:b/>
      <w:bCs/>
      <w:sz w:val="44"/>
      <w:szCs w:val="44"/>
    </w:rPr>
  </w:style>
  <w:style w:type="paragraph" w:customStyle="1" w:styleId="239">
    <w:name w:val="标题 21"/>
    <w:basedOn w:val="1"/>
    <w:next w:val="240"/>
    <w:link w:val="241"/>
    <w:qFormat/>
    <w:uiPriority w:val="0"/>
    <w:pPr>
      <w:keepNext/>
      <w:keepLines/>
      <w:spacing w:before="260" w:after="260" w:line="416" w:lineRule="auto"/>
      <w:outlineLvl w:val="1"/>
    </w:pPr>
    <w:rPr>
      <w:rFonts w:ascii="Cambria" w:hAnsi="Cambria"/>
      <w:b/>
      <w:bCs/>
      <w:sz w:val="32"/>
      <w:szCs w:val="32"/>
    </w:rPr>
  </w:style>
  <w:style w:type="paragraph" w:customStyle="1" w:styleId="240">
    <w:name w:val="正文缩进1"/>
    <w:basedOn w:val="1"/>
    <w:qFormat/>
    <w:uiPriority w:val="0"/>
    <w:pPr>
      <w:ind w:firstLine="420"/>
    </w:pPr>
    <w:rPr>
      <w:rFonts w:ascii="Calibri" w:hAnsi="Calibri"/>
    </w:rPr>
  </w:style>
  <w:style w:type="character" w:customStyle="1" w:styleId="241">
    <w:name w:val="标题 2 Char"/>
    <w:link w:val="239"/>
    <w:qFormat/>
    <w:uiPriority w:val="0"/>
    <w:rPr>
      <w:rFonts w:ascii="Cambria" w:hAnsi="Cambria" w:eastAsia="宋体" w:cs="Times New Roman"/>
      <w:b/>
      <w:bCs/>
      <w:sz w:val="32"/>
      <w:szCs w:val="32"/>
    </w:rPr>
  </w:style>
  <w:style w:type="paragraph" w:customStyle="1" w:styleId="242">
    <w:name w:val="标题 31"/>
    <w:basedOn w:val="1"/>
    <w:next w:val="1"/>
    <w:link w:val="243"/>
    <w:qFormat/>
    <w:uiPriority w:val="0"/>
    <w:pPr>
      <w:keepNext/>
      <w:keepLines/>
      <w:spacing w:before="260" w:after="260" w:line="416" w:lineRule="auto"/>
      <w:outlineLvl w:val="2"/>
    </w:pPr>
    <w:rPr>
      <w:rFonts w:ascii="Calibri" w:hAnsi="Calibri"/>
      <w:b/>
      <w:bCs/>
      <w:sz w:val="32"/>
      <w:szCs w:val="32"/>
    </w:rPr>
  </w:style>
  <w:style w:type="character" w:customStyle="1" w:styleId="243">
    <w:name w:val="标题 3 Char"/>
    <w:link w:val="242"/>
    <w:qFormat/>
    <w:uiPriority w:val="0"/>
    <w:rPr>
      <w:rFonts w:ascii="Calibri" w:hAnsi="Calibri" w:eastAsia="宋体" w:cs="Times New Roman"/>
      <w:b/>
      <w:bCs/>
      <w:sz w:val="32"/>
      <w:szCs w:val="32"/>
    </w:rPr>
  </w:style>
  <w:style w:type="paragraph" w:customStyle="1" w:styleId="244">
    <w:name w:val="标题 41"/>
    <w:basedOn w:val="1"/>
    <w:next w:val="240"/>
    <w:link w:val="245"/>
    <w:qFormat/>
    <w:uiPriority w:val="0"/>
    <w:pPr>
      <w:spacing w:before="280" w:after="290" w:line="377" w:lineRule="auto"/>
      <w:outlineLvl w:val="3"/>
    </w:pPr>
    <w:rPr>
      <w:rFonts w:ascii="Arial" w:hAnsi="Arial" w:eastAsia="黑体"/>
      <w:b/>
      <w:bCs/>
      <w:sz w:val="28"/>
      <w:szCs w:val="28"/>
    </w:rPr>
  </w:style>
  <w:style w:type="character" w:customStyle="1" w:styleId="245">
    <w:name w:val="标题 4 Char"/>
    <w:link w:val="244"/>
    <w:qFormat/>
    <w:uiPriority w:val="0"/>
    <w:rPr>
      <w:rFonts w:ascii="Arial" w:hAnsi="Arial" w:eastAsia="黑体" w:cs="Times New Roman"/>
      <w:b/>
      <w:bCs/>
      <w:sz w:val="28"/>
      <w:szCs w:val="28"/>
    </w:rPr>
  </w:style>
  <w:style w:type="character" w:customStyle="1" w:styleId="246">
    <w:name w:val="默认段落字体1"/>
    <w:qFormat/>
    <w:uiPriority w:val="0"/>
    <w:rPr>
      <w:rFonts w:ascii="Times New Roman" w:hAnsi="Times New Roman" w:eastAsia="宋体" w:cs="Times New Roman"/>
    </w:rPr>
  </w:style>
  <w:style w:type="table" w:customStyle="1" w:styleId="247">
    <w:name w:val="普通表格1"/>
    <w:qFormat/>
    <w:uiPriority w:val="0"/>
    <w:tblPr>
      <w:tblCellMar>
        <w:top w:w="0" w:type="dxa"/>
        <w:left w:w="0" w:type="dxa"/>
        <w:bottom w:w="0" w:type="dxa"/>
        <w:right w:w="0" w:type="dxa"/>
      </w:tblCellMar>
    </w:tblPr>
  </w:style>
  <w:style w:type="paragraph" w:customStyle="1" w:styleId="248">
    <w:name w:val="文档结构图1"/>
    <w:basedOn w:val="1"/>
    <w:link w:val="249"/>
    <w:qFormat/>
    <w:uiPriority w:val="0"/>
    <w:rPr>
      <w:rFonts w:ascii="宋体"/>
      <w:sz w:val="18"/>
      <w:szCs w:val="18"/>
    </w:rPr>
  </w:style>
  <w:style w:type="character" w:customStyle="1" w:styleId="249">
    <w:name w:val="文档结构图 Char"/>
    <w:link w:val="248"/>
    <w:qFormat/>
    <w:uiPriority w:val="0"/>
    <w:rPr>
      <w:rFonts w:ascii="宋体" w:hAnsi="Times New Roman" w:eastAsia="宋体" w:cs="Times New Roman"/>
      <w:sz w:val="18"/>
      <w:szCs w:val="18"/>
    </w:rPr>
  </w:style>
  <w:style w:type="paragraph" w:customStyle="1" w:styleId="250">
    <w:name w:val="引文目录标题1"/>
    <w:basedOn w:val="1"/>
    <w:next w:val="1"/>
    <w:qFormat/>
    <w:uiPriority w:val="0"/>
    <w:pPr>
      <w:spacing w:before="120"/>
    </w:pPr>
    <w:rPr>
      <w:rFonts w:ascii="Cambria" w:hAnsi="Cambria"/>
      <w:sz w:val="24"/>
    </w:rPr>
  </w:style>
  <w:style w:type="paragraph" w:customStyle="1" w:styleId="251">
    <w:name w:val="批注文字1"/>
    <w:basedOn w:val="1"/>
    <w:qFormat/>
    <w:uiPriority w:val="0"/>
    <w:pPr>
      <w:jc w:val="left"/>
    </w:pPr>
  </w:style>
  <w:style w:type="paragraph" w:customStyle="1" w:styleId="252">
    <w:name w:val="正文文本11"/>
    <w:basedOn w:val="1"/>
    <w:next w:val="1"/>
    <w:qFormat/>
    <w:uiPriority w:val="0"/>
    <w:rPr>
      <w:rFonts w:ascii="楷体_GB2312" w:hAnsi="Arial" w:eastAsia="楷体_GB2312"/>
      <w:sz w:val="28"/>
      <w:szCs w:val="28"/>
    </w:rPr>
  </w:style>
  <w:style w:type="paragraph" w:customStyle="1" w:styleId="253">
    <w:name w:val="正文文本缩进1"/>
    <w:basedOn w:val="1"/>
    <w:next w:val="1"/>
    <w:qFormat/>
    <w:uiPriority w:val="0"/>
    <w:pPr>
      <w:tabs>
        <w:tab w:val="left" w:pos="0"/>
        <w:tab w:val="left" w:pos="993"/>
        <w:tab w:val="left" w:pos="1134"/>
      </w:tabs>
      <w:spacing w:line="500" w:lineRule="exact"/>
      <w:ind w:firstLine="567"/>
    </w:pPr>
    <w:rPr>
      <w:rFonts w:ascii="宋体" w:hAnsi="Calibri"/>
      <w:sz w:val="28"/>
    </w:rPr>
  </w:style>
  <w:style w:type="paragraph" w:customStyle="1" w:styleId="254">
    <w:name w:val="纯文本1"/>
    <w:basedOn w:val="1"/>
    <w:link w:val="255"/>
    <w:qFormat/>
    <w:uiPriority w:val="0"/>
    <w:rPr>
      <w:rFonts w:ascii="宋体" w:hAnsi="Courier New"/>
      <w:sz w:val="20"/>
      <w:szCs w:val="20"/>
    </w:rPr>
  </w:style>
  <w:style w:type="character" w:customStyle="1" w:styleId="255">
    <w:name w:val="纯文本 Char"/>
    <w:link w:val="254"/>
    <w:qFormat/>
    <w:uiPriority w:val="0"/>
    <w:rPr>
      <w:rFonts w:ascii="宋体" w:hAnsi="Courier New" w:eastAsia="宋体" w:cs="Times New Roman"/>
    </w:rPr>
  </w:style>
  <w:style w:type="paragraph" w:customStyle="1" w:styleId="256">
    <w:name w:val="日期1"/>
    <w:basedOn w:val="1"/>
    <w:next w:val="1"/>
    <w:link w:val="257"/>
    <w:qFormat/>
    <w:uiPriority w:val="0"/>
    <w:rPr>
      <w:sz w:val="24"/>
      <w:szCs w:val="20"/>
    </w:rPr>
  </w:style>
  <w:style w:type="character" w:customStyle="1" w:styleId="257">
    <w:name w:val="日期 Char"/>
    <w:link w:val="256"/>
    <w:qFormat/>
    <w:uiPriority w:val="0"/>
    <w:rPr>
      <w:rFonts w:ascii="Times New Roman" w:hAnsi="Times New Roman" w:eastAsia="宋体" w:cs="Times New Roman"/>
      <w:sz w:val="24"/>
    </w:rPr>
  </w:style>
  <w:style w:type="paragraph" w:customStyle="1" w:styleId="258">
    <w:name w:val="批注框文本1"/>
    <w:basedOn w:val="1"/>
    <w:link w:val="259"/>
    <w:qFormat/>
    <w:uiPriority w:val="0"/>
    <w:rPr>
      <w:sz w:val="18"/>
      <w:szCs w:val="18"/>
    </w:rPr>
  </w:style>
  <w:style w:type="character" w:customStyle="1" w:styleId="259">
    <w:name w:val="批注框文本 Char"/>
    <w:link w:val="258"/>
    <w:qFormat/>
    <w:uiPriority w:val="0"/>
    <w:rPr>
      <w:rFonts w:ascii="Times New Roman" w:hAnsi="Times New Roman" w:eastAsia="宋体" w:cs="Times New Roman"/>
      <w:sz w:val="18"/>
      <w:szCs w:val="18"/>
    </w:rPr>
  </w:style>
  <w:style w:type="paragraph" w:customStyle="1" w:styleId="260">
    <w:name w:val="页脚1"/>
    <w:basedOn w:val="1"/>
    <w:link w:val="261"/>
    <w:qFormat/>
    <w:uiPriority w:val="0"/>
    <w:pPr>
      <w:tabs>
        <w:tab w:val="center" w:pos="4153"/>
        <w:tab w:val="right" w:pos="8306"/>
      </w:tabs>
      <w:jc w:val="left"/>
    </w:pPr>
    <w:rPr>
      <w:sz w:val="18"/>
      <w:szCs w:val="18"/>
    </w:rPr>
  </w:style>
  <w:style w:type="character" w:customStyle="1" w:styleId="261">
    <w:name w:val="页脚 Char"/>
    <w:link w:val="260"/>
    <w:qFormat/>
    <w:uiPriority w:val="0"/>
    <w:rPr>
      <w:rFonts w:ascii="Times New Roman" w:hAnsi="Times New Roman" w:eastAsia="宋体" w:cs="Times New Roman"/>
      <w:sz w:val="18"/>
      <w:szCs w:val="18"/>
    </w:rPr>
  </w:style>
  <w:style w:type="paragraph" w:customStyle="1" w:styleId="262">
    <w:name w:val="寄信人地址1"/>
    <w:basedOn w:val="1"/>
    <w:qFormat/>
    <w:uiPriority w:val="0"/>
    <w:rPr>
      <w:rFonts w:ascii="Arial" w:hAnsi="Arial"/>
    </w:rPr>
  </w:style>
  <w:style w:type="paragraph" w:customStyle="1" w:styleId="263">
    <w:name w:val="页眉1"/>
    <w:basedOn w:val="1"/>
    <w:link w:val="264"/>
    <w:qFormat/>
    <w:uiPriority w:val="0"/>
    <w:pPr>
      <w:pBdr>
        <w:bottom w:val="single" w:color="000000" w:sz="6" w:space="1"/>
      </w:pBdr>
      <w:tabs>
        <w:tab w:val="center" w:pos="4153"/>
        <w:tab w:val="right" w:pos="8306"/>
      </w:tabs>
      <w:jc w:val="center"/>
    </w:pPr>
    <w:rPr>
      <w:sz w:val="18"/>
      <w:szCs w:val="18"/>
    </w:rPr>
  </w:style>
  <w:style w:type="character" w:customStyle="1" w:styleId="264">
    <w:name w:val="页眉 Char"/>
    <w:link w:val="263"/>
    <w:qFormat/>
    <w:uiPriority w:val="0"/>
    <w:rPr>
      <w:rFonts w:ascii="Times New Roman" w:hAnsi="Times New Roman" w:eastAsia="宋体" w:cs="Times New Roman"/>
      <w:sz w:val="18"/>
      <w:szCs w:val="18"/>
    </w:rPr>
  </w:style>
  <w:style w:type="paragraph" w:customStyle="1" w:styleId="265">
    <w:name w:val="目录 11"/>
    <w:basedOn w:val="1"/>
    <w:next w:val="1"/>
    <w:qFormat/>
    <w:uiPriority w:val="0"/>
    <w:rPr>
      <w:rFonts w:ascii="Calibri" w:hAnsi="Calibri"/>
    </w:rPr>
  </w:style>
  <w:style w:type="paragraph" w:customStyle="1" w:styleId="266">
    <w:name w:val="目录 21"/>
    <w:basedOn w:val="1"/>
    <w:next w:val="1"/>
    <w:qFormat/>
    <w:uiPriority w:val="0"/>
    <w:pPr>
      <w:ind w:left="420"/>
    </w:pPr>
  </w:style>
  <w:style w:type="paragraph" w:customStyle="1" w:styleId="267">
    <w:name w:val="普通(网站)1"/>
    <w:basedOn w:val="1"/>
    <w:qFormat/>
    <w:uiPriority w:val="0"/>
    <w:pPr>
      <w:jc w:val="left"/>
    </w:pPr>
    <w:rPr>
      <w:rFonts w:ascii="Calibri" w:hAnsi="Calibri"/>
      <w:sz w:val="24"/>
      <w:szCs w:val="24"/>
    </w:rPr>
  </w:style>
  <w:style w:type="paragraph" w:customStyle="1" w:styleId="268">
    <w:name w:val="正文首行缩进1"/>
    <w:basedOn w:val="252"/>
    <w:next w:val="1"/>
    <w:qFormat/>
    <w:uiPriority w:val="0"/>
    <w:pPr>
      <w:ind w:firstLine="420"/>
    </w:pPr>
  </w:style>
  <w:style w:type="paragraph" w:customStyle="1" w:styleId="269">
    <w:name w:val="正文首行缩进 21"/>
    <w:basedOn w:val="253"/>
    <w:next w:val="268"/>
    <w:qFormat/>
    <w:uiPriority w:val="0"/>
    <w:pPr>
      <w:ind w:firstLine="420"/>
    </w:pPr>
    <w:rPr>
      <w:rFonts w:ascii="Times New Roman" w:cs="宋体"/>
      <w:szCs w:val="21"/>
    </w:rPr>
  </w:style>
  <w:style w:type="character" w:customStyle="1" w:styleId="270">
    <w:name w:val="要点1"/>
    <w:qFormat/>
    <w:uiPriority w:val="0"/>
    <w:rPr>
      <w:rFonts w:ascii="Times New Roman" w:hAnsi="Times New Roman" w:eastAsia="宋体" w:cs="Times New Roman"/>
      <w:b/>
    </w:rPr>
  </w:style>
  <w:style w:type="paragraph" w:customStyle="1" w:styleId="271">
    <w:name w:val="列出段落1"/>
    <w:basedOn w:val="1"/>
    <w:qFormat/>
    <w:uiPriority w:val="99"/>
    <w:pPr>
      <w:ind w:firstLine="420"/>
    </w:pPr>
  </w:style>
  <w:style w:type="paragraph" w:customStyle="1" w:styleId="272">
    <w:name w:val="普通正文"/>
    <w:basedOn w:val="273"/>
    <w:qFormat/>
    <w:uiPriority w:val="0"/>
    <w:pPr>
      <w:spacing w:before="120" w:after="120" w:line="360" w:lineRule="auto"/>
      <w:ind w:firstLine="480"/>
    </w:pPr>
    <w:rPr>
      <w:rFonts w:ascii="Arial" w:hAnsi="Arial"/>
      <w:szCs w:val="24"/>
    </w:rPr>
  </w:style>
  <w:style w:type="paragraph" w:customStyle="1" w:styleId="273">
    <w:name w:val="正文1"/>
    <w:basedOn w:val="1"/>
    <w:next w:val="274"/>
    <w:qFormat/>
    <w:uiPriority w:val="0"/>
    <w:pPr>
      <w:spacing w:line="360" w:lineRule="atLeast"/>
      <w:jc w:val="left"/>
    </w:pPr>
    <w:rPr>
      <w:rFonts w:ascii="宋体" w:hAnsi="Calibri"/>
      <w:sz w:val="24"/>
      <w:szCs w:val="20"/>
    </w:rPr>
  </w:style>
  <w:style w:type="paragraph" w:customStyle="1" w:styleId="274">
    <w:name w:val="正文文本1"/>
    <w:basedOn w:val="273"/>
    <w:next w:val="275"/>
    <w:qFormat/>
    <w:uiPriority w:val="0"/>
    <w:pPr>
      <w:spacing w:after="120"/>
    </w:pPr>
    <w:rPr>
      <w:rFonts w:ascii="Times New Roman" w:hAnsi="Times New Roman"/>
      <w:lang w:eastAsia="en-US"/>
    </w:rPr>
  </w:style>
  <w:style w:type="paragraph" w:customStyle="1" w:styleId="275">
    <w:name w:val="一级条标题"/>
    <w:basedOn w:val="276"/>
    <w:next w:val="278"/>
    <w:qFormat/>
    <w:uiPriority w:val="0"/>
    <w:pPr>
      <w:tabs>
        <w:tab w:val="left" w:pos="810"/>
        <w:tab w:val="left" w:pos="907"/>
        <w:tab w:val="left" w:pos="1265"/>
      </w:tabs>
      <w:spacing w:before="0" w:after="0"/>
      <w:ind w:left="907" w:hanging="907"/>
      <w:outlineLvl w:val="2"/>
    </w:pPr>
    <w:rPr>
      <w:rFonts w:ascii="Times New Roman" w:hAnsi="宋体" w:eastAsia="宋体"/>
      <w:sz w:val="20"/>
      <w:szCs w:val="20"/>
    </w:rPr>
  </w:style>
  <w:style w:type="paragraph" w:customStyle="1" w:styleId="276">
    <w:name w:val="章标题"/>
    <w:next w:val="277"/>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277">
    <w:name w:val="正文11"/>
    <w:next w:val="273"/>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78">
    <w:name w:val="段"/>
    <w:basedOn w:val="273"/>
    <w:next w:val="277"/>
    <w:qFormat/>
    <w:uiPriority w:val="0"/>
    <w:pPr>
      <w:widowControl/>
      <w:ind w:firstLine="200"/>
    </w:pPr>
    <w:rPr>
      <w:rFonts w:hAnsi="Times New Roman"/>
      <w:sz w:val="20"/>
    </w:rPr>
  </w:style>
  <w:style w:type="paragraph" w:customStyle="1" w:styleId="279">
    <w:name w:val="UserStyle_52"/>
    <w:basedOn w:val="1"/>
    <w:qFormat/>
    <w:uiPriority w:val="0"/>
    <w:pPr>
      <w:spacing w:line="240" w:lineRule="exact"/>
    </w:pPr>
    <w:rPr>
      <w:rFonts w:ascii="宋体" w:hAnsi="宋体"/>
      <w:lang w:val="zh-TW" w:eastAsia="zh-TW" w:bidi="zh-TW"/>
    </w:rPr>
  </w:style>
  <w:style w:type="character" w:customStyle="1" w:styleId="280">
    <w:name w:val="HtmlCite1"/>
    <w:qFormat/>
    <w:uiPriority w:val="0"/>
    <w:rPr>
      <w:rFonts w:ascii="Times New Roman" w:hAnsi="Times New Roman" w:eastAsia="宋体" w:cs="Times New Roman"/>
    </w:rPr>
  </w:style>
  <w:style w:type="paragraph" w:customStyle="1" w:styleId="281">
    <w:name w:val="Table Paragraph"/>
    <w:basedOn w:val="1"/>
    <w:qFormat/>
    <w:uiPriority w:val="0"/>
    <w:rPr>
      <w:rFonts w:ascii="宋体" w:hAnsi="宋体" w:cs="宋体"/>
      <w:sz w:val="22"/>
      <w:lang w:val="zh-CN" w:bidi="zh-CN"/>
    </w:rPr>
  </w:style>
  <w:style w:type="paragraph" w:customStyle="1" w:styleId="282">
    <w:name w:val="ListBullet211"/>
    <w:basedOn w:val="1"/>
    <w:qFormat/>
    <w:uiPriority w:val="0"/>
    <w:pPr>
      <w:numPr>
        <w:ilvl w:val="0"/>
        <w:numId w:val="2"/>
      </w:numPr>
    </w:pPr>
  </w:style>
  <w:style w:type="paragraph" w:customStyle="1" w:styleId="283">
    <w:name w:val="Char"/>
    <w:basedOn w:val="1"/>
    <w:qFormat/>
    <w:uiPriority w:val="0"/>
    <w:pPr>
      <w:tabs>
        <w:tab w:val="left" w:pos="360"/>
      </w:tabs>
      <w:ind w:firstLine="200"/>
    </w:pPr>
    <w:rPr>
      <w:sz w:val="28"/>
      <w:szCs w:val="30"/>
    </w:rPr>
  </w:style>
  <w:style w:type="character" w:customStyle="1" w:styleId="284">
    <w:name w:val="页脚 Char1"/>
    <w:qFormat/>
    <w:uiPriority w:val="0"/>
    <w:rPr>
      <w:rFonts w:ascii="Times New Roman" w:hAnsi="Times New Roman" w:eastAsia="宋体" w:cs="Times New Roman"/>
      <w:sz w:val="18"/>
      <w:szCs w:val="18"/>
    </w:rPr>
  </w:style>
  <w:style w:type="character" w:customStyle="1" w:styleId="285">
    <w:name w:val="日期 Char1"/>
    <w:qFormat/>
    <w:uiPriority w:val="0"/>
    <w:rPr>
      <w:rFonts w:ascii="Times New Roman" w:hAnsi="Times New Roman" w:eastAsia="宋体" w:cs="Times New Roman"/>
    </w:rPr>
  </w:style>
  <w:style w:type="character" w:customStyle="1" w:styleId="286">
    <w:name w:val="纯文本 Char1"/>
    <w:qFormat/>
    <w:uiPriority w:val="0"/>
    <w:rPr>
      <w:rFonts w:ascii="宋体" w:hAnsi="Courier New" w:eastAsia="宋体" w:cs="Courier New"/>
      <w:szCs w:val="21"/>
    </w:rPr>
  </w:style>
  <w:style w:type="character" w:customStyle="1" w:styleId="287">
    <w:name w:val="页眉 Char1"/>
    <w:qFormat/>
    <w:uiPriority w:val="0"/>
    <w:rPr>
      <w:rFonts w:ascii="Times New Roman" w:hAnsi="Times New Roman" w:eastAsia="宋体" w:cs="Times New Roman"/>
      <w:sz w:val="18"/>
      <w:szCs w:val="18"/>
    </w:rPr>
  </w:style>
  <w:style w:type="paragraph" w:customStyle="1" w:styleId="288">
    <w:name w:val="无间隔1"/>
    <w:qFormat/>
    <w:uiPriority w:val="0"/>
    <w:pPr>
      <w:widowControl w:val="0"/>
      <w:jc w:val="both"/>
    </w:pPr>
    <w:rPr>
      <w:rFonts w:ascii="Times New Roman" w:hAnsi="Times New Roman" w:eastAsia="宋体" w:cs="Times New Roman"/>
      <w:sz w:val="21"/>
      <w:szCs w:val="21"/>
      <w:lang w:val="en-US" w:eastAsia="zh-CN" w:bidi="ar-SA"/>
    </w:rPr>
  </w:style>
  <w:style w:type="paragraph" w:customStyle="1" w:styleId="289">
    <w:name w:val="正文空2格  1."/>
    <w:basedOn w:val="1"/>
    <w:qFormat/>
    <w:uiPriority w:val="0"/>
    <w:pPr>
      <w:ind w:firstLine="480"/>
    </w:pPr>
    <w:rPr>
      <w:rFonts w:cs="宋体"/>
      <w:sz w:val="28"/>
      <w:szCs w:val="20"/>
    </w:rPr>
  </w:style>
  <w:style w:type="paragraph" w:customStyle="1" w:styleId="290">
    <w:name w:val="Default"/>
    <w:qFormat/>
    <w:uiPriority w:val="0"/>
    <w:pPr>
      <w:widowControl w:val="0"/>
    </w:pPr>
    <w:rPr>
      <w:rFonts w:ascii="仿宋" w:hAnsi="等线" w:eastAsia="仿宋" w:cs="仿宋"/>
      <w:color w:val="000000"/>
      <w:sz w:val="24"/>
      <w:szCs w:val="24"/>
      <w:lang w:val="en-US" w:eastAsia="zh-CN" w:bidi="ar-SA"/>
    </w:rPr>
  </w:style>
  <w:style w:type="paragraph" w:customStyle="1" w:styleId="291">
    <w:name w:val="1级标题"/>
    <w:qFormat/>
    <w:uiPriority w:val="0"/>
    <w:pPr>
      <w:widowControl w:val="0"/>
      <w:spacing w:line="660" w:lineRule="exact"/>
      <w:ind w:firstLine="200"/>
      <w:outlineLvl w:val="0"/>
    </w:pPr>
    <w:rPr>
      <w:rFonts w:ascii="Times New Roman" w:hAnsi="Times New Roman" w:eastAsia="方正黑体_GBK" w:cs="Times New Roman"/>
      <w:b/>
      <w:sz w:val="32"/>
      <w:szCs w:val="24"/>
      <w:lang w:val="en-US" w:eastAsia="zh-CN" w:bidi="ar-SA"/>
    </w:rPr>
  </w:style>
  <w:style w:type="character" w:customStyle="1" w:styleId="292">
    <w:name w:val="标题 1 Char Char Char"/>
    <w:qFormat/>
    <w:uiPriority w:val="0"/>
    <w:rPr>
      <w:rFonts w:eastAsia="宋体"/>
      <w:b/>
      <w:bCs/>
      <w:sz w:val="44"/>
      <w:szCs w:val="44"/>
      <w:lang w:val="en-US" w:eastAsia="zh-CN" w:bidi="ar-SA"/>
    </w:rPr>
  </w:style>
  <w:style w:type="paragraph" w:customStyle="1" w:styleId="293">
    <w:name w:val="Normal_18"/>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294">
    <w:name w:val="Normal_19"/>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295">
    <w:name w:val="正文_0_0"/>
    <w:basedOn w:val="296"/>
    <w:qFormat/>
    <w:uiPriority w:val="0"/>
    <w:rPr>
      <w:szCs w:val="21"/>
    </w:rPr>
  </w:style>
  <w:style w:type="paragraph" w:customStyle="1" w:styleId="296">
    <w:name w:val="正文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97">
    <w:name w:val="Normal_20"/>
    <w:link w:val="298"/>
    <w:qFormat/>
    <w:uiPriority w:val="0"/>
    <w:pPr>
      <w:spacing w:before="120" w:after="240"/>
      <w:jc w:val="both"/>
    </w:pPr>
    <w:rPr>
      <w:rFonts w:ascii="Times New Roman" w:hAnsi="Times New Roman" w:eastAsia="Calibri" w:cs="Times New Roman"/>
      <w:sz w:val="22"/>
      <w:szCs w:val="22"/>
      <w:lang w:val="en-US" w:eastAsia="en-US" w:bidi="ar-SA"/>
    </w:rPr>
  </w:style>
  <w:style w:type="character" w:customStyle="1" w:styleId="298">
    <w:name w:val="Normal_20 Char"/>
    <w:link w:val="297"/>
    <w:qFormat/>
    <w:uiPriority w:val="0"/>
    <w:rPr>
      <w:rFonts w:ascii="Times New Roman" w:hAnsi="Times New Roman" w:eastAsia="Calibri" w:cs="Times New Roman"/>
      <w:sz w:val="22"/>
      <w:szCs w:val="22"/>
      <w:lang w:val="en-US" w:eastAsia="en-US" w:bidi="ar-SA"/>
    </w:rPr>
  </w:style>
  <w:style w:type="paragraph" w:customStyle="1" w:styleId="299">
    <w:name w:val="Body text|1"/>
    <w:basedOn w:val="1"/>
    <w:qFormat/>
    <w:uiPriority w:val="0"/>
    <w:pPr>
      <w:spacing w:after="220"/>
    </w:pPr>
    <w:rPr>
      <w:rFonts w:ascii="宋体" w:hAnsi="宋体" w:cs="宋体"/>
      <w:sz w:val="22"/>
      <w:lang w:val="zh-TW" w:eastAsia="zh-TW" w:bidi="zh-TW"/>
    </w:rPr>
  </w:style>
  <w:style w:type="character" w:customStyle="1" w:styleId="300">
    <w:name w:val="font21"/>
    <w:qFormat/>
    <w:uiPriority w:val="0"/>
    <w:rPr>
      <w:rFonts w:hint="eastAsia" w:ascii="宋体" w:hAnsi="宋体" w:eastAsia="宋体" w:cs="宋体"/>
      <w:color w:val="000000"/>
      <w:sz w:val="20"/>
      <w:szCs w:val="20"/>
      <w:u w:val="none"/>
    </w:rPr>
  </w:style>
  <w:style w:type="character" w:customStyle="1" w:styleId="301">
    <w:name w:val="font31"/>
    <w:qFormat/>
    <w:uiPriority w:val="0"/>
    <w:rPr>
      <w:rFonts w:ascii="Times New Roman" w:hAnsi="Times New Roman" w:cs="Times New Roman"/>
      <w:color w:val="000000"/>
      <w:sz w:val="20"/>
      <w:szCs w:val="20"/>
      <w:u w:val="none"/>
    </w:rPr>
  </w:style>
  <w:style w:type="paragraph" w:customStyle="1" w:styleId="302">
    <w:name w:val="Style1"/>
    <w:basedOn w:val="1"/>
    <w:qFormat/>
    <w:uiPriority w:val="0"/>
    <w:pPr>
      <w:widowControl/>
      <w:tabs>
        <w:tab w:val="left" w:pos="-720"/>
      </w:tabs>
      <w:spacing w:after="120"/>
    </w:pPr>
    <w:rPr>
      <w:rFonts w:ascii="Calibri" w:hAnsi="Calibri"/>
      <w:spacing w:val="-3"/>
      <w:sz w:val="24"/>
      <w:szCs w:val="20"/>
      <w:lang w:val="en-AU" w:eastAsia="en-US"/>
    </w:rPr>
  </w:style>
  <w:style w:type="paragraph" w:customStyle="1" w:styleId="303">
    <w:name w:val="Normal_0_0"/>
    <w:qFormat/>
    <w:uiPriority w:val="0"/>
    <w:pPr>
      <w:widowControl w:val="0"/>
      <w:jc w:val="both"/>
    </w:pPr>
    <w:rPr>
      <w:rFonts w:ascii="Calibri" w:hAnsi="宋体" w:eastAsia="宋体" w:cs="Times New Roman"/>
      <w:lang w:val="en-US" w:eastAsia="zh-CN" w:bidi="ar-SA"/>
    </w:rPr>
  </w:style>
  <w:style w:type="paragraph" w:customStyle="1" w:styleId="304">
    <w:name w:val="正文_1"/>
    <w:qFormat/>
    <w:uiPriority w:val="0"/>
    <w:pPr>
      <w:widowControl w:val="0"/>
      <w:jc w:val="both"/>
    </w:pPr>
    <w:rPr>
      <w:rFonts w:ascii="Calibri" w:hAnsi="Calibri" w:eastAsia="宋体" w:cs="Times New Roman"/>
      <w:sz w:val="21"/>
      <w:szCs w:val="24"/>
      <w:lang w:val="en-US" w:eastAsia="zh-CN" w:bidi="ar-SA"/>
    </w:rPr>
  </w:style>
  <w:style w:type="paragraph" w:customStyle="1" w:styleId="305">
    <w:name w:val="样式 标题 2 + Times New Roman 四号 非加粗 段前: 5 磅 段后: 0 磅 行距: 固定值 20..."/>
    <w:basedOn w:val="3"/>
    <w:qFormat/>
    <w:uiPriority w:val="0"/>
    <w:pPr>
      <w:spacing w:before="100" w:after="0" w:line="400" w:lineRule="exact"/>
    </w:pPr>
    <w:rPr>
      <w:rFonts w:ascii="Times New Roman" w:hAnsi="Times New Roman" w:eastAsia="黑体" w:cs="Times New Roman"/>
      <w:sz w:val="28"/>
      <w:szCs w:val="20"/>
    </w:rPr>
  </w:style>
  <w:style w:type="paragraph" w:customStyle="1" w:styleId="306">
    <w:name w:val="首行缩进"/>
    <w:basedOn w:val="1"/>
    <w:qFormat/>
    <w:uiPriority w:val="99"/>
    <w:pPr>
      <w:ind w:firstLine="480"/>
    </w:pPr>
    <w:rPr>
      <w:lang w:val="zh-CN"/>
    </w:rPr>
  </w:style>
  <w:style w:type="paragraph" w:customStyle="1" w:styleId="307">
    <w:name w:val="正文_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08">
    <w:name w:val="二级目录"/>
    <w:next w:val="1"/>
    <w:qFormat/>
    <w:uiPriority w:val="99"/>
    <w:pPr>
      <w:tabs>
        <w:tab w:val="left" w:pos="720"/>
      </w:tabs>
      <w:spacing w:line="276" w:lineRule="auto"/>
      <w:ind w:firstLine="360"/>
      <w:outlineLvl w:val="1"/>
    </w:pPr>
    <w:rPr>
      <w:rFonts w:ascii="等线" w:hAnsi="等线" w:eastAsia="等线" w:cs="仿宋"/>
      <w:b/>
      <w:bCs/>
      <w:color w:val="000000"/>
      <w:sz w:val="24"/>
      <w:szCs w:val="24"/>
      <w:lang w:val="en-US" w:eastAsia="zh-CN" w:bidi="ar-SA"/>
    </w:rPr>
  </w:style>
  <w:style w:type="paragraph" w:customStyle="1" w:styleId="309">
    <w:name w:val="p16"/>
    <w:basedOn w:val="1"/>
    <w:qFormat/>
    <w:uiPriority w:val="0"/>
    <w:pPr>
      <w:widowControl/>
    </w:pPr>
    <w:rPr>
      <w:rFonts w:cs="宋体"/>
      <w:b/>
      <w:color w:val="000000"/>
      <w:position w:val="-10"/>
      <w:sz w:val="28"/>
      <w:szCs w:val="28"/>
    </w:rPr>
  </w:style>
  <w:style w:type="paragraph" w:customStyle="1" w:styleId="310">
    <w:name w:val="正文2"/>
    <w:basedOn w:val="1"/>
    <w:qFormat/>
    <w:uiPriority w:val="0"/>
    <w:pPr>
      <w:spacing w:before="156" w:line="360" w:lineRule="auto"/>
      <w:ind w:firstLine="510" w:firstLineChars="200"/>
    </w:pPr>
    <w:rPr>
      <w:rFonts w:ascii="Calibri" w:hAnsi="Calibri" w:eastAsia="Calibri" w:cs="宋体"/>
      <w:sz w:val="24"/>
      <w:lang w:val="zh-CN"/>
    </w:rPr>
  </w:style>
  <w:style w:type="paragraph" w:customStyle="1" w:styleId="311">
    <w:name w:val="Normal_9_0"/>
    <w:qFormat/>
    <w:uiPriority w:val="0"/>
    <w:rPr>
      <w:rFonts w:ascii="Times New Roman" w:hAnsi="Times New Roman" w:eastAsia="Times New Roman" w:cs="Times New Roman"/>
      <w:sz w:val="24"/>
      <w:szCs w:val="24"/>
      <w:lang w:val="en-US" w:eastAsia="zh-CN" w:bidi="ar-SA"/>
    </w:rPr>
  </w:style>
  <w:style w:type="paragraph" w:customStyle="1" w:styleId="312">
    <w:name w:val="正文_4_0_0"/>
    <w:qFormat/>
    <w:uiPriority w:val="0"/>
    <w:pPr>
      <w:widowControl w:val="0"/>
      <w:jc w:val="both"/>
    </w:pPr>
    <w:rPr>
      <w:rFonts w:ascii="Times New Roman"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Company>
  <Pages>61</Pages>
  <Words>3988</Words>
  <Characters>4513</Characters>
  <Lines>218</Lines>
  <Paragraphs>61</Paragraphs>
  <TotalTime>55</TotalTime>
  <ScaleCrop>false</ScaleCrop>
  <LinksUpToDate>false</LinksUpToDate>
  <CharactersWithSpaces>4583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2025-12-23T03:04:00Z</dcterms:created>
  <dc:creator>方头大</dc:creator>
  <cp:lastModifiedBy>Hollyitc</cp:lastModifiedBy>
  <dcterms:modified xsi:type="dcterms:W3CDTF">2026-07-01T07:21:49Z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AB9F571F5F9F47B7B8F915EB58C12C70_13</vt:lpwstr>
  </property>
  <property fmtid="{D5CDD505-2E9C-101B-9397-08002B2CF9AE}" pid="4" name="KSOTemplateDocerSaveRecord">
    <vt:lpwstr>eyJoZGlkIjoiZjNiZDY4OTBhODY2ZDhmN2E0MTMwYjBmMGY2NzYzNWEifQ==</vt:lpwstr>
  </property>
</Properties>
</file>