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w:t>
      </w:r>
      <w:bookmarkStart w:id="0" w:name="_GoBack"/>
      <w:r/>
      <w:bookmarkEnd w:id="0"/>
      <w:r>
        <w:rPr>
          <w:rFonts w:hint="eastAsia" w:ascii="宋体" w:hAnsi="宋体"/>
          <w:b/>
          <w:sz w:val="108"/>
        </w:rPr>
        <w:t xml:space="preserve">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JSZC-320500-JZCG-G2026-0147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苏州市相城人民医院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信息中心服务器</w:t>
      </w:r>
      <w:r>
        <w:rPr>
          <w:rFonts w:hint="eastAsia" w:ascii="宋体" w:hAnsi="宋体"/>
          <w:b/>
          <w:sz w:val="32"/>
        </w:rPr>
        <w:t xml:space="preserve">及网络安全设备等采购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5"/>
        <w:ind w:firstLine="0"/>
        <w:jc w:val="left"/>
        <w:spacing w:before="120" w:after="120"/>
        <w:tabs>
          <w:tab w:val="right" w:pos="9856" w:leader="dot"/>
        </w:tabs>
        <w:rPr>
          <w:rStyle w:val="1079"/>
          <w:rFonts w:ascii="宋体" w:hAnsi="宋体" w:cs="Calibri"/>
          <w:bCs/>
          <w:caps/>
          <w:color w:val="auto"/>
          <w:sz w:val="32"/>
          <w:szCs w:val="32"/>
        </w:rPr>
        <w:outlineLvl w:val="9"/>
      </w:pPr>
      <w:r>
        <w:rPr>
          <w:rFonts w:ascii="宋体" w:hAnsi="宋体" w:cs="Calibri"/>
          <w:bCs/>
          <w:caps/>
          <w:color w:val="auto"/>
          <w:sz w:val="32"/>
          <w:szCs w:val="32"/>
        </w:rPr>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rPr>
          <w:rStyle w:val="1079"/>
          <w:rFonts w:ascii="宋体" w:hAnsi="宋体" w:cs="Calibri"/>
          <w:bCs/>
          <w:caps/>
          <w:color w:val="auto"/>
          <w:sz w:val="32"/>
        </w:rPr>
        <w:fldChar w:fldCharType="begin"/>
      </w:r>
      <w:r>
        <w:rPr>
          <w:rStyle w:val="1079"/>
          <w:rFonts w:ascii="宋体" w:hAnsi="宋体" w:cs="Calibri"/>
          <w:bCs/>
          <w:caps/>
          <w:color w:val="auto"/>
          <w:sz w:val="32"/>
        </w:rPr>
        <w:instrText xml:space="preserve"> TOC \o "1-1" \h \z \u </w:instrText>
      </w:r>
      <w:r>
        <w:rPr>
          <w:rStyle w:val="1079"/>
          <w:rFonts w:ascii="宋体" w:hAnsi="宋体" w:cs="Calibri"/>
          <w:bCs/>
          <w:caps/>
          <w:color w:val="auto"/>
          <w:sz w:val="32"/>
        </w:rPr>
        <w:fldChar w:fldCharType="separate"/>
      </w:r>
      <w:hyperlink w:tooltip="#_Toc105397776" w:anchor="_Toc105397776" w:history="1">
        <w:r>
          <w:rPr>
            <w:rStyle w:val="1079"/>
            <w:rFonts w:ascii="宋体" w:hAnsi="宋体" w:cs="Calibri"/>
            <w:bCs/>
            <w:caps/>
            <w:color w:val="auto"/>
            <w:sz w:val="32"/>
            <w:szCs w:val="32"/>
          </w:rPr>
          <w:t xml:space="preserve">第一章 投标邀请函</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_Toc105397776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5</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hyperlink w:tooltip="#_Toc105397777" w:anchor="_Toc105397777" w:history="1">
        <w:r>
          <w:rPr>
            <w:rStyle w:val="1079"/>
            <w:rFonts w:ascii="宋体" w:hAnsi="宋体" w:cs="Calibri"/>
            <w:bCs/>
            <w:caps/>
            <w:color w:val="auto"/>
            <w:sz w:val="32"/>
            <w:szCs w:val="32"/>
          </w:rPr>
          <w:t xml:space="preserve">第二章 投标人须知</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_Toc105397777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9</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hyperlink w:tooltip="#_Toc105397778" w:anchor="_Toc105397778" w:history="1">
        <w:r>
          <w:rPr>
            <w:rStyle w:val="1079"/>
            <w:rFonts w:ascii="宋体" w:hAnsi="宋体" w:cs="Calibri"/>
            <w:bCs/>
            <w:caps/>
            <w:color w:val="auto"/>
            <w:sz w:val="32"/>
            <w:szCs w:val="32"/>
          </w:rPr>
          <w:t xml:space="preserve">第三章 投标文件格式</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_Toc105397778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21</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hyperlink w:tooltip="#_Toc105397793" w:anchor="_Toc105397793" w:history="1">
        <w:r>
          <w:rPr>
            <w:rStyle w:val="1079"/>
            <w:rFonts w:ascii="宋体" w:hAnsi="宋体" w:cs="Calibri"/>
            <w:bCs/>
            <w:caps/>
            <w:color w:val="auto"/>
            <w:sz w:val="32"/>
            <w:szCs w:val="32"/>
          </w:rPr>
          <w:t xml:space="preserve">第四章 招标书</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_Toc105397793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34</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hyperlink w:tooltip="#_Toc105397794" w:anchor="_Toc105397794" w:history="1">
        <w:r>
          <w:rPr>
            <w:rStyle w:val="1079"/>
            <w:rFonts w:ascii="宋体" w:hAnsi="宋体" w:cs="Calibri"/>
            <w:bCs/>
            <w:caps/>
            <w:color w:val="auto"/>
            <w:sz w:val="32"/>
            <w:szCs w:val="32"/>
          </w:rPr>
          <w:t xml:space="preserve">第五章 合同及主要条款</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_Toc105397794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54</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9"/>
          <w:rFonts w:ascii="宋体" w:hAnsi="宋体" w:cs="Calibri"/>
          <w:bCs/>
          <w:caps/>
          <w:color w:val="auto"/>
          <w:sz w:val="32"/>
          <w:szCs w:val="32"/>
        </w:rPr>
        <w:outlineLvl w:val="9"/>
      </w:pPr>
      <w:r/>
      <w:hyperlink w:tooltip="#_Toc105397795" w:anchor="_Toc105397795" w:history="1">
        <w:r>
          <w:rPr>
            <w:rStyle w:val="1079"/>
            <w:rFonts w:ascii="宋体" w:hAnsi="宋体" w:cs="Calibri"/>
            <w:bCs/>
            <w:caps/>
            <w:color w:val="auto"/>
            <w:sz w:val="32"/>
            <w:szCs w:val="32"/>
          </w:rPr>
          <w:t xml:space="preserve">第六章 评标办法和评分标准</w:t>
        </w:r>
        <w:r>
          <w:rPr>
            <w:rStyle w:val="1079"/>
            <w:rFonts w:ascii="宋体" w:hAnsi="宋体" w:cs="Calibri"/>
            <w:bCs/>
            <w:caps/>
            <w:color w:val="auto"/>
            <w:sz w:val="32"/>
            <w:szCs w:val="32"/>
          </w:rPr>
          <w:tab/>
        </w: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PAGEREF _Toc105397795 \h </w:instrText>
        </w:r>
        <w:r>
          <w:rPr>
            <w:rStyle w:val="1079"/>
            <w:rFonts w:ascii="宋体" w:hAnsi="宋体" w:cs="Calibri"/>
            <w:bCs/>
            <w:caps/>
            <w:color w:val="auto"/>
            <w:sz w:val="32"/>
            <w:szCs w:val="32"/>
          </w:rPr>
        </w:r>
        <w:r>
          <w:rPr>
            <w:rStyle w:val="1079"/>
            <w:rFonts w:ascii="宋体" w:hAnsi="宋体" w:cs="Calibri"/>
            <w:bCs/>
            <w:caps/>
            <w:color w:val="auto"/>
            <w:sz w:val="32"/>
            <w:szCs w:val="32"/>
          </w:rPr>
          <w:fldChar w:fldCharType="separate"/>
        </w:r>
        <w:r>
          <w:rPr>
            <w:rStyle w:val="1079"/>
            <w:rFonts w:ascii="宋体" w:hAnsi="宋体" w:cs="Calibri"/>
            <w:bCs/>
            <w:caps/>
            <w:color w:val="auto"/>
            <w:sz w:val="32"/>
            <w:szCs w:val="32"/>
          </w:rPr>
          <w:t xml:space="preserve">65</w:t>
        </w:r>
        <w:r>
          <w:rPr>
            <w:rStyle w:val="1079"/>
            <w:rFonts w:ascii="宋体" w:hAnsi="宋体" w:cs="Calibri"/>
            <w:bCs/>
            <w:caps/>
            <w:color w:val="auto"/>
            <w:sz w:val="32"/>
            <w:szCs w:val="32"/>
          </w:rPr>
          <w:fldChar w:fldCharType="end"/>
        </w:r>
      </w:hyperlink>
      <w:r/>
      <w:r/>
    </w:p>
    <w:p>
      <w:pPr>
        <w:pStyle w:val="1045"/>
        <w:ind w:firstLine="0"/>
        <w:jc w:val="left"/>
        <w:spacing w:before="120" w:after="120"/>
        <w:tabs>
          <w:tab w:val="right" w:pos="9856" w:leader="dot"/>
        </w:tabs>
        <w:rPr>
          <w:rFonts w:ascii="宋体" w:hAnsi="宋体"/>
          <w:sz w:val="32"/>
          <w:szCs w:val="32"/>
        </w:rPr>
        <w:outlineLvl w:val="9"/>
      </w:pPr>
      <w:r>
        <w:rPr>
          <w:rStyle w:val="107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4" w:name="OLE_LINK18"/>
            <w:r/>
            <w:bookmarkStart w:id="5" w:name="OLE_LINK19"/>
            <w:r>
              <w:rPr>
                <w:rFonts w:hint="eastAsia" w:ascii="宋体" w:hAnsi="宋体" w:cs="Times New Roman"/>
                <w:sz w:val="21"/>
                <w:szCs w:val="21"/>
              </w:rPr>
              <w:t xml:space="preserve">信息中心服务器</w:t>
            </w:r>
            <w:r>
              <w:rPr>
                <w:rFonts w:hint="eastAsia" w:ascii="宋体" w:hAnsi="宋体" w:cs="Times New Roman"/>
                <w:sz w:val="21"/>
                <w:szCs w:val="21"/>
              </w:rPr>
              <w:t xml:space="preserve">及网络安全设备等采购</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苏州市相城人民医院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苏州市相城区华元路1060号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李骏</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SimSun" w:hAnsi="SimSun" w:eastAsia="SimSun" w:cs="SimSun"/>
                <w:color w:val="000000"/>
                <w:sz w:val="21"/>
              </w:rPr>
              <w:t xml:space="preserve">0512-69571822</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1"/>
        <w:ind w:left="431" w:firstLine="17"/>
        <w:jc w:val="center"/>
        <w:spacing w:before="0" w:after="0" w:line="360" w:lineRule="auto"/>
        <w:rPr>
          <w:rStyle w:val="1141"/>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信息中心服务器</w:t>
      </w:r>
      <w:r>
        <w:rPr>
          <w:rFonts w:hint="eastAsia" w:ascii="宋体" w:hAnsi="宋体"/>
          <w:b/>
          <w:sz w:val="21"/>
          <w:szCs w:val="21"/>
          <w:u w:val="single"/>
        </w:rPr>
        <w:t xml:space="preserve">及网络安全设备等采购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JSZC-320500-JZCG-G2026-0147</w:t>
      </w:r>
      <w:r/>
    </w:p>
    <w:p>
      <w:pPr>
        <w:pStyle w:val="102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信息中心服务器</w:t>
      </w:r>
      <w:r>
        <w:rPr>
          <w:rFonts w:hint="eastAsia" w:ascii="宋体" w:hAnsi="宋体"/>
          <w:sz w:val="21"/>
          <w:szCs w:val="21"/>
        </w:rPr>
        <w:t xml:space="preserve">及网络安全设备等采购</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人民币贰仟万元整（￥20000000.00元）</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人民币壹仟玖佰肆拾贰万伍仟捌佰陆拾元整（￥19425860.00元）</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合同签订后6个月内完成供货、安装、调试</w:t>
      </w:r>
      <w:r>
        <w:rPr>
          <w:rFonts w:hint="eastAsia" w:ascii="宋体" w:hAnsi="宋体"/>
          <w:sz w:val="21"/>
          <w:szCs w:val="21"/>
        </w:rPr>
        <w:t xml:space="preserve">；</w:t>
      </w:r>
      <w:r>
        <w:rPr>
          <w:rFonts w:hint="eastAsia" w:ascii="宋体" w:hAnsi="宋体"/>
          <w:sz w:val="21"/>
          <w:szCs w:val="21"/>
        </w:rPr>
        <w:t xml:space="preserve">本项目整体</w:t>
      </w:r>
      <w:r>
        <w:rPr>
          <w:rFonts w:hint="eastAsia" w:ascii="宋体" w:hAnsi="宋体"/>
          <w:sz w:val="21"/>
          <w:szCs w:val="21"/>
        </w:rPr>
        <w:t xml:space="preserve">免费</w:t>
      </w:r>
      <w:r>
        <w:rPr>
          <w:rFonts w:hint="eastAsia" w:ascii="宋体" w:hAnsi="宋体"/>
          <w:sz w:val="21"/>
          <w:szCs w:val="21"/>
        </w:rPr>
        <w:t xml:space="preserve">质保和服务期不低于5年</w:t>
      </w:r>
      <w:r>
        <w:rPr>
          <w:rFonts w:hint="eastAsia" w:ascii="宋体" w:hAnsi="宋体"/>
          <w:sz w:val="21"/>
          <w:szCs w:val="21"/>
        </w:rPr>
        <w:t xml:space="preserve">。</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相城人民医院坐落于相城区中心地带，诊疗辐射范围广泛，是相城区内唯一一所集医疗、急救、教学、科研为一体的三级乙等综合医院，近年来医院医疗服务能力持续跃升，医教研协同创新发展，致力于为区域群众提供优质、高效的医疗健康服务，助力相城区医疗卫生事业高质量发展。</w:t>
      </w:r>
      <w:r/>
    </w:p>
    <w:p>
      <w:pPr>
        <w:pStyle w:val="1029"/>
        <w:ind w:left="0" w:firstLine="420"/>
        <w:spacing w:line="360" w:lineRule="auto"/>
        <w:rPr>
          <w:rFonts w:ascii="宋体" w:hAnsi="宋体"/>
          <w:sz w:val="21"/>
          <w:szCs w:val="21"/>
        </w:rPr>
      </w:pPr>
      <w:r>
        <w:rPr>
          <w:rFonts w:hint="eastAsia" w:ascii="宋体" w:hAnsi="宋体"/>
          <w:sz w:val="21"/>
          <w:szCs w:val="21"/>
        </w:rPr>
        <w:t xml:space="preserve">基于本次建设范围和需求，拟定本次核心医疗信息系统建设项目定位为对标智慧医院评审，以评促建，对核心医疗信息系统进行全面优化升级，确保各项指标达到或优于评审标准，最终提高医疗质量，医疗安全，医疗成本效益，提升医院在行业内的信息化建设水平和竞争力。本次招标核心内容主要包括：数据库、操作系统、算力中心服务器、排队叫号系统及配套UPS设备等，所有采购设备需符合医院信息化建设整体规划，满足医疗行业相关标准及医院实际运营要求。</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9"/>
        <w:ind w:left="0" w:firstLine="420"/>
        <w:spacing w:line="360" w:lineRule="auto"/>
        <w:rPr>
          <w:rFonts w:ascii="宋体" w:hAnsi="宋体"/>
          <w:sz w:val="21"/>
          <w:szCs w:val="21"/>
        </w:rPr>
      </w:pPr>
      <w:r>
        <w:rPr>
          <w:rFonts w:hint="eastAsia" w:ascii="宋体" w:hAnsi="宋体"/>
          <w:sz w:val="21"/>
          <w:szCs w:val="21"/>
        </w:rPr>
        <w:t xml:space="preserve">3.方式：</w:t>
      </w:r>
      <w:r/>
    </w:p>
    <w:p>
      <w:pPr>
        <w:pStyle w:val="102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2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苏州市相城人民医院</w:t>
      </w:r>
      <w:r>
        <w:rPr>
          <w:rFonts w:hint="eastAsia" w:ascii="宋体" w:hAnsi="宋体"/>
          <w:sz w:val="21"/>
          <w:szCs w:val="21"/>
        </w:rPr>
        <w:t xml:space="preserve">  </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苏州市相城区华元路1060号</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李骏</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SimSun" w:hAnsi="SimSun" w:eastAsia="SimSun" w:cs="SimSun"/>
          <w:color w:val="000000"/>
          <w:sz w:val="21"/>
        </w:rPr>
        <w:t xml:space="preserve">0512-69571822</w:t>
      </w:r>
      <w:r>
        <w:rPr>
          <w:rFonts w:ascii="宋体" w:hAnsi="宋体"/>
          <w:sz w:val="21"/>
          <w:szCs w:val="21"/>
        </w:rPr>
      </w:r>
      <w:r/>
    </w:p>
    <w:p>
      <w:pPr>
        <w:pStyle w:val="102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512-69820691</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3"/>
      </w:pPr>
      <w:r/>
      <w:r/>
    </w:p>
    <w:p>
      <w:r/>
      <w:r/>
    </w:p>
    <w:p>
      <w:pPr>
        <w:pStyle w:val="1023"/>
      </w:pPr>
      <w:r/>
      <w:r/>
    </w:p>
    <w:p>
      <w:r/>
      <w:r/>
    </w:p>
    <w:p>
      <w:pPr>
        <w:pStyle w:val="1023"/>
      </w:pPr>
      <w:r/>
      <w:r/>
    </w:p>
    <w:p>
      <w:r/>
      <w:r/>
    </w:p>
    <w:p>
      <w:pPr>
        <w:pStyle w:val="1023"/>
      </w:pPr>
      <w:r/>
      <w:r/>
    </w:p>
    <w:p>
      <w:r/>
      <w:r/>
    </w:p>
    <w:p>
      <w:pPr>
        <w:pStyle w:val="1023"/>
      </w:pPr>
      <w:r/>
      <w:r/>
    </w:p>
    <w:p>
      <w:r/>
      <w:r/>
    </w:p>
    <w:p>
      <w:pPr>
        <w:pStyle w:val="1023"/>
      </w:pPr>
      <w:r/>
      <w:r/>
    </w:p>
    <w:p>
      <w:pPr>
        <w:pStyle w:val="1023"/>
        <w:ind w:left="0" w:firstLine="0"/>
      </w:pPr>
      <w:r/>
      <w:r/>
    </w:p>
    <w:p>
      <w:pPr>
        <w:ind w:left="0"/>
        <w:jc w:val="left"/>
        <w:rPr>
          <w:rFonts w:ascii="宋体" w:hAnsi="宋体"/>
          <w:b/>
          <w:sz w:val="44"/>
          <w:szCs w:val="22"/>
        </w:rPr>
      </w:pPr>
      <w:r/>
      <w:bookmarkStart w:id="11" w:name="_Toc2412"/>
      <w:r/>
      <w:bookmarkStart w:id="12" w:name="_Toc105397777"/>
      <w:r/>
      <w:bookmarkStart w:id="13" w:name="_Toc6217"/>
      <w:r>
        <w:rPr>
          <w:rFonts w:ascii="宋体" w:hAnsi="宋体"/>
          <w:b/>
          <w:sz w:val="44"/>
          <w:szCs w:val="22"/>
        </w:rPr>
        <w:br w:type="page" w:clear="all"/>
      </w:r>
      <w:r/>
    </w:p>
    <w:p>
      <w:pPr>
        <w:pStyle w:val="101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29"/>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29"/>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2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9"/>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2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29"/>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2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2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9"/>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9"/>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说明：技术指标要求</w:t>
      </w:r>
      <w:r>
        <w:rPr>
          <w:rFonts w:hint="eastAsia" w:ascii="宋体" w:hAnsi="宋体"/>
          <w:b/>
          <w:sz w:val="21"/>
          <w:szCs w:val="21"/>
        </w:rPr>
        <w:t xml:space="preserve">中带“★”项所涉及的</w:t>
      </w:r>
      <w:r>
        <w:rPr>
          <w:rFonts w:hint="eastAsia" w:ascii="宋体" w:hAnsi="宋体"/>
          <w:b/>
          <w:sz w:val="21"/>
          <w:szCs w:val="21"/>
        </w:rPr>
        <w:t xml:space="preserve">截图</w:t>
      </w:r>
      <w:r>
        <w:rPr>
          <w:rFonts w:hint="eastAsia" w:ascii="宋体" w:hAnsi="宋体"/>
          <w:b/>
          <w:sz w:val="21"/>
          <w:szCs w:val="21"/>
        </w:rPr>
        <w:t xml:space="preserve">证明材料为实质性响应内容</w:t>
      </w:r>
      <w:r>
        <w:rPr>
          <w:rFonts w:hint="eastAsia" w:ascii="宋体" w:hAnsi="宋体"/>
          <w:b/>
          <w:sz w:val="21"/>
          <w:szCs w:val="21"/>
        </w:rPr>
        <w:t xml:space="preserve">，投标文件中需提供</w:t>
      </w:r>
      <w:r>
        <w:rPr>
          <w:rFonts w:hint="eastAsia" w:ascii="宋体" w:hAnsi="宋体"/>
          <w:b/>
          <w:sz w:val="21"/>
          <w:szCs w:val="21"/>
        </w:rPr>
        <w:t xml:space="preserve">截图</w:t>
      </w:r>
      <w:r>
        <w:rPr>
          <w:rFonts w:hint="eastAsia" w:ascii="宋体" w:hAnsi="宋体"/>
          <w:b/>
          <w:sz w:val="21"/>
          <w:szCs w:val="21"/>
        </w:rPr>
        <w:t xml:space="preserve">证明材料复印件并加盖单位公章，未提供的视为非实质性响应。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服务器安全管理系统：</w:t>
      </w:r>
      <w:r/>
    </w:p>
    <w:p>
      <w:pPr>
        <w:pStyle w:val="1023"/>
        <w:ind w:left="0" w:firstLine="422"/>
        <w:spacing w:line="360" w:lineRule="auto"/>
        <w:rPr>
          <w:rFonts w:ascii="宋体" w:hAnsi="宋体"/>
          <w:b/>
          <w:sz w:val="21"/>
          <w:szCs w:val="21"/>
        </w:rPr>
      </w:pPr>
      <w:r>
        <w:rPr>
          <w:rFonts w:hint="eastAsia" w:ascii="宋体" w:hAnsi="宋体"/>
          <w:b/>
          <w:sz w:val="21"/>
          <w:szCs w:val="21"/>
        </w:rPr>
        <w:t xml:space="preserve">防病毒：★支持控制台实时监控与防护，支持客户端本地实时监控与防护；支持勒索病毒实时防护、支持一键开启/关闭勒索病毒防护开关、提供勒索诱饵防护、系统还原点和卷影保护、内核免疫等多种手段增强对勒索病毒的实时防护能力。（</w:t>
      </w:r>
      <w:r>
        <w:rPr>
          <w:rFonts w:hint="eastAsia" w:ascii="宋体" w:hAnsi="宋体"/>
          <w:b/>
          <w:sz w:val="21"/>
          <w:szCs w:val="21"/>
        </w:rPr>
        <w:t xml:space="preserve">须提供截图证明</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ascii="宋体" w:hAnsi="宋体"/>
          <w:b/>
          <w:sz w:val="21"/>
          <w:szCs w:val="21"/>
        </w:rPr>
        <w:t xml:space="preserve">Webshell</w:t>
      </w:r>
      <w:r>
        <w:rPr>
          <w:rFonts w:hint="eastAsia" w:ascii="宋体" w:hAnsi="宋体"/>
          <w:b/>
          <w:sz w:val="21"/>
          <w:szCs w:val="21"/>
        </w:rPr>
        <w:t xml:space="preserve">：★支持提供WebShell不同检测模式，支持精准和宽泛模式切换。（</w:t>
      </w:r>
      <w:r>
        <w:rPr>
          <w:rFonts w:hint="eastAsia" w:ascii="宋体" w:hAnsi="宋体"/>
          <w:b/>
          <w:sz w:val="21"/>
          <w:szCs w:val="21"/>
        </w:rPr>
        <w:t xml:space="preserve">须提供截图证明</w:t>
      </w:r>
      <w:r>
        <w:rPr>
          <w:rFonts w:hint="eastAsia" w:ascii="宋体" w:hAnsi="宋体"/>
          <w:b/>
          <w:sz w:val="21"/>
          <w:szCs w:val="21"/>
        </w:rPr>
        <w:t xml:space="preserve">）</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账号风险扫描：★支持对不同账号使用同一密码的口令复用行为进行检测，统计相同密码的账户数量、账户所在服务器、账户名称、账户状态等信息，并支持导出。（</w:t>
      </w:r>
      <w:r>
        <w:rPr>
          <w:rFonts w:hint="eastAsia" w:ascii="宋体" w:hAnsi="宋体"/>
          <w:b/>
          <w:sz w:val="21"/>
          <w:szCs w:val="21"/>
        </w:rPr>
        <w:t xml:space="preserve">须提供截图证明</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微隔离：★支持服务器的一键隔离，支持对一键隔离设置可访问的白名单IP。（</w:t>
      </w:r>
      <w:r>
        <w:rPr>
          <w:rFonts w:hint="eastAsia" w:ascii="宋体" w:hAnsi="宋体"/>
          <w:b/>
          <w:sz w:val="21"/>
          <w:szCs w:val="21"/>
        </w:rPr>
        <w:t xml:space="preserve">须提供截图证明</w:t>
      </w:r>
      <w:r>
        <w:rPr>
          <w:rFonts w:hint="eastAsia" w:ascii="宋体" w:hAnsi="宋体"/>
          <w:b/>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w:t>
      </w:r>
      <w:r>
        <w:rPr>
          <w:rFonts w:hint="eastAsia" w:ascii="宋体" w:hAnsi="宋体" w:cs="宋体"/>
          <w:color w:val="000000" w:themeColor="text1"/>
          <w:sz w:val="21"/>
          <w:szCs w:val="21"/>
        </w:rPr>
        <w:t xml:space="preserve">考虑到网络环境、网络带宽等风险因素，如因投标人自身原因造成的电子投标文件上传不成功由投标人自行承担全部责任。</w:t>
      </w:r>
      <w:bookmarkEnd w:id="33"/>
      <w:r/>
      <w:bookmarkEnd w:id="34"/>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5"/>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5"/>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5"/>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4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5"/>
        <w:ind w:left="0" w:firstLine="0"/>
        <w:spacing w:line="360" w:lineRule="auto"/>
        <w:rPr>
          <w:rFonts w:ascii="宋体" w:hAnsi="宋体" w:cs="宋体"/>
          <w:sz w:val="21"/>
          <w:szCs w:val="21"/>
        </w:rPr>
      </w:pPr>
      <w:r>
        <w:rPr>
          <w:rFonts w:ascii="宋体" w:hAnsi="宋体" w:cs="宋体"/>
          <w:sz w:val="21"/>
          <w:szCs w:val="21"/>
        </w:rPr>
      </w:r>
      <w:r/>
    </w:p>
    <w:p>
      <w:pPr>
        <w:pStyle w:val="1011"/>
        <w:ind w:left="0" w:firstLine="0"/>
        <w:jc w:val="center"/>
        <w:rPr>
          <w:rFonts w:ascii="宋体" w:hAnsi="宋体"/>
          <w:sz w:val="21"/>
          <w:szCs w:val="21"/>
          <w:lang w:val="zh-CN"/>
        </w:rPr>
      </w:pPr>
      <w:r/>
      <w:bookmarkStart w:id="50" w:name="_Toc105397778"/>
      <w:r/>
      <w:bookmarkStart w:id="51" w:name="_Toc24711"/>
      <w:r/>
      <w:bookmarkStart w:id="52" w:name="_Toc7264"/>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4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05397779"/>
      <w:r/>
      <w:bookmarkStart w:id="55" w:name="_Toc3821"/>
      <w:r/>
      <w:bookmarkStart w:id="56" w:name="_Toc71810480"/>
      <w:r/>
      <w:bookmarkStart w:id="57" w:name="_Toc17036"/>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8"/>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w:t>
      </w:r>
      <w:bookmarkEnd w:id="71"/>
      <w:r/>
      <w:bookmarkEnd w:id="72"/>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21574"/>
      <w:r/>
      <w:bookmarkStart w:id="79" w:name="_Toc19621"/>
      <w:r/>
      <w:bookmarkStart w:id="80"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苏州市相城人民医院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信息中心服务器</w:t>
      </w:r>
      <w:r>
        <w:rPr>
          <w:rFonts w:hint="eastAsia" w:ascii="宋体" w:hAnsi="宋体"/>
          <w:b/>
          <w:sz w:val="21"/>
          <w:szCs w:val="21"/>
          <w:u w:val="single"/>
        </w:rPr>
        <w:t xml:space="preserve">及网络安全设备等采购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869"/>
      <w:r/>
      <w:bookmarkStart w:id="84" w:name="_Toc32206"/>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6" w:name="OLE_LINK15"/>
      <w:r/>
      <w:bookmarkStart w:id="87"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71"/>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7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8"/>
          <w:rFonts w:hint="eastAsia"/>
          <w:color w:val="333333"/>
          <w:u w:val="single"/>
        </w:rPr>
        <w:t xml:space="preserve">（产品名称</w:t>
      </w:r>
      <w:r>
        <w:rPr>
          <w:rStyle w:val="1078"/>
          <w:rFonts w:hint="eastAsia"/>
          <w:color w:val="333333"/>
          <w:u w:val="single"/>
        </w:rPr>
        <w:t xml:space="preserve">1</w:t>
      </w:r>
      <w:r>
        <w:rPr>
          <w:rStyle w:val="1078"/>
          <w:rFonts w:hint="eastAsia"/>
          <w:color w:val="333333"/>
          <w:u w:val="single"/>
        </w:rPr>
        <w:t xml:space="preserve">）</w:t>
      </w:r>
      <w:r>
        <w:rPr>
          <w:rStyle w:val="1078"/>
          <w:rFonts w:hint="eastAsia"/>
          <w:color w:val="333333"/>
          <w:vertAlign w:val="superscript"/>
        </w:rPr>
        <w:t xml:space="preserve">1</w:t>
      </w:r>
      <w:r>
        <w:rPr>
          <w:rFonts w:hint="eastAsia"/>
          <w:color w:val="333333"/>
        </w:rPr>
        <w:t xml:space="preserve">，生产厂为</w:t>
      </w:r>
      <w:r>
        <w:rPr>
          <w:rStyle w:val="1078"/>
          <w:rFonts w:hint="eastAsia"/>
          <w:color w:val="333333"/>
          <w:u w:val="single"/>
        </w:rPr>
        <w:t xml:space="preserve">（厂名）</w:t>
      </w:r>
      <w:r>
        <w:rPr>
          <w:rStyle w:val="1078"/>
          <w:rFonts w:hint="eastAsia"/>
          <w:color w:val="333333"/>
          <w:vertAlign w:val="superscript"/>
        </w:rPr>
        <w:t xml:space="preserve">2</w:t>
      </w:r>
      <w:r>
        <w:rPr>
          <w:rFonts w:hint="eastAsia"/>
          <w:color w:val="333333"/>
        </w:rPr>
        <w:t xml:space="preserve">，厂址为</w:t>
      </w:r>
      <w:r>
        <w:rPr>
          <w:rStyle w:val="1078"/>
          <w:rFonts w:hint="eastAsia"/>
          <w:color w:val="333333"/>
          <w:u w:val="single"/>
        </w:rPr>
        <w:t xml:space="preserve">（生产厂址）</w:t>
      </w:r>
      <w:r>
        <w:rPr>
          <w:rFonts w:hint="eastAsia"/>
          <w:color w:val="333333"/>
        </w:rPr>
        <w:t xml:space="preserve">。</w:t>
      </w:r>
      <w:r>
        <w:rPr>
          <w:rStyle w:val="1078"/>
          <w:rFonts w:hint="eastAsia"/>
          <w:color w:val="333333"/>
          <w:u w:val="single"/>
        </w:rPr>
        <w:t xml:space="preserve">（产品名称</w:t>
      </w:r>
      <w:r>
        <w:rPr>
          <w:rStyle w:val="1078"/>
          <w:rFonts w:hint="eastAsia"/>
          <w:color w:val="333333"/>
          <w:u w:val="single"/>
        </w:rPr>
        <w:t xml:space="preserve">1</w:t>
      </w:r>
      <w:r>
        <w:rPr>
          <w:rStyle w:val="1078"/>
          <w:rFonts w:hint="eastAsia"/>
          <w:color w:val="333333"/>
          <w:u w:val="single"/>
        </w:rPr>
        <w:t xml:space="preserve">）</w:t>
      </w:r>
      <w:r>
        <w:rPr>
          <w:rFonts w:hint="eastAsia"/>
          <w:color w:val="333333"/>
        </w:rPr>
        <w:t xml:space="preserve">的中国境内生产的组件成本占比≥</w:t>
      </w:r>
      <w:r>
        <w:rPr>
          <w:rStyle w:val="1078"/>
          <w:rFonts w:hint="eastAsia"/>
          <w:color w:val="333333"/>
          <w:u w:val="single"/>
        </w:rPr>
        <w:t xml:space="preserve">（规定比例）</w:t>
      </w:r>
      <w:r>
        <w:rPr>
          <w:rStyle w:val="1078"/>
          <w:rFonts w:hint="eastAsia"/>
          <w:color w:val="333333"/>
          <w:vertAlign w:val="superscript"/>
        </w:rPr>
        <w:t xml:space="preserve">3</w:t>
      </w:r>
      <w:r>
        <w:rPr>
          <w:rFonts w:hint="eastAsia"/>
          <w:color w:val="333333"/>
        </w:rPr>
        <w:t xml:space="preserve">。</w:t>
      </w:r>
      <w:r>
        <w:rPr>
          <w:rStyle w:val="1078"/>
          <w:rFonts w:hint="eastAsia"/>
          <w:color w:val="333333"/>
          <w:u w:val="single"/>
        </w:rPr>
        <w:t xml:space="preserve">（产品名称</w:t>
      </w:r>
      <w:r>
        <w:rPr>
          <w:rStyle w:val="1078"/>
          <w:rFonts w:hint="eastAsia"/>
          <w:color w:val="333333"/>
          <w:u w:val="single"/>
        </w:rPr>
        <w:t xml:space="preserve">1</w:t>
      </w:r>
      <w:r>
        <w:rPr>
          <w:rStyle w:val="1078"/>
          <w:rFonts w:hint="eastAsia"/>
          <w:color w:val="333333"/>
          <w:u w:val="single"/>
        </w:rPr>
        <w:t xml:space="preserve">）</w:t>
      </w:r>
      <w:r>
        <w:rPr>
          <w:rFonts w:hint="eastAsia"/>
          <w:color w:val="333333"/>
        </w:rPr>
        <w:t xml:space="preserve">的</w:t>
      </w:r>
      <w:r>
        <w:rPr>
          <w:rStyle w:val="1078"/>
          <w:rFonts w:hint="eastAsia"/>
          <w:color w:val="333333"/>
          <w:u w:val="single"/>
        </w:rPr>
        <w:t xml:space="preserve">（关键组件）</w:t>
      </w:r>
      <w:r>
        <w:rPr>
          <w:rStyle w:val="1078"/>
          <w:rFonts w:hint="eastAsia"/>
          <w:color w:val="333333"/>
          <w:vertAlign w:val="superscript"/>
        </w:rPr>
        <w:t xml:space="preserve">4</w:t>
      </w:r>
      <w:r>
        <w:rPr>
          <w:rFonts w:hint="eastAsia"/>
          <w:color w:val="333333"/>
        </w:rPr>
        <w:t xml:space="preserve">在中国境内生产。</w:t>
      </w:r>
      <w:r>
        <w:rPr>
          <w:rStyle w:val="1078"/>
          <w:rFonts w:hint="eastAsia"/>
          <w:color w:val="333333"/>
          <w:u w:val="single"/>
        </w:rPr>
        <w:t xml:space="preserve">（产品名称</w:t>
      </w:r>
      <w:r>
        <w:rPr>
          <w:rStyle w:val="1078"/>
          <w:rFonts w:hint="eastAsia"/>
          <w:color w:val="333333"/>
          <w:u w:val="single"/>
        </w:rPr>
        <w:t xml:space="preserve">1</w:t>
      </w:r>
      <w:r>
        <w:rPr>
          <w:rStyle w:val="1078"/>
          <w:rFonts w:hint="eastAsia"/>
          <w:color w:val="333333"/>
          <w:u w:val="single"/>
        </w:rPr>
        <w:t xml:space="preserve">）</w:t>
      </w:r>
      <w:r>
        <w:rPr>
          <w:rFonts w:hint="eastAsia"/>
          <w:color w:val="333333"/>
        </w:rPr>
        <w:t xml:space="preserve">的</w:t>
      </w:r>
      <w:r>
        <w:rPr>
          <w:rStyle w:val="1078"/>
          <w:rFonts w:hint="eastAsia"/>
          <w:color w:val="333333"/>
          <w:u w:val="single"/>
        </w:rPr>
        <w:t xml:space="preserve">（关键工序）</w:t>
      </w:r>
      <w:r>
        <w:rPr>
          <w:rStyle w:val="1078"/>
          <w:rFonts w:hint="eastAsia"/>
          <w:color w:val="333333"/>
          <w:vertAlign w:val="superscript"/>
        </w:rPr>
        <w:t xml:space="preserve">5</w:t>
      </w:r>
      <w:r>
        <w:rPr>
          <w:rFonts w:hint="eastAsia"/>
          <w:color w:val="333333"/>
        </w:rPr>
        <w:t xml:space="preserve">在中国境内完成。</w:t>
      </w:r>
      <w:r/>
    </w:p>
    <w:p>
      <w:pPr>
        <w:pStyle w:val="1071"/>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8"/>
          <w:rFonts w:hint="eastAsia"/>
          <w:color w:val="333333"/>
          <w:u w:val="single"/>
        </w:rPr>
        <w:t xml:space="preserve">（产品名称</w:t>
      </w:r>
      <w:r>
        <w:rPr>
          <w:rStyle w:val="1078"/>
          <w:rFonts w:hint="eastAsia"/>
          <w:color w:val="333333"/>
          <w:u w:val="single"/>
        </w:rPr>
        <w:t xml:space="preserve">2</w:t>
      </w:r>
      <w:r>
        <w:rPr>
          <w:rStyle w:val="1078"/>
          <w:rFonts w:hint="eastAsia"/>
          <w:color w:val="333333"/>
          <w:u w:val="single"/>
        </w:rPr>
        <w:t xml:space="preserve">）</w:t>
      </w:r>
      <w:r>
        <w:rPr>
          <w:rFonts w:hint="eastAsia"/>
          <w:color w:val="333333"/>
        </w:rPr>
        <w:t xml:space="preserve">，生产厂为</w:t>
      </w:r>
      <w:r>
        <w:rPr>
          <w:rStyle w:val="1078"/>
          <w:rFonts w:hint="eastAsia"/>
          <w:color w:val="333333"/>
          <w:u w:val="single"/>
        </w:rPr>
        <w:t xml:space="preserve">（厂名）</w:t>
      </w:r>
      <w:r>
        <w:rPr>
          <w:rFonts w:hint="eastAsia"/>
          <w:color w:val="333333"/>
        </w:rPr>
        <w:t xml:space="preserve">，厂址为</w:t>
      </w:r>
      <w:r>
        <w:rPr>
          <w:rStyle w:val="1078"/>
          <w:rFonts w:hint="eastAsia"/>
          <w:color w:val="333333"/>
          <w:u w:val="single"/>
        </w:rPr>
        <w:t xml:space="preserve">（生产厂址）</w:t>
      </w:r>
      <w:r>
        <w:rPr>
          <w:rFonts w:hint="eastAsia"/>
          <w:color w:val="333333"/>
        </w:rPr>
        <w:t xml:space="preserve">。</w:t>
      </w:r>
      <w:r>
        <w:rPr>
          <w:rStyle w:val="1078"/>
          <w:rFonts w:hint="eastAsia"/>
          <w:color w:val="333333"/>
          <w:u w:val="single"/>
        </w:rPr>
        <w:t xml:space="preserve">（产品名称</w:t>
      </w:r>
      <w:r>
        <w:rPr>
          <w:rStyle w:val="1078"/>
          <w:rFonts w:hint="eastAsia"/>
          <w:color w:val="333333"/>
          <w:u w:val="single"/>
        </w:rPr>
        <w:t xml:space="preserve">2</w:t>
      </w:r>
      <w:r>
        <w:rPr>
          <w:rStyle w:val="1078"/>
          <w:rFonts w:hint="eastAsia"/>
          <w:color w:val="333333"/>
          <w:u w:val="single"/>
        </w:rPr>
        <w:t xml:space="preserve">）</w:t>
      </w:r>
      <w:r>
        <w:rPr>
          <w:rFonts w:hint="eastAsia"/>
          <w:color w:val="333333"/>
        </w:rPr>
        <w:t xml:space="preserve">的中国境内生产的组件成本占比≥</w:t>
      </w:r>
      <w:r>
        <w:rPr>
          <w:rStyle w:val="1078"/>
          <w:rFonts w:hint="eastAsia"/>
          <w:color w:val="333333"/>
          <w:u w:val="single"/>
        </w:rPr>
        <w:t xml:space="preserve">（规定比例）</w:t>
      </w:r>
      <w:r>
        <w:rPr>
          <w:rFonts w:hint="eastAsia"/>
          <w:color w:val="333333"/>
        </w:rPr>
        <w:t xml:space="preserve">。</w:t>
      </w:r>
      <w:r>
        <w:rPr>
          <w:rStyle w:val="1078"/>
          <w:rFonts w:hint="eastAsia"/>
          <w:color w:val="333333"/>
          <w:u w:val="single"/>
        </w:rPr>
        <w:t xml:space="preserve">（产品名称</w:t>
      </w:r>
      <w:r>
        <w:rPr>
          <w:rStyle w:val="1078"/>
          <w:rFonts w:hint="eastAsia"/>
          <w:color w:val="333333"/>
          <w:u w:val="single"/>
        </w:rPr>
        <w:t xml:space="preserve">2</w:t>
      </w:r>
      <w:r>
        <w:rPr>
          <w:rStyle w:val="1078"/>
          <w:rFonts w:hint="eastAsia"/>
          <w:color w:val="333333"/>
          <w:u w:val="single"/>
        </w:rPr>
        <w:t xml:space="preserve">）</w:t>
      </w:r>
      <w:r>
        <w:rPr>
          <w:rFonts w:hint="eastAsia"/>
          <w:color w:val="333333"/>
        </w:rPr>
        <w:t xml:space="preserve">的</w:t>
      </w:r>
      <w:r>
        <w:rPr>
          <w:rStyle w:val="1078"/>
          <w:rFonts w:hint="eastAsia"/>
          <w:color w:val="333333"/>
          <w:u w:val="single"/>
        </w:rPr>
        <w:t xml:space="preserve">（关键组件）</w:t>
      </w:r>
      <w:r>
        <w:rPr>
          <w:rFonts w:hint="eastAsia"/>
          <w:color w:val="333333"/>
        </w:rPr>
        <w:t xml:space="preserve">在中国境内生产。</w:t>
      </w:r>
      <w:r>
        <w:rPr>
          <w:rStyle w:val="1078"/>
          <w:rFonts w:hint="eastAsia"/>
          <w:color w:val="333333"/>
          <w:u w:val="single"/>
        </w:rPr>
        <w:t xml:space="preserve">（产品名称</w:t>
      </w:r>
      <w:r>
        <w:rPr>
          <w:rStyle w:val="1078"/>
          <w:rFonts w:hint="eastAsia"/>
          <w:color w:val="333333"/>
          <w:u w:val="single"/>
        </w:rPr>
        <w:t xml:space="preserve">2</w:t>
      </w:r>
      <w:r>
        <w:rPr>
          <w:rStyle w:val="1078"/>
          <w:rFonts w:hint="eastAsia"/>
          <w:color w:val="333333"/>
          <w:u w:val="single"/>
        </w:rPr>
        <w:t xml:space="preserve">）</w:t>
      </w:r>
      <w:r>
        <w:rPr>
          <w:rFonts w:hint="eastAsia"/>
          <w:color w:val="333333"/>
        </w:rPr>
        <w:t xml:space="preserve">的</w:t>
      </w:r>
      <w:r>
        <w:rPr>
          <w:rStyle w:val="1078"/>
          <w:rFonts w:hint="eastAsia"/>
          <w:color w:val="333333"/>
          <w:u w:val="single"/>
        </w:rPr>
        <w:t xml:space="preserve">（关键工序）</w:t>
      </w:r>
      <w:r>
        <w:rPr>
          <w:rFonts w:hint="eastAsia"/>
          <w:color w:val="333333"/>
        </w:rPr>
        <w:t xml:space="preserve">在中国境内完成。</w:t>
      </w:r>
      <w:r/>
    </w:p>
    <w:p>
      <w:pPr>
        <w:pStyle w:val="1071"/>
        <w:ind w:firstLine="480"/>
        <w:spacing w:before="30" w:after="30"/>
        <w:shd w:val="clear" w:color="auto" w:fill="ffffff"/>
        <w:rPr>
          <w:color w:val="333333"/>
        </w:rPr>
      </w:pPr>
      <w:r>
        <w:rPr>
          <w:rFonts w:hint="eastAsia"/>
          <w:color w:val="333333"/>
        </w:rPr>
        <w:t xml:space="preserve">……</w:t>
      </w:r>
      <w:r/>
    </w:p>
    <w:p>
      <w:pPr>
        <w:pStyle w:val="1071"/>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71"/>
        <w:spacing w:before="30" w:after="30"/>
        <w:shd w:val="clear" w:color="auto" w:fill="ffffff"/>
        <w:rPr>
          <w:color w:val="333333"/>
        </w:rPr>
      </w:pPr>
      <w:r>
        <w:rPr>
          <w:color w:val="333333"/>
        </w:rPr>
      </w:r>
      <w:r/>
    </w:p>
    <w:p>
      <w:pPr>
        <w:pStyle w:val="1071"/>
        <w:ind w:right="815"/>
        <w:jc w:val="center"/>
        <w:spacing w:before="30" w:after="30"/>
        <w:shd w:val="clear" w:color="auto" w:fill="ffffff"/>
        <w:rPr>
          <w:color w:val="333333"/>
        </w:rPr>
      </w:pPr>
      <w:r>
        <w:rPr>
          <w:rFonts w:hint="eastAsia"/>
          <w:color w:val="333333"/>
        </w:rPr>
        <w:t xml:space="preserve">公司（单位）名称（盖章）：</w:t>
      </w:r>
      <w:r/>
    </w:p>
    <w:p>
      <w:pPr>
        <w:pStyle w:val="1071"/>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71"/>
        <w:jc w:val="right"/>
        <w:spacing w:before="0" w:after="0"/>
        <w:shd w:val="clear" w:color="auto" w:fill="ffffff"/>
        <w:rPr>
          <w:color w:val="333333"/>
        </w:rPr>
      </w:pPr>
      <w:r>
        <w:rPr>
          <w:color w:val="333333"/>
        </w:rPr>
      </w:r>
      <w:r/>
    </w:p>
    <w:p>
      <w:pPr>
        <w:pStyle w:val="1071"/>
        <w:jc w:val="right"/>
        <w:spacing w:before="0" w:after="0"/>
        <w:shd w:val="clear" w:color="auto" w:fill="ffffff"/>
        <w:rPr>
          <w:color w:val="333333"/>
        </w:rPr>
      </w:pPr>
      <w:r>
        <w:rPr>
          <w:color w:val="333333"/>
        </w:rPr>
      </w:r>
      <w:r/>
    </w:p>
    <w:p>
      <w:pPr>
        <w:pStyle w:val="1071"/>
        <w:jc w:val="right"/>
        <w:spacing w:before="0" w:after="0"/>
        <w:shd w:val="clear" w:color="auto" w:fill="ffffff"/>
        <w:rPr>
          <w:color w:val="333333"/>
        </w:rPr>
      </w:pPr>
      <w:r>
        <w:rPr>
          <w:color w:val="333333"/>
        </w:rPr>
      </w:r>
      <w:r/>
    </w:p>
    <w:p>
      <w:pPr>
        <w:pStyle w:val="1071"/>
        <w:jc w:val="right"/>
        <w:spacing w:before="0" w:after="0"/>
        <w:shd w:val="clear" w:color="auto" w:fill="ffffff"/>
        <w:rPr>
          <w:color w:val="333333"/>
        </w:rPr>
      </w:pPr>
      <w:r>
        <w:rPr>
          <w:color w:val="333333"/>
        </w:rPr>
      </w:r>
      <w:r/>
    </w:p>
    <w:p>
      <w:pPr>
        <w:pStyle w:val="1071"/>
        <w:ind w:left="0" w:firstLine="0"/>
        <w:spacing w:before="30" w:after="30"/>
        <w:shd w:val="clear" w:color="auto" w:fill="ffffff"/>
        <w:rPr>
          <w:color w:val="333333"/>
        </w:rPr>
      </w:pPr>
      <w:r>
        <w:rPr>
          <w:rFonts w:hint="eastAsia"/>
          <w:color w:val="333333"/>
        </w:rPr>
        <w:t xml:space="preserve">__________________</w:t>
      </w:r>
      <w:r/>
    </w:p>
    <w:p>
      <w:pPr>
        <w:pStyle w:val="1071"/>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71"/>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71"/>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71"/>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71"/>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71"/>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6"/>
      <w:r/>
      <w:bookmarkEnd w:id="87"/>
      <w:r/>
      <w:r/>
    </w:p>
    <w:p>
      <w:pPr>
        <w:ind w:left="0"/>
        <w:jc w:val="left"/>
        <w:rPr>
          <w:rFonts w:ascii="宋体" w:hAnsi="宋体"/>
          <w:sz w:val="21"/>
          <w:szCs w:val="21"/>
        </w:rPr>
        <w:outlineLvl w:val="0"/>
      </w:pPr>
      <w:r>
        <w:rPr>
          <w:rFonts w:ascii="宋体" w:hAnsi="宋体"/>
          <w:sz w:val="21"/>
          <w:szCs w:val="21"/>
          <w:lang w:val="zh-CN"/>
        </w:rPr>
        <w:br w:type="page" w:clear="all"/>
      </w:r>
      <w:bookmarkStart w:id="88" w:name="_Toc31973"/>
      <w:r/>
      <w:bookmarkStart w:id="89" w:name="_Toc27138"/>
      <w:r/>
      <w:r/>
    </w:p>
    <w:p>
      <w:pPr>
        <w:ind w:left="0"/>
        <w:jc w:val="left"/>
        <w:rPr>
          <w:rFonts w:ascii="宋体" w:hAnsi="宋体"/>
          <w:b/>
          <w:sz w:val="21"/>
          <w:szCs w:val="21"/>
        </w:rPr>
        <w:outlineLvl w:val="0"/>
      </w:pPr>
      <w:r/>
      <w:bookmarkStart w:id="90"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8"/>
        <w:rPr>
          <w:rFonts w:ascii="宋体" w:hAnsi="宋体"/>
        </w:rPr>
      </w:pPr>
      <w:r>
        <w:rPr>
          <w:rFonts w:ascii="宋体" w:hAnsi="宋体"/>
        </w:rPr>
      </w:r>
      <w:r/>
    </w:p>
    <w:p>
      <w:r/>
      <w:r/>
    </w:p>
    <w:p>
      <w:pPr>
        <w:pStyle w:val="1023"/>
      </w:pPr>
      <w:r/>
      <w:r/>
    </w:p>
    <w:p>
      <w:r/>
      <w:r/>
    </w:p>
    <w:p>
      <w:pPr>
        <w:pStyle w:val="1023"/>
      </w:pPr>
      <w:r/>
      <w:r/>
    </w:p>
    <w:p>
      <w:r/>
      <w:r/>
    </w:p>
    <w:p>
      <w:pPr>
        <w:pStyle w:val="1023"/>
      </w:pPr>
      <w:r/>
      <w:r/>
    </w:p>
    <w:p>
      <w:pPr>
        <w:pStyle w:val="1023"/>
      </w:pPr>
      <w:r/>
      <w:r/>
    </w:p>
    <w:p>
      <w:pPr>
        <w:pStyle w:val="102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3" w:name="_Toc71810490"/>
      <w:r/>
      <w:bookmarkEnd w:id="88"/>
      <w:r/>
      <w:bookmarkEnd w:id="89"/>
      <w:r>
        <w:rPr>
          <w:rFonts w:ascii="宋体" w:hAnsi="宋体"/>
        </w:rPr>
        <w:t xml:space="preserve"> </w:t>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7"/>
      <w:r/>
      <w:bookmarkStart w:id="96"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5"/>
      <w:r/>
      <w:bookmarkEnd w:id="9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3"/>
        <w:rPr>
          <w:lang w:val="zh-CN"/>
        </w:rPr>
      </w:pPr>
      <w:r>
        <w:rPr>
          <w:lang w:val="zh-CN"/>
        </w:rPr>
      </w:r>
      <w:r/>
    </w:p>
    <w:p>
      <w:pPr>
        <w:rPr>
          <w:lang w:val="zh-CN"/>
        </w:rPr>
      </w:pPr>
      <w:r>
        <w:rPr>
          <w:lang w:val="zh-CN"/>
        </w:rPr>
      </w:r>
      <w:r/>
    </w:p>
    <w:p>
      <w:pPr>
        <w:pStyle w:val="1011"/>
        <w:ind w:left="0" w:firstLine="0"/>
        <w:jc w:val="center"/>
        <w:rPr>
          <w:rFonts w:ascii="宋体" w:hAnsi="宋体"/>
          <w:b/>
          <w:sz w:val="44"/>
          <w:szCs w:val="22"/>
        </w:rPr>
      </w:pPr>
      <w:r/>
      <w:bookmarkStart w:id="98" w:name="_Toc105397793"/>
      <w:r/>
      <w:bookmarkStart w:id="99" w:name="_Toc4098"/>
      <w:r/>
      <w:bookmarkStart w:id="100" w:name="_Toc23660"/>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苏州市相城人民医院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信息中心服务器</w:t>
      </w:r>
      <w:r>
        <w:rPr>
          <w:rFonts w:hint="eastAsia" w:ascii="宋体" w:hAnsi="宋体"/>
          <w:sz w:val="21"/>
          <w:u w:val="single"/>
        </w:rPr>
        <w:t xml:space="preserve">及网络安全设备等采购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信息中心服务器</w:t>
      </w:r>
      <w:r>
        <w:rPr>
          <w:rFonts w:hint="eastAsia" w:ascii="宋体" w:hAnsi="宋体"/>
          <w:sz w:val="21"/>
        </w:rPr>
        <w:t xml:space="preserve">及网络安全设备等采购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人民币贰仟万元整（￥2</w:t>
      </w:r>
      <w:r>
        <w:rPr>
          <w:rFonts w:ascii="宋体" w:hAnsi="宋体"/>
          <w:sz w:val="21"/>
        </w:rPr>
        <w:t xml:space="preserve">0000000.00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壹仟玖佰肆拾贰万伍仟捌佰陆拾</w:t>
      </w:r>
      <w:r>
        <w:rPr>
          <w:rFonts w:hint="eastAsia" w:ascii="宋体" w:hAnsi="宋体"/>
          <w:sz w:val="21"/>
        </w:rPr>
        <w:t xml:space="preserve">元整（￥</w:t>
      </w:r>
      <w:r>
        <w:rPr>
          <w:rFonts w:ascii="宋体" w:hAnsi="宋体"/>
          <w:sz w:val="21"/>
        </w:rPr>
        <w:t xml:space="preserve">19425860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02" w:name="OLE_LINK36"/>
      <w:r/>
      <w:bookmarkStart w:id="103" w:name="OLE_LINK37"/>
      <w:r>
        <w:rPr>
          <w:rFonts w:hint="eastAsia" w:ascii="宋体" w:hAnsi="宋体"/>
          <w:sz w:val="21"/>
        </w:rPr>
        <w:t xml:space="preserve">合同签订后6个月内完成供货、安装、调试</w:t>
      </w:r>
      <w:bookmarkEnd w:id="102"/>
      <w:r/>
      <w:bookmarkEnd w:id="103"/>
      <w:r>
        <w:rPr>
          <w:rFonts w:hint="eastAsia" w:ascii="宋体" w:hAnsi="宋体"/>
          <w:sz w:val="21"/>
        </w:rPr>
        <w:t xml:space="preserve">；本项目整体免费质保和服务期不低于5年。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12"/>
        <w:ind w:left="0" w:firstLine="422"/>
        <w:spacing w:before="0" w:after="0" w:line="360" w:lineRule="auto"/>
        <w:rPr>
          <w:rFonts w:ascii="宋体" w:hAnsi="宋体"/>
          <w:b/>
          <w:bCs/>
          <w:sz w:val="21"/>
        </w:rPr>
      </w:pPr>
      <w:r>
        <w:rPr>
          <w:rFonts w:hint="eastAsia" w:ascii="宋体" w:hAnsi="宋体"/>
          <w:b/>
          <w:bCs/>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2021年《中华人民共和国国民经济和社会发展第十四个五年规划和二〇三五年远景目标纲要》指明了发展方向：坚持创新在我国现代化建设全局中的核心地位，把科技自立自强作为国家发展的战略支撑；推进产业基础高级化、产业链现代化，提高经济质量效益和核心竞争力。科技自立自强、产业链、供应链自主可控成为我国上下各界共同奋斗的目标。“十四五”纲要提出加强原创性科技攻关、提高高端芯片、操作系统、人工智能算法等关键领域研发突破与迭代应用，并将增强信创供应链安全保障能力列为重点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国家信创要求，积极开展卫生健康信创发展策略与技术方案研究，推动卫生健康信创关键技术协同攻关、标准制定、适配验证、人才培养等工作，组织协调医疗卫生机构与信息技术企业开展卫生健康信创应用试点，打造卫生健康信创产业支撑基础环境。</w:t>
      </w:r>
      <w:r/>
    </w:p>
    <w:p>
      <w:pPr>
        <w:pStyle w:val="1012"/>
        <w:ind w:left="0" w:firstLine="422"/>
        <w:spacing w:before="0" w:after="0" w:line="360" w:lineRule="auto"/>
        <w:rPr>
          <w:rFonts w:ascii="宋体" w:hAnsi="宋体"/>
          <w:b/>
          <w:bCs/>
          <w:sz w:val="21"/>
        </w:rPr>
      </w:pPr>
      <w:r>
        <w:rPr>
          <w:rFonts w:hint="eastAsia" w:ascii="宋体" w:hAnsi="宋体"/>
          <w:b/>
          <w:bCs/>
          <w:sz w:val="21"/>
        </w:rPr>
        <w:t xml:space="preserve">（二）建设目标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相城人民医院坐落于相城区中心地带，诊疗辐射范围广泛，是相城区内唯一一所集医疗、急救、教学、科研为一体的三级乙等综合医院，近年来医院医疗服务能力持续跃升，医教研协同创新发展，致力于为区域群众提供优质、高效的医疗健康服务，助力相城区医疗卫生事业高质量发展。</w:t>
      </w:r>
      <w:r/>
    </w:p>
    <w:p>
      <w:pPr>
        <w:ind w:left="0" w:firstLine="420"/>
        <w:spacing w:line="360" w:lineRule="auto"/>
        <w:tabs>
          <w:tab w:val="left" w:pos="420" w:leader="none"/>
        </w:tabs>
        <w:rPr>
          <w:rFonts w:ascii="宋体" w:hAnsi="宋体"/>
          <w:sz w:val="21"/>
        </w:rPr>
      </w:pPr>
      <w:r>
        <w:rPr>
          <w:rFonts w:hint="eastAsia" w:ascii="宋体" w:hAnsi="宋体"/>
          <w:color w:val="000000"/>
          <w:sz w:val="21"/>
          <w:szCs w:val="21"/>
        </w:rPr>
        <w:t xml:space="preserve">基于本次建设范围和需求，拟定本次核心医疗信息系统建设项目定位为对标智慧医院评审，以评促建，对核心医疗信息系统进行全面优化升级，确保各项指标达到或优于评审标准，最终提高医疗质量，医疗安全，医疗成本效益，提升医院在行业内的信息化建设水平和竞争力。</w:t>
      </w:r>
      <w:r>
        <w:rPr>
          <w:rFonts w:hint="eastAsia" w:ascii="宋体" w:hAnsi="宋体"/>
          <w:sz w:val="21"/>
        </w:rPr>
        <w:t xml:space="preserve">本次招标核心内容主要包括：数据库、操作</w:t>
      </w:r>
      <w:r>
        <w:rPr>
          <w:rFonts w:hint="eastAsia" w:ascii="宋体" w:hAnsi="宋体"/>
          <w:sz w:val="21"/>
        </w:rPr>
        <w:t xml:space="preserve">系统、算力中心服务器、排队叫号系统及配套UPS设备等，所有采购设备需符合医院信息化建设整体规划，满足医疗行业相关标准及医院实际运营要求。</w:t>
      </w:r>
      <w:r/>
    </w:p>
    <w:p>
      <w:pPr>
        <w:pStyle w:val="1012"/>
        <w:ind w:left="0" w:firstLine="422"/>
        <w:spacing w:before="0" w:after="0" w:line="360" w:lineRule="auto"/>
        <w:rPr>
          <w:rFonts w:ascii="宋体" w:hAnsi="宋体"/>
          <w:b/>
          <w:bCs/>
          <w:sz w:val="21"/>
        </w:rPr>
      </w:pPr>
      <w:r>
        <w:rPr>
          <w:rFonts w:hint="eastAsia" w:ascii="宋体" w:hAnsi="宋体"/>
          <w:b/>
          <w:bCs/>
          <w:sz w:val="21"/>
        </w:rPr>
        <w:t xml:space="preserve">（三）采购清单、技术参数及功能要求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8"/>
        <w:gridCol w:w="3576"/>
        <w:gridCol w:w="4364"/>
        <w:gridCol w:w="638"/>
        <w:gridCol w:w="638"/>
      </w:tblGrid>
      <w:tr>
        <w:trPr>
          <w:trHeight w:val="312"/>
        </w:trPr>
        <w:tc>
          <w:tcPr>
            <w:shd w:val="clear" w:color="auto" w:fill="auto"/>
            <w:tcW w:w="324"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W w:w="1601"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标的物名称</w:t>
            </w:r>
            <w:r/>
          </w:p>
        </w:tc>
        <w:tc>
          <w:tcPr>
            <w:shd w:val="clear" w:color="auto" w:fill="auto"/>
            <w:tcW w:w="2426"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技术参数要求</w:t>
            </w:r>
            <w:r/>
          </w:p>
        </w:tc>
        <w:tc>
          <w:tcPr>
            <w:shd w:val="clear" w:color="auto" w:fill="auto"/>
            <w:tcW w:w="324"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单位</w:t>
            </w:r>
            <w:r/>
          </w:p>
        </w:tc>
        <w:tc>
          <w:tcPr>
            <w:shd w:val="clear" w:color="auto" w:fill="auto"/>
            <w:tcW w:w="324"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数量</w:t>
            </w:r>
            <w:r/>
          </w:p>
        </w:tc>
      </w:tr>
      <w:tr>
        <w:trPr>
          <w:trHeight w:val="288"/>
        </w:trPr>
        <w:tc>
          <w:tcPr>
            <w:gridSpan w:val="2"/>
            <w:shd w:val="clear" w:color="auto" w:fill="auto"/>
            <w:tcW w:w="1925"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一、操作系统及数据部分</w:t>
            </w:r>
            <w:r/>
          </w:p>
        </w:tc>
        <w:tc>
          <w:tcPr>
            <w:shd w:val="clear" w:color="auto" w:fill="auto"/>
            <w:tcW w:w="2426"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国产化操作系统</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详见技术要求</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150</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核心业务系统数据库管理软件</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详见技术要求</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重要业务系统数据库管理软件</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详见技术要求</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集成服务</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不限于国产化操作系统及数据库业务安装调试及配套服务等</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88"/>
        </w:trPr>
        <w:tc>
          <w:tcPr>
            <w:gridSpan w:val="2"/>
            <w:shd w:val="clear" w:color="auto" w:fill="auto"/>
            <w:tcW w:w="1925"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二、</w:t>
            </w:r>
            <w:bookmarkStart w:id="104" w:name="OLE_LINK63"/>
            <w:r>
              <w:rPr>
                <w:rFonts w:hint="eastAsia" w:ascii="宋体" w:hAnsi="宋体"/>
                <w:b/>
                <w:bCs/>
                <w:color w:val="000000"/>
                <w:sz w:val="21"/>
                <w:szCs w:val="21"/>
                <w:lang w:bidi="ar"/>
              </w:rPr>
              <w:t xml:space="preserve">服务器算力中心</w:t>
            </w:r>
            <w:bookmarkEnd w:id="104"/>
            <w:r/>
            <w:r/>
          </w:p>
        </w:tc>
        <w:tc>
          <w:tcPr>
            <w:shd w:val="clear" w:color="auto" w:fill="auto"/>
            <w:tcW w:w="2426"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HIS库物理服务器</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HIS库容灾物理服务器</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EMR库物理服务器</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CDR库物理服务器</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ODS库物理服务器</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内网超融合全闪集群</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14</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数据中心交换机</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ascii="宋体" w:hAnsi="宋体"/>
                <w:color w:val="000000"/>
                <w:sz w:val="21"/>
                <w:szCs w:val="21"/>
                <w:lang w:bidi="ar"/>
              </w:rPr>
              <w:t xml:space="preserve">4</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私有云</w:t>
            </w:r>
            <w:bookmarkStart w:id="105" w:name="OLE_LINK44"/>
            <w:r/>
            <w:bookmarkStart w:id="106" w:name="OLE_LINK45"/>
            <w:r>
              <w:rPr>
                <w:rFonts w:hint="eastAsia" w:ascii="宋体" w:hAnsi="宋体"/>
                <w:color w:val="000000"/>
                <w:sz w:val="21"/>
                <w:szCs w:val="21"/>
                <w:lang w:bidi="ar"/>
              </w:rPr>
              <w:t xml:space="preserve">集成服务</w:t>
            </w:r>
            <w:bookmarkEnd w:id="105"/>
            <w:r/>
            <w:bookmarkEnd w:id="106"/>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不限于服务器及超融合业务安装调试及配套服务等</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88"/>
        </w:trPr>
        <w:tc>
          <w:tcPr>
            <w:gridSpan w:val="2"/>
            <w:shd w:val="clear" w:color="auto" w:fill="auto"/>
            <w:tcW w:w="1925"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三、机房不间断电源及配电改造</w:t>
            </w:r>
            <w:r/>
          </w:p>
        </w:tc>
        <w:tc>
          <w:tcPr>
            <w:shd w:val="clear" w:color="auto" w:fill="auto"/>
            <w:tcW w:w="2426"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机房-铅酸免维护蓄电池</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1.蓄电池类型为铅酸阀控免维护蓄电池，单体电压为12V，本次采用12V-200AH密封铅酸免维护电池,为保证蓄电池性能，要求蓄电池实际内阻必须低于2mΩ（10HR）</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2.提供的蓄电池必须包含：电池、电池连接线、电池所需的全</w:t>
            </w:r>
            <w:r>
              <w:rPr>
                <w:rFonts w:hint="eastAsia" w:ascii="宋体" w:hAnsi="宋体"/>
                <w:color w:val="000000"/>
                <w:sz w:val="21"/>
                <w:szCs w:val="21"/>
                <w:lang w:bidi="ar"/>
              </w:rPr>
              <w:t xml:space="preserve">部连接材料；</w:t>
            </w:r>
            <w:r>
              <w:rPr>
                <w:rFonts w:hint="eastAsia" w:ascii="宋体" w:hAnsi="宋体"/>
                <w:color w:val="000000"/>
                <w:sz w:val="21"/>
                <w:szCs w:val="21"/>
                <w:lang w:bidi="ar"/>
              </w:rPr>
              <w:br/>
              <w:t xml:space="preserve">3.</w:t>
            </w:r>
            <w:r>
              <w:rPr>
                <w:rFonts w:hint="eastAsia" w:ascii="宋体" w:hAnsi="宋体"/>
                <w:color w:val="000000"/>
                <w:sz w:val="21"/>
                <w:szCs w:val="21"/>
                <w:lang w:bidi="ar"/>
              </w:rPr>
              <w:t xml:space="preserve">为保证蓄电池运输及应用场景的安全性，</w:t>
            </w:r>
            <w:r>
              <w:rPr>
                <w:rFonts w:hint="eastAsia" w:ascii="宋体" w:hAnsi="宋体"/>
                <w:color w:val="000000"/>
                <w:sz w:val="21"/>
                <w:szCs w:val="21"/>
                <w:lang w:bidi="ar"/>
              </w:rPr>
              <w:t xml:space="preserve">蓄电池应能承受50kPa</w:t>
            </w:r>
            <w:r>
              <w:rPr>
                <w:rFonts w:hint="eastAsia" w:ascii="宋体" w:hAnsi="宋体"/>
                <w:color w:val="000000"/>
                <w:sz w:val="21"/>
                <w:szCs w:val="21"/>
                <w:lang w:bidi="ar"/>
              </w:rPr>
              <w:t xml:space="preserve">的正压或负压而不破裂、不开胶，压力释放后壳体无残余变形；</w:t>
            </w:r>
            <w:r>
              <w:rPr>
                <w:rFonts w:hint="eastAsia" w:ascii="宋体" w:hAnsi="宋体"/>
                <w:color w:val="000000"/>
                <w:sz w:val="21"/>
                <w:szCs w:val="21"/>
                <w:lang w:bidi="ar"/>
              </w:rPr>
              <w:br/>
            </w:r>
            <w:r>
              <w:rPr>
                <w:rFonts w:ascii="宋体" w:hAnsi="宋体"/>
                <w:color w:val="000000"/>
                <w:sz w:val="21"/>
                <w:szCs w:val="21"/>
                <w:lang w:bidi="ar"/>
              </w:rPr>
              <w:t xml:space="preserve">4</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防酸雾性能：电池在正常工作中应无酸雾溢出；</w:t>
            </w:r>
            <w:r>
              <w:rPr>
                <w:rFonts w:hint="eastAsia" w:ascii="宋体" w:hAnsi="宋体"/>
                <w:color w:val="000000"/>
                <w:sz w:val="21"/>
                <w:szCs w:val="21"/>
                <w:lang w:bidi="ar"/>
              </w:rPr>
              <w:br/>
            </w:r>
            <w:r>
              <w:rPr>
                <w:rFonts w:ascii="宋体" w:hAnsi="宋体"/>
                <w:color w:val="000000"/>
                <w:sz w:val="21"/>
                <w:szCs w:val="21"/>
                <w:lang w:bidi="ar"/>
              </w:rPr>
              <w:t xml:space="preserve">5</w:t>
            </w:r>
            <w:r>
              <w:rPr>
                <w:rFonts w:hint="eastAsia" w:ascii="宋体" w:hAnsi="宋体"/>
                <w:color w:val="000000"/>
                <w:sz w:val="21"/>
                <w:szCs w:val="21"/>
                <w:lang w:bidi="ar"/>
              </w:rPr>
              <w:t xml:space="preserve">.安全阀要求：安全阀应有自动开启和自动关闭的性能，其开阀压应是1</w:t>
            </w:r>
            <w:r>
              <w:rPr>
                <w:rFonts w:ascii="宋体" w:hAnsi="宋体"/>
                <w:color w:val="000000"/>
                <w:sz w:val="21"/>
                <w:szCs w:val="21"/>
                <w:lang w:bidi="ar"/>
              </w:rPr>
              <w:t xml:space="preserve">0</w:t>
            </w:r>
            <w:r>
              <w:rPr>
                <w:rFonts w:hint="eastAsia" w:ascii="宋体" w:hAnsi="宋体"/>
                <w:color w:val="000000"/>
                <w:sz w:val="21"/>
                <w:szCs w:val="21"/>
                <w:lang w:bidi="ar"/>
              </w:rPr>
              <w:t xml:space="preserve">-49kPa，闭阀压应是</w:t>
            </w:r>
            <w:r>
              <w:rPr>
                <w:rFonts w:hint="eastAsia" w:ascii="宋体" w:hAnsi="宋体"/>
                <w:color w:val="000000"/>
                <w:sz w:val="21"/>
                <w:szCs w:val="21"/>
                <w:lang w:bidi="ar"/>
              </w:rPr>
              <w:t xml:space="preserve">1-</w:t>
            </w:r>
            <w:r>
              <w:rPr>
                <w:rFonts w:ascii="宋体" w:hAnsi="宋体"/>
                <w:color w:val="000000"/>
                <w:sz w:val="21"/>
                <w:szCs w:val="21"/>
                <w:lang w:bidi="ar"/>
              </w:rPr>
              <w:t xml:space="preserve">10</w:t>
            </w:r>
            <w:r>
              <w:rPr>
                <w:rFonts w:hint="eastAsia" w:ascii="宋体" w:hAnsi="宋体"/>
                <w:color w:val="000000"/>
                <w:sz w:val="21"/>
                <w:szCs w:val="21"/>
                <w:lang w:bidi="ar"/>
              </w:rPr>
              <w:t xml:space="preserve">KP。</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节</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128</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机房-电池巡检系统</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1.每节电池安装一个单体监测模块，每台UPS配置一台监控主机；</w:t>
            </w:r>
            <w:r>
              <w:rPr>
                <w:rFonts w:hint="eastAsia" w:ascii="宋体" w:hAnsi="宋体"/>
                <w:color w:val="000000"/>
                <w:sz w:val="21"/>
                <w:szCs w:val="21"/>
                <w:lang w:bidi="ar"/>
              </w:rPr>
              <w:br/>
              <w:t xml:space="preserve">2.监测模块可监测单体蓄电池的电压、内阻、负极温度、剩余容量SOC、电池健康状态SOH；</w:t>
            </w:r>
            <w:r>
              <w:rPr>
                <w:rFonts w:hint="eastAsia" w:ascii="宋体" w:hAnsi="宋体"/>
                <w:color w:val="000000"/>
                <w:sz w:val="21"/>
                <w:szCs w:val="21"/>
                <w:lang w:bidi="ar"/>
              </w:rPr>
              <w:br/>
            </w:r>
            <w:r>
              <w:rPr>
                <w:rFonts w:hint="eastAsia" w:ascii="宋体" w:hAnsi="宋体"/>
                <w:color w:val="000000"/>
                <w:sz w:val="21"/>
                <w:szCs w:val="21"/>
                <w:lang w:bidi="ar"/>
              </w:rPr>
              <w:t xml:space="preserve">3.监测模块应采用低功耗设计，应具有自动休眠及唤醒功能；</w:t>
            </w:r>
            <w:r>
              <w:rPr>
                <w:rFonts w:hint="eastAsia" w:ascii="宋体" w:hAnsi="宋体"/>
                <w:color w:val="000000"/>
                <w:sz w:val="21"/>
                <w:szCs w:val="21"/>
                <w:lang w:bidi="ar"/>
              </w:rPr>
              <w:br/>
              <w:t xml:space="preserve">4.监测模块应具有明显的告警指示灯，方便做现场看板管理；</w:t>
            </w:r>
            <w:r>
              <w:rPr>
                <w:rFonts w:hint="eastAsia" w:ascii="宋体" w:hAnsi="宋体"/>
                <w:color w:val="000000"/>
                <w:sz w:val="21"/>
                <w:szCs w:val="21"/>
                <w:lang w:bidi="ar"/>
              </w:rPr>
              <w:br/>
              <w:t xml:space="preserve">5.监测模块应具有完善的保护功能，具有防反接保护功能；</w:t>
            </w:r>
            <w:r>
              <w:rPr>
                <w:rFonts w:hint="eastAsia" w:ascii="宋体" w:hAnsi="宋体"/>
                <w:color w:val="000000"/>
                <w:sz w:val="21"/>
                <w:szCs w:val="21"/>
                <w:lang w:bidi="ar"/>
              </w:rPr>
              <w:br/>
              <w:t xml:space="preserve">6.监测模块应采用小电流放电法, 放电电流不大于1.5A进行测试内阻，不损坏电池；</w:t>
            </w:r>
            <w:r>
              <w:rPr>
                <w:rFonts w:hint="eastAsia" w:ascii="宋体" w:hAnsi="宋体"/>
                <w:color w:val="000000"/>
                <w:sz w:val="21"/>
                <w:szCs w:val="21"/>
                <w:lang w:bidi="ar"/>
              </w:rPr>
              <w:br/>
              <w:t xml:space="preserve">7.</w:t>
            </w:r>
            <w:r>
              <w:rPr>
                <w:rFonts w:hint="eastAsia" w:ascii="宋体" w:hAnsi="宋体"/>
                <w:color w:val="000000"/>
                <w:sz w:val="21"/>
                <w:szCs w:val="21"/>
                <w:lang w:bidi="ar"/>
              </w:rPr>
              <w:t xml:space="preserve">产品应具有自动均衡功能，均衡功能是否开启可按需设置。</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弱电间-UPS主机及电池柜</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UPS主机：1.容量 6000VA/5400W,正弦波</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2.额定电压 208/220/230/240VAC</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3.输出电压精度 ±1%</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4.输出电压失真度 线性负载&lt; 1%，非线性负载&lt; 4%</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5.输出频率（电池模式） (50/60±0.1 )Hz</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6.运行效率 95%; ECO 模式98%</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7.过载能力 125%10 分钟；150% 1分钟</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电池柜：470*780*1230(单位：MM)宽*深*高</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弱电间-铅酸免维护蓄电池</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1.蓄电池类型为铅酸阀控免维护蓄电池，单体电压为12V-100AH密封铅酸免维护电池,为保证蓄电池性能，要求蓄电池内阻必须低于4mΩ</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2.提供的蓄电池必须包含：电池、电池连接线、电池所需的全部连接材料</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3.电池接线端子必须满足本次采购项目的电缆接线要求</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4.安全性：蓄电池应能承受50kPa的正压或负压而不破裂、不开胶，压力释放后壳体无残余变形</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5.防酸雾性能：电池在正常工作中应无酸雾溢出</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6.安全阀要求：安全阀应有自动开启和自动关闭的性能，其开阀压应是1-49kPa，闭阀压应是1-49KP。</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节</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PDU-1</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32A/12位 防浪涌防脱工业连接器,智能型（tcp/ip）协议管理及485协议,可远程监控电流，电压，负载等情况，可自定义报警阈值进行报警。支持485级联功能，自带TFT彩屏。支持web访问和设置。5年保修。</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50</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PDU-2</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32A/16位 防浪涌防脱工业连接器,智能型（tcp/ip）协议管理及485协议,可远程监控电流，电压，负载等情况，可自定义报警阈值进行报警。支持485级联功能，自带TFT彩屏。支持web访问和设置。5年保修。</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管理交换机1</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千兆web管理交换机,包转发率126Mpps,交换容量432Gbps,48个千兆电口,4个千兆光口,VLAN:4K,MAC:16K,19英寸1U标准机架,金属外壳,挂耳默认自带</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管理交换机2</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千兆web管理交换机,包转发率39Mpps,交换容量336Gbps,24个千兆电口,2个千兆光口,VLAN:4K,MAC:8K,1U标准机架款,金属外壳,挂耳默认自带</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机房精密空调</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机房精密空调应能按要求自动调节室内温、湿度，具有制冷、加热、加湿、除湿等功能</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温度调节范围：18℃  40℃</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温度调节精度：1℃ ，温度变化率&lt; 5℃/小时</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湿度调节范围：20%  55%RH；湿度调节精度：5 %RH </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温、湿度波动超限应能发出报警信号</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6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W w:w="1601" w:type="pct"/>
            <w:vAlign w:val="center"/>
            <w:textDirection w:val="lrTb"/>
            <w:noWrap/>
          </w:tcPr>
          <w:p>
            <w:pPr>
              <w:ind w:left="0"/>
              <w:rPr>
                <w:rFonts w:ascii="宋体" w:hAnsi="宋体"/>
                <w:color w:val="000000"/>
                <w:sz w:val="21"/>
                <w:szCs w:val="21"/>
              </w:rPr>
            </w:pPr>
            <w:r/>
            <w:bookmarkStart w:id="107" w:name="OLE_LINK20"/>
            <w:r/>
            <w:bookmarkStart w:id="108" w:name="OLE_LINK21"/>
            <w:r>
              <w:rPr>
                <w:rFonts w:hint="eastAsia" w:ascii="宋体" w:hAnsi="宋体"/>
                <w:color w:val="000000"/>
                <w:sz w:val="21"/>
                <w:szCs w:val="21"/>
                <w:lang w:bidi="ar"/>
              </w:rPr>
              <w:t xml:space="preserve">服务器安全管理系统</w:t>
            </w:r>
            <w:bookmarkEnd w:id="107"/>
            <w:r/>
            <w:bookmarkEnd w:id="108"/>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详见招标参数</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88"/>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集成服务</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不限于UPS电池、空调安装调试及配套服务等</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88"/>
        </w:trPr>
        <w:tc>
          <w:tcPr>
            <w:gridSpan w:val="2"/>
            <w:shd w:val="clear" w:color="auto" w:fill="auto"/>
            <w:tcW w:w="1925" w:type="pct"/>
            <w:vAlign w:val="center"/>
            <w:textDirection w:val="lrTb"/>
            <w:noWrap/>
          </w:tcPr>
          <w:p>
            <w:pPr>
              <w:ind w:left="0"/>
              <w:rPr>
                <w:rFonts w:ascii="宋体" w:hAnsi="宋体"/>
                <w:b/>
                <w:bCs/>
                <w:color w:val="000000"/>
                <w:sz w:val="21"/>
                <w:szCs w:val="21"/>
              </w:rPr>
            </w:pPr>
            <w:r>
              <w:rPr>
                <w:rFonts w:hint="eastAsia" w:ascii="宋体" w:hAnsi="宋体"/>
                <w:b/>
                <w:bCs/>
                <w:color w:val="000000"/>
                <w:sz w:val="21"/>
                <w:szCs w:val="21"/>
                <w:lang w:bidi="ar"/>
              </w:rPr>
              <w:t xml:space="preserve">四、排队叫号系统</w:t>
            </w:r>
            <w:r/>
          </w:p>
        </w:tc>
        <w:tc>
          <w:tcPr>
            <w:shd w:val="clear" w:color="auto" w:fill="auto"/>
            <w:tcW w:w="2426"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c>
          <w:tcPr>
            <w:shd w:val="clear" w:color="auto" w:fill="auto"/>
            <w:tcW w:w="324" w:type="pct"/>
            <w:vAlign w:val="center"/>
            <w:textDirection w:val="lrTb"/>
            <w:noWrap/>
          </w:tcPr>
          <w:p>
            <w:pPr>
              <w:ind w:left="0"/>
              <w:rPr>
                <w:rFonts w:ascii="宋体" w:hAnsi="宋体"/>
                <w:b/>
                <w:bCs/>
                <w:color w:val="000000"/>
                <w:sz w:val="21"/>
                <w:szCs w:val="21"/>
              </w:rPr>
            </w:pPr>
            <w:r>
              <w:rPr>
                <w:rFonts w:ascii="宋体" w:hAnsi="宋体"/>
                <w:b/>
                <w:bCs/>
                <w:color w:val="000000"/>
                <w:sz w:val="21"/>
                <w:szCs w:val="21"/>
              </w:rPr>
            </w:r>
            <w:r/>
          </w:p>
        </w:tc>
      </w:tr>
      <w:tr>
        <w:trPr>
          <w:trHeight w:val="30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门诊排队叫号终端</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屏体：1.尺寸：21.5 英寸高清 LCD 液晶屏</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2.分辨率：1920*1080</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3.屏幕比例： 16：9</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4.亮度：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350cd/m2</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5.对比度：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3000：1</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主机：1.内存：</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8GB  DDR3L 1333 MHz</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 硬盘：</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128G固态硬盘</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 网卡：</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 Realtek RTL8111 千兆网卡（双网可选配）</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80</w:t>
            </w:r>
            <w:r/>
          </w:p>
        </w:tc>
      </w:tr>
      <w:tr>
        <w:trPr>
          <w:trHeight w:val="30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门诊自助签到/取号机</w:t>
            </w:r>
            <w:r/>
          </w:p>
        </w:tc>
        <w:tc>
          <w:tcPr>
            <w:shd w:val="clear" w:color="auto" w:fill="auto"/>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显示模块：1. 尺寸：21.5 英寸高清 LCD 液晶屏</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 分辨率：1920*1080</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 屏幕比例： 16：9</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4. 亮度：≥ 250cd/m2</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5. 对比度：≥ 1000：1</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触摸模块：</w:t>
            </w:r>
            <w:r>
              <w:rPr>
                <w:rFonts w:hint="eastAsia" w:ascii="宋体" w:hAnsi="宋体"/>
                <w:color w:val="000000"/>
                <w:sz w:val="21"/>
                <w:szCs w:val="21"/>
                <w:lang w:bidi="ar"/>
              </w:rPr>
              <w:br/>
            </w:r>
            <w:r>
              <w:rPr>
                <w:rFonts w:hint="eastAsia" w:ascii="宋体" w:hAnsi="宋体"/>
                <w:color w:val="000000"/>
                <w:sz w:val="21"/>
                <w:szCs w:val="21"/>
                <w:lang w:bidi="ar"/>
              </w:rPr>
              <w:t xml:space="preserve">1. 尺寸：19英寸</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2. 识别原理：电容识别</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 触摸点数：10点触摸</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工控主机：</w:t>
            </w:r>
            <w:r>
              <w:rPr>
                <w:rFonts w:hint="eastAsia" w:ascii="宋体" w:hAnsi="宋体"/>
                <w:color w:val="000000"/>
                <w:sz w:val="21"/>
                <w:szCs w:val="21"/>
                <w:lang w:bidi="ar"/>
              </w:rPr>
              <w:br/>
              <w:t xml:space="preserve">1. 内存：</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8GB</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rPr>
                <w:rFonts w:hint="eastAsia" w:ascii="宋体" w:hAnsi="宋体"/>
                <w:color w:val="000000"/>
                <w:sz w:val="21"/>
                <w:szCs w:val="21"/>
                <w:lang w:bidi="ar"/>
              </w:rPr>
              <w:br/>
              <w:t xml:space="preserve">2. 硬盘：</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128G固态硬盘</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3. 网卡：</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 Realtek RTL8111 千兆网卡（双网可选配）</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20</w:t>
            </w:r>
            <w:r/>
          </w:p>
        </w:tc>
      </w:tr>
      <w:tr>
        <w:trPr>
          <w:trHeight w:val="300"/>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门诊排队叫号候诊区显示一体化终端</w:t>
            </w:r>
            <w:r/>
          </w:p>
        </w:tc>
        <w:tc>
          <w:tcPr>
            <w:shd w:val="clear" w:color="auto" w:fill="auto"/>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屏幕尺寸：55"</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分辨率：1920×1080</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运行内存: </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4G</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存储内存: </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128G</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网络通信: 以太网、Wifi </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系统接口：</w:t>
            </w:r>
            <w:r>
              <w:rPr>
                <w:rFonts w:hint="eastAsia" w:ascii="宋体" w:hAnsi="宋体"/>
                <w:color w:val="000000"/>
                <w:sz w:val="21"/>
                <w:szCs w:val="21"/>
                <w:lang w:bidi="ar"/>
              </w:rPr>
              <w:t xml:space="preserve">至少支持</w:t>
            </w:r>
            <w:r>
              <w:rPr>
                <w:rFonts w:hint="eastAsia" w:ascii="宋体" w:hAnsi="宋体"/>
                <w:color w:val="000000"/>
                <w:sz w:val="21"/>
                <w:szCs w:val="21"/>
                <w:lang w:bidi="ar"/>
              </w:rPr>
              <w:t xml:space="preserve">DC*1  USB*4 HDMI*1 VGA*1  MIC*1  RJ45*1</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20</w:t>
            </w:r>
            <w:r/>
          </w:p>
        </w:tc>
      </w:tr>
      <w:tr>
        <w:trPr>
          <w:trHeight w:val="288"/>
        </w:trPr>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集成服务</w:t>
            </w:r>
            <w:r/>
          </w:p>
        </w:tc>
        <w:tc>
          <w:tcPr>
            <w:shd w:val="clear" w:color="auto" w:fill="ffffff"/>
            <w:tcW w:w="242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不限于排队叫号、一体化终端安装调试及配套服务等</w:t>
            </w:r>
            <w:r>
              <w:rPr>
                <w:rFonts w:hint="eastAsia" w:ascii="宋体" w:hAnsi="宋体"/>
                <w:color w:val="000000"/>
                <w:sz w:val="21"/>
                <w:szCs w:val="21"/>
                <w:lang w:bidi="ar"/>
              </w:rPr>
              <w:t xml:space="preserve">。</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32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bl>
    <w:p>
      <w:pPr>
        <w:ind w:left="0" w:firstLine="422"/>
        <w:spacing w:line="360" w:lineRule="auto"/>
        <w:tabs>
          <w:tab w:val="left" w:pos="0" w:leader="none"/>
        </w:tabs>
        <w:rPr>
          <w:rFonts w:ascii="宋体" w:hAnsi="宋体"/>
          <w:b/>
          <w:bCs/>
          <w:sz w:val="21"/>
        </w:rPr>
      </w:pPr>
      <w:r>
        <w:rPr>
          <w:rFonts w:hint="eastAsia" w:ascii="宋体" w:hAnsi="宋体"/>
          <w:b/>
          <w:sz w:val="21"/>
        </w:rPr>
        <w:t xml:space="preserve">注：本项目的核心产品为上述清单</w:t>
      </w:r>
      <w:r>
        <w:rPr>
          <w:rFonts w:hint="eastAsia" w:ascii="宋体" w:hAnsi="宋体"/>
          <w:b/>
          <w:sz w:val="21"/>
        </w:rPr>
        <w:t xml:space="preserve">序号</w:t>
      </w:r>
      <w:r>
        <w:rPr>
          <w:rFonts w:hint="eastAsia" w:ascii="宋体" w:hAnsi="宋体"/>
          <w:b/>
          <w:bCs/>
          <w:sz w:val="21"/>
        </w:rPr>
        <w:t xml:space="preserve">（二）</w:t>
      </w:r>
      <w:r>
        <w:rPr>
          <w:rFonts w:hint="eastAsia" w:ascii="宋体" w:hAnsi="宋体"/>
          <w:b/>
          <w:bCs/>
          <w:sz w:val="21"/>
        </w:rPr>
        <w:t xml:space="preserve">、</w:t>
      </w:r>
      <w:r>
        <w:rPr>
          <w:rFonts w:hint="eastAsia" w:ascii="宋体" w:hAnsi="宋体"/>
          <w:b/>
          <w:bCs/>
          <w:sz w:val="21"/>
        </w:rPr>
        <w:t xml:space="preserve">服务器算力中心</w:t>
      </w:r>
      <w:r>
        <w:rPr>
          <w:rFonts w:hint="eastAsia" w:ascii="宋体" w:hAnsi="宋体"/>
          <w:b/>
          <w:bCs/>
          <w:sz w:val="21"/>
        </w:rPr>
        <w:t xml:space="preserve">中的</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序号</w:t>
      </w:r>
      <w:r>
        <w:rPr>
          <w:rFonts w:hint="eastAsia" w:ascii="宋体" w:hAnsi="宋体"/>
          <w:b/>
          <w:bCs/>
          <w:sz w:val="21"/>
        </w:rPr>
        <w:t xml:space="preserve">1 HIS库物理服务器、</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序号6内网超融合全闪集群。</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清单中的规格尺寸仅供参考，允许有±5%的偏差</w:t>
      </w:r>
      <w:r>
        <w:rPr>
          <w:rFonts w:hint="eastAsia" w:ascii="宋体" w:hAnsi="宋体"/>
          <w:b/>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具体参数如下：</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操作系统及数据部分</w:t>
      </w:r>
      <w:r/>
    </w:p>
    <w:tbl>
      <w:tblPr>
        <w:tblW w:w="5000" w:type="pct"/>
        <w:tblLook w:val="04A0" w:firstRow="1" w:lastRow="0" w:firstColumn="1" w:lastColumn="0" w:noHBand="0" w:noVBand="1"/>
      </w:tblPr>
      <w:tblGrid>
        <w:gridCol w:w="727"/>
        <w:gridCol w:w="1165"/>
        <w:gridCol w:w="946"/>
        <w:gridCol w:w="7016"/>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技术指标要求</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国产化操作系统</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内核要求</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操作系统产品具备自主知识产权，支持AMD64、ARM64、MIPS64、SW64、LoongArch等CPU架构，在系统安装时，提供4.19和5.10的内核版本选择。</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虚拟化管理</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支持虚拟化解决方案，如OpenStack、KVM、Docker、Hyper-V等。</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安全特性</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软件包仓库及管理命令支持国密算法，须提供OpenSSL、Libgcrypt、Gnulib、Nettle、Hashes、libkcapi、OpenSSH等常见算法库的国密版本，OpenSSL须支持X509、PKCS#7证书。</w:t>
            </w:r>
            <w:r>
              <w:rPr>
                <w:rFonts w:hint="eastAsia" w:ascii="宋体" w:hAnsi="宋体"/>
                <w:color w:val="000000"/>
                <w:sz w:val="21"/>
                <w:szCs w:val="21"/>
                <w:lang w:bidi="ar"/>
              </w:rPr>
              <w:br/>
              <w:t xml:space="preserve">提供同品牌自研安全中心，支持图形化方式，提供系统安全加固、可执行文件保护、内核模块防卸载、应用防卸载、文件防篡改、三权分立等功能。</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配套产品支持</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支持组件安装，可根据需求选装组件，包括</w:t>
            </w:r>
            <w:r>
              <w:rPr>
                <w:rFonts w:hint="eastAsia" w:ascii="宋体" w:hAnsi="宋体"/>
                <w:color w:val="000000"/>
                <w:sz w:val="21"/>
                <w:szCs w:val="21"/>
                <w:lang w:bidi="ar"/>
              </w:rPr>
              <w:t xml:space="preserve">自研的shell界面、原厂自研的系统管理指令工具、国密仓库源、BackupPC系统备份工具、secGear开发套件等。</w:t>
            </w:r>
            <w:r>
              <w:rPr>
                <w:rFonts w:hint="eastAsia" w:ascii="宋体" w:hAnsi="宋体"/>
                <w:color w:val="000000"/>
                <w:sz w:val="21"/>
                <w:szCs w:val="21"/>
                <w:lang w:bidi="ar"/>
              </w:rPr>
              <w:br/>
            </w:r>
            <w:r>
              <w:rPr>
                <w:rFonts w:hint="eastAsia" w:ascii="宋体" w:hAnsi="宋体"/>
                <w:color w:val="000000"/>
                <w:sz w:val="21"/>
                <w:szCs w:val="21"/>
                <w:lang w:bidi="ar"/>
              </w:rPr>
              <w:t xml:space="preserve">支持同品牌自研服务器运维监管平台，可视化监控运维，包括主机管理、安全管理、系统监控、诊断分发、配置下发、告警管理等功能。</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基础组件代码开源率</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为保障操作系统供应链安全，投标人所投国产操作系统核心基础组件代码开源率为0%，其中至少包括桌面环境、动态链接库。</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字符编码集</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支持最新国家标准字符集 </w:t>
            </w:r>
            <w:bookmarkStart w:id="109" w:name="OLE_LINK52"/>
            <w:r/>
            <w:bookmarkStart w:id="110" w:name="OLE_LINK53"/>
            <w:r>
              <w:rPr>
                <w:rFonts w:hint="eastAsia" w:ascii="宋体" w:hAnsi="宋体"/>
                <w:color w:val="000000"/>
                <w:sz w:val="21"/>
                <w:szCs w:val="21"/>
                <w:lang w:bidi="ar"/>
              </w:rPr>
              <w:t xml:space="preserve">GB18030</w:t>
            </w:r>
            <w:bookmarkEnd w:id="109"/>
            <w:r/>
            <w:bookmarkEnd w:id="110"/>
            <w:r>
              <w:rPr>
                <w:rFonts w:hint="eastAsia" w:ascii="宋体" w:hAnsi="宋体"/>
                <w:color w:val="000000"/>
                <w:sz w:val="21"/>
                <w:szCs w:val="21"/>
                <w:lang w:bidi="ar"/>
              </w:rPr>
              <w:t xml:space="preserve">-2022。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兼容性</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兼容国内主流的数据库、中间件产品，如金仓、达梦、神通、南大通用、瀚高、GaussDB 、GoldenDB、东方通、金蝶、中创、华宇等。</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性能及压力分析套件</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支持同品牌国产Linux系统通用性能评分套件软件，支持同品牌国产Linux系统通用压力分析套件软件。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提供5年原厂售后服务。</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核心业务系统数据库管理软件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外部函数</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支持外部函数，包括C</w:t>
            </w:r>
            <w:r>
              <w:rPr>
                <w:rFonts w:ascii="宋体" w:hAnsi="宋体"/>
                <w:color w:val="000000"/>
                <w:sz w:val="21"/>
                <w:szCs w:val="21"/>
                <w:lang w:bidi="ar"/>
              </w:rPr>
              <w:t xml:space="preserve">语言和</w:t>
            </w:r>
            <w:r>
              <w:rPr>
                <w:rFonts w:hint="eastAsia" w:ascii="宋体" w:hAnsi="宋体"/>
                <w:color w:val="000000"/>
                <w:sz w:val="21"/>
                <w:szCs w:val="21"/>
                <w:lang w:bidi="ar"/>
              </w:rPr>
              <w:t xml:space="preserve">Java</w:t>
            </w:r>
            <w:r>
              <w:rPr>
                <w:rFonts w:ascii="宋体" w:hAnsi="宋体"/>
                <w:color w:val="000000"/>
                <w:sz w:val="21"/>
                <w:szCs w:val="21"/>
                <w:lang w:bidi="ar"/>
              </w:rPr>
              <w:t xml:space="preserve">语言外部函数，并支持在数据库中执行这些外部函数。</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事务管理</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支持多版本并发控制（MVCC</w:t>
            </w:r>
            <w:r>
              <w:rPr>
                <w:rFonts w:ascii="宋体" w:hAnsi="宋体"/>
                <w:color w:val="000000"/>
                <w:sz w:val="21"/>
                <w:szCs w:val="21"/>
                <w:lang w:bidi="ar"/>
              </w:rPr>
              <w:t xml:space="preserve">）机制，实现写操作不阻塞读操作；支持事务管理机制，包括事务提交、事务回滚及回滚至保存点；支持读未提交、读已提交、可串行化等事务隔离级别；支持手动加锁；支持嵌套事务；支持自治事务。</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在线重建索引</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支持在线重建索引，且重建过程中不阻塞其他会话对相关表的查询。</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触发器重命名</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具备触发器重命名功能，可通过类似ALTER TRIGGER...RENAME TO</w:t>
            </w:r>
            <w:r>
              <w:rPr>
                <w:rFonts w:ascii="宋体" w:hAnsi="宋体"/>
                <w:color w:val="000000"/>
                <w:sz w:val="21"/>
                <w:szCs w:val="21"/>
                <w:lang w:bidi="ar"/>
              </w:rPr>
              <w:t xml:space="preserve">的语法实现。</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备份恢复</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支持物理备份与恢复，提供全量、增量、差异备份及恢复能力；支持按指定时间点恢复；支持归档备份、自动备份及备份压缩；支持逻辑备份与还原，覆盖数据库级、模式级、用户级、表级。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页级数据恢复</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提供数据页级恢复功能，允许从备份中还原并恢复指定的数据页。</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全库加密</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支持全库加密，可在数据库初始化阶段配置加密选项，支持DES_ECB</w:t>
            </w:r>
            <w:r>
              <w:rPr>
                <w:rFonts w:ascii="宋体" w:hAnsi="宋体"/>
                <w:color w:val="000000"/>
                <w:sz w:val="21"/>
                <w:szCs w:val="21"/>
                <w:lang w:bidi="ar"/>
              </w:rPr>
              <w:t xml:space="preserve">、</w:t>
            </w:r>
            <w:r>
              <w:rPr>
                <w:rFonts w:hint="eastAsia" w:ascii="宋体" w:hAnsi="宋体"/>
                <w:color w:val="000000"/>
                <w:sz w:val="21"/>
                <w:szCs w:val="21"/>
                <w:lang w:bidi="ar"/>
              </w:rPr>
              <w:t xml:space="preserve">DES_CBC</w:t>
            </w:r>
            <w:r>
              <w:rPr>
                <w:rFonts w:ascii="宋体" w:hAnsi="宋体"/>
                <w:color w:val="000000"/>
                <w:sz w:val="21"/>
                <w:szCs w:val="21"/>
                <w:lang w:bidi="ar"/>
              </w:rPr>
              <w:t xml:space="preserve">等加密类型。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身份鉴别方式</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支持多种身份鉴别方式，包括主机操作系统账户、用户名/</w:t>
            </w:r>
            <w:r>
              <w:rPr>
                <w:rFonts w:ascii="宋体" w:hAnsi="宋体"/>
                <w:color w:val="000000"/>
                <w:sz w:val="21"/>
                <w:szCs w:val="21"/>
                <w:lang w:bidi="ar"/>
              </w:rPr>
              <w:t xml:space="preserve">口令、</w:t>
            </w:r>
            <w:r>
              <w:rPr>
                <w:rFonts w:hint="eastAsia" w:ascii="宋体" w:hAnsi="宋体"/>
                <w:color w:val="000000"/>
                <w:sz w:val="21"/>
                <w:szCs w:val="21"/>
                <w:lang w:bidi="ar"/>
              </w:rPr>
              <w:t xml:space="preserve">SSL</w:t>
            </w:r>
            <w:r>
              <w:rPr>
                <w:rFonts w:ascii="宋体" w:hAnsi="宋体"/>
                <w:color w:val="000000"/>
                <w:sz w:val="21"/>
                <w:szCs w:val="21"/>
                <w:lang w:bidi="ar"/>
              </w:rPr>
              <w:t xml:space="preserve">证书等。</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双密码</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▼支持双密码认证机制，可为同一用户配置主密码和辅助密码，任一密码均可用于登录认证。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故障切换</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支持主备集群自动切换和手工切换功能，当主库发生故障时，系统可自动将备库切换为主库；同时支持通过监控平台执行命令进行手工主备切换。</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备库模式及切换</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▼支持至少5种备库复制模式，包括同步复制、异步复制等模式；支持特定备库复制模式之间的在线切换。</w:t>
            </w:r>
            <w:r/>
          </w:p>
          <w:p>
            <w:pPr>
              <w:ind w:left="0"/>
              <w:rPr>
                <w:rFonts w:ascii="宋体" w:hAnsi="宋体"/>
                <w:color w:val="000000"/>
                <w:sz w:val="21"/>
                <w:szCs w:val="21"/>
              </w:rPr>
            </w:pPr>
            <w:r>
              <w:rPr>
                <w:rFonts w:hint="eastAsia" w:ascii="宋体" w:hAnsi="宋体"/>
                <w:color w:val="000000"/>
                <w:sz w:val="21"/>
                <w:szCs w:val="21"/>
                <w:lang w:bidi="ar"/>
              </w:rPr>
              <w:t xml:space="preserve">支持主备库均为共享存储集群的主备架构，并具备主备库同步与切换功能。</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产品维护</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产品服务期5</w:t>
            </w:r>
            <w:r>
              <w:rPr>
                <w:rFonts w:ascii="宋体" w:hAnsi="宋体"/>
                <w:color w:val="000000"/>
                <w:sz w:val="21"/>
                <w:szCs w:val="21"/>
                <w:lang w:bidi="ar"/>
              </w:rPr>
              <w:t xml:space="preserve">年，服务包含安装、迁移、适配、调优，软件使用过程中发生的问题进行维护，包括软件功能故障、升级错误等；提供软件补丁升级服务，以改善软件功能性能；提供其他需要的软件售后服务；每个月提供</w:t>
            </w:r>
            <w:r>
              <w:rPr>
                <w:rFonts w:hint="eastAsia" w:ascii="宋体" w:hAnsi="宋体"/>
                <w:color w:val="000000"/>
                <w:sz w:val="21"/>
                <w:szCs w:val="21"/>
                <w:lang w:bidi="ar"/>
              </w:rPr>
              <w:t xml:space="preserve">1</w:t>
            </w:r>
            <w:r>
              <w:rPr>
                <w:rFonts w:ascii="宋体" w:hAnsi="宋体"/>
                <w:color w:val="000000"/>
                <w:sz w:val="21"/>
                <w:szCs w:val="21"/>
                <w:lang w:bidi="ar"/>
              </w:rPr>
              <w:t xml:space="preserve">次巡检和漏洞检查；提供厂商在线生态终身</w:t>
            </w:r>
            <w:r>
              <w:rPr>
                <w:rFonts w:hint="eastAsia" w:ascii="宋体" w:hAnsi="宋体"/>
                <w:color w:val="000000"/>
                <w:sz w:val="21"/>
                <w:szCs w:val="21"/>
                <w:lang w:bidi="ar"/>
              </w:rPr>
              <w:t xml:space="preserve">vip</w:t>
            </w:r>
            <w:r>
              <w:rPr>
                <w:rFonts w:ascii="宋体" w:hAnsi="宋体"/>
                <w:color w:val="000000"/>
                <w:sz w:val="21"/>
                <w:szCs w:val="21"/>
                <w:lang w:bidi="ar"/>
              </w:rPr>
              <w:t xml:space="preserve">权限</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产品培训</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提供1</w:t>
            </w:r>
            <w:r>
              <w:rPr>
                <w:rFonts w:ascii="宋体" w:hAnsi="宋体"/>
                <w:color w:val="000000"/>
                <w:sz w:val="21"/>
                <w:szCs w:val="21"/>
                <w:lang w:bidi="ar"/>
              </w:rPr>
              <w:t xml:space="preserve">次产品培训包括：数据库系统管理培训、数据库开发技术培训、一般操作培训和运维培训</w:t>
            </w:r>
            <w:r>
              <w:rPr>
                <w:rFonts w:hint="eastAsia" w:ascii="宋体" w:hAnsi="宋体"/>
                <w:color w:val="000000"/>
                <w:sz w:val="21"/>
                <w:szCs w:val="21"/>
                <w:lang w:bidi="ar"/>
              </w:rPr>
              <w:t xml:space="preserve">。</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在服务期内向采购人提供7</w:t>
            </w:r>
            <w:r>
              <w:rPr>
                <w:rFonts w:ascii="宋体" w:hAnsi="宋体"/>
                <w:color w:val="000000"/>
                <w:sz w:val="21"/>
                <w:szCs w:val="21"/>
                <w:lang w:bidi="ar"/>
              </w:rPr>
              <w:t xml:space="preserve">×</w:t>
            </w:r>
            <w:r>
              <w:rPr>
                <w:rFonts w:hint="eastAsia" w:ascii="宋体" w:hAnsi="宋体"/>
                <w:color w:val="000000"/>
                <w:sz w:val="21"/>
                <w:szCs w:val="21"/>
                <w:lang w:bidi="ar"/>
              </w:rPr>
              <w:t xml:space="preserve">24</w:t>
            </w:r>
            <w:r>
              <w:rPr>
                <w:rFonts w:ascii="宋体" w:hAnsi="宋体"/>
                <w:color w:val="000000"/>
                <w:sz w:val="21"/>
                <w:szCs w:val="21"/>
                <w:lang w:bidi="ar"/>
              </w:rPr>
              <w:t xml:space="preserve">小时的原厂商技术支持服务，帮助客户解决安装及使用数据库过程遇到的问题。</w:t>
            </w:r>
            <w:r>
              <w:rPr>
                <w:rFonts w:ascii="宋体" w:hAnsi="宋体"/>
                <w:color w:val="000000"/>
                <w:sz w:val="21"/>
                <w:szCs w:val="21"/>
                <w:lang w:bidi="ar"/>
              </w:rPr>
              <w:br/>
              <w:t xml:space="preserve">采购人发出服务请求后，15分钟内提供响应，</w:t>
            </w:r>
            <w:bookmarkStart w:id="111" w:name="OLE_LINK61"/>
            <w:r/>
            <w:bookmarkStart w:id="112" w:name="OLE_LINK62"/>
            <w:r>
              <w:rPr>
                <w:rFonts w:ascii="宋体" w:hAnsi="宋体"/>
                <w:color w:val="000000"/>
                <w:sz w:val="21"/>
                <w:szCs w:val="21"/>
                <w:lang w:bidi="ar"/>
              </w:rPr>
              <w:t xml:space="preserve">在如在30分钟内无法电话或远程解决采购人所提出的维修要求，在报修2小时内（本地）或8小时内（外地）派工程师到达现场进行处理</w:t>
            </w:r>
            <w:bookmarkEnd w:id="111"/>
            <w:r/>
            <w:bookmarkEnd w:id="112"/>
            <w:r>
              <w:rPr>
                <w:rFonts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切换演练</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每年2</w:t>
            </w:r>
            <w:r>
              <w:rPr>
                <w:rFonts w:ascii="宋体" w:hAnsi="宋体"/>
                <w:color w:val="000000"/>
                <w:sz w:val="21"/>
                <w:szCs w:val="21"/>
                <w:lang w:bidi="ar"/>
              </w:rPr>
              <w:t xml:space="preserve">次的数据库切换演练服务支持</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人天服务</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提供10</w:t>
            </w:r>
            <w:r>
              <w:rPr>
                <w:rFonts w:ascii="宋体" w:hAnsi="宋体"/>
                <w:color w:val="000000"/>
                <w:sz w:val="21"/>
                <w:szCs w:val="21"/>
                <w:lang w:bidi="ar"/>
              </w:rPr>
              <w:t xml:space="preserve">人</w:t>
            </w:r>
            <w:r>
              <w:rPr>
                <w:rFonts w:hint="eastAsia" w:ascii="宋体" w:hAnsi="宋体"/>
                <w:color w:val="000000"/>
                <w:sz w:val="21"/>
                <w:szCs w:val="21"/>
                <w:lang w:bidi="ar"/>
              </w:rPr>
              <w:t xml:space="preserve">/</w:t>
            </w:r>
            <w:r>
              <w:rPr>
                <w:rFonts w:ascii="宋体" w:hAnsi="宋体"/>
                <w:color w:val="000000"/>
                <w:sz w:val="21"/>
                <w:szCs w:val="21"/>
                <w:lang w:bidi="ar"/>
              </w:rPr>
              <w:t xml:space="preserve">天的现场技术支持服务</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现场安装调试</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在业务系统上线开始至稳定运行，需在使用方现场进行安装调试</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重要业务系统数据库管理软件</w:t>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产品属性</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产品需为国产集中式关系型数据库</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全文检索</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B-TREE索引、GIN倒排索引、Gist空间索引、UBtree等多种索引访问方式。支持同一模式（schema）下不同表创建同名索引，支持中文的全文检索功能，能够支持like操作符的全文检索，中文全文检索功能不依赖中文词典</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内存引擎</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内置内存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存储引擎</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基于数据库内核本身，不通过插件或第三方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数据压缩</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支持表压缩功能，能够分别支持行存表压缩和列存表压缩</w:t>
            </w:r>
            <w:r>
              <w:rPr>
                <w:rFonts w:hint="eastAsia" w:ascii="宋体" w:hAnsi="宋体"/>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智能优化</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支持AI功能,通过结合深度强化学习和全局搜索算法等AI技术，实现在无需人工干预的情况下，获取最佳数据库参数配置。索引推荐功能支持用户在数据库中直接进行操作，对用户输入的单条查询语句生成推荐的索引</w:t>
            </w:r>
            <w:r>
              <w:rPr>
                <w:rFonts w:hint="eastAsia" w:ascii="宋体" w:hAnsi="宋体"/>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查询优化</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对于简单sql，可跳过执行器执行框架，并且直接调用存储接口，加速简单查询的执行速度</w:t>
            </w:r>
            <w:r>
              <w:rPr>
                <w:rFonts w:hint="eastAsia" w:ascii="宋体" w:hAnsi="宋体"/>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数据防篡改</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支持账本数据库，具备数据防篡改能力，自动为表数据添加摘要信息，自动创建一张历史表记录对应用户表中数据的变更行为，确保数据库的变更能被有效记录、查询和追溯</w:t>
            </w:r>
            <w:r>
              <w:rPr>
                <w:rFonts w:hint="eastAsia" w:ascii="宋体" w:hAnsi="宋体"/>
                <w:sz w:val="21"/>
                <w:szCs w:val="21"/>
                <w:lang w:bidi="ar"/>
              </w:rPr>
              <w:t xml:space="preserve">。</w:t>
            </w:r>
            <w:r/>
          </w:p>
        </w:tc>
      </w:tr>
      <w:tr>
        <w:trPr>
          <w:trHeight w:val="936"/>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索引支持</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支持并行构建索引，通过将数据集分成若干个子集分配到不同工作线程上，在每个线程上独立计算并将各线程结果合并形成最终全局索引，提升处理大规模数据集的效率。支持IVF、HNSW、Diskann等至少三种向量索引类型，标量索引如布尔、字符、数字标量索引；支持空间数据GIST索引；支持向标联合索引；向量索引支持更新自动维护</w:t>
            </w:r>
            <w:r>
              <w:rPr>
                <w:rFonts w:hint="eastAsia" w:ascii="宋体" w:hAnsi="宋体"/>
                <w:sz w:val="21"/>
                <w:szCs w:val="21"/>
                <w:lang w:bidi="ar"/>
              </w:rPr>
              <w:t xml:space="preserve">。</w:t>
            </w:r>
            <w:r/>
          </w:p>
        </w:tc>
      </w:tr>
      <w:tr>
        <w:trPr>
          <w:trHeight w:val="1560"/>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数据复制</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数据库软件自身具有对象和数据的同步复制功能，无需通过额外的同步软件即可支持表中数据的实时双向复制、实时单向复制，且可支持在ARM硬件和X86平台之间的表中数据的实时双向复制、实时单向复制。</w:t>
            </w:r>
            <w:r>
              <w:rPr>
                <w:rFonts w:hint="eastAsia" w:ascii="宋体" w:hAnsi="宋体"/>
                <w:sz w:val="21"/>
                <w:szCs w:val="21"/>
                <w:lang w:bidi="ar"/>
              </w:rPr>
              <w:br/>
              <w:t xml:space="preserve">支持CREATE/DROP/ALTER/TRUNCATE/RENAME TABLE、CREATE/DROP/ALTER/TRUNCATE TABLE PARTITION、</w:t>
            </w:r>
            <w:r>
              <w:rPr>
                <w:rFonts w:hint="eastAsia" w:ascii="宋体" w:hAnsi="宋体"/>
                <w:sz w:val="21"/>
                <w:szCs w:val="21"/>
                <w:lang w:bidi="ar"/>
              </w:rPr>
              <w:br/>
              <w:t xml:space="preserve">CREATE/DROP/ALTER/TRUNCATE TABLE SUBPARTITION，CREATE/ALTER/DROP INDEX，CREATE/DROP FUNCTION，CREATE/DROP PROCEDURE的DDL操作的同步复制。</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读写性能</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数据库产品支持批量写入和批量读取接口 API，按单表(表宽不少于 50 列,行平均大小不低于 300 字节规格)批量写入性能达到 10万行以上/秒，读取能力达到30万行以上/秒</w:t>
            </w:r>
            <w:r>
              <w:rPr>
                <w:rFonts w:hint="eastAsia" w:ascii="宋体" w:hAnsi="宋体"/>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产品维护</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产品服务期5</w:t>
            </w:r>
            <w:r>
              <w:rPr>
                <w:rFonts w:ascii="宋体" w:hAnsi="宋体"/>
                <w:color w:val="000000"/>
                <w:sz w:val="21"/>
                <w:szCs w:val="21"/>
                <w:lang w:bidi="ar"/>
              </w:rPr>
              <w:t xml:space="preserve">年，服务包含安装、迁移、适配、调优，软件使用过程中发生的问题进行维护，包括软件功能故障、升级错误等；提供软件补丁升级服务，以改善软件功能性能；提供其他需要的软件售后服务；每个月提供</w:t>
            </w:r>
            <w:r>
              <w:rPr>
                <w:rFonts w:hint="eastAsia" w:ascii="宋体" w:hAnsi="宋体"/>
                <w:color w:val="000000"/>
                <w:sz w:val="21"/>
                <w:szCs w:val="21"/>
                <w:lang w:bidi="ar"/>
              </w:rPr>
              <w:t xml:space="preserve">1</w:t>
            </w:r>
            <w:r>
              <w:rPr>
                <w:rFonts w:ascii="宋体" w:hAnsi="宋体"/>
                <w:color w:val="000000"/>
                <w:sz w:val="21"/>
                <w:szCs w:val="21"/>
                <w:lang w:bidi="ar"/>
              </w:rPr>
              <w:t xml:space="preserve">次巡检和漏洞检查；提供厂商在线生态终身</w:t>
            </w:r>
            <w:r>
              <w:rPr>
                <w:rFonts w:hint="eastAsia" w:ascii="宋体" w:hAnsi="宋体"/>
                <w:color w:val="000000"/>
                <w:sz w:val="21"/>
                <w:szCs w:val="21"/>
                <w:lang w:bidi="ar"/>
              </w:rPr>
              <w:t xml:space="preserve">vip</w:t>
            </w:r>
            <w:r>
              <w:rPr>
                <w:rFonts w:ascii="宋体" w:hAnsi="宋体"/>
                <w:color w:val="000000"/>
                <w:sz w:val="21"/>
                <w:szCs w:val="21"/>
                <w:lang w:bidi="ar"/>
              </w:rPr>
              <w:t xml:space="preserve">权限</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产品培训</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提供1</w:t>
            </w:r>
            <w:r>
              <w:rPr>
                <w:rFonts w:ascii="宋体" w:hAnsi="宋体"/>
                <w:color w:val="000000"/>
                <w:sz w:val="21"/>
                <w:szCs w:val="21"/>
                <w:lang w:bidi="ar"/>
              </w:rPr>
              <w:t xml:space="preserve">次产品培训包括：数据库系统管理培训、数据库开发技术培训、一般操作培训和运维培训</w:t>
            </w:r>
            <w:r>
              <w:rPr>
                <w:rFonts w:hint="eastAsia" w:ascii="宋体" w:hAnsi="宋体"/>
                <w:color w:val="000000"/>
                <w:sz w:val="21"/>
                <w:szCs w:val="21"/>
                <w:lang w:bidi="ar"/>
              </w:rPr>
              <w:t xml:space="preserve">。</w:t>
            </w:r>
            <w:r/>
          </w:p>
        </w:tc>
      </w:tr>
      <w:tr>
        <w:trPr>
          <w:trHeight w:val="936"/>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响应时间</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在服务期内向采购人提供7</w:t>
            </w:r>
            <w:r>
              <w:rPr>
                <w:rFonts w:ascii="宋体" w:hAnsi="宋体"/>
                <w:color w:val="000000"/>
                <w:sz w:val="21"/>
                <w:szCs w:val="21"/>
                <w:lang w:bidi="ar"/>
              </w:rPr>
              <w:t xml:space="preserve">×</w:t>
            </w:r>
            <w:r>
              <w:rPr>
                <w:rFonts w:hint="eastAsia" w:ascii="宋体" w:hAnsi="宋体"/>
                <w:color w:val="000000"/>
                <w:sz w:val="21"/>
                <w:szCs w:val="21"/>
                <w:lang w:bidi="ar"/>
              </w:rPr>
              <w:t xml:space="preserve">24</w:t>
            </w:r>
            <w:r>
              <w:rPr>
                <w:rFonts w:ascii="宋体" w:hAnsi="宋体"/>
                <w:color w:val="000000"/>
                <w:sz w:val="21"/>
                <w:szCs w:val="21"/>
                <w:lang w:bidi="ar"/>
              </w:rPr>
              <w:t xml:space="preserve">小时的原厂商技术支持服务，帮助客户解决安装及使用数据库过程遇到的问题。</w:t>
            </w:r>
            <w:r>
              <w:rPr>
                <w:rFonts w:ascii="宋体" w:hAnsi="宋体"/>
                <w:color w:val="000000"/>
                <w:sz w:val="21"/>
                <w:szCs w:val="21"/>
                <w:lang w:bidi="ar"/>
              </w:rPr>
              <w:br/>
              <w:t xml:space="preserve">采购人发出服务请求后，15分钟内提供响应，在如在30分钟内无法电话或远程解决采购人所提出的维修要求，在报修2小时内（本地）或8小时内（外地）派工程师到达现场进行处理。</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切换演练</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每年2</w:t>
            </w:r>
            <w:r>
              <w:rPr>
                <w:rFonts w:ascii="宋体" w:hAnsi="宋体"/>
                <w:color w:val="000000"/>
                <w:sz w:val="21"/>
                <w:szCs w:val="21"/>
                <w:lang w:bidi="ar"/>
              </w:rPr>
              <w:t xml:space="preserve">次的数据库切换演练服务支持</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人天服务</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提供10</w:t>
            </w:r>
            <w:r>
              <w:rPr>
                <w:rFonts w:ascii="宋体" w:hAnsi="宋体"/>
                <w:color w:val="000000"/>
                <w:sz w:val="21"/>
                <w:szCs w:val="21"/>
                <w:lang w:bidi="ar"/>
              </w:rPr>
              <w:t xml:space="preserve">人</w:t>
            </w:r>
            <w:r>
              <w:rPr>
                <w:rFonts w:hint="eastAsia" w:ascii="宋体" w:hAnsi="宋体"/>
                <w:color w:val="000000"/>
                <w:sz w:val="21"/>
                <w:szCs w:val="21"/>
                <w:lang w:bidi="ar"/>
              </w:rPr>
              <w:t xml:space="preserve">/</w:t>
            </w:r>
            <w:r>
              <w:rPr>
                <w:rFonts w:ascii="宋体" w:hAnsi="宋体"/>
                <w:color w:val="000000"/>
                <w:sz w:val="21"/>
                <w:szCs w:val="21"/>
                <w:lang w:bidi="ar"/>
              </w:rPr>
              <w:t xml:space="preserve">天的现场技术支持服务</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36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48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现场安装调试</w:t>
            </w:r>
            <w:r/>
          </w:p>
        </w:tc>
        <w:tc>
          <w:tcPr>
            <w:shd w:val="clear" w:color="auto" w:fill="auto"/>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在业务系统上线开始至稳定运行，需在使用方现场进行安装调试</w:t>
            </w:r>
            <w:r>
              <w:rPr>
                <w:rFonts w:hint="eastAsia" w:ascii="宋体" w:hAnsi="宋体"/>
                <w:color w:val="000000"/>
                <w:sz w:val="21"/>
                <w:szCs w:val="21"/>
                <w:lang w:bidi="ar"/>
              </w:rPr>
              <w:t xml:space="preserve">。</w:t>
            </w:r>
            <w:r/>
          </w:p>
        </w:tc>
      </w:tr>
    </w:tbl>
    <w:p>
      <w:pPr>
        <w:ind w:left="0"/>
        <w:tabs>
          <w:tab w:val="left" w:pos="0" w:leader="none"/>
        </w:tabs>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服务器算力中心</w:t>
      </w:r>
      <w:r/>
    </w:p>
    <w:tbl>
      <w:tblPr>
        <w:tblW w:w="5000" w:type="pct"/>
        <w:tblLook w:val="04A0" w:firstRow="1" w:lastRow="0" w:firstColumn="1" w:lastColumn="0" w:noHBand="0" w:noVBand="1"/>
      </w:tblPr>
      <w:tblGrid>
        <w:gridCol w:w="737"/>
        <w:gridCol w:w="1001"/>
        <w:gridCol w:w="1098"/>
        <w:gridCol w:w="7018"/>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技术指标要求</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HIS库物理服务器</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2U机架式服务器，配置原厂导轨</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实配≥2颗国产化C86架构处理器，单颗性能≥ 2.7GHz/64</w:t>
            </w:r>
            <w:r>
              <w:rPr>
                <w:rFonts w:hint="eastAsia" w:ascii="宋体" w:hAnsi="宋体"/>
                <w:color w:val="000000"/>
                <w:sz w:val="21"/>
                <w:szCs w:val="21"/>
                <w:lang w:bidi="ar"/>
              </w:rPr>
              <w:t xml:space="preserve">核；处理器通过国家安全可靠</w:t>
            </w:r>
            <w:r>
              <w:rPr>
                <w:rFonts w:hint="eastAsia" w:ascii="宋体" w:hAnsi="宋体"/>
                <w:color w:val="000000"/>
                <w:sz w:val="21"/>
                <w:szCs w:val="21"/>
                <w:lang w:bidi="ar"/>
              </w:rPr>
              <w:t xml:space="preserve">测评，且安全可靠等级≥Ⅱ级。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实配≥1024GB DDR5内存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实配≥3*960GB SATA SSD</w:t>
            </w:r>
            <w:r>
              <w:rPr>
                <w:rFonts w:hint="eastAsia" w:ascii="宋体" w:hAnsi="宋体"/>
                <w:color w:val="000000"/>
                <w:sz w:val="21"/>
                <w:szCs w:val="21"/>
                <w:lang w:bidi="ar"/>
              </w:rPr>
              <w:t xml:space="preserve">硬盘。</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支持≥10个PCIe 5.0</w:t>
            </w:r>
            <w:r>
              <w:rPr>
                <w:rFonts w:hint="eastAsia" w:ascii="宋体" w:hAnsi="宋体"/>
                <w:color w:val="000000"/>
                <w:sz w:val="21"/>
                <w:szCs w:val="21"/>
                <w:lang w:bidi="ar"/>
              </w:rPr>
              <w:t xml:space="preserve">插槽。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以太网接口，≥2*2端口万兆光口（满配光模块），≥2*1端口32GB FC</w:t>
            </w:r>
            <w:r>
              <w:rPr>
                <w:rFonts w:hint="eastAsia" w:ascii="宋体" w:hAnsi="宋体"/>
                <w:color w:val="000000"/>
                <w:sz w:val="21"/>
                <w:szCs w:val="21"/>
                <w:lang w:bidi="ar"/>
              </w:rPr>
              <w:t xml:space="preserve">接口卡（含模块）。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实配双电源、冗余风扇</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▼用户在不额外部署任何管理软件的情况下，可实现多台服务器的统一管理，同时可对服务器进行全面的固件升级，可一次升级多个部件的固件（必须包括存储卡、网卡、硬盘、BMC、BIOS</w:t>
            </w:r>
            <w:r>
              <w:rPr>
                <w:rFonts w:hint="eastAsia" w:ascii="宋体" w:hAnsi="宋体"/>
                <w:color w:val="000000"/>
                <w:sz w:val="21"/>
                <w:szCs w:val="21"/>
                <w:lang w:bidi="ar"/>
              </w:rPr>
              <w:t xml:space="preserve">），无需多次升级。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投标服务器所配备的CPU(中央处理器)内置密码模块或密码协处理器，可实现SM2、SM3和SM4</w:t>
            </w:r>
            <w:r>
              <w:rPr>
                <w:rFonts w:hint="eastAsia" w:ascii="宋体" w:hAnsi="宋体"/>
                <w:color w:val="000000"/>
                <w:sz w:val="21"/>
                <w:szCs w:val="21"/>
                <w:lang w:bidi="ar"/>
              </w:rPr>
              <w:t xml:space="preserve">国密算法的硬件加速。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开机自检</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以明文方式显示所有的开机自检码信息，</w:t>
            </w:r>
            <w:r>
              <w:rPr>
                <w:rFonts w:hint="eastAsia" w:ascii="宋体" w:hAnsi="宋体"/>
                <w:color w:val="000000"/>
                <w:sz w:val="21"/>
                <w:szCs w:val="21"/>
                <w:lang w:bidi="ar"/>
              </w:rPr>
              <w:t xml:space="preserve">每个自检码都需时间、自检码值、自检码描述字段，方便进行运维诊断。</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w:t>
            </w:r>
            <w:r>
              <w:rPr>
                <w:rFonts w:hint="eastAsia" w:ascii="宋体" w:hAnsi="宋体"/>
                <w:color w:val="000000"/>
                <w:sz w:val="21"/>
                <w:szCs w:val="21"/>
                <w:lang w:bidi="ar"/>
              </w:rPr>
              <w:t xml:space="preserve">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HIS库容灾物理服务器</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2U机架式服务器，配置原厂导轨</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实配≥2颗国产化C86架构处理器，单颗性能≥ 2.7GHz/64</w:t>
            </w:r>
            <w:r>
              <w:rPr>
                <w:rFonts w:hint="eastAsia" w:ascii="宋体" w:hAnsi="宋体"/>
                <w:color w:val="000000"/>
                <w:sz w:val="21"/>
                <w:szCs w:val="21"/>
                <w:lang w:bidi="ar"/>
              </w:rPr>
              <w:t xml:space="preserve">核；处理器通过国家安全可靠中心测评，且安全可靠等级≥Ⅱ级。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实配≥1024GB DDR5内存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实配≥3*960GB SATA SSD硬盘，≥8*3.84TB SATA SSD</w:t>
            </w:r>
            <w:r>
              <w:rPr>
                <w:rFonts w:hint="eastAsia" w:ascii="宋体" w:hAnsi="宋体"/>
                <w:color w:val="000000"/>
                <w:sz w:val="21"/>
                <w:szCs w:val="21"/>
                <w:lang w:bidi="ar"/>
              </w:rPr>
              <w:t xml:space="preserve">硬盘。</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支持≥10个PCIe 5.0</w:t>
            </w:r>
            <w:r>
              <w:rPr>
                <w:rFonts w:hint="eastAsia" w:ascii="宋体" w:hAnsi="宋体"/>
                <w:color w:val="000000"/>
                <w:sz w:val="21"/>
                <w:szCs w:val="21"/>
                <w:lang w:bidi="ar"/>
              </w:rPr>
              <w:t xml:space="preserve">插槽。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w:t>
            </w:r>
            <w:r>
              <w:rPr>
                <w:rFonts w:hint="eastAsia" w:ascii="宋体" w:hAnsi="宋体"/>
                <w:color w:val="000000"/>
                <w:sz w:val="21"/>
                <w:szCs w:val="21"/>
                <w:lang w:bidi="ar"/>
              </w:rPr>
              <w:t xml:space="preserve">端口万兆光口（满配光模块）。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实配双电源、冗余风扇</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用户在不额外部署任何管理软件的情况下，可实现多台服务器的统一管理，同时可对服务器进行全面的固件升级，可一次升级多个部件的固件（必须包括存储卡、网卡、硬盘、BMC、BIOS</w:t>
            </w:r>
            <w:r>
              <w:rPr>
                <w:rFonts w:hint="eastAsia" w:ascii="宋体" w:hAnsi="宋体"/>
                <w:color w:val="000000"/>
                <w:sz w:val="21"/>
                <w:szCs w:val="21"/>
                <w:lang w:bidi="ar"/>
              </w:rPr>
              <w:t xml:space="preserve">），无需多次升级。</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安全检测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支持安全检测功能，可识别风险配置项，支持设置登录失败锁定时长、登录失败次数、密码复杂度检</w:t>
            </w:r>
            <w:r>
              <w:rPr>
                <w:rFonts w:hint="eastAsia" w:ascii="宋体" w:hAnsi="宋体"/>
                <w:color w:val="000000"/>
                <w:sz w:val="21"/>
                <w:szCs w:val="21"/>
                <w:lang w:bidi="ar"/>
              </w:rPr>
              <w:t xml:space="preserve">查、禁用历史密码、密码有效期、弱口令字典认证及证书过期告警功能。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投标服务器所配备的CPU(中央处理器)内置密码模块或密码协处理器，可实现SM2、SM3和SM4国密算法的硬件加速。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w:t>
            </w:r>
            <w:r>
              <w:rPr>
                <w:rFonts w:hint="eastAsia" w:ascii="宋体" w:hAnsi="宋体"/>
                <w:color w:val="000000"/>
                <w:sz w:val="21"/>
                <w:szCs w:val="21"/>
                <w:lang w:bidi="ar"/>
              </w:rPr>
              <w:t xml:space="preserve">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EMR库物理服务器</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2U机架式服务器，配置原厂导轨</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实配≥2颗国产化C86架构处理器，单颗性能≥ 2.0GHz/64</w:t>
            </w:r>
            <w:r>
              <w:rPr>
                <w:rFonts w:hint="eastAsia" w:ascii="宋体" w:hAnsi="宋体"/>
                <w:color w:val="000000"/>
                <w:sz w:val="21"/>
                <w:szCs w:val="21"/>
                <w:lang w:bidi="ar"/>
              </w:rPr>
              <w:t xml:space="preserve">核；处理器通过国家安全可靠中心测评，且安全可靠等级≥Ⅱ级。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实配≥1024GB DDR5内存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实配≥3*960GB SATA SSD硬盘，≥10*3.84TB SATA SSD</w:t>
            </w:r>
            <w:r>
              <w:rPr>
                <w:rFonts w:hint="eastAsia" w:ascii="宋体" w:hAnsi="宋体"/>
                <w:color w:val="000000"/>
                <w:sz w:val="21"/>
                <w:szCs w:val="21"/>
                <w:lang w:bidi="ar"/>
              </w:rPr>
              <w:t xml:space="preserve">硬盘。</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支持≥10个PCIe 5.0</w:t>
            </w:r>
            <w:r>
              <w:rPr>
                <w:rFonts w:hint="eastAsia" w:ascii="宋体" w:hAnsi="宋体"/>
                <w:color w:val="000000"/>
                <w:sz w:val="21"/>
                <w:szCs w:val="21"/>
                <w:lang w:bidi="ar"/>
              </w:rPr>
              <w:t xml:space="preserve">插槽。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w:t>
            </w:r>
            <w:r>
              <w:rPr>
                <w:rFonts w:hint="eastAsia" w:ascii="宋体" w:hAnsi="宋体"/>
                <w:color w:val="000000"/>
                <w:sz w:val="21"/>
                <w:szCs w:val="21"/>
                <w:lang w:bidi="ar"/>
              </w:rPr>
              <w:t xml:space="preserve">端口万兆光口（满配光模块）。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实配双电源、冗余风扇</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用户在不额外部署任何管理软件的情况下，可实现多台服务器的统一管理，同时可对服务器进行全面的固件升级，可一次升级多个部件的固件（必须包括存储卡、网卡、硬盘、BMC、BIOS</w:t>
            </w:r>
            <w:r>
              <w:rPr>
                <w:rFonts w:hint="eastAsia" w:ascii="宋体" w:hAnsi="宋体"/>
                <w:color w:val="000000"/>
                <w:sz w:val="21"/>
                <w:szCs w:val="21"/>
                <w:lang w:bidi="ar"/>
              </w:rPr>
              <w:t xml:space="preserve">），无需多次升级。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投标服务器所配备的CPU(中央处理器)内置密码模块或密码协处理器，可实现SM2、SM3和SM4国密算法的硬件加速。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开机自检</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以明文方式显示所有的开机自检码信息，</w:t>
            </w:r>
            <w:r>
              <w:rPr>
                <w:rFonts w:hint="eastAsia" w:ascii="宋体" w:hAnsi="宋体"/>
                <w:color w:val="000000"/>
                <w:sz w:val="21"/>
                <w:szCs w:val="21"/>
                <w:lang w:bidi="ar"/>
              </w:rPr>
              <w:t xml:space="preserve">每个自检码都需时间、自检码值、自检码描述字段，方便进行运维诊断。</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w:t>
            </w:r>
            <w:r>
              <w:rPr>
                <w:rFonts w:hint="eastAsia" w:ascii="宋体" w:hAnsi="宋体"/>
                <w:color w:val="000000"/>
                <w:sz w:val="21"/>
                <w:szCs w:val="21"/>
                <w:lang w:bidi="ar"/>
              </w:rPr>
              <w:t xml:space="preserve">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CDR库物理服务器</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2U机架式服务器，配置原厂导轨</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实配≥2颗国产化C86架构处理器，单颗性能≥ 2.0GHz/64</w:t>
            </w:r>
            <w:r>
              <w:rPr>
                <w:rFonts w:hint="eastAsia" w:ascii="宋体" w:hAnsi="宋体"/>
                <w:color w:val="000000"/>
                <w:sz w:val="21"/>
                <w:szCs w:val="21"/>
                <w:lang w:bidi="ar"/>
              </w:rPr>
              <w:t xml:space="preserve">核；处理器通过国家安全可靠中心测评，且安全可靠等级≥Ⅱ级。</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实配≥1024GB DDR5内存</w:t>
            </w:r>
            <w:r>
              <w:rPr>
                <w:rFonts w:hint="eastAsia" w:ascii="宋体" w:hAnsi="宋体"/>
                <w:color w:val="000000"/>
                <w:sz w:val="21"/>
                <w:szCs w:val="21"/>
                <w:lang w:bidi="ar"/>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实配≥3*960GB SATA SSD硬盘，≥10*3.84TB SATA SSD</w:t>
            </w:r>
            <w:r>
              <w:rPr>
                <w:rFonts w:hint="eastAsia" w:ascii="宋体" w:hAnsi="宋体"/>
                <w:color w:val="000000"/>
                <w:sz w:val="21"/>
                <w:szCs w:val="21"/>
                <w:lang w:bidi="ar"/>
              </w:rPr>
              <w:t xml:space="preserve">硬盘。</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支持≥10个PCIe 5.0</w:t>
            </w:r>
            <w:r>
              <w:rPr>
                <w:rFonts w:hint="eastAsia" w:ascii="宋体" w:hAnsi="宋体"/>
                <w:color w:val="000000"/>
                <w:sz w:val="21"/>
                <w:szCs w:val="21"/>
                <w:lang w:bidi="ar"/>
              </w:rPr>
              <w:t xml:space="preserve">插槽。</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w:t>
            </w:r>
            <w:r>
              <w:rPr>
                <w:rFonts w:hint="eastAsia" w:ascii="宋体" w:hAnsi="宋体"/>
                <w:color w:val="000000"/>
                <w:sz w:val="21"/>
                <w:szCs w:val="21"/>
                <w:lang w:bidi="ar"/>
              </w:rPr>
              <w:t xml:space="preserve">端口万兆光口（满配光模块）。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实配双电源、冗余风扇</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用户在不额外部署任何管理软件的情况下，可实现多台服务器的统一管理，同时可对服务器进行全面的固件升级，可一次升级多个部件的固件（必须包括存储卡、网卡、硬盘、BMC、BIOS</w:t>
            </w:r>
            <w:r>
              <w:rPr>
                <w:rFonts w:hint="eastAsia" w:ascii="宋体" w:hAnsi="宋体"/>
                <w:color w:val="000000"/>
                <w:sz w:val="21"/>
                <w:szCs w:val="21"/>
                <w:lang w:bidi="ar"/>
              </w:rPr>
              <w:t xml:space="preserve">），无需多次升级。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投标服务器所配备的CPU(中央处理器)内置密码模块或密码协处理器，可实现SM2、SM3和SM4国密算法的硬件加速。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开机自检</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以明文方式显示所有的开机自检码信息，</w:t>
            </w:r>
            <w:r>
              <w:rPr>
                <w:rFonts w:hint="eastAsia" w:ascii="宋体" w:hAnsi="宋体"/>
                <w:color w:val="000000"/>
                <w:sz w:val="21"/>
                <w:szCs w:val="21"/>
                <w:lang w:bidi="ar"/>
              </w:rPr>
              <w:t xml:space="preserve">每个自检码都需时间、自检码值、自检码描述字段，方便进行运维诊断。</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w:t>
            </w:r>
            <w:r>
              <w:rPr>
                <w:rFonts w:hint="eastAsia" w:ascii="宋体" w:hAnsi="宋体"/>
                <w:color w:val="000000"/>
                <w:sz w:val="21"/>
                <w:szCs w:val="21"/>
                <w:lang w:bidi="ar"/>
              </w:rPr>
              <w:t xml:space="preserve">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ODS库物理服务器</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外型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2U机架式服务器，配置原厂导轨</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实配≥2颗国产化C86架构处理器，单颗性能≥ 2.0GHz/64</w:t>
            </w:r>
            <w:r>
              <w:rPr>
                <w:rFonts w:hint="eastAsia" w:ascii="宋体" w:hAnsi="宋体"/>
                <w:color w:val="000000"/>
                <w:sz w:val="21"/>
                <w:szCs w:val="21"/>
                <w:lang w:bidi="ar"/>
              </w:rPr>
              <w:t xml:space="preserve">核；处理器通过国家安全可靠中心测评，且安全可靠等级≥Ⅱ级。</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实配≥1024GB DDR5内存</w:t>
            </w:r>
            <w:r>
              <w:rPr>
                <w:rFonts w:hint="eastAsia" w:ascii="宋体" w:hAnsi="宋体"/>
                <w:color w:val="000000"/>
                <w:sz w:val="21"/>
                <w:szCs w:val="21"/>
                <w:lang w:bidi="ar"/>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实配≥3*960GB SATA SSD硬盘，≥10*3.84TB SATA SSD</w:t>
            </w:r>
            <w:r>
              <w:rPr>
                <w:rFonts w:hint="eastAsia" w:ascii="宋体" w:hAnsi="宋体"/>
                <w:color w:val="000000"/>
                <w:sz w:val="21"/>
                <w:szCs w:val="21"/>
                <w:lang w:bidi="ar"/>
              </w:rPr>
              <w:t xml:space="preserve">硬盘。</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PCIE插槽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支持≥10个PCIe 5.0</w:t>
            </w:r>
            <w:r>
              <w:rPr>
                <w:rFonts w:hint="eastAsia" w:ascii="宋体" w:hAnsi="宋体"/>
                <w:color w:val="000000"/>
                <w:sz w:val="21"/>
                <w:szCs w:val="21"/>
                <w:lang w:bidi="ar"/>
              </w:rPr>
              <w:t xml:space="preserve">插槽。</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w:t>
            </w:r>
            <w:r>
              <w:rPr>
                <w:rFonts w:hint="eastAsia" w:ascii="宋体" w:hAnsi="宋体"/>
                <w:color w:val="000000"/>
                <w:sz w:val="21"/>
                <w:szCs w:val="21"/>
                <w:lang w:bidi="ar"/>
              </w:rPr>
              <w:t xml:space="preserve">端口万兆光口（满配光模块）。</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实配双电源、冗余风扇</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用户在不额外部署任何管理软件的情况下，可实现多台服务器的统一管理，同时可对服务器进行全面的固件升级，可一次升级多个部件的固件（必须包括存储卡、网卡、硬盘、BMC、BIOS</w:t>
            </w:r>
            <w:r>
              <w:rPr>
                <w:rFonts w:hint="eastAsia" w:ascii="宋体" w:hAnsi="宋体"/>
                <w:color w:val="000000"/>
                <w:sz w:val="21"/>
                <w:szCs w:val="21"/>
                <w:lang w:bidi="ar"/>
              </w:rPr>
              <w:t xml:space="preserve">），无需多次升级。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投标服务器所配备的CPU(中央处理器)内置密码模块或密码协处理器，可实现SM2、SM3和SM4国密算法的硬件加速。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开机自检</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以明文方式显示所有的开机自检码信息，</w:t>
            </w:r>
            <w:r>
              <w:rPr>
                <w:rFonts w:hint="eastAsia" w:ascii="宋体" w:hAnsi="宋体"/>
                <w:color w:val="000000"/>
                <w:sz w:val="21"/>
                <w:szCs w:val="21"/>
                <w:lang w:bidi="ar"/>
              </w:rPr>
              <w:t xml:space="preserve">每个自检码都需时间、自检码值、自检码描述字段，方便进行运维诊断。</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w:t>
            </w:r>
            <w:r>
              <w:rPr>
                <w:rFonts w:hint="eastAsia" w:ascii="宋体" w:hAnsi="宋体"/>
                <w:color w:val="000000"/>
                <w:sz w:val="21"/>
                <w:szCs w:val="21"/>
                <w:lang w:bidi="ar"/>
              </w:rPr>
              <w:t xml:space="preserve">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内网超融合全闪集群（硬件部分）</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配置2颗国产化C86处理器, 单颗性能≥ 2.2GHz/32核</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配置≥1024GB内存</w:t>
            </w:r>
            <w:r>
              <w:rPr>
                <w:rFonts w:hint="eastAsia" w:ascii="宋体" w:hAnsi="宋体"/>
                <w:color w:val="000000"/>
                <w:sz w:val="21"/>
                <w:szCs w:val="21"/>
                <w:lang w:bidi="ar"/>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配置≥2块480GB SSD系统盘，实配≥8块7.68TB SATA SSD</w:t>
            </w:r>
            <w:r>
              <w:rPr>
                <w:rFonts w:hint="eastAsia" w:ascii="宋体" w:hAnsi="宋体"/>
                <w:color w:val="000000"/>
                <w:sz w:val="21"/>
                <w:szCs w:val="21"/>
                <w:lang w:bidi="ar"/>
              </w:rPr>
              <w:t xml:space="preserve">数据盘。</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阵列卡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实配缓存≥4G</w:t>
            </w:r>
            <w:r>
              <w:rPr>
                <w:rFonts w:hint="eastAsia" w:ascii="宋体" w:hAnsi="宋体"/>
                <w:color w:val="000000"/>
                <w:sz w:val="21"/>
                <w:szCs w:val="21"/>
                <w:lang w:bidi="ar"/>
              </w:rPr>
              <w:t xml:space="preserve">阵列卡，含超级电容。</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配置≥4个10/100/1000M-BaseT 以太网接口，≥2*2</w:t>
            </w:r>
            <w:r>
              <w:rPr>
                <w:rFonts w:hint="eastAsia" w:ascii="宋体" w:hAnsi="宋体"/>
                <w:color w:val="000000"/>
                <w:sz w:val="21"/>
                <w:szCs w:val="21"/>
                <w:lang w:bidi="ar"/>
              </w:rPr>
              <w:t xml:space="preserve">端口万兆光口（满配光模块）。</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安全检测</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▼支持安全检测功能，可识别风险配置项，支持设置登录失败锁定时长、登录失败次数、密码复杂度检</w:t>
            </w:r>
            <w:r>
              <w:rPr>
                <w:rFonts w:hint="eastAsia" w:ascii="宋体" w:hAnsi="宋体"/>
                <w:color w:val="000000"/>
                <w:sz w:val="21"/>
                <w:szCs w:val="21"/>
                <w:lang w:bidi="ar"/>
              </w:rPr>
              <w:t xml:space="preserve">查、禁用历</w:t>
            </w:r>
            <w:r>
              <w:rPr>
                <w:rFonts w:hint="eastAsia" w:ascii="宋体" w:hAnsi="宋体"/>
                <w:color w:val="000000"/>
                <w:sz w:val="21"/>
                <w:szCs w:val="21"/>
                <w:lang w:bidi="ar"/>
              </w:rPr>
              <w:t xml:space="preserve">史密码、密码有效期、弱口令字典认证及证书过期告警功能。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开机自检</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以明文方式显示所有的开机自检码信息，</w:t>
            </w:r>
            <w:r>
              <w:rPr>
                <w:rFonts w:hint="eastAsia" w:ascii="宋体" w:hAnsi="宋体"/>
                <w:color w:val="000000"/>
                <w:sz w:val="21"/>
                <w:szCs w:val="21"/>
                <w:lang w:bidi="ar"/>
              </w:rPr>
              <w:t xml:space="preserve">每个自检码都需时间、自检码值、自检码描述字段，方便进行运维诊断。</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联合管理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▼用户在不额外部署任何管理软件的情况下，可实现多台服务器的统一管理，同时可对服务器进行全面的固件升级，可一次升级多个部件的固件（必须包括存储卡、网卡、硬盘、BMC、BOIS</w:t>
            </w:r>
            <w:r>
              <w:rPr>
                <w:rFonts w:hint="eastAsia" w:ascii="宋体" w:hAnsi="宋体"/>
                <w:color w:val="000000"/>
                <w:sz w:val="21"/>
                <w:szCs w:val="21"/>
                <w:lang w:bidi="ar"/>
              </w:rPr>
              <w:t xml:space="preserve">），无需多次升级。</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冗余性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实配热插拔双电源、冗余风扇</w:t>
            </w:r>
            <w:r>
              <w:rPr>
                <w:rFonts w:hint="eastAsia" w:ascii="宋体" w:hAnsi="宋体"/>
                <w:color w:val="000000"/>
                <w:sz w:val="21"/>
                <w:szCs w:val="21"/>
                <w:lang w:bidi="ar"/>
              </w:rPr>
              <w:t xml:space="preserve">。</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可管理性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配置≥1Gb独立的远程管理控制端口</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环境温度</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长期工作环境温度支持5-40度。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内网超融合全闪集群（软件部分）</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品牌要求</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国产品牌，要求与超融合服务器同品牌，非OEM</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超融合资源统一管理</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在统一管理平台上即可实现对计算、存储、网络、安全等资源的统一管理运维，无需界面跳转即可实现全部操作，简化运维工作，降低运维成本。</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硬件平台的监控</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对超融合一体机的硬件平台进行监控，电源，风扇，温感，CPU、内存、硬盘等硬件平台信息</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集群灵活扩容</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可以依据资源的使用情况，超融合平台支持按需选择扩容计算存储融合型节点、计算虚拟化型节</w:t>
            </w:r>
            <w:r>
              <w:rPr>
                <w:rFonts w:hint="eastAsia" w:ascii="宋体" w:hAnsi="宋体"/>
                <w:color w:val="000000"/>
                <w:sz w:val="21"/>
                <w:szCs w:val="21"/>
                <w:lang w:bidi="ar"/>
              </w:rPr>
              <w:t xml:space="preserve">点、存储虚拟化型节点，满足后期按业务对资源的需求进行灵活扩容。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虚拟机回收站</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支持虚拟机回收站功能，可统一管理被删除的虚拟机，防止因虚拟机误删除导致数据丢失</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多角色集群</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▼可以指定主机角色为存储型、计算型、超融合型，同一个集群内三种类型主机可以任意组合，满足用户各种应用场景，并更好的应对用户资源使用不均衡的情况下对资源的灵活扩容。</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统一存储</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▼支持同一节点同时提供服务器虚拟化及分式布块、对象、文件种存储功能，3个节点集群即可同时提供虚拟化、分布式块、对象、文件存储服务。为了确保性能其中对象和文件服务须在宿主机上提供。</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块存储</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支持厚/精简配置；厚配置根据业务需求分配固定的物理存储空间、精简配置根据应用实际写需要时才分配相应的物理存储空间。</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数据重建</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▼磁盘或者节点故障之后无需人工干预，数据在集群内硬盘的剩余空间中自动重构，所有硬盘并发重构，提升重构效率，可以做到 ≤15min/TB；为保障在数据重构过程中不造成对业务的影响，软件需支持数据重构QOS设置，支持自适应模式选项，可以根据业务压力自动调整重构速率。</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动态资源调度</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集群动态资源调度功能，可基于主机的CPU利用率、内存利用率、磁盘I/O、存储利用率、磁盘请求、网络流量等资源对虚拟机进行动态资源调度，实现自动化的存储资源分配和负载均衡功能，主动确保云环境的服务水平</w:t>
            </w:r>
            <w:r>
              <w:rPr>
                <w:rFonts w:hint="eastAsia" w:ascii="宋体" w:hAnsi="宋体"/>
                <w:color w:val="000000"/>
                <w:sz w:val="21"/>
                <w:szCs w:val="21"/>
                <w:lang w:bidi="ar"/>
              </w:rPr>
              <w:t xml:space="preserve">。</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AI资源容量预测</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资源容量预测服务，内置时间序列模型，管理平台自动化实现数据检索预测，提供用户易用的数据预测服务，服务支持呈现实时的CPU、内存和存储容量资源使用数据信息展示，并给出基于AI机器学习算法预测分析得到的预警时间点的提示，帮助用户做好资源扩容、成本预算等，提升业务可靠性。</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可靠性</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支持TGT高可用功能，可设置高可用IP地址对应多个主备存储节点，当有主节点断网或者掉电时，此高可用IP切换到备用节点使用，保障业务不中断。</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快照</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支持虚拟机快照功能，当设备快照策略生效时，在指定时间点快照策略内的虚拟机将自动创建快照</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隔离保护</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虚拟机之间可以做到隔离保护，其中每一个虚拟机发生故障都不会影响同一个物理机上的其它虚拟机运行，每个虚拟机上的用户权限只限于本虚拟机之内，以保障系统平台的安全性</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网络虚拟化</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▼支持纳管、配置和监控物理交换机设备。验证超融合管理平台界面设置物理交换机LLDP功能开关、端口聚合等；超融合管理界面查看物理交换机各个端口VLAN ID、连接状态、速率、光模块类型和匹配状态等信息。</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安全虚拟化</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创建分布式虚拟防火墙，提供微分段防护能力，应当至少支持基于虚拟机、IP地址、服务等设置安全策略，且安全策略和虚机所在位置及网络无关。虚拟机在不同主机、不同集群之间迁移时，安全策略应当自动跟随虚拟机，无需重新设置。</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配置需求</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实配与上述服务器中CPU总数量一致的服务器虚拟化、存储虚拟化、安全虚拟化以及超融合管理平台软件授权,不低于5年软件服务授权。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5年7×24小时，两小时现场支持和硬件质保（含硬盘不返还）</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数据中心交换机</w:t>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基础硬件</w:t>
            </w:r>
            <w:r/>
          </w:p>
        </w:tc>
        <w:tc>
          <w:tcPr>
            <w:shd w:val="clear" w:color="auto" w:fill="ffffff"/>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交换容量≥4.8Tbps，包转发率≥1600Mpps，万兆以太网光口≥24个，40G/100G以太网光口≥8个</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路由性能</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支持IPv4/IPv6静态路由、RIP、OSPF、IS-IS、BGP、等价路由、策略路由</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虚拟化</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支持多虚一技术(N:1)，可将多台物理设备虚拟化为1台逻辑设备</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内置智能管理平台，组网拓扑可视及管理、设备列表可视，以图形化操作的方</w:t>
            </w:r>
            <w:r>
              <w:rPr>
                <w:rFonts w:hint="eastAsia" w:ascii="宋体" w:hAnsi="宋体"/>
                <w:color w:val="000000"/>
                <w:sz w:val="21"/>
                <w:szCs w:val="21"/>
                <w:lang w:bidi="ar"/>
              </w:rPr>
              <w:t xml:space="preserve">式，实现对网络的统一运维及管理。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数据中心特性</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 PFC、ECN 功能，可以满足以太网流量传输的无丢包要求，防止丢包对</w:t>
            </w:r>
            <w:r>
              <w:rPr>
                <w:rFonts w:hint="eastAsia" w:ascii="宋体" w:hAnsi="宋体"/>
                <w:color w:val="000000"/>
                <w:sz w:val="21"/>
                <w:szCs w:val="21"/>
                <w:lang w:bidi="ar"/>
              </w:rPr>
              <w:t xml:space="preserve">业务造成影响。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rPr>
                <w:rFonts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VXLAN</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支持VXLAN网关功能，能够实现VXLAN</w:t>
            </w:r>
            <w:r>
              <w:rPr>
                <w:rFonts w:hint="eastAsia" w:ascii="宋体" w:hAnsi="宋体"/>
                <w:color w:val="000000"/>
                <w:sz w:val="21"/>
                <w:szCs w:val="21"/>
                <w:lang w:bidi="ar"/>
              </w:rPr>
              <w:t xml:space="preserve">二三层互通。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0</w:t>
            </w:r>
            <w:r>
              <w:rPr>
                <w:rFonts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配置双电源，五风扇</w:t>
            </w:r>
            <w:r>
              <w:rPr>
                <w:rFonts w:hint="eastAsia" w:ascii="宋体" w:hAnsi="宋体"/>
                <w:color w:val="000000"/>
                <w:sz w:val="21"/>
                <w:szCs w:val="21"/>
                <w:lang w:bidi="ar"/>
              </w:rPr>
              <w:t xml:space="preserve">。</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rPr>
                <w:rFonts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5年7×24小时，两小时现场支持和硬件质保</w:t>
            </w:r>
            <w:r>
              <w:rPr>
                <w:rFonts w:hint="eastAsia" w:ascii="宋体" w:hAnsi="宋体"/>
                <w:color w:val="000000"/>
                <w:sz w:val="21"/>
                <w:szCs w:val="21"/>
                <w:lang w:bidi="ar"/>
              </w:rPr>
              <w:t xml:space="preserve">。</w:t>
            </w:r>
            <w:r/>
          </w:p>
        </w:tc>
      </w:tr>
    </w:tbl>
    <w:p>
      <w:pPr>
        <w:ind w:left="0"/>
        <w:tabs>
          <w:tab w:val="left" w:pos="0" w:leader="none"/>
        </w:tabs>
        <w:rPr>
          <w:rFonts w:ascii="宋体" w:hAnsi="宋体"/>
          <w:b/>
          <w:bCs/>
          <w:sz w:val="21"/>
        </w:rPr>
      </w:pPr>
      <w:r>
        <w:rPr>
          <w:rFonts w:hint="eastAsia" w:ascii="宋体" w:hAnsi="宋体"/>
          <w:b/>
          <w:bCs/>
          <w:sz w:val="21"/>
        </w:rPr>
        <w:t xml:space="preserve">3</w:t>
      </w:r>
      <w:r>
        <w:rPr>
          <w:rFonts w:ascii="宋体" w:hAnsi="宋体"/>
          <w:b/>
          <w:bCs/>
          <w:sz w:val="21"/>
        </w:rPr>
        <w:t xml:space="preserve">.</w:t>
      </w:r>
      <w:r>
        <w:rPr>
          <w:rFonts w:hint="eastAsia" w:ascii="宋体" w:hAnsi="宋体"/>
          <w:b/>
          <w:bCs/>
          <w:sz w:val="21"/>
        </w:rPr>
        <w:t xml:space="preserve">机房不间断电源及配电改造（服务器安全管理系统）</w:t>
      </w:r>
      <w:r/>
    </w:p>
    <w:tbl>
      <w:tblPr>
        <w:tblW w:w="5000" w:type="pct"/>
        <w:tblLook w:val="04A0" w:firstRow="1" w:lastRow="0" w:firstColumn="1" w:lastColumn="0" w:noHBand="0" w:noVBand="1"/>
      </w:tblPr>
      <w:tblGrid>
        <w:gridCol w:w="727"/>
        <w:gridCol w:w="1007"/>
        <w:gridCol w:w="1106"/>
        <w:gridCol w:w="7014"/>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技术指标要求</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服务器安全管理系统</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系统兼容性</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X86、X64：Windows Server 2003 sp2/R2  x86/x64</w:t>
            </w:r>
            <w:r>
              <w:rPr>
                <w:rFonts w:hint="eastAsia" w:ascii="宋体" w:hAnsi="宋体"/>
                <w:color w:val="000000"/>
                <w:sz w:val="21"/>
                <w:szCs w:val="21"/>
                <w:lang w:bidi="ar"/>
              </w:rPr>
              <w:br/>
              <w:t xml:space="preserve">Windows Server 2008 sp1及以上/R2  x86/x64</w:t>
            </w:r>
            <w:r>
              <w:rPr>
                <w:rFonts w:hint="eastAsia" w:ascii="宋体" w:hAnsi="宋体"/>
                <w:color w:val="000000"/>
                <w:sz w:val="21"/>
                <w:szCs w:val="21"/>
                <w:lang w:bidi="ar"/>
              </w:rPr>
              <w:br/>
              <w:t xml:space="preserve">Windows Server 2012~2019 sp1及以上/R2  x86/x64</w:t>
            </w:r>
            <w:r>
              <w:rPr>
                <w:rFonts w:hint="eastAsia" w:ascii="宋体" w:hAnsi="宋体"/>
                <w:color w:val="000000"/>
                <w:sz w:val="21"/>
                <w:szCs w:val="21"/>
                <w:lang w:bidi="ar"/>
              </w:rPr>
              <w:br/>
              <w:t xml:space="preserve">CentOs 5.0及以上 x86/x64、RHEL 5.5及以上 x86/x64</w:t>
            </w:r>
            <w:r>
              <w:rPr>
                <w:rFonts w:hint="eastAsia" w:ascii="宋体" w:hAnsi="宋体"/>
                <w:color w:val="000000"/>
                <w:sz w:val="21"/>
                <w:szCs w:val="21"/>
                <w:lang w:bidi="ar"/>
              </w:rPr>
              <w:br/>
              <w:t xml:space="preserve">Ubuntu 14.04及以上 x86/x64、SUSE 11及以上版本 x86/x64</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ARM：Kylin Linux 4.18.0-147、Deepin-4.19.0-arm64-server_1707/1813</w:t>
            </w:r>
            <w:r>
              <w:rPr>
                <w:rFonts w:hint="eastAsia" w:ascii="宋体" w:hAnsi="宋体"/>
                <w:color w:val="000000"/>
                <w:sz w:val="21"/>
                <w:szCs w:val="21"/>
                <w:lang w:bidi="ar"/>
              </w:rPr>
              <w:t xml:space="preserve">。</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资产管理</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提供Windows、Linux服务器统一的资产展示能力。支持跨系统、跨资产类型、跨主机进行快捷搜索。对搜索匹配到的资产关键字进行高亮标记，统计搜索到的资产数量，并提供搜索高级查询语法规则和快捷保存搜索条件以方便搜索。</w:t>
            </w:r>
            <w:r>
              <w:rPr>
                <w:rFonts w:hint="eastAsia" w:ascii="宋体" w:hAnsi="宋体"/>
                <w:color w:val="000000"/>
                <w:sz w:val="21"/>
                <w:szCs w:val="21"/>
                <w:lang w:bidi="ar"/>
              </w:rPr>
              <w:br/>
              <w:t xml:space="preserve">至少支持20种以上资产清点类型、包括但不限于进程、账户、软件应用、数据库、证书、域账号等资产类型的收集</w:t>
            </w:r>
            <w:r>
              <w:rPr>
                <w:rFonts w:hint="eastAsia" w:ascii="宋体" w:hAnsi="宋体"/>
                <w:color w:val="000000"/>
                <w:sz w:val="21"/>
                <w:szCs w:val="21"/>
                <w:lang w:bidi="ar"/>
              </w:rPr>
              <w:t xml:space="preserve">。</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防病毒</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支持控制台实时监控与防护，支持客户端本地实时监控与防护；支持勒索病毒实时防护、支持一键开启/关闭勒索病毒防护开关、提供勒索诱饵防护、系统还原点和卷影保护、内核免疫等多种手段增强对勒索病毒的实时防护能力</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（须提供</w:t>
            </w:r>
            <w:r>
              <w:rPr>
                <w:rFonts w:hint="eastAsia" w:ascii="宋体" w:hAnsi="宋体"/>
                <w:b/>
                <w:color w:val="000000"/>
                <w:sz w:val="21"/>
                <w:szCs w:val="21"/>
                <w:lang w:bidi="ar"/>
              </w:rPr>
              <w:t xml:space="preserve">截图</w:t>
            </w:r>
            <w:r>
              <w:rPr>
                <w:rFonts w:hint="eastAsia" w:ascii="宋体" w:hAnsi="宋体"/>
                <w:b/>
                <w:color w:val="000000"/>
                <w:sz w:val="21"/>
                <w:szCs w:val="21"/>
                <w:lang w:bidi="ar"/>
              </w:rPr>
              <w:t xml:space="preserve">证明）</w:t>
            </w:r>
            <w:r>
              <w:rPr>
                <w:rFonts w:hint="eastAsia" w:ascii="宋体" w:hAnsi="宋体"/>
                <w:color w:val="000000"/>
                <w:sz w:val="21"/>
                <w:szCs w:val="21"/>
                <w:lang w:bidi="ar"/>
              </w:rPr>
              <w:br/>
              <w:t xml:space="preserve">支持扫描任务的断点续扫，当扫描任务重启扫描后能够接续上次扫描进度继续扫描。</w:t>
            </w:r>
            <w:r>
              <w:rPr>
                <w:rFonts w:hint="eastAsia" w:ascii="宋体" w:hAnsi="宋体"/>
                <w:color w:val="000000"/>
                <w:sz w:val="21"/>
                <w:szCs w:val="21"/>
                <w:lang w:bidi="ar"/>
              </w:rPr>
              <w:br/>
              <w:t xml:space="preserve">支持在病毒查杀时控制服务器资源开销，扫描任务支持CPU利用率限制，预设平衡型、低资源两种扫描资源开销模式，支持手动设置CPU最大使用率。</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漏洞扫描</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增强漏洞扫描、标准漏洞扫描两种模式，增强漏洞扫描支持检测的漏洞数量应不低于4000个。支持查看扫描任务运行情况，展示扫描目标服务器当前的扫描状态。针对服务器扫描失败的情况，需给出扫描失败原因。</w:t>
            </w:r>
            <w:r>
              <w:rPr>
                <w:rFonts w:hint="eastAsia" w:ascii="宋体" w:hAnsi="宋体"/>
                <w:color w:val="000000"/>
                <w:sz w:val="21"/>
                <w:szCs w:val="21"/>
                <w:lang w:bidi="ar"/>
              </w:rPr>
              <w:br/>
              <w:t xml:space="preserve">支持从漏洞角度聚合展示该漏洞影响的服务器，并统计不同等级的漏洞数量、待修复漏洞数量、已修复漏洞数量、支持虚拟补丁的数量和支持实体补丁的数量。</w:t>
            </w:r>
            <w:r>
              <w:rPr>
                <w:rFonts w:hint="eastAsia" w:ascii="宋体" w:hAnsi="宋体"/>
                <w:color w:val="000000"/>
                <w:sz w:val="21"/>
                <w:szCs w:val="21"/>
                <w:lang w:bidi="ar"/>
              </w:rPr>
              <w:br/>
              <w:t xml:space="preserve">支持从服务器角度聚合展示该服务器上存在的漏洞，并统计有风险的服务器数量、存在危急和高危漏洞服务器的数量、支持打虚拟补丁和支持实体补丁的服务器数量。</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风险评估</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支持一键扫描服务器高危账号、弱口令、漏洞和基线配置风险，支持对风险评估结果进行分析，提供本次扫描的风险评分及安全评级。</w:t>
            </w:r>
            <w:r>
              <w:rPr>
                <w:rFonts w:hint="eastAsia" w:ascii="宋体" w:hAnsi="宋体"/>
                <w:color w:val="000000"/>
                <w:sz w:val="21"/>
                <w:szCs w:val="21"/>
                <w:lang w:bidi="ar"/>
              </w:rPr>
              <w:br/>
            </w:r>
            <w:r>
              <w:rPr>
                <w:rFonts w:hint="eastAsia" w:ascii="宋体" w:hAnsi="宋体"/>
                <w:color w:val="000000"/>
                <w:sz w:val="21"/>
                <w:szCs w:val="21"/>
                <w:lang w:bidi="ar"/>
              </w:rPr>
              <w:t xml:space="preserve">支持查看和配置模式，并支持拖拽改变图表布局。支持从服务器维度和风险项维度呈现系统风险情况，支持在线查看和下载风险发现报告。</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安全基线</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产品应支持基线检查能力，支持灵活可自定义的基线规则，支持等保二级、等保三级、CIS等合规性基线。</w:t>
            </w:r>
            <w:r>
              <w:rPr>
                <w:rFonts w:hint="eastAsia" w:ascii="宋体" w:hAnsi="宋体"/>
                <w:color w:val="000000"/>
                <w:sz w:val="21"/>
                <w:szCs w:val="21"/>
                <w:lang w:bidi="ar"/>
              </w:rPr>
              <w:br/>
              <w:t xml:space="preserve">支持从基线角度和服务器角度统计分析合规情况，统计不合规基线Top5、不合规服务器Top5、整体合规率，并支持导出。</w:t>
            </w:r>
            <w:r>
              <w:rPr>
                <w:rFonts w:hint="eastAsia" w:ascii="宋体" w:hAnsi="宋体"/>
                <w:color w:val="000000"/>
                <w:sz w:val="21"/>
                <w:szCs w:val="21"/>
                <w:lang w:bidi="ar"/>
              </w:rPr>
              <w:br/>
              <w:t xml:space="preserve">支持两次基线扫描任务的结果比对，比对前后不合规项比率、不合规服务器比率的偏差，并列出前后偏差的服务器列表。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Webshell</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支持提供WebShell</w:t>
            </w:r>
            <w:r>
              <w:rPr>
                <w:rFonts w:hint="eastAsia" w:ascii="宋体" w:hAnsi="宋体"/>
                <w:b/>
                <w:color w:val="000000"/>
                <w:sz w:val="21"/>
                <w:szCs w:val="21"/>
                <w:lang w:bidi="ar"/>
              </w:rPr>
              <w:t xml:space="preserve">不同检测模式，支持精准和宽泛模式切换。</w:t>
            </w:r>
            <w:r>
              <w:rPr>
                <w:rFonts w:hint="eastAsia" w:ascii="宋体" w:hAnsi="宋体"/>
                <w:b/>
                <w:color w:val="000000"/>
                <w:sz w:val="21"/>
                <w:szCs w:val="21"/>
                <w:lang w:bidi="ar"/>
              </w:rPr>
              <w:t xml:space="preserve">（须提供截图</w:t>
            </w:r>
            <w:r>
              <w:rPr>
                <w:rFonts w:hint="eastAsia" w:ascii="宋体" w:hAnsi="宋体"/>
                <w:b/>
                <w:color w:val="000000"/>
                <w:sz w:val="21"/>
                <w:szCs w:val="21"/>
                <w:lang w:bidi="ar"/>
              </w:rPr>
              <w:t xml:space="preserve">证明）</w:t>
            </w:r>
            <w:r>
              <w:rPr>
                <w:rFonts w:hint="eastAsia" w:ascii="宋体" w:hAnsi="宋体"/>
                <w:color w:val="000000"/>
                <w:sz w:val="21"/>
                <w:szCs w:val="21"/>
                <w:lang w:bidi="ar"/>
              </w:rPr>
              <w:br/>
              <w:t xml:space="preserve">支持提供WebShell不同检测模式，支持精准和宽泛模式切换。</w:t>
            </w:r>
            <w:r>
              <w:rPr>
                <w:rFonts w:hint="eastAsia" w:ascii="宋体" w:hAnsi="宋体"/>
                <w:color w:val="000000"/>
                <w:sz w:val="21"/>
                <w:szCs w:val="21"/>
                <w:lang w:bidi="ar"/>
              </w:rPr>
              <w:br/>
              <w:t xml:space="preserve">支持客户端自动识别Web应用所在Web目录进行扫描，也支持手动指定Webshell扫描目录。</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账号风险扫描</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支持对服务器中的风险账户进行检测，</w:t>
            </w:r>
            <w:r>
              <w:rPr>
                <w:rFonts w:hint="eastAsia" w:ascii="宋体" w:hAnsi="宋体"/>
                <w:color w:val="000000"/>
                <w:sz w:val="21"/>
                <w:szCs w:val="21"/>
                <w:lang w:bidi="ar"/>
              </w:rPr>
              <w:t xml:space="preserve">发现可能存在的风险账号，并可对风险账号进行标记修复、加白等操作。</w:t>
            </w:r>
            <w:r>
              <w:rPr>
                <w:rFonts w:hint="eastAsia" w:ascii="宋体" w:hAnsi="宋体"/>
                <w:color w:val="000000"/>
                <w:sz w:val="21"/>
                <w:szCs w:val="21"/>
                <w:lang w:bidi="ar"/>
              </w:rPr>
              <w:br/>
              <w:t xml:space="preserve">支持展示弱口令的发现时间、弱口令类型、弱口令对应的账号、密码、账户状态、应用类型、应用路径、监听端口、允许访问的服务器等信息</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支持对不同账号使用同一密码的口令复用行为进行检测，统计相同密码的账户数量、账户所在服务器、账户名称、账户状态等信息，并支持导出。</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须提供截图证明</w:t>
            </w:r>
            <w:r>
              <w:rPr>
                <w:rFonts w:hint="eastAsia" w:ascii="宋体" w:hAnsi="宋体"/>
                <w:b/>
                <w:color w:val="000000"/>
                <w:sz w:val="21"/>
                <w:szCs w:val="21"/>
                <w:lang w:bidi="ar"/>
              </w:rPr>
              <w:t xml:space="preserve">）</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入侵检测</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支持以图形化的形式统计展示服务器受到的告警信息/可疑威胁、拦截事件，包括：可疑</w:t>
            </w:r>
            <w:r>
              <w:rPr>
                <w:rFonts w:hint="eastAsia" w:ascii="宋体" w:hAnsi="宋体"/>
                <w:color w:val="000000"/>
                <w:sz w:val="21"/>
                <w:szCs w:val="21"/>
                <w:lang w:bidi="ar"/>
              </w:rPr>
              <w:t xml:space="preserve">威胁事件统计、可疑威胁分布、可疑威胁趋势以及具体的威胁事件列表。</w:t>
            </w:r>
            <w:r>
              <w:rPr>
                <w:rFonts w:hint="eastAsia" w:ascii="宋体" w:hAnsi="宋体"/>
                <w:color w:val="000000"/>
                <w:sz w:val="21"/>
                <w:szCs w:val="21"/>
                <w:lang w:bidi="ar"/>
              </w:rPr>
              <w:br/>
              <w:t xml:space="preserve">支持对攻击者发起的恶意扫描行为进行识别，可防护端口扫描和扫描器扫描行为，以攻击和受害两种视角展示扫描信息包括：发生时间、受害IP、攻击IP、攻击类型、扫描端口、扫描次数、在威胁情报中是否为黑IP等信息。</w:t>
            </w:r>
            <w:r>
              <w:rPr>
                <w:rFonts w:hint="eastAsia" w:ascii="宋体" w:hAnsi="宋体"/>
                <w:color w:val="000000"/>
                <w:sz w:val="21"/>
                <w:szCs w:val="21"/>
                <w:lang w:bidi="ar"/>
              </w:rPr>
              <w:br/>
              <w:t xml:space="preserve">支持检测包括不限于SSH、RDP、GoldenDB、MySql、Oracle、SQLServer、VsFtpd、PostgreSQL、SMB、Tomcat等服务的暴力破解检测及防护。</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微隔离</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应支持五元组的主机防火墙，支持以IP/端口/协议/方向/域名/进程服务等条件实现对服务器的经典访问控制</w:t>
            </w:r>
            <w:r>
              <w:rPr>
                <w:rFonts w:hint="eastAsia" w:ascii="宋体" w:hAnsi="宋体"/>
                <w:color w:val="000000"/>
                <w:sz w:val="21"/>
                <w:szCs w:val="21"/>
                <w:lang w:bidi="ar"/>
              </w:rPr>
              <w:t xml:space="preserve">。</w:t>
            </w:r>
            <w:r>
              <w:rPr>
                <w:rFonts w:hint="eastAsia" w:ascii="宋体" w:hAnsi="宋体"/>
                <w:color w:val="000000"/>
                <w:sz w:val="21"/>
                <w:szCs w:val="21"/>
                <w:lang w:bidi="ar"/>
              </w:rPr>
              <w:br/>
              <w:t xml:space="preserve">支持一键全部启用以及全部停用微隔离策略，支持灵活设置微隔离规则，支持直接引用对象、设置主机共享规则、同时支持对单台主机个性化的规则策略制定</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支持服务器的一键隔离，支持对一键隔离设置可访问的白名单IP</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须提供截图证明</w:t>
            </w:r>
            <w:r>
              <w:rPr>
                <w:rFonts w:hint="eastAsia" w:ascii="宋体" w:hAnsi="宋体"/>
                <w:b/>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主机IPS</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支持主机IPS（入侵防御）能力，支持灵活对服务器批量开启、关闭IPS功能，支持细粒度到每条IPS规则设置监控、阻断两种模式。</w:t>
            </w:r>
            <w:r>
              <w:rPr>
                <w:rFonts w:hint="eastAsia" w:ascii="宋体" w:hAnsi="宋体"/>
                <w:color w:val="000000"/>
                <w:sz w:val="21"/>
                <w:szCs w:val="21"/>
                <w:lang w:bidi="ar"/>
              </w:rPr>
              <w:br/>
              <w:t xml:space="preserve">支持的IPS规则库数量不少于7000条。展示规则库更新时间、规则ID、规则名、操作系统类型、漏洞编号、类型、影响等参考信息。</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系统加固</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支持驱动级文件监控与权限控制，保护指定目录下的文件，支持监控文件和文件夹，并可设置可信进程和可信路径允许操作。</w:t>
            </w:r>
            <w:r>
              <w:rPr>
                <w:rFonts w:hint="eastAsia" w:ascii="宋体" w:hAnsi="宋体"/>
                <w:color w:val="000000"/>
                <w:sz w:val="21"/>
                <w:szCs w:val="21"/>
                <w:lang w:bidi="ar"/>
              </w:rPr>
              <w:br/>
              <w:t xml:space="preserve">支持提高操作系统自身安全性和抗攻击能力，通过对Linux和Windows操作系统深度解析提供对操作系统加固能力，具体防护项覆盖系统关键文件、系统重要服务、系统网络访问方面，且加固条数不少于60</w:t>
            </w:r>
            <w:r>
              <w:rPr>
                <w:rFonts w:hint="eastAsia" w:ascii="宋体" w:hAnsi="宋体"/>
                <w:color w:val="000000"/>
                <w:sz w:val="21"/>
                <w:szCs w:val="21"/>
                <w:lang w:bidi="ar"/>
              </w:rPr>
              <w:t xml:space="preserve">项。</w:t>
            </w:r>
            <w:r>
              <w:rPr>
                <w:rFonts w:hint="eastAsia" w:ascii="宋体" w:hAnsi="宋体"/>
                <w:color w:val="000000"/>
                <w:sz w:val="21"/>
                <w:szCs w:val="21"/>
                <w:lang w:bidi="ar"/>
              </w:rPr>
              <w:br/>
              <w:t xml:space="preserve">支持设置可信进程和可信文件允许操作，同时可提供监控和防护两种模式。</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勒索攻击场景化防护</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对勒索事件全杀伤链的防护能力，通过产品帮助建设服务器勒索能力，可从勒索事件链条的三个阶段解决勒索攻击问题（尝试入侵、发起攻击、网内传播）可结合勒索事件攻击链条依次进行告警查看和安全加固配置。</w:t>
            </w:r>
            <w:r>
              <w:rPr>
                <w:rFonts w:hint="eastAsia" w:ascii="宋体" w:hAnsi="宋体"/>
                <w:color w:val="000000"/>
                <w:sz w:val="21"/>
                <w:szCs w:val="21"/>
                <w:lang w:bidi="ar"/>
              </w:rPr>
              <w:br/>
              <w:t xml:space="preserve">支持针对勒索攻击事件可独立展示告警和防护配置。</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微蜜罐</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支持端口蜜罐能力，在配置时可以自定义触发端口后的返回文本信息，可迷惑攻击者提高防护能力以及为取证提供支持。</w:t>
            </w:r>
            <w:r>
              <w:rPr>
                <w:rFonts w:hint="eastAsia" w:ascii="宋体" w:hAnsi="宋体"/>
                <w:color w:val="000000"/>
                <w:sz w:val="21"/>
                <w:szCs w:val="21"/>
                <w:lang w:bidi="ar"/>
              </w:rPr>
              <w:br/>
              <w:t xml:space="preserve">支持通过配置不常用的端口进行“钓鱼执法”，如果这些端口被人访问或是短时间频繁访问，可以辅助检测服务器到异常探测扫描行为</w:t>
            </w:r>
            <w:r>
              <w:rPr>
                <w:rFonts w:hint="eastAsia" w:ascii="宋体" w:hAnsi="宋体"/>
                <w:color w:val="000000"/>
                <w:sz w:val="21"/>
                <w:szCs w:val="21"/>
                <w:lang w:bidi="ar"/>
              </w:rPr>
              <w:t xml:space="preserve">。</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性能监控</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支持对服务器CPU使用率、内存使用率、磁盘使用率、客户端内存使用率、客户端CPU使用率进行监控。</w:t>
            </w:r>
            <w:r>
              <w:rPr>
                <w:rFonts w:hint="eastAsia" w:ascii="宋体" w:hAnsi="宋体"/>
                <w:color w:val="000000"/>
                <w:sz w:val="21"/>
                <w:szCs w:val="21"/>
                <w:lang w:bidi="ar"/>
              </w:rPr>
              <w:br/>
              <w:t xml:space="preserve">可根据时间范围以折线图形式展示CPU使用率、内存使用率、客户端内存使用率、客户端CPU使用率。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产品联动</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支持通过API管理，对服务器的入侵检测数据与天眼NDR进行对接，支持通过API管理对主机进行加黑白名单、隔离等处置。</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授权</w:t>
            </w:r>
            <w:r/>
          </w:p>
        </w:tc>
        <w:tc>
          <w:tcPr>
            <w:shd w:val="clear" w:color="auto" w:fill="auto"/>
            <w:tcBorders>
              <w:top w:val="single" w:color="000000" w:sz="4" w:space="0"/>
              <w:left w:val="single" w:color="000000" w:sz="4" w:space="0"/>
              <w:bottom w:val="single" w:color="000000" w:sz="4" w:space="0"/>
              <w:right w:val="single" w:color="000000" w:sz="4" w:space="0"/>
            </w:tcBorders>
            <w:tcW w:w="355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含100个授权点位，五年软件升级和维保服务，服务期内免费提供软件版本、特征库版本升级服务。</w:t>
            </w:r>
            <w:r/>
          </w:p>
        </w:tc>
      </w:tr>
    </w:tbl>
    <w:p>
      <w:pPr>
        <w:ind w:left="0" w:firstLine="422"/>
        <w:spacing w:line="360" w:lineRule="auto"/>
        <w:tabs>
          <w:tab w:val="left" w:pos="0" w:leader="none"/>
        </w:tabs>
        <w:rPr>
          <w:rFonts w:ascii="宋体" w:hAnsi="宋体"/>
          <w:b/>
          <w:sz w:val="21"/>
          <w:szCs w:val="21"/>
        </w:rPr>
      </w:pPr>
      <w:r/>
      <w:bookmarkStart w:id="113" w:name="OLE_LINK54"/>
      <w:r>
        <w:rPr>
          <w:rFonts w:hint="eastAsia" w:ascii="宋体" w:hAnsi="宋体"/>
          <w:b/>
          <w:sz w:val="21"/>
          <w:szCs w:val="21"/>
        </w:rPr>
        <w:t xml:space="preserve">说明：</w:t>
      </w:r>
      <w:bookmarkStart w:id="114" w:name="OLE_LINK50"/>
      <w:r/>
      <w:bookmarkStart w:id="115" w:name="OLE_LINK51"/>
      <w:r>
        <w:rPr>
          <w:rFonts w:hint="eastAsia" w:ascii="宋体" w:hAnsi="宋体"/>
          <w:b/>
          <w:sz w:val="21"/>
          <w:szCs w:val="21"/>
        </w:rPr>
        <w:t xml:space="preserve">技术指标要求中带“★”项所涉及的</w:t>
      </w:r>
      <w:r>
        <w:rPr>
          <w:rFonts w:hint="eastAsia" w:ascii="宋体" w:hAnsi="宋体"/>
          <w:b/>
          <w:sz w:val="21"/>
          <w:szCs w:val="21"/>
        </w:rPr>
        <w:t xml:space="preserve">截图</w:t>
      </w:r>
      <w:r>
        <w:rPr>
          <w:rFonts w:hint="eastAsia" w:ascii="宋体" w:hAnsi="宋体"/>
          <w:b/>
          <w:sz w:val="21"/>
          <w:szCs w:val="21"/>
        </w:rPr>
        <w:t xml:space="preserve">证明材料为实质性响应内容</w:t>
      </w:r>
      <w:r>
        <w:rPr>
          <w:rFonts w:hint="eastAsia" w:ascii="宋体" w:hAnsi="宋体"/>
          <w:b/>
          <w:sz w:val="21"/>
          <w:szCs w:val="21"/>
        </w:rPr>
        <w:t xml:space="preserve">，投标文件中需提供</w:t>
      </w:r>
      <w:r>
        <w:rPr>
          <w:rFonts w:hint="eastAsia" w:ascii="宋体" w:hAnsi="宋体"/>
          <w:b/>
          <w:sz w:val="21"/>
          <w:szCs w:val="21"/>
        </w:rPr>
        <w:t xml:space="preserve">截图</w:t>
      </w:r>
      <w:r>
        <w:rPr>
          <w:rFonts w:hint="eastAsia" w:ascii="宋体" w:hAnsi="宋体"/>
          <w:b/>
          <w:sz w:val="21"/>
          <w:szCs w:val="21"/>
        </w:rPr>
        <w:t xml:space="preserve">证明材料复印件</w:t>
      </w:r>
      <w:r>
        <w:rPr>
          <w:rFonts w:hint="eastAsia" w:ascii="宋体" w:hAnsi="宋体"/>
          <w:b/>
          <w:sz w:val="21"/>
          <w:szCs w:val="21"/>
        </w:rPr>
        <w:t xml:space="preserve">并加盖单位公章，未提供的视为非实质性响应。</w:t>
      </w:r>
      <w:bookmarkEnd w:id="114"/>
      <w:r/>
      <w:bookmarkEnd w:id="115"/>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服务器安全管理系统：</w:t>
      </w:r>
      <w:r/>
    </w:p>
    <w:p>
      <w:pPr>
        <w:pStyle w:val="1023"/>
        <w:ind w:left="0" w:firstLine="422"/>
        <w:spacing w:line="360" w:lineRule="auto"/>
        <w:rPr>
          <w:rFonts w:ascii="宋体" w:hAnsi="宋体"/>
          <w:b/>
          <w:sz w:val="21"/>
          <w:szCs w:val="21"/>
        </w:rPr>
      </w:pPr>
      <w:r>
        <w:rPr>
          <w:rFonts w:hint="eastAsia" w:ascii="宋体" w:hAnsi="宋体"/>
          <w:b/>
          <w:sz w:val="21"/>
          <w:szCs w:val="21"/>
        </w:rPr>
        <w:t xml:space="preserve">防病毒：★支持控制台实时监控与防护，支持客户端本地实时监控与防护；支持勒索病毒实时防护、支持一键开启/关闭勒索病毒防护开关、提供勒索诱饵防护、系统还原点和卷影保护、内核免疫等多种手段增强对勒索病毒的实时防护能力。（</w:t>
      </w:r>
      <w:r>
        <w:rPr>
          <w:rFonts w:hint="eastAsia" w:ascii="宋体" w:hAnsi="宋体"/>
          <w:b/>
          <w:sz w:val="21"/>
          <w:szCs w:val="21"/>
        </w:rPr>
        <w:t xml:space="preserve">须提供截图证明</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ascii="宋体" w:hAnsi="宋体"/>
          <w:b/>
          <w:sz w:val="21"/>
          <w:szCs w:val="21"/>
        </w:rPr>
        <w:t xml:space="preserve">Webshell</w:t>
      </w:r>
      <w:r>
        <w:rPr>
          <w:rFonts w:hint="eastAsia" w:ascii="宋体" w:hAnsi="宋体"/>
          <w:b/>
          <w:sz w:val="21"/>
          <w:szCs w:val="21"/>
        </w:rPr>
        <w:t xml:space="preserve">：★支持提供WebShell不同检测模式，支持精准和宽泛模式切换。（</w:t>
      </w:r>
      <w:r>
        <w:rPr>
          <w:rFonts w:hint="eastAsia" w:ascii="宋体" w:hAnsi="宋体"/>
          <w:b/>
          <w:sz w:val="21"/>
          <w:szCs w:val="21"/>
        </w:rPr>
        <w:t xml:space="preserve">须提供截图证明</w:t>
      </w:r>
      <w:r>
        <w:rPr>
          <w:rFonts w:hint="eastAsia" w:ascii="宋体" w:hAnsi="宋体"/>
          <w:b/>
          <w:sz w:val="21"/>
          <w:szCs w:val="21"/>
        </w:rPr>
        <w:t xml:space="preserve">）</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账号风险扫描：★支持对不同账号使用同一密码的口令复用行为进行检测，统计相同密码的账户数量、账户所在服务器、账户名称、账户状态等信息，并支持导出。（</w:t>
      </w:r>
      <w:r>
        <w:rPr>
          <w:rFonts w:hint="eastAsia" w:ascii="宋体" w:hAnsi="宋体"/>
          <w:b/>
          <w:sz w:val="21"/>
          <w:szCs w:val="21"/>
        </w:rPr>
        <w:t xml:space="preserve">须提供截图证明</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微隔离：★支持服务器的一键隔离，支持对一键隔离设置可访问的白名单IP。（</w:t>
      </w:r>
      <w:r>
        <w:rPr>
          <w:rFonts w:hint="eastAsia" w:ascii="宋体" w:hAnsi="宋体"/>
          <w:b/>
          <w:sz w:val="21"/>
          <w:szCs w:val="21"/>
        </w:rPr>
        <w:t xml:space="preserve">须提供截图证明</w:t>
      </w:r>
      <w:r>
        <w:rPr>
          <w:rFonts w:hint="eastAsia" w:ascii="宋体" w:hAnsi="宋体"/>
          <w:b/>
          <w:sz w:val="21"/>
          <w:szCs w:val="21"/>
        </w:rPr>
        <w:t xml:space="preserve">）</w:t>
      </w:r>
      <w:bookmarkEnd w:id="11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项目中标后，在履约、验收全过程中，采购人可对投标产品及随附检测报告进行核查与抽样送检，检测委托具备合法资质的第三方权威机构开展，所产生的一切费用均由供应商承担。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若查实投标文件所载产品检测报告存在虚假、篡改、伪造情形，或产品实际参数、技术指标与投标承诺、检测报告不一致的，均按虚假应标认定。已确定中标的，即刻取消中标资格、作废中标结果，同时将违法违规情况上报政府采购监管部门，依法追究相关法律责任。</w:t>
      </w:r>
      <w:r/>
    </w:p>
    <w:p>
      <w:pPr>
        <w:pStyle w:val="1012"/>
        <w:ind w:left="0" w:firstLine="422"/>
        <w:spacing w:before="0" w:after="0" w:line="360" w:lineRule="auto"/>
        <w:rPr>
          <w:rFonts w:ascii="宋体" w:hAnsi="宋体"/>
          <w:b/>
          <w:sz w:val="21"/>
        </w:rPr>
      </w:pPr>
      <w:r>
        <w:rPr>
          <w:rFonts w:hint="eastAsia" w:ascii="宋体" w:hAnsi="宋体"/>
          <w:b/>
          <w:sz w:val="21"/>
        </w:rPr>
        <w:t xml:space="preserve">（四</w:t>
      </w:r>
      <w:r>
        <w:rPr>
          <w:rFonts w:hint="eastAsia" w:ascii="宋体" w:hAnsi="宋体"/>
          <w:b/>
          <w:sz w:val="21"/>
        </w:rPr>
        <w:t xml:space="preserve">）项目实施要求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1、实施团队人员要求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本项目技术复杂、涉及面较大，为能保证在规定时间内完成项目建设，要求投标人针对本项目配备实施团队，具体要求如下：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基于本项目系统多样化、专业化、信息化的系统特点，以及体量规模及技术复杂的现状，要求配备专业的实施团队来完成整体项目建设，具体人员要求如下：项目经理1名，负责跟踪推进项目工作和问题的协调落实，应具备高水平的管理和技术能力；技术负责人1名，应具备网络技术、信息安全、项目服务等方面的技术专业，具有相关工作管理经验；项目组成员不低于4人，</w:t>
      </w:r>
      <w:r>
        <w:rPr>
          <w:rFonts w:hint="eastAsia" w:ascii="宋体" w:hAnsi="宋体"/>
          <w:sz w:val="21"/>
        </w:rPr>
        <w:t xml:space="preserve">不限于网络技术、软件设计、IT服务、低压电工等相关方面的专业技术能力。施工期间应保证施工质量</w:t>
      </w:r>
      <w:r>
        <w:rPr>
          <w:rFonts w:hint="eastAsia" w:ascii="宋体" w:hAnsi="宋体"/>
          <w:sz w:val="21"/>
        </w:rPr>
        <w:t xml:space="preserve">，相关质量管理机构和人员职责明确，技术人员能提供相应的技术支持</w:t>
      </w:r>
      <w:r>
        <w:rPr>
          <w:rFonts w:hint="eastAsia" w:ascii="宋体" w:hAnsi="宋体"/>
          <w:sz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2、培训要求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中标人负责对使用、管理人员进行技术培训，保证使用方培训后具有独立使用和维护系统的能力。培训服务涉及的相关费用供应商须在响应报价时一并包含。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3、信息安全要求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本项目要求实施方在</w:t>
      </w:r>
      <w:r>
        <w:rPr>
          <w:rFonts w:hint="eastAsia" w:ascii="宋体" w:hAnsi="宋体"/>
          <w:sz w:val="21"/>
          <w:szCs w:val="21"/>
        </w:rPr>
        <w:t xml:space="preserve">实施方案中针对本项目建设内容制定合理的保密措施和信息安全管理制度</w:t>
      </w:r>
      <w:r>
        <w:rPr>
          <w:rFonts w:hint="eastAsia" w:ascii="宋体" w:hAnsi="宋体"/>
          <w:sz w:val="21"/>
          <w:szCs w:val="21"/>
        </w:rPr>
        <w:t xml:space="preserve">，并在项目实施过程中严格执行，以保证项目的成功实施。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4、运维服务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投标单位具备较强的专业技术能力、实施运维能力，要求在项目运维期配备一定数量的运维服务团队，并确保服务团队人员稳定。各投标人需针对本项目组建项目服务小组，提供合理的人员配置方案。</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（五</w:t>
      </w:r>
      <w:r>
        <w:rPr>
          <w:rFonts w:hint="eastAsia" w:ascii="宋体" w:hAnsi="宋体"/>
          <w:b/>
          <w:sz w:val="21"/>
          <w:szCs w:val="21"/>
        </w:rPr>
        <w:t xml:space="preserve">）项目商务要求</w:t>
      </w:r>
      <w:r/>
    </w:p>
    <w:p>
      <w:pPr>
        <w:ind w:left="0" w:firstLine="420"/>
        <w:spacing w:line="360" w:lineRule="auto"/>
        <w:rPr>
          <w:rFonts w:ascii="宋体" w:hAnsi="宋体"/>
          <w:sz w:val="21"/>
          <w:szCs w:val="21"/>
        </w:rPr>
      </w:pPr>
      <w:r>
        <w:rPr>
          <w:rFonts w:hint="eastAsia" w:ascii="宋体" w:hAnsi="宋体"/>
          <w:sz w:val="21"/>
          <w:szCs w:val="21"/>
        </w:rPr>
        <w:t xml:space="preserve">1、交付时间</w:t>
      </w:r>
      <w:r/>
    </w:p>
    <w:p>
      <w:pPr>
        <w:ind w:left="0" w:firstLine="420"/>
        <w:spacing w:line="360" w:lineRule="auto"/>
        <w:rPr>
          <w:rFonts w:ascii="宋体" w:hAnsi="宋体"/>
          <w:sz w:val="21"/>
          <w:szCs w:val="21"/>
        </w:rPr>
      </w:pPr>
      <w:r>
        <w:rPr>
          <w:rFonts w:hint="eastAsia" w:ascii="宋体" w:hAnsi="宋体"/>
          <w:sz w:val="21"/>
          <w:szCs w:val="21"/>
        </w:rPr>
        <w:t xml:space="preserve">合同签订后6个月内完成供货、安装、调试</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2、交付地点</w:t>
      </w:r>
      <w:r/>
    </w:p>
    <w:p>
      <w:pPr>
        <w:ind w:left="0" w:firstLine="420"/>
        <w:spacing w:line="360" w:lineRule="auto"/>
        <w:rPr>
          <w:rFonts w:ascii="宋体" w:hAnsi="宋体"/>
          <w:sz w:val="21"/>
          <w:szCs w:val="21"/>
        </w:rPr>
      </w:pPr>
      <w:r>
        <w:rPr>
          <w:rFonts w:hint="eastAsia" w:ascii="宋体" w:hAnsi="宋体"/>
          <w:sz w:val="21"/>
          <w:szCs w:val="21"/>
        </w:rPr>
        <w:t xml:space="preserve">地点：</w:t>
      </w:r>
      <w:r>
        <w:rPr>
          <w:rFonts w:hint="eastAsia" w:ascii="宋体" w:hAnsi="宋体"/>
          <w:sz w:val="21"/>
          <w:szCs w:val="21"/>
          <w:u w:val="single"/>
        </w:rPr>
        <w:t xml:space="preserve"> </w:t>
      </w:r>
      <w:r>
        <w:rPr>
          <w:rFonts w:hint="eastAsia" w:ascii="宋体" w:hAnsi="宋体"/>
          <w:sz w:val="21"/>
          <w:szCs w:val="21"/>
          <w:u w:val="single"/>
        </w:rPr>
        <w:t xml:space="preserve">苏州市相城人民医院（具体地点以甲方要求为准）</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3、付款条件（进度和方式）</w:t>
      </w:r>
      <w:r/>
    </w:p>
    <w:p>
      <w:pPr>
        <w:ind w:left="0" w:firstLine="420"/>
        <w:spacing w:line="360" w:lineRule="auto"/>
        <w:rPr>
          <w:rFonts w:ascii="宋体" w:hAnsi="宋体"/>
          <w:sz w:val="21"/>
          <w:szCs w:val="21"/>
        </w:rPr>
      </w:pPr>
      <w:r/>
      <w:bookmarkStart w:id="116" w:name="OLE_LINK72"/>
      <w:r>
        <w:rPr>
          <w:rFonts w:hint="eastAsia" w:ascii="宋体" w:hAnsi="宋体"/>
          <w:sz w:val="21"/>
          <w:szCs w:val="21"/>
        </w:rPr>
        <w:t xml:space="preserve">（1）</w:t>
      </w:r>
      <w:r>
        <w:rPr>
          <w:rFonts w:hint="eastAsia" w:ascii="宋体" w:hAnsi="宋体"/>
          <w:sz w:val="21"/>
          <w:szCs w:val="21"/>
        </w:rPr>
        <w:t xml:space="preserve">第一期款项 </w:t>
      </w:r>
      <w:r/>
    </w:p>
    <w:p>
      <w:pPr>
        <w:ind w:left="0" w:firstLine="420"/>
        <w:spacing w:line="360" w:lineRule="auto"/>
        <w:rPr>
          <w:rFonts w:ascii="宋体" w:hAnsi="宋体"/>
          <w:sz w:val="21"/>
          <w:szCs w:val="21"/>
        </w:rPr>
      </w:pPr>
      <w:r>
        <w:rPr>
          <w:rFonts w:hint="eastAsia" w:ascii="宋体" w:hAnsi="宋体"/>
          <w:sz w:val="21"/>
          <w:szCs w:val="21"/>
        </w:rPr>
        <w:t xml:space="preserve">合同签订生效，</w:t>
      </w:r>
      <w:r>
        <w:rPr>
          <w:rFonts w:hint="eastAsia" w:ascii="宋体" w:hAnsi="宋体"/>
          <w:sz w:val="21"/>
          <w:szCs w:val="21"/>
        </w:rPr>
        <w:t xml:space="preserve">供应商的工程师进场履职且正式提交项目实施方案并经采购人核验无误后，采购人</w:t>
      </w:r>
      <w:r>
        <w:rPr>
          <w:rFonts w:hint="eastAsia" w:ascii="宋体" w:hAnsi="宋体"/>
          <w:sz w:val="21"/>
          <w:szCs w:val="21"/>
        </w:rPr>
        <w:t xml:space="preserve">向</w:t>
      </w:r>
      <w:r>
        <w:rPr>
          <w:rFonts w:hint="eastAsia" w:ascii="宋体" w:hAnsi="宋体"/>
          <w:sz w:val="21"/>
          <w:szCs w:val="21"/>
        </w:rPr>
        <w:t xml:space="preserve">供应商</w:t>
      </w:r>
      <w:r>
        <w:rPr>
          <w:rFonts w:hint="eastAsia" w:ascii="宋体" w:hAnsi="宋体"/>
          <w:sz w:val="21"/>
          <w:szCs w:val="21"/>
        </w:rPr>
        <w:t xml:space="preserve">支付合同总价60%预付款。</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第二期款项</w:t>
      </w:r>
      <w:r/>
    </w:p>
    <w:p>
      <w:pPr>
        <w:ind w:left="0" w:firstLine="420"/>
        <w:spacing w:line="360" w:lineRule="auto"/>
        <w:rPr>
          <w:rFonts w:ascii="宋体" w:hAnsi="宋体"/>
          <w:sz w:val="21"/>
          <w:szCs w:val="21"/>
        </w:rPr>
      </w:pPr>
      <w:r>
        <w:rPr>
          <w:rFonts w:hint="eastAsia" w:ascii="宋体" w:hAnsi="宋体"/>
          <w:sz w:val="21"/>
          <w:szCs w:val="21"/>
        </w:rPr>
        <w:t xml:space="preserve">每个系统（产品）完成安装调试并验收合格后一周内，</w:t>
      </w:r>
      <w:r>
        <w:rPr>
          <w:rFonts w:hint="eastAsia" w:ascii="宋体" w:hAnsi="宋体"/>
          <w:sz w:val="21"/>
          <w:szCs w:val="21"/>
        </w:rPr>
        <w:t xml:space="preserve">采购人</w:t>
      </w:r>
      <w:r>
        <w:rPr>
          <w:rFonts w:hint="eastAsia" w:ascii="宋体" w:hAnsi="宋体"/>
          <w:sz w:val="21"/>
          <w:szCs w:val="21"/>
        </w:rPr>
        <w:t xml:space="preserve">向</w:t>
      </w:r>
      <w:r>
        <w:rPr>
          <w:rFonts w:hint="eastAsia" w:ascii="宋体" w:hAnsi="宋体"/>
          <w:sz w:val="21"/>
          <w:szCs w:val="21"/>
        </w:rPr>
        <w:t xml:space="preserve">供应商</w:t>
      </w:r>
      <w:r>
        <w:rPr>
          <w:rFonts w:hint="eastAsia" w:ascii="宋体" w:hAnsi="宋体"/>
          <w:sz w:val="21"/>
          <w:szCs w:val="21"/>
        </w:rPr>
        <w:t xml:space="preserve">支付该系统（产品）合同额的20%，整体付款至该系统（产品）合同额的80%。</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第三期款项</w:t>
      </w:r>
      <w:r/>
    </w:p>
    <w:p>
      <w:pPr>
        <w:ind w:left="0" w:firstLine="420"/>
        <w:spacing w:line="360" w:lineRule="auto"/>
        <w:rPr>
          <w:rFonts w:ascii="宋体" w:hAnsi="宋体"/>
          <w:sz w:val="21"/>
          <w:szCs w:val="21"/>
        </w:rPr>
      </w:pPr>
      <w:r>
        <w:rPr>
          <w:rFonts w:hint="eastAsia" w:ascii="宋体" w:hAnsi="宋体"/>
          <w:sz w:val="21"/>
          <w:szCs w:val="21"/>
        </w:rPr>
        <w:t xml:space="preserve">所有系</w:t>
      </w:r>
      <w:r>
        <w:rPr>
          <w:rFonts w:hint="eastAsia" w:ascii="宋体" w:hAnsi="宋体"/>
          <w:sz w:val="21"/>
          <w:szCs w:val="21"/>
        </w:rPr>
        <w:t xml:space="preserve">统（产品）完成安装、调试，系统（产品）整体验收合格后一周内，采购人向供应商</w:t>
      </w:r>
      <w:r>
        <w:rPr>
          <w:rFonts w:hint="eastAsia" w:ascii="宋体" w:hAnsi="宋体"/>
          <w:sz w:val="21"/>
          <w:szCs w:val="21"/>
        </w:rPr>
        <w:t xml:space="preserve">支付合同总价20%款项；累计付款至合同总价的100%。</w:t>
      </w:r>
      <w:bookmarkEnd w:id="116"/>
      <w:r/>
      <w:r/>
    </w:p>
    <w:p>
      <w:pPr>
        <w:ind w:left="0" w:firstLine="420"/>
        <w:spacing w:line="360" w:lineRule="auto"/>
        <w:rPr>
          <w:rFonts w:ascii="宋体" w:hAnsi="宋体"/>
          <w:sz w:val="21"/>
          <w:szCs w:val="21"/>
        </w:rPr>
      </w:pPr>
      <w:r>
        <w:rPr>
          <w:rFonts w:hint="eastAsia" w:ascii="宋体" w:hAnsi="宋体"/>
          <w:sz w:val="21"/>
          <w:szCs w:val="21"/>
        </w:rPr>
        <w:t xml:space="preserve">4、包装和运输要求</w:t>
      </w:r>
      <w:r/>
    </w:p>
    <w:p>
      <w:pPr>
        <w:ind w:left="0" w:firstLine="420"/>
        <w:spacing w:line="360" w:lineRule="auto"/>
        <w:rPr>
          <w:rFonts w:ascii="宋体" w:hAnsi="宋体"/>
          <w:sz w:val="21"/>
          <w:szCs w:val="21"/>
        </w:rPr>
      </w:pPr>
      <w:r>
        <w:rPr>
          <w:rFonts w:hint="eastAsia" w:ascii="宋体" w:hAnsi="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0" w:firstLine="420"/>
        <w:spacing w:line="360" w:lineRule="auto"/>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0" w:firstLine="420"/>
        <w:spacing w:line="360" w:lineRule="auto"/>
        <w:rPr>
          <w:rFonts w:ascii="宋体" w:hAnsi="宋体"/>
          <w:sz w:val="21"/>
          <w:szCs w:val="21"/>
        </w:rPr>
      </w:pPr>
      <w:r>
        <w:rPr>
          <w:rFonts w:hint="eastAsia" w:ascii="宋体" w:hAnsi="宋体"/>
          <w:sz w:val="21"/>
          <w:szCs w:val="21"/>
        </w:rPr>
        <w:t xml:space="preserve">5、售后服务要求</w:t>
      </w:r>
      <w:r/>
    </w:p>
    <w:p>
      <w:pPr>
        <w:ind w:left="0" w:firstLine="420"/>
        <w:spacing w:line="360" w:lineRule="auto"/>
        <w:rPr>
          <w:rFonts w:ascii="宋体" w:hAnsi="宋体"/>
          <w:sz w:val="21"/>
          <w:szCs w:val="21"/>
        </w:rPr>
      </w:pPr>
      <w:r>
        <w:rPr>
          <w:rFonts w:hint="eastAsia" w:ascii="宋体" w:hAnsi="宋体"/>
          <w:sz w:val="21"/>
          <w:szCs w:val="21"/>
        </w:rPr>
        <w:t xml:space="preserve">（1）供应商提供的售后服务标准应不低于同型号产品的市场服务标准。</w:t>
      </w:r>
      <w:r/>
    </w:p>
    <w:p>
      <w:pPr>
        <w:ind w:left="0" w:firstLine="420"/>
        <w:spacing w:line="360" w:lineRule="auto"/>
        <w:rPr>
          <w:rFonts w:ascii="宋体" w:hAnsi="宋体"/>
          <w:sz w:val="21"/>
          <w:szCs w:val="21"/>
        </w:rPr>
      </w:pPr>
      <w:r>
        <w:rPr>
          <w:rFonts w:hint="eastAsia" w:ascii="宋体" w:hAnsi="宋体"/>
          <w:sz w:val="21"/>
          <w:szCs w:val="21"/>
        </w:rPr>
        <w:t xml:space="preserve">（2）自验收合格之日起，应提供</w:t>
      </w:r>
      <w:r>
        <w:rPr>
          <w:rFonts w:hint="eastAsia" w:ascii="宋体" w:hAnsi="宋体"/>
          <w:sz w:val="21"/>
          <w:szCs w:val="21"/>
          <w:u w:val="single"/>
        </w:rPr>
        <w:t xml:space="preserve">至少5年</w:t>
      </w:r>
      <w:r>
        <w:rPr>
          <w:rFonts w:hint="eastAsia" w:ascii="宋体" w:hAnsi="宋体"/>
          <w:sz w:val="21"/>
          <w:szCs w:val="21"/>
        </w:rPr>
        <w:t xml:space="preserve">质量保证期</w:t>
      </w:r>
      <w:r>
        <w:rPr>
          <w:rFonts w:hint="eastAsia" w:ascii="宋体" w:hAnsi="宋体"/>
          <w:sz w:val="21"/>
          <w:szCs w:val="21"/>
        </w:rPr>
        <w:t xml:space="preserve">和服务期</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rPr>
          <w:rFonts w:ascii="宋体" w:hAnsi="宋体"/>
          <w:sz w:val="21"/>
          <w:szCs w:val="21"/>
        </w:rPr>
      </w:pPr>
      <w:r>
        <w:rPr>
          <w:rFonts w:hint="eastAsia" w:ascii="宋体" w:hAnsi="宋体"/>
          <w:sz w:val="21"/>
          <w:szCs w:val="21"/>
        </w:rPr>
        <w:t xml:space="preserve">（4）提供</w:t>
      </w:r>
      <w:r>
        <w:rPr>
          <w:rFonts w:ascii="宋体" w:hAnsi="宋体"/>
          <w:sz w:val="21"/>
          <w:szCs w:val="21"/>
        </w:rPr>
        <w:t xml:space="preserve">7</w:t>
      </w:r>
      <w:r>
        <w:rPr>
          <w:rFonts w:hint="eastAsia" w:ascii="宋体" w:hAnsi="宋体"/>
          <w:sz w:val="21"/>
          <w:szCs w:val="21"/>
        </w:rPr>
        <w:t xml:space="preserve">×</w:t>
      </w:r>
      <w:r>
        <w:rPr>
          <w:rFonts w:ascii="宋体" w:hAnsi="宋体"/>
          <w:sz w:val="21"/>
          <w:szCs w:val="21"/>
        </w:rPr>
        <w:t xml:space="preserve">24</w:t>
      </w:r>
      <w:r>
        <w:rPr>
          <w:rFonts w:hint="eastAsia" w:ascii="宋体" w:hAnsi="宋体"/>
          <w:sz w:val="21"/>
          <w:szCs w:val="21"/>
        </w:rPr>
        <w:t xml:space="preserve">小时售后服务热线。</w:t>
      </w:r>
      <w:r/>
    </w:p>
    <w:p>
      <w:pPr>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）在质保期内，供应商</w:t>
      </w:r>
      <w:r>
        <w:rPr>
          <w:rFonts w:hint="eastAsia" w:ascii="宋体" w:hAnsi="宋体"/>
          <w:sz w:val="21"/>
          <w:szCs w:val="21"/>
        </w:rPr>
        <w:t xml:space="preserve">应以优良的服务态度，一旦发生质量问题，</w:t>
      </w:r>
      <w:r>
        <w:rPr>
          <w:rFonts w:hint="eastAsia" w:ascii="宋体" w:hAnsi="宋体"/>
          <w:sz w:val="21"/>
          <w:szCs w:val="21"/>
        </w:rPr>
        <w:t xml:space="preserve">供应商</w:t>
      </w:r>
      <w:r>
        <w:rPr>
          <w:rFonts w:hint="eastAsia" w:ascii="宋体" w:hAnsi="宋体"/>
          <w:sz w:val="21"/>
          <w:szCs w:val="21"/>
        </w:rPr>
        <w:t xml:space="preserve">应在</w:t>
      </w:r>
      <w:r>
        <w:rPr>
          <w:rFonts w:ascii="宋体" w:hAnsi="宋体"/>
          <w:sz w:val="21"/>
          <w:szCs w:val="21"/>
        </w:rPr>
        <w:t xml:space="preserve">15</w:t>
      </w:r>
      <w:r>
        <w:rPr>
          <w:rFonts w:hint="eastAsia" w:ascii="宋体" w:hAnsi="宋体"/>
          <w:sz w:val="21"/>
          <w:szCs w:val="21"/>
        </w:rPr>
        <w:t xml:space="preserve">分钟</w:t>
      </w:r>
      <w:r>
        <w:rPr>
          <w:rFonts w:hint="eastAsia" w:ascii="宋体" w:hAnsi="宋体"/>
          <w:sz w:val="21"/>
          <w:szCs w:val="21"/>
        </w:rPr>
        <w:t xml:space="preserve">内响应，</w:t>
      </w:r>
      <w:r>
        <w:rPr>
          <w:rFonts w:hint="eastAsia" w:ascii="宋体" w:hAnsi="宋体"/>
          <w:sz w:val="21"/>
          <w:szCs w:val="21"/>
        </w:rPr>
        <w:t xml:space="preserve">在如在30分钟内无法电话或远程解决采购人所提出的维修要求，在报修2小时内（本地）或8小时内（外地）派工程师到达现场进行处理</w:t>
      </w:r>
      <w:r>
        <w:rPr>
          <w:rFonts w:hint="eastAsia" w:ascii="宋体" w:hAnsi="宋体"/>
          <w:sz w:val="21"/>
          <w:szCs w:val="21"/>
        </w:rPr>
        <w:t xml:space="preserve">，如不能解决问题，应免费用同样的产品更换到位。如</w:t>
      </w:r>
      <w:r>
        <w:rPr>
          <w:rFonts w:hint="eastAsia" w:ascii="宋体" w:hAnsi="宋体"/>
          <w:sz w:val="21"/>
          <w:szCs w:val="21"/>
        </w:rPr>
        <w:t xml:space="preserve">供应商</w:t>
      </w:r>
      <w:r>
        <w:rPr>
          <w:rFonts w:hint="eastAsia" w:ascii="宋体" w:hAnsi="宋体"/>
          <w:sz w:val="21"/>
          <w:szCs w:val="21"/>
        </w:rPr>
        <w:t xml:space="preserve">在接到通知后24小时内没有答复或处理问题，则视为</w:t>
      </w:r>
      <w:r>
        <w:rPr>
          <w:rFonts w:hint="eastAsia" w:ascii="宋体" w:hAnsi="宋体"/>
          <w:sz w:val="21"/>
          <w:szCs w:val="21"/>
        </w:rPr>
        <w:t xml:space="preserve">供应商</w:t>
      </w:r>
      <w:r>
        <w:rPr>
          <w:rFonts w:hint="eastAsia" w:ascii="宋体" w:hAnsi="宋体"/>
          <w:sz w:val="21"/>
          <w:szCs w:val="21"/>
        </w:rPr>
        <w:t xml:space="preserve">承认质量问题并承担由此而发生的一切费用。</w:t>
      </w:r>
      <w:r/>
    </w:p>
    <w:p>
      <w:pPr>
        <w:ind w:left="0" w:firstLine="420"/>
        <w:spacing w:line="360" w:lineRule="auto"/>
        <w:rPr>
          <w:rFonts w:ascii="宋体" w:hAnsi="宋体"/>
          <w:sz w:val="21"/>
          <w:szCs w:val="21"/>
        </w:rPr>
      </w:pPr>
      <w:r>
        <w:rPr>
          <w:rFonts w:hint="eastAsia" w:ascii="宋体" w:hAnsi="宋体"/>
          <w:sz w:val="21"/>
          <w:szCs w:val="21"/>
        </w:rPr>
        <w:t xml:space="preserve">（6）在质保期届满后，</w:t>
      </w:r>
      <w:r>
        <w:rPr>
          <w:rFonts w:hint="eastAsia" w:ascii="宋体" w:hAnsi="宋体"/>
          <w:sz w:val="21"/>
          <w:szCs w:val="21"/>
        </w:rPr>
        <w:t xml:space="preserve">供应商</w:t>
      </w:r>
      <w:r>
        <w:rPr>
          <w:rFonts w:hint="eastAsia" w:ascii="宋体" w:hAnsi="宋体"/>
          <w:sz w:val="21"/>
          <w:szCs w:val="21"/>
        </w:rPr>
        <w:t xml:space="preserve">保证继续为</w:t>
      </w:r>
      <w:r>
        <w:rPr>
          <w:rFonts w:hint="eastAsia" w:ascii="宋体" w:hAnsi="宋体"/>
          <w:sz w:val="21"/>
          <w:szCs w:val="21"/>
        </w:rPr>
        <w:t xml:space="preserve">采购人</w:t>
      </w:r>
      <w:r>
        <w:rPr>
          <w:rFonts w:hint="eastAsia" w:ascii="宋体" w:hAnsi="宋体"/>
          <w:sz w:val="21"/>
          <w:szCs w:val="21"/>
        </w:rPr>
        <w:t xml:space="preserve">提供设备的维修服务，</w:t>
      </w:r>
      <w:r>
        <w:rPr>
          <w:rFonts w:hint="eastAsia" w:ascii="宋体" w:hAnsi="宋体"/>
          <w:sz w:val="21"/>
          <w:szCs w:val="21"/>
        </w:rPr>
        <w:t xml:space="preserve">采购人</w:t>
      </w:r>
      <w:r>
        <w:rPr>
          <w:rFonts w:hint="eastAsia" w:ascii="宋体" w:hAnsi="宋体"/>
          <w:sz w:val="21"/>
          <w:szCs w:val="21"/>
        </w:rPr>
        <w:t xml:space="preserve">应按</w:t>
      </w:r>
      <w:r>
        <w:rPr>
          <w:rFonts w:hint="eastAsia" w:ascii="宋体" w:hAnsi="宋体"/>
          <w:sz w:val="21"/>
          <w:szCs w:val="21"/>
        </w:rPr>
        <w:t xml:space="preserve">供应商</w:t>
      </w:r>
      <w:r>
        <w:rPr>
          <w:rFonts w:hint="eastAsia" w:ascii="宋体" w:hAnsi="宋体"/>
          <w:sz w:val="21"/>
          <w:szCs w:val="21"/>
        </w:rPr>
        <w:t xml:space="preserve">提供的不差于任何第三方的优惠价格向</w:t>
      </w:r>
      <w:r>
        <w:rPr>
          <w:rFonts w:hint="eastAsia" w:ascii="宋体" w:hAnsi="宋体"/>
          <w:sz w:val="21"/>
          <w:szCs w:val="21"/>
        </w:rPr>
        <w:t xml:space="preserve">供应商</w:t>
      </w:r>
      <w:r>
        <w:rPr>
          <w:rFonts w:hint="eastAsia" w:ascii="宋体" w:hAnsi="宋体"/>
          <w:sz w:val="21"/>
          <w:szCs w:val="21"/>
        </w:rPr>
        <w:t xml:space="preserve">支付相关费用，</w:t>
      </w:r>
      <w:r>
        <w:rPr>
          <w:rFonts w:hint="eastAsia" w:ascii="宋体" w:hAnsi="宋体"/>
          <w:sz w:val="21"/>
          <w:szCs w:val="21"/>
        </w:rPr>
        <w:t xml:space="preserve">供应商</w:t>
      </w:r>
      <w:r>
        <w:rPr>
          <w:rFonts w:hint="eastAsia" w:ascii="宋体" w:hAnsi="宋体"/>
          <w:sz w:val="21"/>
          <w:szCs w:val="21"/>
        </w:rPr>
        <w:t xml:space="preserve">保证在合同货物使用期内以不高于本合同货物、相关配件及服务的价格，并且不差于任何第三方的优惠价格，向</w:t>
      </w:r>
      <w:r>
        <w:rPr>
          <w:rFonts w:hint="eastAsia" w:ascii="宋体" w:hAnsi="宋体"/>
          <w:sz w:val="21"/>
          <w:szCs w:val="21"/>
        </w:rPr>
        <w:t xml:space="preserve">采购人</w:t>
      </w:r>
      <w:r>
        <w:rPr>
          <w:rFonts w:hint="eastAsia" w:ascii="宋体" w:hAnsi="宋体"/>
          <w:sz w:val="21"/>
          <w:szCs w:val="21"/>
        </w:rPr>
        <w:t xml:space="preserve">提供备品、备件及维修服务。</w:t>
      </w:r>
      <w:r/>
    </w:p>
    <w:p>
      <w:pPr>
        <w:pStyle w:val="1012"/>
        <w:ind w:left="0" w:firstLine="422"/>
        <w:spacing w:before="0" w:after="0" w:line="360" w:lineRule="auto"/>
        <w:rPr>
          <w:rFonts w:ascii="宋体" w:hAnsi="宋体"/>
          <w:b/>
          <w:bCs/>
          <w:sz w:val="21"/>
          <w:szCs w:val="21"/>
        </w:rPr>
      </w:pPr>
      <w:r>
        <w:rPr>
          <w:rFonts w:hint="eastAsia" w:ascii="宋体" w:hAnsi="宋体"/>
          <w:b/>
          <w:bCs/>
          <w:sz w:val="21"/>
          <w:szCs w:val="21"/>
        </w:rPr>
        <w:t xml:space="preserve">（六</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w:t>
      </w:r>
      <w:r>
        <w:rPr>
          <w:rFonts w:hint="eastAsia" w:ascii="宋体" w:hAnsi="宋体"/>
          <w:bCs/>
          <w:sz w:val="21"/>
          <w:szCs w:val="21"/>
        </w:rPr>
        <w:t xml:space="preserve">中标</w:t>
      </w:r>
      <w:r>
        <w:rPr>
          <w:rFonts w:hint="eastAsia" w:ascii="宋体" w:hAnsi="宋体"/>
          <w:bCs/>
          <w:sz w:val="21"/>
          <w:szCs w:val="21"/>
        </w:rPr>
        <w:t xml:space="preserve">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bCs/>
          <w:sz w:val="21"/>
          <w:szCs w:val="21"/>
        </w:rPr>
        <w:t xml:space="preserve">中标</w:t>
      </w:r>
      <w:r>
        <w:rPr>
          <w:rFonts w:hint="eastAsia" w:ascii="宋体" w:hAnsi="宋体"/>
          <w:bCs/>
          <w:sz w:val="21"/>
          <w:szCs w:val="21"/>
        </w:rPr>
        <w:t xml:space="preserve">供应商应根据验收方案内容做好相应配合工作。</w:t>
      </w:r>
      <w:r/>
    </w:p>
    <w:p>
      <w:pPr>
        <w:ind w:left="0" w:firstLine="420"/>
        <w:spacing w:line="360" w:lineRule="auto"/>
        <w:rPr>
          <w:rFonts w:ascii="宋体" w:hAnsi="宋体"/>
          <w:bCs/>
          <w:sz w:val="21"/>
          <w:szCs w:val="21"/>
        </w:rPr>
      </w:pPr>
      <w:r>
        <w:rPr>
          <w:rFonts w:hint="eastAsia" w:ascii="宋体" w:hAnsi="宋体"/>
          <w:bCs/>
          <w:sz w:val="21"/>
          <w:szCs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012"/>
        <w:ind w:left="0" w:firstLine="422"/>
        <w:spacing w:before="0" w:after="0" w:line="360" w:lineRule="auto"/>
        <w:rPr>
          <w:rFonts w:ascii="宋体" w:hAnsi="宋体"/>
          <w:b/>
          <w:bCs/>
          <w:sz w:val="21"/>
          <w:szCs w:val="21"/>
        </w:rPr>
      </w:pPr>
      <w:r>
        <w:rPr>
          <w:rFonts w:hint="eastAsia" w:ascii="宋体" w:hAnsi="宋体"/>
          <w:b/>
          <w:bCs/>
          <w:sz w:val="21"/>
          <w:szCs w:val="21"/>
        </w:rPr>
        <w:t xml:space="preserve">（七</w:t>
      </w:r>
      <w:r>
        <w:rPr>
          <w:rFonts w:hint="eastAsia" w:ascii="宋体" w:hAnsi="宋体"/>
          <w:b/>
          <w:bCs/>
          <w:sz w:val="21"/>
          <w:szCs w:val="21"/>
        </w:rPr>
        <w:t xml:space="preserve">）</w:t>
      </w:r>
      <w:r>
        <w:rPr>
          <w:rFonts w:hint="eastAsia" w:ascii="宋体" w:hAnsi="宋体"/>
          <w:b/>
          <w:bCs/>
          <w:sz w:val="21"/>
          <w:szCs w:val="21"/>
        </w:rPr>
        <w:t xml:space="preserve">其他</w:t>
      </w:r>
      <w:r/>
    </w:p>
    <w:p>
      <w:pPr>
        <w:ind w:left="0" w:firstLine="420"/>
        <w:spacing w:line="360" w:lineRule="auto"/>
        <w:rPr>
          <w:rFonts w:ascii="宋体" w:hAnsi="宋体"/>
          <w:sz w:val="21"/>
          <w:szCs w:val="21"/>
        </w:rPr>
      </w:pPr>
      <w:r>
        <w:rPr>
          <w:rFonts w:hint="eastAsia" w:ascii="宋体" w:hAnsi="宋体"/>
          <w:sz w:val="21"/>
          <w:szCs w:val="21"/>
        </w:rPr>
        <w:t xml:space="preserve">本项目的投标方案</w:t>
      </w:r>
      <w:r>
        <w:rPr>
          <w:rFonts w:hint="eastAsia" w:ascii="宋体" w:hAnsi="宋体"/>
          <w:sz w:val="21"/>
          <w:szCs w:val="21"/>
        </w:rPr>
        <w:t xml:space="preserve">包括但不限于</w:t>
      </w:r>
      <w:r>
        <w:rPr>
          <w:rFonts w:hint="eastAsia" w:ascii="宋体" w:hAnsi="宋体"/>
          <w:sz w:val="21"/>
          <w:szCs w:val="21"/>
        </w:rPr>
        <w:t xml:space="preserve">对算力中心服务器部署及超融合架构设计方案理解、对网络现状分析及信息安全体系建设方案理解、对操作系统和数据库部署整体适配方案等理解、对项目实际提供的售后服务及应急保障方案、培训方案、综合调度支持等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7" w:name="OLE_LINK31"/>
      <w:r/>
      <w:bookmarkStart w:id="118"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w:t>
      </w:r>
      <w:r>
        <w:rPr>
          <w:rFonts w:hint="eastAsia" w:ascii="宋体" w:hAnsi="宋体"/>
          <w:sz w:val="21"/>
          <w:szCs w:val="21"/>
        </w:rPr>
        <w:t xml:space="preserve">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7"/>
      <w:r/>
      <w:bookmarkEnd w:id="118"/>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【机房精密空调】</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1"/>
        <w:ind w:left="0" w:firstLine="0"/>
        <w:jc w:val="center"/>
        <w:rPr>
          <w:rFonts w:ascii="宋体" w:hAnsi="宋体"/>
          <w:b/>
          <w:sz w:val="44"/>
          <w:szCs w:val="22"/>
        </w:rPr>
      </w:pPr>
      <w:r/>
      <w:bookmarkStart w:id="119" w:name="_Toc11789"/>
      <w:r/>
      <w:bookmarkStart w:id="120" w:name="_Toc5111"/>
      <w:r/>
      <w:bookmarkStart w:id="121" w:name="_Hlk55741158"/>
      <w:r>
        <w:rPr>
          <w:rFonts w:hint="eastAsia" w:ascii="宋体" w:hAnsi="宋体"/>
          <w:b/>
          <w:sz w:val="44"/>
          <w:szCs w:val="22"/>
        </w:rPr>
        <w:br w:type="page" w:clear="all"/>
      </w:r>
      <w:bookmarkStart w:id="122" w:name="_Toc105397794"/>
      <w:r>
        <w:rPr>
          <w:rFonts w:hint="eastAsia" w:ascii="宋体" w:hAnsi="宋体"/>
          <w:b/>
          <w:sz w:val="44"/>
          <w:szCs w:val="22"/>
        </w:rPr>
        <w:t xml:space="preserve">第五章 </w:t>
      </w:r>
      <w:bookmarkStart w:id="123" w:name="合同的特殊条款"/>
      <w:r/>
      <w:bookmarkEnd w:id="123"/>
      <w:r>
        <w:rPr>
          <w:rFonts w:hint="eastAsia" w:ascii="宋体" w:hAnsi="宋体"/>
          <w:b/>
          <w:sz w:val="44"/>
          <w:szCs w:val="22"/>
        </w:rPr>
        <w:t xml:space="preserve">合同及主要条款</w:t>
      </w:r>
      <w:bookmarkEnd w:id="119"/>
      <w:r/>
      <w:bookmarkEnd w:id="120"/>
      <w:r/>
      <w:bookmarkEnd w:id="122"/>
      <w:r/>
      <w:r/>
    </w:p>
    <w:p>
      <w:pPr>
        <w:ind w:left="0"/>
        <w:jc w:val="center"/>
        <w:rPr>
          <w:rFonts w:ascii="宋体" w:hAnsi="宋体"/>
          <w:b/>
          <w:sz w:val="32"/>
          <w:szCs w:val="32"/>
        </w:rPr>
      </w:pPr>
      <w:r/>
      <w:bookmarkStart w:id="124" w:name="_Toc57376410"/>
      <w:r/>
      <w:bookmarkStart w:id="125" w:name="_Toc27667"/>
      <w:r/>
      <w:bookmarkStart w:id="126" w:name="_Toc8564"/>
      <w:r/>
      <w:bookmarkEnd w:id="121"/>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信息中心服务器</w:t>
      </w:r>
      <w:r>
        <w:rPr>
          <w:rFonts w:hint="eastAsia" w:ascii="宋体" w:hAnsi="宋体"/>
          <w:b/>
          <w:sz w:val="21"/>
        </w:rPr>
        <w:t xml:space="preserve">及网络安全设备等采购</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JSZC-320500-JZCG-G2026-0147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rPr>
          <w:rFonts w:ascii="宋体" w:hAnsi="宋体"/>
          <w:sz w:val="21"/>
          <w:szCs w:val="21"/>
        </w:rPr>
      </w:pPr>
      <w:r>
        <w:rPr>
          <w:rFonts w:hint="eastAsia" w:ascii="宋体" w:hAnsi="宋体"/>
          <w:sz w:val="21"/>
          <w:szCs w:val="21"/>
        </w:rPr>
        <w:t xml:space="preserve">（1）第一期款项 </w:t>
      </w:r>
      <w:r/>
    </w:p>
    <w:p>
      <w:pPr>
        <w:ind w:left="0" w:firstLine="420"/>
        <w:spacing w:line="480" w:lineRule="exact"/>
        <w:rPr>
          <w:rFonts w:ascii="宋体" w:hAnsi="宋体"/>
          <w:sz w:val="21"/>
          <w:szCs w:val="21"/>
        </w:rPr>
      </w:pPr>
      <w:r>
        <w:rPr>
          <w:rFonts w:hint="eastAsia" w:ascii="宋体" w:hAnsi="宋体"/>
          <w:sz w:val="21"/>
          <w:szCs w:val="21"/>
        </w:rPr>
        <w:t xml:space="preserve">合同签订生效，乙方工程师进场履职且正式提交项目实施方案并经甲方核验无误后，甲方向乙方支付合同总价60%预付款。</w:t>
      </w:r>
      <w:r/>
    </w:p>
    <w:p>
      <w:pPr>
        <w:ind w:left="0" w:firstLine="420"/>
        <w:spacing w:line="480" w:lineRule="exact"/>
        <w:rPr>
          <w:rFonts w:ascii="宋体" w:hAnsi="宋体"/>
          <w:sz w:val="21"/>
          <w:szCs w:val="21"/>
        </w:rPr>
      </w:pPr>
      <w:r>
        <w:rPr>
          <w:rFonts w:hint="eastAsia" w:ascii="宋体" w:hAnsi="宋体"/>
          <w:sz w:val="21"/>
          <w:szCs w:val="21"/>
        </w:rPr>
        <w:t xml:space="preserve">（2）第二期款项</w:t>
      </w:r>
      <w:r/>
    </w:p>
    <w:p>
      <w:pPr>
        <w:ind w:left="0" w:firstLine="420"/>
        <w:spacing w:line="480" w:lineRule="exact"/>
        <w:rPr>
          <w:rFonts w:ascii="宋体" w:hAnsi="宋体"/>
          <w:sz w:val="21"/>
          <w:szCs w:val="21"/>
        </w:rPr>
      </w:pPr>
      <w:r>
        <w:rPr>
          <w:rFonts w:hint="eastAsia" w:ascii="宋体" w:hAnsi="宋体"/>
          <w:sz w:val="21"/>
          <w:szCs w:val="21"/>
        </w:rPr>
        <w:t xml:space="preserve">每个系统（产品）完成安装调试并验收合格后一周内，甲方向乙方支付该系统（产品）合同额的20%，整体付款至该系统（产品）合同额的80%。</w:t>
      </w:r>
      <w:r/>
    </w:p>
    <w:p>
      <w:pPr>
        <w:ind w:left="0" w:firstLine="420"/>
        <w:spacing w:line="480" w:lineRule="exact"/>
        <w:rPr>
          <w:rFonts w:ascii="宋体" w:hAnsi="宋体"/>
          <w:sz w:val="21"/>
          <w:szCs w:val="21"/>
        </w:rPr>
      </w:pPr>
      <w:r>
        <w:rPr>
          <w:rFonts w:hint="eastAsia" w:ascii="宋体" w:hAnsi="宋体"/>
          <w:sz w:val="21"/>
          <w:szCs w:val="21"/>
        </w:rPr>
        <w:t xml:space="preserve">（3）第三期款项</w:t>
      </w:r>
      <w:r/>
    </w:p>
    <w:p>
      <w:pPr>
        <w:ind w:left="0" w:firstLine="420"/>
        <w:spacing w:line="480" w:lineRule="exact"/>
        <w:rPr>
          <w:rFonts w:ascii="宋体" w:hAnsi="宋体"/>
          <w:sz w:val="21"/>
          <w:szCs w:val="21"/>
        </w:rPr>
      </w:pPr>
      <w:r>
        <w:rPr>
          <w:rFonts w:hint="eastAsia" w:ascii="宋体" w:hAnsi="宋体"/>
          <w:sz w:val="21"/>
          <w:szCs w:val="21"/>
        </w:rPr>
        <w:t xml:space="preserve">所有系统（产品）完成安装、调试，系统（产品）整体验收合格后一周内，甲方向乙方支付合同总价20%款项；累计付款至合同总价的100%。</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ascii="宋体" w:hAnsi="宋体"/>
          <w:sz w:val="21"/>
          <w:szCs w:val="21"/>
          <w:highlight w:val="yellow"/>
          <w:u w:val="single"/>
        </w:rPr>
        <w:t xml:space="preserve">5</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rPr>
          <w:rFonts w:hint="eastAsia" w:ascii="宋体" w:hAnsi="宋体"/>
          <w:sz w:val="21"/>
        </w:rPr>
        <w:t xml:space="preserve">和服务期</w:t>
      </w:r>
      <w:r>
        <w:rPr>
          <w:rFonts w:hint="eastAsia" w:ascii="宋体" w:hAnsi="宋体"/>
          <w:sz w:val="21"/>
        </w:rPr>
        <w:t xml:space="preserve">。</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73"/>
        <w:ind w:left="0" w:firstLine="0"/>
        <w:rPr>
          <w:rFonts w:ascii="宋体" w:hAnsi="宋体"/>
          <w:b/>
          <w:sz w:val="44"/>
          <w:szCs w:val="22"/>
        </w:rPr>
      </w:pPr>
      <w:r>
        <w:rPr>
          <w:rFonts w:ascii="宋体" w:hAnsi="宋体"/>
          <w:b/>
          <w:sz w:val="44"/>
          <w:szCs w:val="22"/>
        </w:rPr>
      </w:r>
      <w:r/>
    </w:p>
    <w:p>
      <w:pPr>
        <w:pStyle w:val="1073"/>
        <w:ind w:left="400" w:firstLine="883"/>
        <w:rPr>
          <w:rFonts w:ascii="宋体" w:hAnsi="宋体"/>
          <w:b/>
          <w:sz w:val="44"/>
          <w:szCs w:val="22"/>
        </w:rPr>
      </w:pPr>
      <w:r>
        <w:rPr>
          <w:rFonts w:hint="eastAsia" w:ascii="宋体" w:hAnsi="宋体"/>
          <w:b/>
          <w:sz w:val="44"/>
          <w:szCs w:val="22"/>
        </w:rPr>
        <w:br w:type="page" w:clear="all"/>
      </w:r>
      <w:r/>
    </w:p>
    <w:p>
      <w:pPr>
        <w:pStyle w:val="1011"/>
        <w:ind w:left="0" w:firstLine="0"/>
        <w:jc w:val="center"/>
        <w:rPr>
          <w:rFonts w:ascii="宋体" w:hAnsi="宋体"/>
          <w:b/>
          <w:sz w:val="44"/>
          <w:szCs w:val="22"/>
        </w:rPr>
      </w:pPr>
      <w:r/>
      <w:bookmarkStart w:id="127" w:name="_Toc105397795"/>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评标办法和评分标准</w:t>
      </w:r>
      <w:bookmarkEnd w:id="124"/>
      <w:r/>
      <w:bookmarkEnd w:id="125"/>
      <w:r/>
      <w:bookmarkEnd w:id="126"/>
      <w:r/>
      <w:bookmarkEnd w:id="127"/>
      <w:r/>
      <w:r/>
    </w:p>
    <w:p>
      <w:pPr>
        <w:ind w:left="0" w:firstLine="422"/>
        <w:spacing w:line="360" w:lineRule="auto"/>
        <w:rPr>
          <w:rFonts w:ascii="宋体" w:hAnsi="宋体"/>
          <w:b/>
          <w:sz w:val="21"/>
          <w:szCs w:val="21"/>
        </w:rPr>
      </w:pPr>
      <w:r/>
      <w:bookmarkStart w:id="129" w:name="_Toc17476"/>
      <w:r/>
      <w:bookmarkStart w:id="130" w:name="_Toc16264"/>
      <w:r/>
      <w:bookmarkStart w:id="131" w:name="_Toc698"/>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2" w:name="OLE_LINK13"/>
      <w:r/>
      <w:bookmarkStart w:id="133"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2"/>
      <w:r/>
      <w:bookmarkEnd w:id="133"/>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4" w:name="OLE_LINK29"/>
      <w:r/>
      <w:bookmarkStart w:id="135"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6" w:name="OLE_LINK17"/>
      <w:r/>
      <w:bookmarkStart w:id="137"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8"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6"/>
      <w:r/>
      <w:bookmarkEnd w:id="137"/>
      <w:r/>
      <w:bookmarkEnd w:id="138"/>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4"/>
      <w:r/>
      <w:bookmarkEnd w:id="135"/>
      <w:r/>
      <w:r/>
    </w:p>
    <w:p>
      <w:pPr>
        <w:ind w:left="0"/>
      </w:pPr>
      <w:r/>
      <w:r/>
    </w:p>
    <w:p>
      <w:pPr>
        <w:pStyle w:val="1023"/>
      </w:pPr>
      <w:r/>
      <w:r/>
    </w:p>
    <w:p>
      <w:r/>
      <w:r/>
    </w:p>
    <w:p>
      <w:pPr>
        <w:pStyle w:val="1023"/>
      </w:pPr>
      <w:r/>
      <w:r/>
    </w:p>
    <w:p>
      <w:r/>
      <w:r/>
    </w:p>
    <w:p>
      <w:pPr>
        <w:pStyle w:val="1023"/>
      </w:pPr>
      <w:r/>
      <w:r/>
    </w:p>
    <w:p>
      <w:r/>
      <w:r/>
    </w:p>
    <w:p>
      <w:pPr>
        <w:pStyle w:val="1023"/>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bookmarkStart w:id="139" w:name="_Hlk151624691"/>
      <w:r/>
      <w:bookmarkEnd w:id="139"/>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w:t>
            </w:r>
            <w:r/>
          </w:p>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30</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hint="eastAsia" w:ascii="Times New Roman" w:hAnsi="Times New Roman" w:cs="Times New Roman"/>
                <w:bCs/>
                <w:sz w:val="21"/>
                <w:szCs w:val="22"/>
              </w:rPr>
              <w:t xml:space="preserve">分</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技术</w:t>
            </w:r>
            <w:r>
              <w:rPr>
                <w:rFonts w:ascii="Times New Roman" w:hAnsi="Times New Roman" w:cs="Times New Roman"/>
                <w:bCs/>
                <w:sz w:val="21"/>
                <w:szCs w:val="22"/>
              </w:rPr>
              <w:t xml:space="preserve">部分</w:t>
            </w:r>
            <w:r/>
          </w:p>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70</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
                <w:bCs/>
                <w:sz w:val="21"/>
                <w:szCs w:val="22"/>
              </w:rPr>
              <w:t xml:space="preserve">技术参数</w:t>
            </w:r>
            <w:r/>
          </w:p>
        </w:tc>
        <w:tc>
          <w:tcPr>
            <w:tcW w:w="7500" w:type="dxa"/>
            <w:vAlign w:val="center"/>
            <w:textDirection w:val="lrTb"/>
            <w:noWrap w:val="false"/>
          </w:tcPr>
          <w:p>
            <w:pPr>
              <w:ind w:left="0"/>
              <w:rPr>
                <w:rFonts w:ascii="Times New Roman" w:hAnsi="Times New Roman" w:cs="Times New Roman"/>
                <w:bCs/>
                <w:sz w:val="21"/>
                <w:szCs w:val="22"/>
              </w:rPr>
            </w:pPr>
            <w:r/>
            <w:bookmarkStart w:id="140" w:name="OLE_LINK46"/>
            <w:r>
              <w:rPr>
                <w:rFonts w:hint="eastAsia" w:ascii="Times New Roman" w:hAnsi="Times New Roman" w:cs="Times New Roman"/>
                <w:bCs/>
                <w:sz w:val="21"/>
                <w:szCs w:val="22"/>
              </w:rPr>
              <w:t xml:space="preserve">评委根据招标文件所提供的技术参数及相关要求，对投标人所投产品的技术参数及相关证明材料进行评审，带“</w:t>
            </w:r>
            <w:bookmarkStart w:id="141" w:name="OLE_LINK24"/>
            <w:r>
              <w:rPr>
                <w:rFonts w:hint="eastAsia" w:ascii="宋体" w:hAnsi="宋体" w:cs="Times New Roman"/>
                <w:bCs/>
                <w:sz w:val="21"/>
                <w:szCs w:val="22"/>
              </w:rPr>
              <w:t xml:space="preserve">▼</w:t>
            </w:r>
            <w:bookmarkEnd w:id="141"/>
            <w:r>
              <w:rPr>
                <w:rFonts w:hint="eastAsia" w:ascii="Times New Roman" w:hAnsi="Times New Roman" w:cs="Times New Roman"/>
                <w:bCs/>
                <w:sz w:val="21"/>
                <w:szCs w:val="22"/>
              </w:rPr>
              <w:t xml:space="preserve">”项为重要技术参数，满足或优于招标文件要求的，每项得</w:t>
            </w:r>
            <w:r>
              <w:rPr>
                <w:rFonts w:hint="eastAsia" w:ascii="Times New Roman" w:hAnsi="Times New Roman" w:cs="Times New Roman"/>
                <w:bCs/>
                <w:sz w:val="21"/>
                <w:szCs w:val="22"/>
              </w:rPr>
              <w:t xml:space="preserve"> </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分，共计</w:t>
            </w:r>
            <w:r>
              <w:rPr>
                <w:rFonts w:hint="eastAsia" w:ascii="Times New Roman" w:hAnsi="Times New Roman" w:cs="Times New Roman"/>
                <w:bCs/>
                <w:sz w:val="21"/>
                <w:szCs w:val="22"/>
              </w:rPr>
              <w:t xml:space="preserve"> </w:t>
            </w:r>
            <w:r>
              <w:rPr>
                <w:rFonts w:ascii="Times New Roman" w:hAnsi="Times New Roman" w:cs="Times New Roman"/>
                <w:bCs/>
                <w:sz w:val="21"/>
                <w:szCs w:val="22"/>
              </w:rPr>
              <w:t xml:space="preserve">20</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（注：标“</w:t>
            </w:r>
            <w:r>
              <w:rPr>
                <w:rFonts w:hint="eastAsia" w:ascii="宋体" w:hAnsi="宋体" w:cs="Times New Roman"/>
                <w:b/>
                <w:bCs/>
                <w:sz w:val="21"/>
                <w:szCs w:val="22"/>
              </w:rPr>
              <w:t xml:space="preserve">▼</w:t>
            </w:r>
            <w:r>
              <w:rPr>
                <w:rFonts w:hint="eastAsia" w:ascii="Times New Roman" w:hAnsi="Times New Roman" w:cs="Times New Roman"/>
                <w:b/>
                <w:bCs/>
                <w:sz w:val="21"/>
                <w:szCs w:val="22"/>
              </w:rPr>
              <w:t xml:space="preserve">”的技术参数需提供以下任意一种证明材料并加盖投标单位公章：</w:t>
            </w:r>
            <w:r>
              <w:rPr>
                <w:rFonts w:hint="eastAsia" w:ascii="Times New Roman" w:hAnsi="Times New Roman" w:cs="Times New Roman"/>
                <w:b/>
                <w:bCs/>
                <w:sz w:val="21"/>
                <w:szCs w:val="22"/>
              </w:rPr>
              <w:t xml:space="preserve">1.</w:t>
            </w:r>
            <w:r>
              <w:rPr>
                <w:rFonts w:hint="eastAsia" w:ascii="Times New Roman" w:hAnsi="Times New Roman" w:cs="Times New Roman"/>
                <w:b/>
                <w:bCs/>
                <w:sz w:val="21"/>
                <w:szCs w:val="22"/>
              </w:rPr>
              <w:t xml:space="preserve">具有国家认可的第三方机构出具的检测报告复印件</w:t>
            </w:r>
            <w:r>
              <w:rPr>
                <w:rFonts w:hint="eastAsia" w:ascii="Times New Roman" w:hAnsi="Times New Roman" w:cs="Times New Roman"/>
                <w:b/>
                <w:bCs/>
                <w:sz w:val="21"/>
                <w:szCs w:val="22"/>
              </w:rPr>
              <w:t xml:space="preserve"> 2.</w:t>
            </w:r>
            <w:r>
              <w:rPr>
                <w:rFonts w:hint="eastAsia" w:ascii="Times New Roman" w:hAnsi="Times New Roman" w:cs="Times New Roman"/>
                <w:b/>
                <w:bCs/>
                <w:sz w:val="21"/>
                <w:szCs w:val="22"/>
              </w:rPr>
              <w:t xml:space="preserve">官网截图证明</w:t>
            </w:r>
            <w:r>
              <w:rPr>
                <w:rFonts w:hint="eastAsia" w:ascii="Times New Roman" w:hAnsi="Times New Roman" w:cs="Times New Roman"/>
                <w:b/>
                <w:bCs/>
                <w:sz w:val="21"/>
                <w:szCs w:val="22"/>
              </w:rPr>
              <w:t xml:space="preserve"> 3.</w:t>
            </w:r>
            <w:r>
              <w:rPr>
                <w:rFonts w:hint="eastAsia" w:ascii="Times New Roman" w:hAnsi="Times New Roman" w:cs="Times New Roman"/>
                <w:b/>
                <w:bCs/>
                <w:sz w:val="21"/>
                <w:szCs w:val="22"/>
              </w:rPr>
              <w:t xml:space="preserve">技术参数彩页</w:t>
            </w:r>
            <w:r>
              <w:rPr>
                <w:rFonts w:hint="eastAsia" w:ascii="Times New Roman" w:hAnsi="Times New Roman" w:cs="Times New Roman"/>
                <w:b/>
                <w:bCs/>
                <w:sz w:val="21"/>
                <w:szCs w:val="22"/>
              </w:rPr>
              <w:t xml:space="preserve"> 4.</w:t>
            </w:r>
            <w:r>
              <w:rPr>
                <w:rFonts w:hint="eastAsia" w:ascii="Times New Roman" w:hAnsi="Times New Roman" w:cs="Times New Roman"/>
                <w:b/>
                <w:bCs/>
                <w:sz w:val="21"/>
                <w:szCs w:val="22"/>
              </w:rPr>
              <w:t xml:space="preserve">类似功能软件页面截图说明，未提供</w:t>
            </w:r>
            <w:r>
              <w:rPr>
                <w:rFonts w:hint="eastAsia" w:ascii="Times New Roman" w:hAnsi="Times New Roman" w:cs="Times New Roman"/>
                <w:b/>
                <w:bCs/>
                <w:sz w:val="21"/>
                <w:szCs w:val="22"/>
              </w:rPr>
              <w:t xml:space="preserve">证明材料</w:t>
            </w:r>
            <w:r>
              <w:rPr>
                <w:rFonts w:hint="eastAsia" w:ascii="Times New Roman" w:hAnsi="Times New Roman" w:cs="Times New Roman"/>
                <w:b/>
                <w:bCs/>
                <w:sz w:val="21"/>
                <w:szCs w:val="22"/>
              </w:rPr>
              <w:t xml:space="preserve">的</w:t>
            </w:r>
            <w:r>
              <w:rPr>
                <w:rFonts w:hint="eastAsia" w:ascii="Times New Roman" w:hAnsi="Times New Roman" w:cs="Times New Roman"/>
                <w:b/>
                <w:bCs/>
                <w:sz w:val="21"/>
                <w:szCs w:val="22"/>
              </w:rPr>
              <w:t xml:space="preserve">不得分</w:t>
            </w:r>
            <w:r>
              <w:rPr>
                <w:rFonts w:hint="eastAsia" w:ascii="Times New Roman" w:hAnsi="Times New Roman" w:cs="Times New Roman"/>
                <w:b/>
                <w:bCs/>
                <w:sz w:val="21"/>
                <w:szCs w:val="22"/>
              </w:rPr>
              <w:t xml:space="preserve">。）</w:t>
            </w:r>
            <w:bookmarkEnd w:id="140"/>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20</w:t>
            </w:r>
            <w:r>
              <w:rPr>
                <w:rFonts w:hint="eastAsia" w:ascii="Times New Roman" w:hAnsi="Times New Roman"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宋体" w:hAnsi="宋体" w:cs="Times New Roman"/>
                <w:bCs/>
                <w:color w:val="000000"/>
                <w:sz w:val="21"/>
                <w:szCs w:val="21"/>
              </w:rPr>
            </w:pPr>
            <w:r>
              <w:rPr>
                <w:rFonts w:ascii="宋体" w:hAnsi="宋体" w:cs="Times New Roman"/>
                <w:bCs/>
                <w:color w:val="000000"/>
                <w:sz w:val="21"/>
                <w:szCs w:val="21"/>
              </w:rPr>
            </w:r>
            <w:r/>
          </w:p>
        </w:tc>
        <w:tc>
          <w:tcPr>
            <w:tcW w:w="1033" w:type="dxa"/>
            <w:vAlign w:val="center"/>
            <w:textDirection w:val="lrTb"/>
            <w:noWrap w:val="false"/>
          </w:tcPr>
          <w:p>
            <w:pPr>
              <w:ind w:left="0"/>
              <w:jc w:val="center"/>
              <w:rPr>
                <w:rFonts w:ascii="宋体" w:hAnsi="宋体" w:cs="Times New Roman"/>
                <w:bCs/>
                <w:color w:val="000000"/>
                <w:sz w:val="21"/>
                <w:szCs w:val="21"/>
              </w:rPr>
            </w:pPr>
            <w:r>
              <w:rPr>
                <w:rFonts w:hint="eastAsia" w:ascii="宋体" w:hAnsi="宋体" w:cs="Times New Roman"/>
                <w:bCs/>
                <w:color w:val="000000"/>
                <w:sz w:val="21"/>
                <w:szCs w:val="21"/>
              </w:rPr>
              <w:t xml:space="preserve">核心</w:t>
            </w:r>
            <w:r>
              <w:rPr>
                <w:rFonts w:hint="eastAsia" w:ascii="宋体" w:hAnsi="宋体" w:cs="Times New Roman"/>
                <w:bCs/>
                <w:color w:val="000000"/>
                <w:sz w:val="21"/>
                <w:szCs w:val="21"/>
              </w:rPr>
              <w:t xml:space="preserve">技术方案</w:t>
            </w:r>
            <w:r/>
          </w:p>
        </w:tc>
        <w:tc>
          <w:tcPr>
            <w:tcW w:w="7500"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投标人根据医院实际情况，结合医院业务需求，提供以下</w:t>
            </w:r>
            <w:r>
              <w:rPr>
                <w:rFonts w:hint="eastAsia" w:ascii="宋体" w:hAnsi="宋体"/>
                <w:color w:val="000000"/>
                <w:sz w:val="21"/>
                <w:szCs w:val="21"/>
                <w:lang w:bidi="ar"/>
              </w:rPr>
              <w:t xml:space="preserve">核心</w:t>
            </w:r>
            <w:r>
              <w:rPr>
                <w:rFonts w:hint="eastAsia" w:ascii="宋体" w:hAnsi="宋体"/>
                <w:color w:val="000000"/>
                <w:sz w:val="21"/>
                <w:szCs w:val="21"/>
                <w:lang w:bidi="ar"/>
              </w:rPr>
              <w:t xml:space="preserve">技术方案</w:t>
            </w:r>
            <w:r>
              <w:rPr>
                <w:rFonts w:hint="eastAsia" w:ascii="宋体" w:hAnsi="宋体"/>
                <w:color w:val="000000"/>
                <w:sz w:val="21"/>
                <w:szCs w:val="21"/>
                <w:lang w:bidi="ar"/>
              </w:rPr>
              <w:t xml:space="preserve">。</w:t>
            </w:r>
            <w:r/>
          </w:p>
          <w:p>
            <w:pPr>
              <w:ind w:left="0"/>
              <w:widowControl w:val="off"/>
              <w:rPr>
                <w:rFonts w:ascii="宋体" w:hAnsi="宋体" w:cs="宋体"/>
                <w:b/>
                <w:bCs/>
                <w:sz w:val="21"/>
              </w:rPr>
            </w:pPr>
            <w:r>
              <w:rPr>
                <w:rFonts w:hint="eastAsia" w:ascii="宋体" w:hAnsi="宋体" w:cs="宋体"/>
                <w:b/>
                <w:bCs/>
                <w:sz w:val="21"/>
              </w:rPr>
              <w:t xml:space="preserve">1、算力中心服务器部署方案</w:t>
            </w:r>
            <w:r/>
          </w:p>
          <w:p>
            <w:pPr>
              <w:ind w:left="0"/>
              <w:widowControl w:val="off"/>
              <w:rPr>
                <w:rFonts w:ascii="宋体" w:hAnsi="宋体" w:cs="宋体"/>
                <w:sz w:val="21"/>
              </w:rPr>
            </w:pPr>
            <w:r>
              <w:rPr>
                <w:rFonts w:hint="eastAsia" w:ascii="宋体" w:hAnsi="宋体" w:cs="宋体"/>
                <w:sz w:val="21"/>
              </w:rPr>
              <w:t xml:space="preserve">投标人需了解医院现有算力承载能力、服务器运行现状、各类业务系统资源占用情况，针对性制定适配本院业务场景的算力中心服务器整体部署方案。方案包括但不限于服务器组网布局、业务负载适配、新旧设备兼容衔接等核心内容，充分保障医院各类核心业务稳定、高效、安全运行。</w:t>
            </w:r>
            <w:r/>
          </w:p>
          <w:p>
            <w:pPr>
              <w:ind w:left="0"/>
              <w:widowControl w:val="off"/>
              <w:rPr>
                <w:rFonts w:ascii="宋体" w:hAnsi="宋体" w:cs="宋体"/>
                <w:b/>
                <w:bCs/>
                <w:sz w:val="21"/>
              </w:rPr>
            </w:pPr>
            <w:r>
              <w:rPr>
                <w:rFonts w:hint="eastAsia" w:ascii="宋体" w:hAnsi="宋体" w:cs="宋体"/>
                <w:b/>
                <w:bCs/>
                <w:sz w:val="21"/>
              </w:rPr>
              <w:t xml:space="preserve">2、超融合架构整体设计方案</w:t>
            </w:r>
            <w:r/>
          </w:p>
          <w:p>
            <w:pPr>
              <w:ind w:left="0"/>
              <w:widowControl w:val="off"/>
              <w:rPr>
                <w:rFonts w:ascii="宋体" w:hAnsi="宋体" w:cs="宋体"/>
                <w:sz w:val="21"/>
              </w:rPr>
            </w:pPr>
            <w:r>
              <w:rPr>
                <w:rFonts w:hint="eastAsia" w:ascii="宋体" w:hAnsi="宋体" w:cs="宋体"/>
                <w:sz w:val="21"/>
              </w:rPr>
              <w:t xml:space="preserve">投标人需结合医院现有IT架构现状、业务承载特性及本次算力中心建设核心需求，针对本次采购的超融合系统，定制适配医院诊疗、办公、数据存储、系统运维等全场景的超融合架构整体设计方案。方案包括但不限于整体规划、存储与计算资源融合设计、网络架构适配、业务迁移部署方案等内容，保障医院信息化系统架构统一、稳定可靠、弹性可扩展，满足医院日常运营及未来信息化升级需求。</w:t>
            </w:r>
            <w:r/>
          </w:p>
          <w:p>
            <w:pPr>
              <w:ind w:left="0"/>
              <w:widowControl w:val="off"/>
              <w:rPr>
                <w:rFonts w:ascii="宋体" w:hAnsi="宋体" w:cs="宋体"/>
                <w:b/>
                <w:bCs/>
                <w:sz w:val="21"/>
              </w:rPr>
            </w:pPr>
            <w:r>
              <w:rPr>
                <w:rFonts w:hint="eastAsia" w:ascii="宋体" w:hAnsi="宋体" w:cs="宋体"/>
                <w:b/>
                <w:bCs/>
                <w:sz w:val="21"/>
              </w:rPr>
              <w:t xml:space="preserve">3、医院网络现状分析及适配方案</w:t>
            </w:r>
            <w:r/>
          </w:p>
          <w:p>
            <w:pPr>
              <w:ind w:left="0"/>
              <w:widowControl w:val="off"/>
              <w:rPr>
                <w:rFonts w:ascii="宋体" w:hAnsi="宋体" w:cs="宋体"/>
                <w:sz w:val="21"/>
              </w:rPr>
            </w:pPr>
            <w:r>
              <w:rPr>
                <w:rFonts w:hint="eastAsia" w:ascii="宋体" w:hAnsi="宋体" w:cs="宋体"/>
                <w:sz w:val="21"/>
              </w:rPr>
              <w:t xml:space="preserve">投标人需全面、深度梳理医院现有网络拓扑结构、核心网络设备布局、网络分区架构、链路带宽配置、内外网隔离现状及现有网络运行痛点，精准分析项目建成后医院网络承载压力、数据交互传输链路、新旧网络设备兼容适配、网络安全边界等核心问题，出具完整、细化、可落地的网络现状分析及网络优化适配实施方案。</w:t>
            </w:r>
            <w:r/>
          </w:p>
          <w:p>
            <w:pPr>
              <w:ind w:left="0"/>
              <w:widowControl w:val="off"/>
              <w:rPr>
                <w:rFonts w:ascii="宋体" w:hAnsi="宋体" w:cs="宋体"/>
                <w:b/>
                <w:bCs/>
                <w:sz w:val="21"/>
              </w:rPr>
            </w:pPr>
            <w:r>
              <w:rPr>
                <w:rFonts w:hint="eastAsia" w:ascii="宋体" w:hAnsi="宋体" w:cs="宋体"/>
                <w:b/>
                <w:bCs/>
                <w:sz w:val="21"/>
              </w:rPr>
              <w:t xml:space="preserve">4、信息安全保障体系建设方案</w:t>
            </w:r>
            <w:r/>
          </w:p>
          <w:p>
            <w:pPr>
              <w:ind w:left="0"/>
              <w:widowControl w:val="off"/>
              <w:rPr>
                <w:rFonts w:ascii="宋体" w:hAnsi="宋体" w:cs="宋体"/>
                <w:sz w:val="21"/>
              </w:rPr>
            </w:pPr>
            <w:r>
              <w:rPr>
                <w:rFonts w:hint="eastAsia" w:ascii="宋体" w:hAnsi="宋体" w:cs="宋体"/>
                <w:sz w:val="21"/>
              </w:rPr>
              <w:t xml:space="preserve">投标人需充分调研医院现有信息化系统组网架构、数据安全防护现状、业务系统安全等级，针对项目建成后的整体IT运行环境，构建适配医院医疗行业规范、贴合本院业务场景的全方位信息安全保障体系方案。</w:t>
            </w:r>
            <w:r/>
          </w:p>
          <w:p>
            <w:pPr>
              <w:ind w:left="0"/>
              <w:widowControl w:val="off"/>
              <w:rPr>
                <w:rFonts w:ascii="宋体" w:hAnsi="宋体" w:cs="宋体"/>
                <w:b/>
                <w:bCs/>
                <w:sz w:val="21"/>
              </w:rPr>
            </w:pPr>
            <w:r>
              <w:rPr>
                <w:rFonts w:hint="eastAsia" w:ascii="宋体" w:hAnsi="宋体" w:cs="宋体"/>
                <w:b/>
                <w:bCs/>
                <w:sz w:val="21"/>
              </w:rPr>
              <w:t xml:space="preserve">5、信创适配-操作系统整体部署方案</w:t>
            </w:r>
            <w:r/>
          </w:p>
          <w:p>
            <w:pPr>
              <w:ind w:left="0"/>
              <w:widowControl w:val="off"/>
              <w:rPr>
                <w:rFonts w:ascii="宋体" w:hAnsi="宋体" w:cs="宋体"/>
                <w:sz w:val="21"/>
              </w:rPr>
            </w:pPr>
            <w:r>
              <w:rPr>
                <w:rFonts w:hint="eastAsia" w:ascii="宋体" w:hAnsi="宋体" w:cs="宋体"/>
                <w:sz w:val="21"/>
              </w:rPr>
              <w:t xml:space="preserve">投标人需严格遵循医院信创建设整体标准、医疗行业信创适配规范及院内信息化系统整体适配要求，结合本次采购内容，针对信创操作系统的部署、迁移、调试、适配、兼容优化等工作制定专项实施方案。</w:t>
            </w:r>
            <w:r/>
          </w:p>
          <w:p>
            <w:pPr>
              <w:ind w:left="0"/>
              <w:widowControl w:val="off"/>
              <w:rPr>
                <w:rFonts w:ascii="宋体" w:hAnsi="宋体" w:cs="宋体"/>
                <w:b/>
                <w:bCs/>
                <w:sz w:val="21"/>
              </w:rPr>
            </w:pPr>
            <w:r>
              <w:rPr>
                <w:rFonts w:hint="eastAsia" w:ascii="宋体" w:hAnsi="宋体" w:cs="宋体"/>
                <w:b/>
                <w:bCs/>
                <w:sz w:val="21"/>
              </w:rPr>
              <w:t xml:space="preserve">6、信创适配-数据库整体适配方案</w:t>
            </w:r>
            <w:r/>
          </w:p>
          <w:p>
            <w:pPr>
              <w:ind w:left="0"/>
              <w:widowControl w:val="off"/>
              <w:rPr>
                <w:rFonts w:ascii="宋体" w:hAnsi="宋体" w:cs="宋体"/>
                <w:sz w:val="21"/>
              </w:rPr>
            </w:pPr>
            <w:r>
              <w:rPr>
                <w:rFonts w:hint="eastAsia" w:ascii="宋体" w:hAnsi="宋体" w:cs="宋体"/>
                <w:sz w:val="21"/>
              </w:rPr>
              <w:t xml:space="preserve">投标人需依据医院信创建设总体规划及医疗业务数据库运行标准，结合本院现有数据业务架构、医疗数据存储及交互需求，针对本次采购的信创数据库，制定专项部署、调试、兼容适配、数据迁移、性能优化一体化实施方案。</w:t>
            </w:r>
            <w:r/>
          </w:p>
          <w:p>
            <w:pPr>
              <w:ind w:left="0"/>
              <w:widowControl w:val="off"/>
              <w:rPr>
                <w:rFonts w:ascii="宋体" w:hAnsi="宋体" w:cs="宋体"/>
                <w:b/>
                <w:bCs/>
                <w:sz w:val="21"/>
              </w:rPr>
            </w:pPr>
            <w:r>
              <w:rPr>
                <w:rFonts w:hint="eastAsia" w:ascii="宋体" w:hAnsi="宋体" w:cs="宋体"/>
                <w:b/>
                <w:bCs/>
                <w:sz w:val="21"/>
              </w:rPr>
              <w:t xml:space="preserve">7、机房基础设施定制实施方案</w:t>
            </w:r>
            <w:r/>
          </w:p>
          <w:p>
            <w:pPr>
              <w:ind w:left="0"/>
              <w:widowControl w:val="off"/>
              <w:rPr>
                <w:rFonts w:ascii="宋体" w:hAnsi="宋体" w:cs="宋体"/>
                <w:bCs/>
                <w:sz w:val="21"/>
              </w:rPr>
            </w:pPr>
            <w:r>
              <w:rPr>
                <w:rFonts w:hint="eastAsia" w:ascii="宋体" w:hAnsi="宋体" w:cs="宋体"/>
                <w:bCs/>
                <w:sz w:val="21"/>
              </w:rPr>
              <w:t xml:space="preserve">投标人需依据医院机房现有基础设施现状、场地环境、现有UPS、精密空调、蓄电池等设备运行工况，结合本次机房升级及新增UPS等建设内容，制定贴合本院机房实际、安全合规、可落地的定制化技术方案。</w:t>
            </w:r>
            <w:r/>
          </w:p>
          <w:p>
            <w:pPr>
              <w:ind w:left="0" w:firstLine="420"/>
              <w:widowControl w:val="off"/>
              <w:rPr>
                <w:rFonts w:ascii="宋体" w:hAnsi="宋体" w:cs="宋体"/>
                <w:sz w:val="21"/>
              </w:rPr>
            </w:pPr>
            <w:r>
              <w:rPr>
                <w:rFonts w:hint="eastAsia" w:ascii="宋体" w:hAnsi="宋体" w:cs="宋体"/>
                <w:sz w:val="21"/>
              </w:rPr>
              <w:t xml:space="preserve">针对以上方案，</w:t>
            </w:r>
            <w:r>
              <w:rPr>
                <w:rFonts w:hint="eastAsia" w:ascii="宋体" w:hAnsi="宋体" w:cs="宋体"/>
                <w:sz w:val="21"/>
              </w:rPr>
              <w:t xml:space="preserve">涉及医院核心业务需求，要求投标人针对项目实际情况提供个性化方案，每项应逐条叙述，方案全面合理、可行性强、操作性强、贴合项目实际的得3分；方案合理性较弱、可行性有所欠缺、操作性不强、与项目实际贴合度不高的得1分；每项叙述内容完全脱离采购需求或未作完整叙述的不得分。</w:t>
            </w:r>
            <w:r/>
          </w:p>
          <w:p>
            <w:pPr>
              <w:ind w:left="0"/>
              <w:widowControl w:val="off"/>
              <w:rPr>
                <w:rFonts w:ascii="宋体" w:hAnsi="宋体" w:cs="Times New Roman"/>
                <w:bCs/>
                <w:color w:val="000000"/>
                <w:sz w:val="21"/>
                <w:szCs w:val="21"/>
              </w:rPr>
            </w:pPr>
            <w:r>
              <w:rPr>
                <w:rFonts w:hint="eastAsia" w:ascii="宋体" w:hAnsi="宋体" w:cs="宋体"/>
                <w:sz w:val="21"/>
              </w:rPr>
              <w:t xml:space="preserve">本项最高得</w:t>
            </w:r>
            <w:r>
              <w:rPr>
                <w:rFonts w:ascii="宋体" w:hAnsi="宋体" w:cs="宋体"/>
                <w:sz w:val="21"/>
              </w:rPr>
              <w:t xml:space="preserve">21</w:t>
            </w:r>
            <w:r>
              <w:rPr>
                <w:rFonts w:hint="eastAsia" w:ascii="宋体" w:hAnsi="宋体" w:cs="宋体"/>
                <w:sz w:val="21"/>
              </w:rPr>
              <w:t xml:space="preserve">分。</w:t>
            </w:r>
            <w:r/>
          </w:p>
        </w:tc>
        <w:tc>
          <w:tcPr>
            <w:tcW w:w="525" w:type="dxa"/>
            <w:vAlign w:val="center"/>
            <w:textDirection w:val="lrTb"/>
            <w:noWrap w:val="false"/>
          </w:tcPr>
          <w:p>
            <w:pPr>
              <w:ind w:left="0"/>
              <w:jc w:val="center"/>
              <w:rPr>
                <w:rFonts w:ascii="宋体" w:hAnsi="宋体" w:cs="Times New Roman"/>
                <w:bCs/>
                <w:color w:val="000000"/>
                <w:sz w:val="21"/>
                <w:szCs w:val="21"/>
              </w:rPr>
            </w:pPr>
            <w:r>
              <w:rPr>
                <w:rFonts w:ascii="宋体" w:hAnsi="宋体" w:cs="Times New Roman"/>
                <w:bCs/>
                <w:color w:val="000000"/>
                <w:sz w:val="21"/>
                <w:szCs w:val="21"/>
              </w:rPr>
              <w:t xml:space="preserve">21</w:t>
            </w:r>
            <w:r>
              <w:rPr>
                <w:rFonts w:hint="eastAsia" w:ascii="宋体" w:hAnsi="宋体" w:cs="Times New Roman"/>
                <w:bCs/>
                <w:color w:val="000000"/>
                <w:sz w:val="21"/>
                <w:szCs w:val="21"/>
              </w:rPr>
              <w:t xml:space="preserve">分</w:t>
            </w:r>
            <w:r/>
          </w:p>
        </w:tc>
      </w:tr>
      <w:tr>
        <w:trPr>
          <w:trHeight w:val="567"/>
        </w:trPr>
        <w:tc>
          <w:tcPr>
            <w:tcW w:w="1178" w:type="dxa"/>
            <w:vAlign w:val="center"/>
            <w:vMerge w:val="continue"/>
            <w:textDirection w:val="lrTb"/>
            <w:noWrap w:val="false"/>
          </w:tcPr>
          <w:p>
            <w:pPr>
              <w:ind w:left="0"/>
              <w:jc w:val="center"/>
              <w:rPr>
                <w:rFonts w:ascii="宋体" w:hAnsi="宋体" w:cs="Times New Roman"/>
                <w:bCs/>
                <w:color w:val="000000"/>
                <w:sz w:val="21"/>
                <w:szCs w:val="21"/>
              </w:rPr>
            </w:pPr>
            <w:r>
              <w:rPr>
                <w:rFonts w:ascii="宋体" w:hAnsi="宋体" w:cs="Times New Roman"/>
                <w:bCs/>
                <w:color w:val="000000"/>
                <w:sz w:val="21"/>
                <w:szCs w:val="21"/>
              </w:rPr>
            </w:r>
            <w:r/>
          </w:p>
        </w:tc>
        <w:tc>
          <w:tcPr>
            <w:tcW w:w="1033" w:type="dxa"/>
            <w:vAlign w:val="center"/>
            <w:textDirection w:val="lrTb"/>
            <w:noWrap w:val="false"/>
          </w:tcPr>
          <w:p>
            <w:pPr>
              <w:ind w:left="0"/>
              <w:jc w:val="center"/>
              <w:rPr>
                <w:rFonts w:ascii="宋体" w:hAnsi="宋体" w:cs="Times New Roman"/>
                <w:bCs/>
                <w:color w:val="000000"/>
                <w:sz w:val="21"/>
                <w:szCs w:val="21"/>
              </w:rPr>
            </w:pPr>
            <w:r/>
            <w:bookmarkStart w:id="142" w:name="OLE_LINK48"/>
            <w:r/>
            <w:bookmarkStart w:id="143" w:name="OLE_LINK49"/>
            <w:r>
              <w:rPr>
                <w:rFonts w:hint="eastAsia" w:ascii="宋体" w:hAnsi="宋体" w:cs="Times New Roman"/>
                <w:bCs/>
                <w:color w:val="000000"/>
                <w:sz w:val="21"/>
                <w:szCs w:val="21"/>
              </w:rPr>
              <w:t xml:space="preserve">服务保障及运维配套方案</w:t>
            </w:r>
            <w:bookmarkEnd w:id="142"/>
            <w:r/>
            <w:bookmarkEnd w:id="143"/>
            <w:r/>
            <w:r/>
          </w:p>
        </w:tc>
        <w:tc>
          <w:tcPr>
            <w:tcW w:w="7500" w:type="dxa"/>
            <w:vAlign w:val="center"/>
            <w:textDirection w:val="lrTb"/>
            <w:noWrap w:val="false"/>
          </w:tcPr>
          <w:p>
            <w:pPr>
              <w:ind w:left="0"/>
              <w:widowControl w:val="off"/>
              <w:rPr>
                <w:rFonts w:ascii="宋体" w:hAnsi="宋体" w:cs="宋体"/>
                <w:b/>
                <w:bCs/>
                <w:sz w:val="21"/>
              </w:rPr>
            </w:pPr>
            <w:r>
              <w:rPr>
                <w:rFonts w:hint="eastAsia" w:ascii="宋体" w:hAnsi="宋体" w:cs="宋体"/>
                <w:bCs/>
                <w:sz w:val="21"/>
              </w:rPr>
              <w:t xml:space="preserve">投标人根据医院实际情况，结合医院业务需求，提供以下服务保障及运维配套方案。</w:t>
            </w:r>
            <w:r/>
          </w:p>
          <w:p>
            <w:pPr>
              <w:ind w:left="0"/>
              <w:widowControl w:val="off"/>
              <w:rPr>
                <w:rFonts w:ascii="宋体" w:hAnsi="宋体" w:cs="宋体"/>
                <w:b/>
                <w:bCs/>
                <w:sz w:val="21"/>
              </w:rPr>
            </w:pPr>
            <w:r>
              <w:rPr>
                <w:rFonts w:hint="eastAsia" w:ascii="宋体" w:hAnsi="宋体" w:cs="宋体"/>
                <w:b/>
                <w:bCs/>
                <w:sz w:val="21"/>
              </w:rPr>
              <w:t xml:space="preserve">1、</w:t>
            </w:r>
            <w:r>
              <w:rPr>
                <w:rFonts w:hint="eastAsia" w:ascii="宋体" w:hAnsi="宋体" w:cs="宋体"/>
                <w:b/>
                <w:bCs/>
                <w:sz w:val="21"/>
              </w:rPr>
              <w:t xml:space="preserve">项目专属售后服务方案</w:t>
            </w:r>
            <w:r/>
          </w:p>
          <w:p>
            <w:pPr>
              <w:ind w:left="0"/>
              <w:widowControl w:val="off"/>
              <w:rPr>
                <w:rFonts w:ascii="宋体" w:hAnsi="宋体" w:cs="宋体"/>
                <w:sz w:val="21"/>
              </w:rPr>
            </w:pPr>
            <w:r>
              <w:rPr>
                <w:rFonts w:hint="eastAsia" w:ascii="宋体" w:hAnsi="宋体" w:cs="宋体"/>
                <w:sz w:val="21"/>
              </w:rPr>
              <w:t xml:space="preserve">投标人需针对本项目信息化改造及算力中心建设内容，制定专属、细化、贴合医院运维需求的售后服务方案。方案需涵盖售后响应机制、远程及现场服务流程、故障排查处理机制、设备质保服务等核心内容。</w:t>
            </w:r>
            <w:r/>
          </w:p>
          <w:p>
            <w:pPr>
              <w:ind w:left="0"/>
              <w:widowControl w:val="off"/>
              <w:rPr>
                <w:rFonts w:ascii="宋体" w:hAnsi="宋体" w:cs="宋体"/>
                <w:b/>
                <w:bCs/>
                <w:sz w:val="21"/>
              </w:rPr>
            </w:pPr>
            <w:r>
              <w:rPr>
                <w:rFonts w:ascii="宋体" w:hAnsi="宋体" w:cs="宋体"/>
                <w:b/>
                <w:bCs/>
                <w:sz w:val="21"/>
              </w:rPr>
              <w:t xml:space="preserve">2</w:t>
            </w:r>
            <w:r>
              <w:rPr>
                <w:rFonts w:hint="eastAsia" w:ascii="宋体" w:hAnsi="宋体" w:cs="宋体"/>
                <w:b/>
                <w:bCs/>
                <w:sz w:val="21"/>
              </w:rPr>
              <w:t xml:space="preserve">、项目应急保障方案</w:t>
            </w:r>
            <w:r/>
          </w:p>
          <w:p>
            <w:pPr>
              <w:ind w:left="0"/>
              <w:widowControl w:val="off"/>
              <w:rPr>
                <w:rFonts w:ascii="宋体" w:hAnsi="宋体" w:cs="宋体"/>
                <w:sz w:val="21"/>
              </w:rPr>
            </w:pPr>
            <w:r>
              <w:rPr>
                <w:rFonts w:hint="eastAsia" w:ascii="宋体" w:hAnsi="宋体" w:cs="宋体"/>
                <w:sz w:val="21"/>
              </w:rPr>
              <w:t xml:space="preserve">投标人需结合医院医疗业务不间断运行的核心特性，针对本项目服务器、超融合系统、网络设备、信创系统、排队叫号系统等软硬件设备，制定专项应急保障方案。</w:t>
            </w:r>
            <w:r/>
          </w:p>
          <w:p>
            <w:pPr>
              <w:ind w:left="0"/>
              <w:widowControl w:val="off"/>
              <w:rPr>
                <w:rFonts w:ascii="宋体" w:hAnsi="宋体" w:cs="宋体"/>
                <w:b/>
                <w:bCs/>
                <w:sz w:val="21"/>
              </w:rPr>
            </w:pPr>
            <w:r>
              <w:rPr>
                <w:rFonts w:ascii="宋体" w:hAnsi="宋体" w:cs="宋体"/>
                <w:b/>
                <w:bCs/>
                <w:sz w:val="21"/>
              </w:rPr>
              <w:t xml:space="preserve">3</w:t>
            </w:r>
            <w:r>
              <w:rPr>
                <w:rFonts w:hint="eastAsia" w:ascii="宋体" w:hAnsi="宋体" w:cs="宋体"/>
                <w:b/>
                <w:bCs/>
                <w:sz w:val="21"/>
              </w:rPr>
              <w:t xml:space="preserve">、专项培训实施方案</w:t>
            </w:r>
            <w:r/>
          </w:p>
          <w:p>
            <w:pPr>
              <w:ind w:left="0"/>
              <w:widowControl w:val="off"/>
              <w:rPr>
                <w:rFonts w:ascii="宋体" w:hAnsi="宋体" w:cs="宋体"/>
                <w:sz w:val="21"/>
              </w:rPr>
            </w:pPr>
            <w:r>
              <w:rPr>
                <w:rFonts w:hint="eastAsia" w:ascii="宋体" w:hAnsi="宋体" w:cs="宋体"/>
                <w:sz w:val="21"/>
              </w:rPr>
              <w:t xml:space="preserve">投标人需结合医院医护人员、行政办公人员、IT运维人员的岗位需求，制定分层、分类、针对性的专项培训方案。</w:t>
            </w:r>
            <w:r/>
          </w:p>
          <w:p>
            <w:pPr>
              <w:ind w:left="0"/>
              <w:widowControl w:val="off"/>
              <w:rPr>
                <w:rFonts w:ascii="宋体" w:hAnsi="宋体" w:cs="宋体"/>
                <w:b/>
                <w:bCs/>
                <w:sz w:val="21"/>
              </w:rPr>
            </w:pPr>
            <w:r>
              <w:rPr>
                <w:rFonts w:ascii="宋体" w:hAnsi="宋体" w:cs="宋体"/>
                <w:b/>
                <w:bCs/>
                <w:sz w:val="21"/>
              </w:rPr>
              <w:t xml:space="preserve">4</w:t>
            </w:r>
            <w:r>
              <w:rPr>
                <w:rFonts w:hint="eastAsia" w:ascii="宋体" w:hAnsi="宋体" w:cs="宋体"/>
                <w:b/>
                <w:bCs/>
                <w:sz w:val="21"/>
              </w:rPr>
              <w:t xml:space="preserve">、综合调度支持方案</w:t>
            </w:r>
            <w:r/>
          </w:p>
          <w:p>
            <w:pPr>
              <w:ind w:left="0"/>
              <w:widowControl w:val="off"/>
              <w:rPr>
                <w:rFonts w:ascii="宋体" w:hAnsi="宋体" w:cs="宋体"/>
                <w:sz w:val="21"/>
              </w:rPr>
            </w:pPr>
            <w:r>
              <w:rPr>
                <w:rFonts w:hint="eastAsia" w:ascii="宋体" w:hAnsi="宋体" w:cs="宋体"/>
                <w:sz w:val="21"/>
              </w:rPr>
              <w:t xml:space="preserve">投标人需针对本项目建设全周期及后期运维阶段，制定完善的综合调度支持方案。</w:t>
            </w:r>
            <w:r/>
          </w:p>
          <w:p>
            <w:pPr>
              <w:ind w:left="0"/>
              <w:widowControl w:val="off"/>
              <w:rPr>
                <w:rFonts w:ascii="宋体" w:hAnsi="宋体" w:cs="宋体"/>
                <w:b/>
                <w:bCs/>
                <w:sz w:val="21"/>
              </w:rPr>
            </w:pPr>
            <w:r>
              <w:rPr>
                <w:rFonts w:ascii="宋体" w:hAnsi="宋体" w:cs="宋体"/>
                <w:b/>
                <w:bCs/>
                <w:sz w:val="21"/>
              </w:rPr>
              <w:t xml:space="preserve">5</w:t>
            </w:r>
            <w:r>
              <w:rPr>
                <w:rFonts w:hint="eastAsia" w:ascii="宋体" w:hAnsi="宋体" w:cs="宋体"/>
                <w:b/>
                <w:bCs/>
                <w:sz w:val="21"/>
              </w:rPr>
              <w:t xml:space="preserve">、专职配套服务人员保障方案</w:t>
            </w:r>
            <w:r/>
          </w:p>
          <w:p>
            <w:pPr>
              <w:ind w:left="0"/>
              <w:widowControl w:val="off"/>
              <w:rPr>
                <w:rFonts w:ascii="宋体" w:hAnsi="宋体" w:cs="宋体"/>
                <w:sz w:val="21"/>
              </w:rPr>
            </w:pPr>
            <w:r>
              <w:rPr>
                <w:rFonts w:hint="eastAsia" w:ascii="宋体" w:hAnsi="宋体" w:cs="宋体"/>
                <w:sz w:val="21"/>
              </w:rPr>
              <w:t xml:space="preserve">投标人需为本项目配置专属专职服务团队，制定完善的人员配套保障方案。</w:t>
            </w:r>
            <w:r/>
          </w:p>
          <w:p>
            <w:pPr>
              <w:ind w:left="0" w:firstLine="420"/>
              <w:rPr>
                <w:rFonts w:ascii="宋体" w:hAnsi="宋体"/>
                <w:color w:val="000000"/>
                <w:sz w:val="21"/>
                <w:szCs w:val="21"/>
                <w:lang w:bidi="ar"/>
              </w:rPr>
            </w:pPr>
            <w:r>
              <w:rPr>
                <w:rFonts w:hint="eastAsia" w:ascii="宋体" w:hAnsi="宋体"/>
                <w:color w:val="000000"/>
                <w:sz w:val="21"/>
                <w:szCs w:val="21"/>
                <w:lang w:bidi="ar"/>
              </w:rPr>
              <w:t xml:space="preserve">针对以上方案，</w:t>
            </w:r>
            <w:r>
              <w:rPr>
                <w:rFonts w:hint="eastAsia" w:ascii="宋体" w:hAnsi="宋体"/>
                <w:color w:val="000000"/>
                <w:sz w:val="21"/>
                <w:szCs w:val="21"/>
                <w:lang w:bidi="ar"/>
              </w:rPr>
              <w:t xml:space="preserve">涉及医院重要业务保障要求及培训调度方案，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525" w:type="dxa"/>
            <w:vAlign w:val="center"/>
            <w:textDirection w:val="lrTb"/>
            <w:noWrap w:val="false"/>
          </w:tcPr>
          <w:p>
            <w:pPr>
              <w:ind w:left="0"/>
              <w:jc w:val="center"/>
              <w:rPr>
                <w:rFonts w:ascii="宋体" w:hAnsi="宋体" w:cs="Times New Roman"/>
                <w:bCs/>
                <w:color w:val="000000"/>
                <w:sz w:val="21"/>
                <w:szCs w:val="21"/>
              </w:rPr>
            </w:pPr>
            <w:r>
              <w:rPr>
                <w:rFonts w:hint="eastAsia" w:ascii="宋体" w:hAnsi="宋体" w:cs="Times New Roman"/>
                <w:bCs/>
                <w:color w:val="000000"/>
                <w:sz w:val="21"/>
                <w:szCs w:val="21"/>
              </w:rPr>
              <w:t xml:space="preserve">1</w:t>
            </w:r>
            <w:r>
              <w:rPr>
                <w:rFonts w:ascii="宋体" w:hAnsi="宋体" w:cs="Times New Roman"/>
                <w:bCs/>
                <w:color w:val="000000"/>
                <w:sz w:val="21"/>
                <w:szCs w:val="21"/>
              </w:rPr>
              <w:t xml:space="preserve">0</w:t>
            </w:r>
            <w:r>
              <w:rPr>
                <w:rFonts w:hint="eastAsia" w:ascii="宋体" w:hAnsi="宋体" w:cs="Times New Roman"/>
                <w:bCs/>
                <w:color w:val="000000"/>
                <w:sz w:val="21"/>
                <w:szCs w:val="21"/>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44" w:name="OLE_LINK59"/>
            <w:r/>
            <w:bookmarkStart w:id="145" w:name="OLE_LINK60"/>
            <w:r>
              <w:rPr>
                <w:rFonts w:hint="eastAsia" w:ascii="宋体" w:hAnsi="宋体"/>
                <w:color w:val="000000"/>
                <w:sz w:val="21"/>
                <w:szCs w:val="21"/>
              </w:rPr>
              <w:t xml:space="preserve">▲</w:t>
            </w:r>
            <w:bookmarkEnd w:id="144"/>
            <w:r/>
            <w:bookmarkEnd w:id="145"/>
            <w:r>
              <w:rPr>
                <w:rFonts w:hint="eastAsia" w:ascii="宋体" w:hAnsi="宋体"/>
                <w:b/>
                <w:color w:val="000000"/>
                <w:sz w:val="21"/>
                <w:szCs w:val="21"/>
              </w:rPr>
              <w:t xml:space="preserve">项目经理</w:t>
            </w:r>
            <w:r/>
          </w:p>
        </w:tc>
        <w:tc>
          <w:tcPr>
            <w:tcW w:w="750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sz w:val="21"/>
                <w:szCs w:val="21"/>
              </w:rPr>
              <w:t xml:space="preserve">项目经理（1人）具备：</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信息系统项目管理师证书；</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IT</w:t>
            </w:r>
            <w:r>
              <w:rPr>
                <w:rFonts w:hint="eastAsia" w:ascii="宋体" w:hAnsi="宋体"/>
                <w:sz w:val="21"/>
                <w:szCs w:val="21"/>
              </w:rPr>
              <w:t xml:space="preserve">服务项目经理证书；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注册信息安全专业人员（CISP</w:t>
            </w:r>
            <w:r>
              <w:rPr>
                <w:rFonts w:hint="eastAsia" w:ascii="宋体" w:hAnsi="宋体"/>
                <w:sz w:val="21"/>
                <w:szCs w:val="21"/>
              </w:rPr>
              <w:t xml:space="preserve">）认证证书；</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高级工程师职称证书（互联网或通信专业）。</w:t>
            </w:r>
            <w:r/>
          </w:p>
          <w:p>
            <w:pPr>
              <w:ind w:left="0"/>
              <w:widowControl w:val="off"/>
              <w:rPr>
                <w:rFonts w:ascii="宋体" w:hAnsi="宋体"/>
                <w:sz w:val="21"/>
                <w:szCs w:val="21"/>
              </w:rPr>
            </w:pPr>
            <w:r>
              <w:rPr>
                <w:rFonts w:hint="eastAsia" w:ascii="宋体" w:hAnsi="宋体"/>
                <w:sz w:val="21"/>
                <w:szCs w:val="21"/>
              </w:rPr>
              <w:t xml:space="preserve">每提供1个得1分，最高4分。 </w:t>
            </w:r>
            <w:r/>
          </w:p>
          <w:p>
            <w:pPr>
              <w:pStyle w:val="1023"/>
              <w:ind w:left="0" w:firstLine="0"/>
              <w:rPr>
                <w:rFonts w:ascii="宋体" w:hAnsi="宋体"/>
                <w:b/>
                <w:sz w:val="21"/>
                <w:szCs w:val="21"/>
              </w:rPr>
            </w:pPr>
            <w:r/>
            <w:bookmarkStart w:id="146" w:name="OLE_LINK55"/>
            <w:r/>
            <w:bookmarkStart w:id="147" w:name="OLE_LINK56"/>
            <w:r/>
            <w:bookmarkStart w:id="148" w:name="OLE_LINK57"/>
            <w:r/>
            <w:bookmarkStart w:id="149" w:name="OLE_LINK58"/>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bookmarkEnd w:id="146"/>
            <w:r/>
            <w:bookmarkEnd w:id="147"/>
            <w:r/>
            <w:bookmarkEnd w:id="148"/>
            <w:r/>
            <w:bookmarkEnd w:id="149"/>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4</w:t>
            </w:r>
            <w:r>
              <w:rPr>
                <w:rFonts w:hint="eastAsia" w:ascii="Times New Roman" w:hAnsi="Times New Roman" w:cs="Times New Roman"/>
                <w:bCs/>
                <w:color w:val="000000"/>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b/>
                <w:color w:val="000000"/>
                <w:sz w:val="21"/>
                <w:szCs w:val="21"/>
              </w:rPr>
              <w:t xml:space="preserve">技术负责人</w:t>
            </w:r>
            <w:r/>
          </w:p>
        </w:tc>
        <w:tc>
          <w:tcPr>
            <w:tcW w:w="750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技术负责人（1人，项目负责人除外）具备：</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高级工程师职称证书（互联网或通信专业）；</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系统架构设计师证书；</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CISE</w:t>
            </w:r>
            <w:r>
              <w:rPr>
                <w:rFonts w:hint="eastAsia" w:ascii="宋体" w:hAnsi="宋体"/>
                <w:sz w:val="21"/>
                <w:szCs w:val="21"/>
              </w:rPr>
              <w:t xml:space="preserve">注册信息安全工程师证书；</w:t>
            </w:r>
            <w:r/>
          </w:p>
          <w:p>
            <w:pPr>
              <w:ind w:left="0"/>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信息安全保障人员(CISAW)</w:t>
            </w:r>
            <w:r>
              <w:rPr>
                <w:rFonts w:hint="eastAsia" w:ascii="宋体" w:hAnsi="宋体"/>
                <w:sz w:val="21"/>
                <w:szCs w:val="21"/>
              </w:rPr>
              <w:t xml:space="preserve">证书。</w:t>
            </w:r>
            <w:r/>
          </w:p>
          <w:p>
            <w:pPr>
              <w:ind w:left="0"/>
              <w:widowControl w:val="off"/>
              <w:rPr>
                <w:rFonts w:ascii="宋体" w:hAnsi="宋体"/>
                <w:sz w:val="21"/>
                <w:szCs w:val="21"/>
              </w:rPr>
            </w:pPr>
            <w:r>
              <w:rPr>
                <w:rFonts w:hint="eastAsia" w:ascii="宋体" w:hAnsi="宋体"/>
                <w:sz w:val="21"/>
                <w:szCs w:val="21"/>
              </w:rPr>
              <w:t xml:space="preserve">每提供1个得1分，最高4分。</w:t>
            </w:r>
            <w:r/>
          </w:p>
          <w:p>
            <w:pPr>
              <w:pStyle w:val="1023"/>
              <w:ind w:left="0"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4</w:t>
            </w:r>
            <w:r>
              <w:rPr>
                <w:rFonts w:hint="eastAsia" w:ascii="Times New Roman" w:hAnsi="Times New Roman" w:cs="Times New Roman"/>
                <w:bCs/>
                <w:color w:val="000000"/>
                <w:sz w:val="21"/>
                <w:szCs w:val="22"/>
              </w:rPr>
              <w:t xml:space="preserve">分</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b/>
                <w:color w:val="000000"/>
                <w:sz w:val="21"/>
                <w:szCs w:val="21"/>
              </w:rPr>
              <w:t xml:space="preserve">其他项目成员</w:t>
            </w:r>
            <w:r/>
          </w:p>
        </w:tc>
        <w:tc>
          <w:tcPr>
            <w:tcW w:w="750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其他项目成员</w:t>
            </w:r>
            <w:r>
              <w:rPr>
                <w:rFonts w:hint="eastAsia" w:ascii="宋体" w:hAnsi="宋体"/>
                <w:sz w:val="21"/>
                <w:szCs w:val="21"/>
              </w:rPr>
              <w:t xml:space="preserve">（</w:t>
            </w:r>
            <w:r>
              <w:rPr>
                <w:rFonts w:hint="eastAsia" w:ascii="宋体" w:hAnsi="宋体"/>
                <w:sz w:val="21"/>
                <w:szCs w:val="21"/>
              </w:rPr>
              <w:t xml:space="preserve">项目经理和技术负责人</w:t>
            </w:r>
            <w:r>
              <w:rPr>
                <w:rFonts w:hint="eastAsia" w:ascii="宋体" w:hAnsi="宋体"/>
                <w:sz w:val="21"/>
                <w:szCs w:val="21"/>
              </w:rPr>
              <w:t xml:space="preserve">除</w:t>
            </w:r>
            <w:r>
              <w:rPr>
                <w:rFonts w:hint="eastAsia" w:ascii="宋体" w:hAnsi="宋体"/>
                <w:sz w:val="21"/>
                <w:szCs w:val="21"/>
              </w:rPr>
              <w:t xml:space="preserve">外</w:t>
            </w:r>
            <w:r>
              <w:rPr>
                <w:rFonts w:hint="eastAsia" w:ascii="宋体" w:hAnsi="宋体"/>
                <w:sz w:val="21"/>
                <w:szCs w:val="21"/>
              </w:rPr>
              <w:t xml:space="preserve">）</w:t>
            </w:r>
            <w:r>
              <w:rPr>
                <w:rFonts w:hint="eastAsia" w:ascii="宋体" w:hAnsi="宋体"/>
                <w:sz w:val="21"/>
                <w:szCs w:val="21"/>
              </w:rPr>
              <w:t xml:space="preserve">具备：</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网络规划设计师证书；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软件设计师证书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每提供1个得1分，最高</w:t>
            </w:r>
            <w:r>
              <w:rPr>
                <w:rFonts w:ascii="宋体" w:hAnsi="宋体"/>
                <w:sz w:val="21"/>
                <w:szCs w:val="21"/>
              </w:rPr>
              <w:t xml:space="preserve">2</w:t>
            </w:r>
            <w:r>
              <w:rPr>
                <w:rFonts w:hint="eastAsia" w:ascii="宋体" w:hAnsi="宋体"/>
                <w:sz w:val="21"/>
                <w:szCs w:val="21"/>
              </w:rPr>
              <w:t xml:space="preserve">分。 </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hint="eastAsia" w:ascii="Times New Roman" w:hAnsi="Times New Roman" w:cs="Times New Roman"/>
                <w:bCs/>
                <w:color w:val="000000"/>
                <w:sz w:val="21"/>
                <w:szCs w:val="22"/>
              </w:rPr>
              <w:t xml:space="preserve">2</w:t>
            </w:r>
            <w:r>
              <w:rPr>
                <w:rFonts w:hint="eastAsia" w:ascii="Times New Roman" w:hAnsi="Times New Roman" w:cs="Times New Roman"/>
                <w:bCs/>
                <w:color w:val="000000"/>
                <w:sz w:val="21"/>
                <w:szCs w:val="22"/>
              </w:rPr>
              <w:t xml:space="preserve">分</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综合实力</w:t>
            </w:r>
            <w:r/>
          </w:p>
        </w:tc>
        <w:tc>
          <w:tcPr>
            <w:tcW w:w="7500" w:type="dxa"/>
            <w:vAlign w:val="center"/>
            <w:textDirection w:val="lrTb"/>
            <w:noWrap w:val="false"/>
          </w:tcPr>
          <w:p>
            <w:pPr>
              <w:ind w:left="0"/>
              <w:rPr>
                <w:rFonts w:ascii="宋体" w:hAnsi="宋体" w:cs="Times New Roman"/>
                <w:b/>
                <w:bCs/>
                <w:sz w:val="21"/>
                <w:szCs w:val="21"/>
              </w:rPr>
            </w:pPr>
            <w:r>
              <w:rPr>
                <w:rFonts w:hint="eastAsia" w:ascii="宋体" w:hAnsi="宋体" w:cs="Times New Roman"/>
                <w:bCs/>
                <w:sz w:val="21"/>
                <w:szCs w:val="21"/>
              </w:rPr>
              <w:t xml:space="preserve">投标单位（或所投产品生产厂家）具有</w:t>
            </w:r>
            <w:r>
              <w:rPr>
                <w:rFonts w:hint="eastAsia" w:ascii="宋体" w:hAnsi="宋体" w:cs="Times New Roman"/>
                <w:bCs/>
                <w:sz w:val="21"/>
                <w:szCs w:val="21"/>
              </w:rPr>
              <w:t xml:space="preserve">有效期内的</w:t>
            </w:r>
            <w:r>
              <w:rPr>
                <w:rFonts w:hint="eastAsia" w:ascii="宋体" w:hAnsi="宋体" w:cs="Times New Roman"/>
                <w:bCs/>
                <w:sz w:val="21"/>
                <w:szCs w:val="21"/>
              </w:rPr>
              <w:t xml:space="preserve">质量管理体系认证证书、</w:t>
            </w:r>
            <w:r>
              <w:rPr>
                <w:rFonts w:hint="eastAsia" w:ascii="宋体" w:hAnsi="宋体" w:cs="Times New Roman"/>
                <w:bCs/>
                <w:sz w:val="21"/>
                <w:szCs w:val="21"/>
              </w:rPr>
              <w:t xml:space="preserve">信息技术服务管理体系认证证书</w:t>
            </w:r>
            <w:r>
              <w:rPr>
                <w:rFonts w:hint="eastAsia" w:ascii="宋体" w:hAnsi="宋体" w:cs="Times New Roman"/>
                <w:bCs/>
                <w:sz w:val="21"/>
                <w:szCs w:val="21"/>
              </w:rPr>
              <w:t xml:space="preserve">、</w:t>
            </w:r>
            <w:r>
              <w:rPr>
                <w:rFonts w:hint="eastAsia" w:ascii="宋体" w:hAnsi="宋体" w:cs="Times New Roman"/>
                <w:bCs/>
                <w:sz w:val="21"/>
                <w:szCs w:val="21"/>
              </w:rPr>
              <w:t xml:space="preserve">信息安全管理体系认证证书</w:t>
            </w:r>
            <w:r>
              <w:rPr>
                <w:rFonts w:hint="eastAsia" w:ascii="宋体" w:hAnsi="宋体" w:cs="Times New Roman"/>
                <w:bCs/>
                <w:sz w:val="21"/>
                <w:szCs w:val="21"/>
              </w:rPr>
              <w:t xml:space="preserve">的有一项得1分，最多得3分。</w:t>
            </w:r>
            <w:r>
              <w:rPr>
                <w:rFonts w:hint="eastAsia" w:ascii="宋体" w:hAnsi="宋体" w:cs="Times New Roman"/>
                <w:b/>
                <w:bCs/>
                <w:sz w:val="21"/>
                <w:szCs w:val="21"/>
              </w:rPr>
              <w:t xml:space="preserve">（</w:t>
            </w:r>
            <w:bookmarkStart w:id="150" w:name="_Hlk152854893"/>
            <w:r>
              <w:rPr>
                <w:rFonts w:hint="eastAsia" w:ascii="宋体" w:hAnsi="宋体" w:cs="Times New Roman"/>
                <w:b/>
                <w:bCs/>
                <w:sz w:val="21"/>
                <w:szCs w:val="21"/>
              </w:rPr>
              <w:t xml:space="preserve">注：</w:t>
            </w:r>
            <w:bookmarkEnd w:id="150"/>
            <w:r>
              <w:rPr>
                <w:rFonts w:hint="eastAsia" w:ascii="宋体" w:hAnsi="宋体" w:cs="Times New Roman"/>
                <w:b/>
                <w:bCs/>
                <w:sz w:val="21"/>
                <w:szCs w:val="21"/>
              </w:rPr>
              <w:t xml:space="preserve">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3</w:t>
            </w:r>
            <w:r>
              <w:rPr>
                <w:rFonts w:hint="eastAsia" w:ascii="Times New Roman" w:hAnsi="Times New Roman" w:cs="Times New Roman"/>
                <w:bCs/>
                <w:color w:val="000000"/>
                <w:sz w:val="21"/>
                <w:szCs w:val="22"/>
              </w:rPr>
              <w:t xml:space="preserve">分</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r>
            <w:r/>
          </w:p>
        </w:tc>
        <w:tc>
          <w:tcPr>
            <w:tcW w:w="1033"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
                <w:color w:val="000000"/>
                <w:sz w:val="21"/>
                <w:szCs w:val="22"/>
              </w:rPr>
              <w:t xml:space="preserve">▲</w:t>
            </w:r>
            <w:r>
              <w:rPr>
                <w:rFonts w:hint="eastAsia" w:ascii="Times New Roman" w:hAnsi="Times New Roman" w:cs="Times New Roman"/>
                <w:b/>
                <w:color w:val="000000"/>
                <w:sz w:val="21"/>
                <w:szCs w:val="22"/>
              </w:rPr>
              <w:t xml:space="preserve">类似项目业绩</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或所投产品生产厂家</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自</w:t>
            </w:r>
            <w:r>
              <w:rPr>
                <w:rFonts w:hint="eastAsia" w:ascii="Times New Roman" w:hAnsi="Times New Roman" w:cs="Times New Roman"/>
                <w:bCs/>
                <w:sz w:val="21"/>
                <w:szCs w:val="22"/>
              </w:rPr>
              <w:t xml:space="preserve">202</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年</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月</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日起至今（以合同签订之日起为准）具有类似项目业绩的，每提供一个得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分，最高</w:t>
            </w:r>
            <w:r>
              <w:rPr>
                <w:rFonts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color w:val="000000"/>
                <w:sz w:val="21"/>
                <w:szCs w:val="22"/>
              </w:rPr>
            </w:pPr>
            <w:r>
              <w:rPr>
                <w:rFonts w:ascii="Times New Roman" w:hAnsi="Times New Roman" w:cs="Times New Roman"/>
                <w:bCs/>
                <w:color w:val="000000"/>
                <w:sz w:val="21"/>
                <w:szCs w:val="22"/>
              </w:rPr>
              <w:t xml:space="preserve">6</w:t>
            </w:r>
            <w:r>
              <w:rPr>
                <w:rFonts w:hint="eastAsia" w:ascii="Times New Roman" w:hAnsi="Times New Roman" w:cs="Times New Roman"/>
                <w:bCs/>
                <w:color w:val="000000"/>
                <w:sz w:val="21"/>
                <w:szCs w:val="22"/>
              </w:rPr>
              <w:t xml:space="preserve">分</w:t>
            </w:r>
            <w:r/>
          </w:p>
        </w:tc>
      </w:tr>
    </w:tbl>
    <w:p>
      <w:pPr>
        <w:ind w:left="0" w:firstLine="420"/>
        <w:spacing w:line="360" w:lineRule="auto"/>
        <w:rPr>
          <w:rFonts w:ascii="宋体" w:hAnsi="宋体"/>
          <w:sz w:val="21"/>
        </w:rPr>
      </w:pPr>
      <w:r>
        <w:rPr>
          <w:rFonts w:hint="eastAsia" w:ascii="宋体" w:hAnsi="宋体"/>
          <w:sz w:val="21"/>
        </w:rPr>
        <w:t xml:space="preserve">注：</w:t>
      </w:r>
      <w:r>
        <w:rPr>
          <w:rFonts w:hint="eastAsia" w:ascii="宋体" w:hAnsi="宋体"/>
          <w:b/>
          <w:sz w:val="21"/>
        </w:rPr>
        <w:t xml:space="preserve">表格中“▲”项为客观分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20"/>
    <w:link w:val="1011"/>
    <w:uiPriority w:val="9"/>
    <w:rPr>
      <w:rFonts w:ascii="Arial" w:hAnsi="Arial" w:eastAsia="Arial" w:cs="Arial"/>
      <w:sz w:val="40"/>
      <w:szCs w:val="40"/>
    </w:rPr>
  </w:style>
  <w:style w:type="character" w:styleId="863">
    <w:name w:val="Heading 2 Char"/>
    <w:basedOn w:val="1020"/>
    <w:link w:val="1012"/>
    <w:uiPriority w:val="9"/>
    <w:rPr>
      <w:rFonts w:ascii="Arial" w:hAnsi="Arial" w:eastAsia="Arial" w:cs="Arial"/>
      <w:sz w:val="34"/>
    </w:rPr>
  </w:style>
  <w:style w:type="character" w:styleId="864">
    <w:name w:val="Heading 3 Char"/>
    <w:basedOn w:val="1020"/>
    <w:link w:val="1013"/>
    <w:uiPriority w:val="9"/>
    <w:rPr>
      <w:rFonts w:ascii="Arial" w:hAnsi="Arial" w:eastAsia="Arial" w:cs="Arial"/>
      <w:sz w:val="30"/>
      <w:szCs w:val="30"/>
    </w:rPr>
  </w:style>
  <w:style w:type="character" w:styleId="865">
    <w:name w:val="Heading 4 Char"/>
    <w:basedOn w:val="1020"/>
    <w:link w:val="1014"/>
    <w:uiPriority w:val="9"/>
    <w:rPr>
      <w:rFonts w:ascii="Arial" w:hAnsi="Arial" w:eastAsia="Arial" w:cs="Arial"/>
      <w:b/>
      <w:bCs/>
      <w:sz w:val="26"/>
      <w:szCs w:val="26"/>
    </w:rPr>
  </w:style>
  <w:style w:type="character" w:styleId="866">
    <w:name w:val="Heading 5 Char"/>
    <w:basedOn w:val="1020"/>
    <w:link w:val="1015"/>
    <w:uiPriority w:val="9"/>
    <w:rPr>
      <w:rFonts w:ascii="Arial" w:hAnsi="Arial" w:eastAsia="Arial" w:cs="Arial"/>
      <w:b/>
      <w:bCs/>
      <w:sz w:val="24"/>
      <w:szCs w:val="24"/>
    </w:rPr>
  </w:style>
  <w:style w:type="character" w:styleId="867">
    <w:name w:val="Heading 6 Char"/>
    <w:basedOn w:val="1020"/>
    <w:link w:val="1016"/>
    <w:uiPriority w:val="9"/>
    <w:rPr>
      <w:rFonts w:ascii="Arial" w:hAnsi="Arial" w:eastAsia="Arial" w:cs="Arial"/>
      <w:b/>
      <w:bCs/>
      <w:sz w:val="22"/>
      <w:szCs w:val="22"/>
    </w:rPr>
  </w:style>
  <w:style w:type="character" w:styleId="868">
    <w:name w:val="Heading 7 Char"/>
    <w:basedOn w:val="1020"/>
    <w:link w:val="1017"/>
    <w:uiPriority w:val="9"/>
    <w:rPr>
      <w:rFonts w:ascii="Arial" w:hAnsi="Arial" w:eastAsia="Arial" w:cs="Arial"/>
      <w:b/>
      <w:bCs/>
      <w:i/>
      <w:iCs/>
      <w:sz w:val="22"/>
      <w:szCs w:val="22"/>
    </w:rPr>
  </w:style>
  <w:style w:type="character" w:styleId="869">
    <w:name w:val="Heading 8 Char"/>
    <w:basedOn w:val="1020"/>
    <w:link w:val="1018"/>
    <w:uiPriority w:val="9"/>
    <w:rPr>
      <w:rFonts w:ascii="Arial" w:hAnsi="Arial" w:eastAsia="Arial" w:cs="Arial"/>
      <w:i/>
      <w:iCs/>
      <w:sz w:val="22"/>
      <w:szCs w:val="22"/>
    </w:rPr>
  </w:style>
  <w:style w:type="character" w:styleId="870">
    <w:name w:val="Heading 9 Char"/>
    <w:basedOn w:val="1020"/>
    <w:link w:val="1019"/>
    <w:uiPriority w:val="9"/>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10"/>
    <w:next w:val="1010"/>
    <w:link w:val="873"/>
    <w:uiPriority w:val="10"/>
    <w:qFormat/>
    <w:pPr>
      <w:contextualSpacing/>
      <w:spacing w:before="300" w:after="200"/>
    </w:pPr>
    <w:rPr>
      <w:sz w:val="48"/>
      <w:szCs w:val="48"/>
    </w:rPr>
  </w:style>
  <w:style w:type="character" w:styleId="873">
    <w:name w:val="Title Char"/>
    <w:basedOn w:val="1020"/>
    <w:link w:val="872"/>
    <w:uiPriority w:val="10"/>
    <w:rPr>
      <w:sz w:val="48"/>
      <w:szCs w:val="48"/>
    </w:rPr>
  </w:style>
  <w:style w:type="character" w:styleId="874">
    <w:name w:val="Subtitle Char"/>
    <w:basedOn w:val="1020"/>
    <w:link w:val="1060"/>
    <w:uiPriority w:val="11"/>
    <w:rPr>
      <w:sz w:val="24"/>
      <w:szCs w:val="24"/>
    </w:rPr>
  </w:style>
  <w:style w:type="character" w:styleId="875">
    <w:name w:val="Quote Char"/>
    <w:link w:val="1262"/>
    <w:uiPriority w:val="29"/>
    <w:rPr>
      <w:i/>
    </w:rPr>
  </w:style>
  <w:style w:type="character" w:styleId="876">
    <w:name w:val="Intense Quote Char"/>
    <w:link w:val="1388"/>
    <w:uiPriority w:val="30"/>
    <w:rPr>
      <w:i/>
    </w:rPr>
  </w:style>
  <w:style w:type="character" w:styleId="877">
    <w:name w:val="Header Char"/>
    <w:basedOn w:val="1020"/>
    <w:link w:val="1057"/>
    <w:uiPriority w:val="99"/>
  </w:style>
  <w:style w:type="character" w:styleId="878">
    <w:name w:val="Footer Char"/>
    <w:basedOn w:val="1020"/>
    <w:link w:val="1054"/>
    <w:uiPriority w:val="99"/>
  </w:style>
  <w:style w:type="character" w:styleId="879">
    <w:name w:val="Caption Char"/>
    <w:basedOn w:val="1031"/>
    <w:link w:val="1054"/>
    <w:uiPriority w:val="99"/>
  </w:style>
  <w:style w:type="table" w:styleId="880">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63"/>
    <w:uiPriority w:val="99"/>
    <w:rPr>
      <w:sz w:val="18"/>
    </w:rPr>
  </w:style>
  <w:style w:type="character" w:styleId="1006">
    <w:name w:val="Endnote Text Char"/>
    <w:link w:val="1051"/>
    <w:uiPriority w:val="99"/>
    <w:rPr>
      <w:sz w:val="20"/>
    </w:rPr>
  </w:style>
  <w:style w:type="character" w:styleId="1007">
    <w:name w:val="endnote reference"/>
    <w:basedOn w:val="1020"/>
    <w:uiPriority w:val="99"/>
    <w:semiHidden/>
    <w:unhideWhenUsed/>
    <w:rPr>
      <w:vertAlign w:val="superscript"/>
    </w:r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23"/>
    <w:qFormat/>
    <w:pPr>
      <w:ind w:left="1024"/>
      <w:jc w:val="both"/>
    </w:pPr>
    <w:rPr>
      <w:rFonts w:ascii="Calibri" w:hAnsi="Calibri"/>
    </w:rPr>
  </w:style>
  <w:style w:type="paragraph" w:styleId="1011">
    <w:name w:val="Heading 1"/>
    <w:basedOn w:val="1010"/>
    <w:next w:val="1010"/>
    <w:qFormat/>
    <w:pPr>
      <w:ind w:left="432" w:firstLine="18"/>
      <w:spacing w:before="340" w:after="330" w:line="578" w:lineRule="auto"/>
      <w:outlineLvl w:val="0"/>
    </w:pPr>
  </w:style>
  <w:style w:type="paragraph" w:styleId="1012">
    <w:name w:val="Heading 2"/>
    <w:basedOn w:val="1010"/>
    <w:next w:val="1010"/>
    <w:qFormat/>
    <w:pPr>
      <w:ind w:left="576" w:firstLine="24"/>
      <w:spacing w:before="260" w:after="260" w:line="416" w:lineRule="auto"/>
      <w:outlineLvl w:val="1"/>
    </w:pPr>
    <w:rPr>
      <w:rFonts w:ascii="Times New Roman" w:hAnsi="Times New Roman" w:cs="Times New Roman"/>
    </w:rPr>
  </w:style>
  <w:style w:type="paragraph" w:styleId="1013">
    <w:name w:val="Heading 3"/>
    <w:basedOn w:val="1010"/>
    <w:next w:val="1024"/>
    <w:qFormat/>
    <w:pPr>
      <w:ind w:left="720"/>
      <w:spacing w:before="260" w:after="260" w:line="416" w:lineRule="auto"/>
      <w:outlineLvl w:val="2"/>
    </w:pPr>
    <w:rPr>
      <w:rFonts w:ascii="Times New Roman" w:hAnsi="Times New Roman" w:cs="Times New Roman"/>
    </w:rPr>
  </w:style>
  <w:style w:type="paragraph" w:styleId="1014">
    <w:name w:val="Heading 4"/>
    <w:basedOn w:val="1011"/>
    <w:next w:val="1010"/>
    <w:qFormat/>
    <w:pPr>
      <w:ind w:left="864" w:firstLine="24"/>
      <w:spacing w:before="280" w:after="290" w:line="376" w:lineRule="auto"/>
      <w:outlineLvl w:val="3"/>
    </w:pPr>
    <w:rPr>
      <w:rFonts w:ascii="Times New Roman" w:hAnsi="Times New Roman" w:cs="Times New Roman"/>
    </w:rPr>
  </w:style>
  <w:style w:type="paragraph" w:styleId="1015">
    <w:name w:val="Heading 5"/>
    <w:basedOn w:val="1011"/>
    <w:next w:val="1010"/>
    <w:qFormat/>
    <w:pPr>
      <w:ind w:left="1008"/>
      <w:spacing w:before="280" w:after="290" w:line="376" w:lineRule="auto"/>
      <w:outlineLvl w:val="4"/>
    </w:pPr>
    <w:rPr>
      <w:rFonts w:ascii="Times New Roman" w:hAnsi="Times New Roman" w:cs="Times New Roman"/>
    </w:rPr>
  </w:style>
  <w:style w:type="paragraph" w:styleId="1016">
    <w:name w:val="Heading 6"/>
    <w:basedOn w:val="1011"/>
    <w:next w:val="1010"/>
    <w:qFormat/>
    <w:pPr>
      <w:ind w:left="1152" w:firstLine="20"/>
      <w:spacing w:before="240" w:after="64" w:line="320" w:lineRule="auto"/>
      <w:outlineLvl w:val="5"/>
    </w:pPr>
    <w:rPr>
      <w:rFonts w:ascii="Times New Roman" w:hAnsi="Times New Roman" w:cs="Times New Roman"/>
    </w:rPr>
  </w:style>
  <w:style w:type="paragraph" w:styleId="1017">
    <w:name w:val="Heading 7"/>
    <w:basedOn w:val="1011"/>
    <w:next w:val="1010"/>
    <w:qFormat/>
    <w:pPr>
      <w:ind w:left="1296" w:firstLine="14"/>
      <w:spacing w:before="240" w:after="64" w:line="320" w:lineRule="auto"/>
      <w:outlineLvl w:val="6"/>
    </w:pPr>
    <w:rPr>
      <w:rFonts w:ascii="Times New Roman" w:hAnsi="Times New Roman" w:cs="Times New Roman"/>
    </w:rPr>
  </w:style>
  <w:style w:type="paragraph" w:styleId="1018">
    <w:name w:val="Heading 8"/>
    <w:basedOn w:val="1011"/>
    <w:next w:val="1010"/>
    <w:qFormat/>
    <w:pPr>
      <w:ind w:left="1440"/>
      <w:spacing w:before="240" w:after="64" w:line="320" w:lineRule="auto"/>
      <w:outlineLvl w:val="7"/>
    </w:pPr>
    <w:rPr>
      <w:rFonts w:ascii="Times New Roman" w:hAnsi="Times New Roman" w:cs="Times New Roman"/>
    </w:rPr>
  </w:style>
  <w:style w:type="paragraph" w:styleId="1019">
    <w:name w:val="Heading 9"/>
    <w:basedOn w:val="1011"/>
    <w:next w:val="1010"/>
    <w:qFormat/>
    <w:pPr>
      <w:ind w:left="1584" w:firstLine="22"/>
      <w:spacing w:before="240" w:after="64" w:line="320" w:lineRule="auto"/>
      <w:outlineLvl w:val="8"/>
    </w:pPr>
    <w:rPr>
      <w:rFonts w:ascii="Times New Roman" w:hAnsi="Times New Roman" w:cs="Times New Roman"/>
    </w:rPr>
  </w:style>
  <w:style w:type="character" w:styleId="1020" w:default="1">
    <w:name w:val="Default Paragraph Font"/>
    <w:uiPriority w:val="1"/>
    <w:semiHidden/>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paragraph" w:styleId="1023">
    <w:name w:val="Body Text Indent"/>
    <w:basedOn w:val="1010"/>
    <w:next w:val="1010"/>
    <w:qFormat/>
    <w:pPr>
      <w:ind w:left="420" w:firstLine="1188"/>
      <w:spacing w:line="360" w:lineRule="exact"/>
    </w:pPr>
    <w:rPr>
      <w:rFonts w:ascii="Times New Roman" w:hAnsi="Times New Roman" w:cs="Times New Roman"/>
    </w:rPr>
  </w:style>
  <w:style w:type="paragraph" w:styleId="1024" w:customStyle="1">
    <w:name w:val="正文2"/>
    <w:basedOn w:val="1010"/>
    <w:next w:val="1010"/>
    <w:qFormat/>
    <w:pPr>
      <w:ind w:left="0" w:hanging="2155"/>
      <w:spacing w:line="360" w:lineRule="auto"/>
      <w:shd w:val="clear" w:color="auto" w:fill="ffffff"/>
    </w:pPr>
    <w:rPr>
      <w:rFonts w:ascii="宋体" w:hAnsi="宋体"/>
    </w:rPr>
  </w:style>
  <w:style w:type="paragraph" w:styleId="1025">
    <w:name w:val="toc 7"/>
    <w:basedOn w:val="1011"/>
    <w:next w:val="1010"/>
    <w:qFormat/>
    <w:pPr>
      <w:ind w:left="1640" w:firstLine="3784"/>
      <w:spacing w:before="0" w:after="0" w:line="360" w:lineRule="auto"/>
    </w:pPr>
    <w:rPr>
      <w:rFonts w:ascii="Times New Roman" w:hAnsi="Times New Roman" w:cs="Times New Roman"/>
    </w:rPr>
  </w:style>
  <w:style w:type="paragraph" w:styleId="1026">
    <w:name w:val="List Bullet 4"/>
    <w:basedOn w:val="1011"/>
    <w:next w:val="1027"/>
    <w:qFormat/>
    <w:pPr>
      <w:ind w:left="1620" w:firstLine="2652"/>
      <w:spacing w:before="0" w:after="0" w:line="360" w:lineRule="auto"/>
    </w:pPr>
    <w:rPr>
      <w:rFonts w:ascii="Times New Roman" w:hAnsi="Times New Roman" w:cs="Times New Roman"/>
    </w:rPr>
  </w:style>
  <w:style w:type="paragraph" w:styleId="1027">
    <w:name w:val="List Bullet 2"/>
    <w:basedOn w:val="1011"/>
    <w:next w:val="1010"/>
    <w:qFormat/>
    <w:pPr>
      <w:ind w:left="900" w:firstLine="2652"/>
      <w:spacing w:before="0" w:after="0" w:line="360" w:lineRule="auto"/>
    </w:pPr>
    <w:rPr>
      <w:rFonts w:ascii="Times New Roman" w:hAnsi="Times New Roman" w:cs="Times New Roman"/>
    </w:rPr>
  </w:style>
  <w:style w:type="paragraph" w:styleId="1028">
    <w:name w:val="List Number"/>
    <w:basedOn w:val="1011"/>
    <w:next w:val="1010"/>
    <w:qFormat/>
    <w:pPr>
      <w:ind w:left="454" w:firstLine="2788"/>
      <w:spacing w:before="0" w:after="0" w:line="240" w:lineRule="auto"/>
    </w:pPr>
    <w:rPr>
      <w:rFonts w:ascii="Times New Roman" w:hAnsi="Times New Roman" w:cs="Times New Roman"/>
    </w:rPr>
  </w:style>
  <w:style w:type="paragraph" w:styleId="1029">
    <w:name w:val="Normal Indent"/>
    <w:basedOn w:val="1010"/>
    <w:next w:val="1010"/>
    <w:link w:val="1030"/>
    <w:qFormat/>
    <w:pPr>
      <w:ind w:left="420" w:firstLine="4772"/>
    </w:pPr>
  </w:style>
  <w:style w:type="character" w:styleId="1030" w:customStyle="1">
    <w:name w:val="正文缩进 字符"/>
    <w:link w:val="1029"/>
    <w:qFormat/>
    <w:rPr>
      <w:rFonts w:ascii="Calibri" w:hAnsi="Calibri" w:eastAsia="宋体" w:cs="Times New Roman"/>
    </w:rPr>
  </w:style>
  <w:style w:type="paragraph" w:styleId="1031">
    <w:name w:val="Caption"/>
    <w:basedOn w:val="1011"/>
    <w:next w:val="1010"/>
    <w:qFormat/>
    <w:pPr>
      <w:ind w:left="200" w:firstLine="2248"/>
      <w:jc w:val="center"/>
      <w:spacing w:before="0" w:after="0" w:line="240" w:lineRule="auto"/>
    </w:pPr>
    <w:rPr>
      <w:rFonts w:ascii="Times New Roman" w:hAnsi="Times New Roman" w:cs="Times New Roman"/>
    </w:rPr>
  </w:style>
  <w:style w:type="paragraph" w:styleId="1032">
    <w:name w:val="List Bullet"/>
    <w:basedOn w:val="1011"/>
    <w:next w:val="1010"/>
    <w:qFormat/>
    <w:pPr>
      <w:ind w:left="900" w:firstLine="2652"/>
      <w:spacing w:before="0" w:after="0" w:line="360" w:lineRule="auto"/>
    </w:pPr>
    <w:rPr>
      <w:rFonts w:ascii="Times New Roman" w:hAnsi="Times New Roman" w:cs="Times New Roman"/>
    </w:rPr>
  </w:style>
  <w:style w:type="paragraph" w:styleId="1033">
    <w:name w:val="Document Map"/>
    <w:basedOn w:val="1011"/>
    <w:next w:val="1034"/>
    <w:qFormat/>
    <w:pPr>
      <w:ind w:left="0" w:firstLine="4"/>
      <w:spacing w:before="0" w:after="0" w:line="240" w:lineRule="auto"/>
      <w:shd w:val="clear" w:color="000000" w:fill="000080"/>
    </w:pPr>
    <w:rPr>
      <w:rFonts w:ascii="Times New Roman" w:hAnsi="Times New Roman" w:cs="Times New Roman"/>
    </w:rPr>
  </w:style>
  <w:style w:type="paragraph" w:styleId="1034">
    <w:name w:val="annotation subject"/>
    <w:next w:val="1010"/>
    <w:qFormat/>
    <w:pPr>
      <w:ind w:firstLine="4608"/>
      <w:spacing w:line="360" w:lineRule="auto"/>
    </w:pPr>
    <w:rPr>
      <w:rFonts w:ascii="Calibri" w:hAnsi="Calibri"/>
    </w:rPr>
  </w:style>
  <w:style w:type="paragraph" w:styleId="1035">
    <w:name w:val="annotation text"/>
    <w:basedOn w:val="1011"/>
    <w:next w:val="1010"/>
    <w:uiPriority w:val="99"/>
    <w:qFormat/>
    <w:pPr>
      <w:ind w:left="0" w:firstLine="3584"/>
      <w:spacing w:before="0" w:after="0" w:line="360" w:lineRule="auto"/>
    </w:pPr>
    <w:rPr>
      <w:rFonts w:ascii="Times New Roman" w:hAnsi="Times New Roman" w:cs="Times New Roman"/>
    </w:rPr>
  </w:style>
  <w:style w:type="paragraph" w:styleId="1036">
    <w:name w:val="Body Text 3"/>
    <w:basedOn w:val="1011"/>
    <w:next w:val="1010"/>
    <w:qFormat/>
    <w:pPr>
      <w:ind w:left="0" w:firstLine="2048"/>
      <w:spacing w:before="0" w:after="0" w:line="500" w:lineRule="exact"/>
    </w:pPr>
    <w:rPr>
      <w:rFonts w:ascii="Times New Roman" w:hAnsi="Times New Roman" w:cs="Times New Roman"/>
    </w:rPr>
  </w:style>
  <w:style w:type="paragraph" w:styleId="1037">
    <w:name w:val="List Bullet 3"/>
    <w:basedOn w:val="1011"/>
    <w:next w:val="1010"/>
    <w:qFormat/>
    <w:pPr>
      <w:ind w:left="900" w:firstLine="2652"/>
      <w:spacing w:before="0" w:after="0" w:line="360" w:lineRule="auto"/>
    </w:pPr>
    <w:rPr>
      <w:rFonts w:ascii="Times New Roman" w:hAnsi="Times New Roman" w:cs="Times New Roman"/>
    </w:rPr>
  </w:style>
  <w:style w:type="paragraph" w:styleId="1038">
    <w:name w:val="Body Text"/>
    <w:basedOn w:val="1010"/>
    <w:next w:val="1010"/>
    <w:qFormat/>
    <w:pPr>
      <w:ind w:left="0" w:firstLine="2560"/>
    </w:pPr>
    <w:rPr>
      <w:rFonts w:ascii="Times New Roman" w:hAnsi="Times New Roman" w:cs="Times New Roman"/>
    </w:rPr>
  </w:style>
  <w:style w:type="paragraph" w:styleId="1039">
    <w:name w:val="List Number 3"/>
    <w:basedOn w:val="1011"/>
    <w:next w:val="1010"/>
    <w:qFormat/>
    <w:pPr>
      <w:ind w:left="420" w:firstLine="3584"/>
      <w:spacing w:before="0" w:after="0" w:line="240" w:lineRule="auto"/>
    </w:pPr>
    <w:rPr>
      <w:rFonts w:ascii="Times New Roman" w:hAnsi="Times New Roman" w:cs="Times New Roman"/>
    </w:rPr>
  </w:style>
  <w:style w:type="paragraph" w:styleId="1040">
    <w:name w:val="List 2"/>
    <w:basedOn w:val="1011"/>
    <w:next w:val="1025"/>
    <w:qFormat/>
    <w:pPr>
      <w:ind w:left="100" w:firstLine="3640"/>
      <w:spacing w:before="0" w:after="0" w:line="240" w:lineRule="auto"/>
    </w:pPr>
    <w:rPr>
      <w:rFonts w:ascii="Times New Roman" w:hAnsi="Times New Roman" w:cs="Times New Roman"/>
    </w:rPr>
  </w:style>
  <w:style w:type="paragraph" w:styleId="1041">
    <w:name w:val="Block Text"/>
    <w:basedOn w:val="1011"/>
    <w:next w:val="1010"/>
    <w:qFormat/>
    <w:pPr>
      <w:ind w:left="420" w:right="33" w:firstLine="2560"/>
      <w:spacing w:before="0" w:after="0" w:line="240" w:lineRule="auto"/>
    </w:pPr>
    <w:rPr>
      <w:rFonts w:ascii="Times New Roman" w:hAnsi="Times New Roman" w:cs="Times New Roman"/>
    </w:rPr>
  </w:style>
  <w:style w:type="paragraph" w:styleId="1042">
    <w:name w:val="toc 5"/>
    <w:basedOn w:val="1011"/>
    <w:next w:val="1010"/>
    <w:qFormat/>
    <w:pPr>
      <w:ind w:left="1160" w:firstLine="3784"/>
      <w:spacing w:before="0" w:after="0" w:line="360" w:lineRule="auto"/>
    </w:pPr>
    <w:rPr>
      <w:rFonts w:ascii="Times New Roman" w:hAnsi="Times New Roman" w:cs="Times New Roman"/>
    </w:rPr>
  </w:style>
  <w:style w:type="paragraph" w:styleId="1043">
    <w:name w:val="toc 3"/>
    <w:basedOn w:val="1011"/>
    <w:next w:val="1010"/>
    <w:qFormat/>
    <w:pPr>
      <w:ind w:left="0" w:firstLine="1024"/>
      <w:spacing w:before="0" w:after="0" w:line="360" w:lineRule="auto"/>
    </w:pPr>
    <w:rPr>
      <w:rFonts w:ascii="Times New Roman" w:hAnsi="Times New Roman" w:cs="Times New Roman"/>
    </w:rPr>
  </w:style>
  <w:style w:type="paragraph" w:styleId="1044">
    <w:name w:val="Plain Text"/>
    <w:basedOn w:val="1011"/>
    <w:next w:val="1045"/>
    <w:qFormat/>
    <w:pPr>
      <w:ind w:left="0" w:firstLine="2048"/>
      <w:spacing w:before="0" w:after="0" w:line="240" w:lineRule="auto"/>
    </w:pPr>
    <w:rPr>
      <w:rFonts w:ascii="Times New Roman" w:hAnsi="Times New Roman" w:cs="Times New Roman"/>
    </w:rPr>
  </w:style>
  <w:style w:type="paragraph" w:styleId="1045">
    <w:name w:val="toc 1"/>
    <w:basedOn w:val="1011"/>
    <w:next w:val="1010"/>
    <w:uiPriority w:val="39"/>
    <w:qFormat/>
    <w:pPr>
      <w:ind w:left="0" w:firstLine="4608"/>
      <w:spacing w:before="0" w:after="0" w:line="240" w:lineRule="auto"/>
    </w:pPr>
    <w:rPr>
      <w:rFonts w:ascii="Times New Roman" w:hAnsi="Times New Roman" w:cs="Times New Roman"/>
    </w:rPr>
  </w:style>
  <w:style w:type="paragraph" w:styleId="1046">
    <w:name w:val="List Bullet 5"/>
    <w:basedOn w:val="1011"/>
    <w:next w:val="1047"/>
    <w:qFormat/>
    <w:pPr>
      <w:ind w:left="2040" w:firstLine="2560"/>
      <w:spacing w:before="0" w:after="0" w:line="360" w:lineRule="auto"/>
    </w:pPr>
    <w:rPr>
      <w:rFonts w:ascii="Times New Roman" w:hAnsi="Times New Roman" w:cs="Times New Roman"/>
    </w:rPr>
  </w:style>
  <w:style w:type="paragraph" w:styleId="1047" w:customStyle="1">
    <w:name w:val="正文首行缩进1"/>
    <w:next w:val="1039"/>
    <w:qFormat/>
    <w:pPr>
      <w:ind w:left="420" w:firstLine="2724"/>
      <w:spacing w:after="120" w:line="360" w:lineRule="auto"/>
    </w:pPr>
    <w:rPr>
      <w:rFonts w:ascii="Calibri" w:hAnsi="Calibri"/>
    </w:rPr>
  </w:style>
  <w:style w:type="paragraph" w:styleId="1048">
    <w:name w:val="toc 8"/>
    <w:basedOn w:val="1011"/>
    <w:next w:val="1010"/>
    <w:qFormat/>
    <w:pPr>
      <w:ind w:left="1880" w:firstLine="3784"/>
      <w:spacing w:before="0" w:after="0" w:line="360" w:lineRule="auto"/>
    </w:pPr>
    <w:rPr>
      <w:rFonts w:ascii="Times New Roman" w:hAnsi="Times New Roman" w:cs="Times New Roman"/>
    </w:rPr>
  </w:style>
  <w:style w:type="paragraph" w:styleId="1049">
    <w:name w:val="Date"/>
    <w:basedOn w:val="1011"/>
    <w:next w:val="1010"/>
    <w:qFormat/>
    <w:pPr>
      <w:ind w:left="0" w:firstLine="2560"/>
      <w:spacing w:before="0" w:after="0" w:line="240" w:lineRule="auto"/>
    </w:pPr>
    <w:rPr>
      <w:rFonts w:ascii="Times New Roman" w:hAnsi="Times New Roman" w:cs="Times New Roman"/>
    </w:rPr>
  </w:style>
  <w:style w:type="paragraph" w:styleId="1050">
    <w:name w:val="Body Text Indent 2"/>
    <w:basedOn w:val="1011"/>
    <w:next w:val="1023"/>
    <w:qFormat/>
    <w:pPr>
      <w:ind w:left="481" w:firstLine="2784"/>
      <w:spacing w:before="0" w:after="0" w:line="400" w:lineRule="exact"/>
    </w:pPr>
    <w:rPr>
      <w:rFonts w:ascii="Times New Roman" w:hAnsi="Times New Roman" w:cs="Times New Roman"/>
    </w:rPr>
  </w:style>
  <w:style w:type="paragraph" w:styleId="1051">
    <w:name w:val="endnote text"/>
    <w:basedOn w:val="1011"/>
    <w:next w:val="1052"/>
    <w:qFormat/>
    <w:pPr>
      <w:ind w:left="0" w:firstLine="2560"/>
      <w:spacing w:before="0" w:after="0" w:line="360" w:lineRule="auto"/>
    </w:pPr>
    <w:rPr>
      <w:rFonts w:ascii="Times New Roman" w:hAnsi="Times New Roman" w:cs="Times New Roman"/>
    </w:rPr>
  </w:style>
  <w:style w:type="paragraph" w:styleId="1052" w:customStyle="1">
    <w:name w:val="Char11"/>
    <w:basedOn w:val="1011"/>
    <w:next w:val="1010"/>
    <w:qFormat/>
    <w:pPr>
      <w:ind w:left="0" w:firstLine="3584"/>
      <w:spacing w:before="0" w:after="0" w:line="240" w:lineRule="auto"/>
    </w:pPr>
    <w:rPr>
      <w:rFonts w:ascii="Times New Roman" w:hAnsi="Times New Roman" w:cs="Times New Roman"/>
    </w:rPr>
  </w:style>
  <w:style w:type="paragraph" w:styleId="1053">
    <w:name w:val="Balloon Text"/>
    <w:basedOn w:val="1011"/>
    <w:next w:val="1028"/>
    <w:qFormat/>
    <w:pPr>
      <w:ind w:left="0" w:firstLine="2048"/>
      <w:spacing w:before="0" w:after="0" w:line="240" w:lineRule="auto"/>
    </w:pPr>
    <w:rPr>
      <w:rFonts w:ascii="Times New Roman" w:hAnsi="Times New Roman" w:cs="Times New Roman"/>
    </w:rPr>
  </w:style>
  <w:style w:type="paragraph" w:styleId="1054">
    <w:name w:val="Footer"/>
    <w:basedOn w:val="1010"/>
    <w:next w:val="1055"/>
    <w:link w:val="1056"/>
    <w:qFormat/>
    <w:pPr>
      <w:ind w:left="0" w:firstLine="3584"/>
    </w:pPr>
  </w:style>
  <w:style w:type="paragraph" w:styleId="1055" w:customStyle="1">
    <w:name w:val="Char Char Char Char Char Char Char Char Char Char Char Char Char"/>
    <w:basedOn w:val="1011"/>
    <w:next w:val="1010"/>
    <w:qFormat/>
    <w:pPr>
      <w:ind w:left="0" w:firstLine="3584"/>
      <w:spacing w:before="0" w:after="160" w:line="240" w:lineRule="exact"/>
    </w:pPr>
    <w:rPr>
      <w:rFonts w:ascii="Times New Roman" w:hAnsi="Times New Roman" w:cs="Times New Roman"/>
    </w:rPr>
  </w:style>
  <w:style w:type="character" w:styleId="1056" w:customStyle="1">
    <w:name w:val="页脚 字符"/>
    <w:link w:val="1054"/>
    <w:qFormat/>
    <w:rPr>
      <w:rFonts w:ascii="Calibri" w:hAnsi="Calibri" w:eastAsia="宋体" w:cs="Times New Roman"/>
    </w:rPr>
  </w:style>
  <w:style w:type="paragraph" w:styleId="1057">
    <w:name w:val="Header"/>
    <w:basedOn w:val="1011"/>
    <w:next w:val="1049"/>
    <w:link w:val="1058"/>
    <w:qFormat/>
    <w:pPr>
      <w:ind w:left="0" w:firstLine="3584"/>
      <w:jc w:val="center"/>
      <w:spacing w:before="0" w:after="0" w:line="240" w:lineRule="auto"/>
    </w:pPr>
  </w:style>
  <w:style w:type="character" w:styleId="1058" w:customStyle="1">
    <w:name w:val="页眉 字符"/>
    <w:link w:val="1057"/>
    <w:qFormat/>
    <w:rPr>
      <w:rFonts w:ascii="Calibri" w:hAnsi="Calibri" w:eastAsia="宋体" w:cs="Times New Roman"/>
    </w:rPr>
  </w:style>
  <w:style w:type="paragraph" w:styleId="1059">
    <w:name w:val="toc 4"/>
    <w:basedOn w:val="1011"/>
    <w:next w:val="1010"/>
    <w:qFormat/>
    <w:pPr>
      <w:ind w:left="1260" w:firstLine="1024"/>
      <w:spacing w:before="0" w:after="0" w:line="240" w:lineRule="auto"/>
    </w:pPr>
    <w:rPr>
      <w:rFonts w:ascii="Times New Roman" w:hAnsi="Times New Roman" w:cs="Times New Roman"/>
    </w:rPr>
  </w:style>
  <w:style w:type="paragraph" w:styleId="1060">
    <w:name w:val="Subtitle"/>
    <w:next w:val="1010"/>
    <w:qFormat/>
    <w:pPr>
      <w:ind w:left="1024"/>
      <w:jc w:val="center"/>
      <w:spacing w:after="60"/>
    </w:pPr>
    <w:rPr>
      <w:rFonts w:ascii="Calibri" w:hAnsi="Calibri"/>
    </w:rPr>
  </w:style>
  <w:style w:type="paragraph" w:styleId="1061">
    <w:name w:val="List"/>
    <w:basedOn w:val="1011"/>
    <w:next w:val="1062"/>
    <w:qFormat/>
    <w:pPr>
      <w:ind w:left="200" w:firstLine="3640"/>
      <w:spacing w:before="0" w:after="0" w:line="240" w:lineRule="auto"/>
    </w:pPr>
    <w:rPr>
      <w:rFonts w:ascii="Times New Roman" w:hAnsi="Times New Roman" w:cs="Times New Roman"/>
    </w:rPr>
  </w:style>
  <w:style w:type="paragraph" w:styleId="1062">
    <w:name w:val="Body Text First Indent"/>
    <w:next w:val="1010"/>
    <w:qFormat/>
    <w:pPr>
      <w:ind w:left="420" w:firstLine="3748"/>
      <w:spacing w:after="120"/>
    </w:pPr>
    <w:rPr>
      <w:rFonts w:ascii="Calibri" w:hAnsi="Calibri"/>
    </w:rPr>
  </w:style>
  <w:style w:type="paragraph" w:styleId="1063">
    <w:name w:val="footnote text"/>
    <w:basedOn w:val="1011"/>
    <w:next w:val="1041"/>
    <w:qFormat/>
    <w:pPr>
      <w:ind w:left="0" w:firstLine="3584"/>
      <w:spacing w:before="0" w:after="0" w:line="360" w:lineRule="auto"/>
    </w:pPr>
    <w:rPr>
      <w:rFonts w:ascii="Times New Roman" w:hAnsi="Times New Roman" w:cs="Times New Roman"/>
    </w:rPr>
  </w:style>
  <w:style w:type="paragraph" w:styleId="1064">
    <w:name w:val="toc 6"/>
    <w:basedOn w:val="1011"/>
    <w:next w:val="1010"/>
    <w:qFormat/>
    <w:pPr>
      <w:ind w:left="1400" w:firstLine="3784"/>
      <w:spacing w:before="0" w:after="0" w:line="360" w:lineRule="auto"/>
    </w:pPr>
    <w:rPr>
      <w:rFonts w:ascii="Times New Roman" w:hAnsi="Times New Roman" w:cs="Times New Roman"/>
    </w:rPr>
  </w:style>
  <w:style w:type="paragraph" w:styleId="1065">
    <w:name w:val="List 5"/>
    <w:basedOn w:val="1011"/>
    <w:next w:val="1038"/>
    <w:qFormat/>
    <w:pPr>
      <w:ind w:left="2100" w:firstLine="3676"/>
      <w:spacing w:before="0" w:after="0" w:line="240" w:lineRule="auto"/>
    </w:pPr>
    <w:rPr>
      <w:rFonts w:ascii="Times New Roman" w:hAnsi="Times New Roman" w:cs="Times New Roman"/>
    </w:rPr>
  </w:style>
  <w:style w:type="paragraph" w:styleId="1066">
    <w:name w:val="Body Text Indent 3"/>
    <w:basedOn w:val="1011"/>
    <w:next w:val="1064"/>
    <w:qFormat/>
    <w:pPr>
      <w:ind w:left="480" w:firstLine="2784"/>
      <w:spacing w:before="0" w:after="0" w:line="400" w:lineRule="exact"/>
    </w:pPr>
    <w:rPr>
      <w:rFonts w:ascii="Times New Roman" w:hAnsi="Times New Roman" w:cs="Times New Roman"/>
    </w:rPr>
  </w:style>
  <w:style w:type="paragraph" w:styleId="1067">
    <w:name w:val="toc 2"/>
    <w:basedOn w:val="1011"/>
    <w:next w:val="1010"/>
    <w:qFormat/>
    <w:pPr>
      <w:ind w:left="0" w:firstLine="1024"/>
      <w:spacing w:before="0" w:after="0" w:line="360" w:lineRule="auto"/>
    </w:pPr>
    <w:rPr>
      <w:rFonts w:ascii="Times New Roman" w:hAnsi="Times New Roman" w:cs="Times New Roman"/>
    </w:rPr>
  </w:style>
  <w:style w:type="paragraph" w:styleId="1068">
    <w:name w:val="toc 9"/>
    <w:basedOn w:val="1011"/>
    <w:next w:val="1010"/>
    <w:qFormat/>
    <w:pPr>
      <w:ind w:left="2120" w:firstLine="3784"/>
      <w:spacing w:before="0" w:after="0" w:line="360" w:lineRule="auto"/>
    </w:pPr>
    <w:rPr>
      <w:rFonts w:ascii="Times New Roman" w:hAnsi="Times New Roman" w:cs="Times New Roman"/>
    </w:rPr>
  </w:style>
  <w:style w:type="paragraph" w:styleId="1069">
    <w:name w:val="Body Text 2"/>
    <w:basedOn w:val="1011"/>
    <w:next w:val="1032"/>
    <w:qFormat/>
    <w:pPr>
      <w:ind w:left="0" w:firstLine="1024"/>
      <w:spacing w:before="0" w:after="120" w:line="480" w:lineRule="auto"/>
    </w:pPr>
    <w:rPr>
      <w:rFonts w:ascii="Times New Roman" w:hAnsi="Times New Roman" w:cs="Times New Roman"/>
    </w:rPr>
  </w:style>
  <w:style w:type="paragraph" w:styleId="1070">
    <w:name w:val="HTML Preformatted"/>
    <w:basedOn w:val="1011"/>
    <w:next w:val="1031"/>
    <w:qFormat/>
    <w:pPr>
      <w:ind w:left="0" w:firstLine="2048"/>
      <w:spacing w:before="0" w:after="0" w:line="253" w:lineRule="atLeast"/>
    </w:pPr>
    <w:rPr>
      <w:rFonts w:ascii="Times New Roman" w:hAnsi="Times New Roman" w:cs="Times New Roman"/>
    </w:rPr>
  </w:style>
  <w:style w:type="paragraph" w:styleId="1071">
    <w:name w:val="Normal (Web)"/>
    <w:basedOn w:val="1010"/>
    <w:next w:val="1040"/>
    <w:uiPriority w:val="99"/>
    <w:qFormat/>
    <w:pPr>
      <w:ind w:left="15" w:right="15" w:firstLine="4608"/>
      <w:spacing w:before="60" w:after="60" w:line="312" w:lineRule="auto"/>
    </w:pPr>
    <w:rPr>
      <w:rFonts w:ascii="Times New Roman" w:hAnsi="Times New Roman" w:cs="Times New Roman"/>
    </w:rPr>
  </w:style>
  <w:style w:type="paragraph" w:styleId="1072">
    <w:name w:val="index 1"/>
    <w:basedOn w:val="1011"/>
    <w:next w:val="1010"/>
    <w:qFormat/>
    <w:pPr>
      <w:ind w:left="0" w:firstLine="3584"/>
      <w:spacing w:before="0" w:after="0" w:line="240" w:lineRule="auto"/>
    </w:pPr>
    <w:rPr>
      <w:rFonts w:ascii="Times New Roman" w:hAnsi="Times New Roman" w:cs="Times New Roman"/>
    </w:rPr>
  </w:style>
  <w:style w:type="paragraph" w:styleId="1073">
    <w:name w:val="Body Text First Indent 2"/>
    <w:basedOn w:val="1023"/>
    <w:unhideWhenUsed/>
    <w:qFormat/>
    <w:pPr>
      <w:ind w:firstLine="420"/>
    </w:pPr>
  </w:style>
  <w:style w:type="table" w:styleId="107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5">
    <w:name w:val="Strong"/>
    <w:qFormat/>
    <w:rPr>
      <w:rFonts w:ascii="Times New Roman" w:hAnsi="Times New Roman" w:eastAsia="宋体" w:cs="Times New Roman"/>
      <w:b/>
      <w:sz w:val="20"/>
    </w:rPr>
  </w:style>
  <w:style w:type="character" w:styleId="1076">
    <w:name w:val="page number"/>
    <w:qFormat/>
    <w:rPr>
      <w:rFonts w:ascii="Times New Roman" w:hAnsi="Times New Roman" w:eastAsia="宋体" w:cs="Times New Roman"/>
      <w:sz w:val="20"/>
    </w:rPr>
  </w:style>
  <w:style w:type="character" w:styleId="1077">
    <w:name w:val="FollowedHyperlink"/>
    <w:qFormat/>
    <w:rPr>
      <w:rFonts w:ascii="Times New Roman" w:hAnsi="Times New Roman" w:eastAsia="宋体" w:cs="Times New Roman"/>
      <w:color w:val="800080"/>
      <w:sz w:val="20"/>
      <w:u w:val="single"/>
    </w:rPr>
  </w:style>
  <w:style w:type="character" w:styleId="1078">
    <w:name w:val="Emphasis"/>
    <w:uiPriority w:val="20"/>
    <w:qFormat/>
    <w:rPr>
      <w:rFonts w:ascii="Times New Roman" w:hAnsi="Times New Roman" w:eastAsia="宋体" w:cs="Times New Roman"/>
      <w:i/>
      <w:sz w:val="21"/>
    </w:rPr>
  </w:style>
  <w:style w:type="character" w:styleId="1079">
    <w:name w:val="Hyperlink"/>
    <w:uiPriority w:val="99"/>
    <w:qFormat/>
    <w:rPr>
      <w:rFonts w:ascii="Times New Roman" w:hAnsi="Times New Roman" w:eastAsia="宋体" w:cs="Times New Roman"/>
      <w:color w:val="0000ff"/>
      <w:sz w:val="20"/>
      <w:u w:val="single"/>
    </w:rPr>
  </w:style>
  <w:style w:type="character" w:styleId="1080">
    <w:name w:val="annotation reference"/>
    <w:qFormat/>
    <w:rPr>
      <w:rFonts w:ascii="Times New Roman" w:hAnsi="Times New Roman" w:eastAsia="宋体" w:cs="Times New Roman"/>
      <w:sz w:val="20"/>
    </w:rPr>
  </w:style>
  <w:style w:type="character" w:styleId="1081">
    <w:name w:val="footnote reference"/>
    <w:qFormat/>
    <w:rPr>
      <w:rFonts w:ascii="Times New Roman" w:hAnsi="Times New Roman" w:eastAsia="宋体" w:cs="Times New Roman"/>
      <w:vertAlign w:val="superscript"/>
    </w:rPr>
  </w:style>
  <w:style w:type="character" w:styleId="1082" w:customStyle="1">
    <w:name w:val="日期 Char"/>
    <w:qFormat/>
    <w:rPr>
      <w:rFonts w:ascii="Times New Roman" w:hAnsi="Times New Roman" w:eastAsia="宋体" w:cs="Times New Roman"/>
      <w:sz w:val="20"/>
    </w:rPr>
  </w:style>
  <w:style w:type="character" w:styleId="1083" w:customStyle="1">
    <w:name w:val="批注引用1"/>
    <w:qFormat/>
    <w:rPr>
      <w:rFonts w:ascii="Times New Roman" w:hAnsi="Times New Roman" w:eastAsia="宋体" w:cs="Times New Roman"/>
      <w:sz w:val="20"/>
    </w:rPr>
  </w:style>
  <w:style w:type="character" w:styleId="1084" w:customStyle="1">
    <w:name w:val="应答文本 Char Char"/>
    <w:qFormat/>
    <w:rPr>
      <w:rFonts w:ascii="Times New Roman" w:hAnsi="Times New Roman" w:eastAsia="宋体" w:cs="Times New Roman"/>
      <w:sz w:val="20"/>
    </w:rPr>
  </w:style>
  <w:style w:type="character" w:styleId="1085" w:customStyle="1">
    <w:name w:val="图片0 Char Char"/>
    <w:qFormat/>
    <w:rPr>
      <w:rFonts w:ascii="Times New Roman" w:hAnsi="Times New Roman" w:eastAsia="宋体" w:cs="Times New Roman"/>
      <w:sz w:val="20"/>
    </w:rPr>
  </w:style>
  <w:style w:type="character" w:styleId="1086" w:customStyle="1">
    <w:name w:val="尾注文本 Char"/>
    <w:qFormat/>
    <w:rPr>
      <w:rFonts w:ascii="Times New Roman" w:hAnsi="Times New Roman" w:eastAsia="宋体" w:cs="Times New Roman"/>
      <w:sz w:val="20"/>
    </w:rPr>
  </w:style>
  <w:style w:type="character" w:styleId="1087" w:customStyle="1">
    <w:name w:val="文档结构图 字符"/>
    <w:qFormat/>
    <w:rPr>
      <w:rFonts w:ascii="Microsoft YaHei UI" w:hAnsi="Times New Roman" w:eastAsia="Microsoft YaHei UI" w:cs="Times New Roman"/>
      <w:sz w:val="18"/>
      <w:szCs w:val="18"/>
    </w:rPr>
  </w:style>
  <w:style w:type="character" w:styleId="1088" w:customStyle="1">
    <w:name w:val="_Style 337"/>
    <w:qFormat/>
    <w:rPr>
      <w:rFonts w:ascii="Times New Roman" w:hAnsi="Times New Roman" w:eastAsia="宋体" w:cs="Times New Roman"/>
      <w:color w:val="auto"/>
      <w:sz w:val="21"/>
    </w:rPr>
  </w:style>
  <w:style w:type="character" w:styleId="1089" w:customStyle="1">
    <w:name w:val="正文文本 字符"/>
    <w:qFormat/>
    <w:rPr>
      <w:rFonts w:ascii="Times New Roman" w:hAnsi="Times New Roman" w:eastAsia="宋体" w:cs="Times New Roman"/>
      <w:sz w:val="21"/>
    </w:rPr>
  </w:style>
  <w:style w:type="character" w:styleId="1090" w:customStyle="1">
    <w:name w:val="批注文字 字符"/>
    <w:uiPriority w:val="99"/>
    <w:qFormat/>
    <w:rPr>
      <w:rFonts w:ascii="Times New Roman" w:hAnsi="Times New Roman" w:eastAsia="宋体" w:cs="Times New Roman"/>
      <w:sz w:val="20"/>
    </w:rPr>
  </w:style>
  <w:style w:type="character" w:styleId="1091" w:customStyle="1">
    <w:name w:val="批注文字 Char1"/>
    <w:qFormat/>
    <w:rPr>
      <w:rFonts w:ascii="Times New Roman" w:hAnsi="Times New Roman" w:eastAsia="宋体" w:cs="Times New Roman"/>
      <w:sz w:val="20"/>
    </w:rPr>
  </w:style>
  <w:style w:type="character" w:styleId="1092" w:customStyle="1">
    <w:name w:val="txt"/>
    <w:qFormat/>
    <w:rPr>
      <w:rFonts w:ascii="Times New Roman" w:hAnsi="Times New Roman" w:eastAsia="宋体" w:cs="Times New Roman"/>
      <w:sz w:val="20"/>
    </w:rPr>
  </w:style>
  <w:style w:type="character" w:styleId="1093" w:customStyle="1">
    <w:name w:val="标书正文 Char"/>
    <w:qFormat/>
    <w:rPr>
      <w:rFonts w:ascii="Times New Roman" w:hAnsi="Times New Roman" w:eastAsia="宋体" w:cs="Times New Roman"/>
      <w:sz w:val="20"/>
    </w:rPr>
  </w:style>
  <w:style w:type="character" w:styleId="1094" w:customStyle="1">
    <w:name w:val="font21"/>
    <w:qFormat/>
    <w:rPr>
      <w:rFonts w:hint="eastAsia" w:ascii="宋体" w:hAnsi="宋体" w:eastAsia="宋体" w:cs="宋体"/>
      <w:color w:val="ff0000"/>
      <w:sz w:val="24"/>
      <w:szCs w:val="24"/>
      <w:u w:val="none"/>
    </w:rPr>
  </w:style>
  <w:style w:type="character" w:styleId="1095" w:customStyle="1">
    <w:name w:val="apple-converted-space"/>
    <w:qFormat/>
    <w:rPr>
      <w:rFonts w:ascii="Times New Roman" w:hAnsi="Times New Roman" w:eastAsia="宋体" w:cs="Times New Roman"/>
      <w:sz w:val="20"/>
    </w:rPr>
  </w:style>
  <w:style w:type="character" w:styleId="1096" w:customStyle="1">
    <w:name w:val="纯文本 Char1"/>
    <w:qFormat/>
    <w:rPr>
      <w:rFonts w:ascii="Times New Roman" w:hAnsi="Times New Roman" w:eastAsia="宋体" w:cs="Times New Roman"/>
      <w:sz w:val="20"/>
    </w:rPr>
  </w:style>
  <w:style w:type="character" w:styleId="1097" w:customStyle="1">
    <w:name w:val="para1"/>
    <w:qFormat/>
    <w:rPr>
      <w:rFonts w:ascii="Times New Roman" w:hAnsi="Times New Roman" w:eastAsia="宋体" w:cs="Times New Roman"/>
      <w:sz w:val="20"/>
    </w:rPr>
  </w:style>
  <w:style w:type="character" w:styleId="1098" w:customStyle="1">
    <w:name w:val="HTML 预设格式 Char1"/>
    <w:qFormat/>
    <w:rPr>
      <w:rFonts w:ascii="Times New Roman" w:hAnsi="Times New Roman" w:eastAsia="宋体" w:cs="Times New Roman"/>
      <w:sz w:val="20"/>
    </w:rPr>
  </w:style>
  <w:style w:type="character" w:styleId="1099" w:customStyle="1">
    <w:name w:val="批注文字 Char"/>
    <w:qFormat/>
    <w:rPr>
      <w:rFonts w:ascii="Times New Roman" w:hAnsi="Times New Roman" w:eastAsia="宋体" w:cs="Times New Roman"/>
      <w:sz w:val="20"/>
    </w:rPr>
  </w:style>
  <w:style w:type="character" w:styleId="1100" w:customStyle="1">
    <w:name w:val="文档结构图 Char"/>
    <w:qFormat/>
    <w:rPr>
      <w:rFonts w:ascii="Times New Roman" w:hAnsi="Times New Roman" w:eastAsia="宋体" w:cs="Times New Roman"/>
      <w:sz w:val="20"/>
    </w:rPr>
  </w:style>
  <w:style w:type="character" w:styleId="1101" w:customStyle="1">
    <w:name w:val="超级链接"/>
    <w:qFormat/>
    <w:rPr>
      <w:rFonts w:ascii="Times New Roman" w:hAnsi="Times New Roman" w:eastAsia="宋体" w:cs="Times New Roman"/>
      <w:color w:val="0000ff"/>
      <w:sz w:val="20"/>
      <w:u w:val="single"/>
    </w:rPr>
  </w:style>
  <w:style w:type="character" w:styleId="1102" w:customStyle="1">
    <w:name w:val="p141"/>
    <w:qFormat/>
    <w:rPr>
      <w:rFonts w:ascii="Times New Roman" w:hAnsi="Times New Roman" w:eastAsia="宋体" w:cs="Times New Roman"/>
      <w:color w:val="000000"/>
      <w:sz w:val="20"/>
      <w:u w:val="none"/>
    </w:rPr>
  </w:style>
  <w:style w:type="character" w:styleId="1103" w:customStyle="1">
    <w:name w:val="宏文本 Char"/>
    <w:qFormat/>
    <w:rPr>
      <w:rFonts w:ascii="Times New Roman" w:hAnsi="Times New Roman" w:eastAsia="宋体" w:cs="Times New Roman"/>
      <w:sz w:val="20"/>
    </w:rPr>
  </w:style>
  <w:style w:type="character" w:styleId="1104" w:customStyle="1">
    <w:name w:val="_Style 313"/>
    <w:qFormat/>
    <w:rPr>
      <w:rFonts w:ascii="Times New Roman" w:hAnsi="Times New Roman" w:eastAsia="宋体" w:cs="Times New Roman"/>
      <w:b/>
      <w:i/>
      <w:sz w:val="21"/>
    </w:rPr>
  </w:style>
  <w:style w:type="character" w:styleId="1105" w:customStyle="1">
    <w:name w:val="页脚 Char1"/>
    <w:qFormat/>
    <w:rPr>
      <w:rFonts w:ascii="Times New Roman" w:hAnsi="Times New Roman" w:eastAsia="宋体" w:cs="Times New Roman"/>
      <w:sz w:val="20"/>
    </w:rPr>
  </w:style>
  <w:style w:type="character" w:styleId="1106" w:customStyle="1">
    <w:name w:val="页眉 Char"/>
    <w:qFormat/>
    <w:rPr>
      <w:rFonts w:ascii="Times New Roman" w:hAnsi="Times New Roman" w:eastAsia="宋体" w:cs="Times New Roman"/>
      <w:sz w:val="20"/>
    </w:rPr>
  </w:style>
  <w:style w:type="character" w:styleId="1107" w:customStyle="1">
    <w:name w:val="标题 7 Char"/>
    <w:qFormat/>
    <w:rPr>
      <w:rFonts w:ascii="Times New Roman" w:hAnsi="Times New Roman" w:eastAsia="宋体" w:cs="Times New Roman"/>
      <w:b/>
      <w:sz w:val="20"/>
    </w:rPr>
  </w:style>
  <w:style w:type="character" w:styleId="1108" w:customStyle="1">
    <w:name w:val="Char Char12"/>
    <w:qFormat/>
    <w:rPr>
      <w:rFonts w:ascii="Times New Roman" w:hAnsi="Times New Roman" w:eastAsia="宋体" w:cs="Times New Roman"/>
      <w:sz w:val="20"/>
    </w:rPr>
  </w:style>
  <w:style w:type="character" w:styleId="1109" w:customStyle="1">
    <w:name w:val="标题 3 Char"/>
    <w:qFormat/>
    <w:rPr>
      <w:rFonts w:ascii="Times New Roman" w:hAnsi="Times New Roman" w:eastAsia="宋体" w:cs="Times New Roman"/>
      <w:b/>
      <w:sz w:val="20"/>
    </w:rPr>
  </w:style>
  <w:style w:type="character" w:styleId="1110" w:customStyle="1">
    <w:name w:val="正文（首行缩进 2 字符） Char Char"/>
    <w:qFormat/>
    <w:rPr>
      <w:rFonts w:ascii="Times New Roman" w:hAnsi="Times New Roman" w:eastAsia="宋体" w:cs="Times New Roman"/>
      <w:sz w:val="20"/>
    </w:rPr>
  </w:style>
  <w:style w:type="character" w:styleId="1111" w:customStyle="1">
    <w:name w:val="表格用 Char Char"/>
    <w:qFormat/>
    <w:rPr>
      <w:rFonts w:ascii="Times New Roman" w:hAnsi="Times New Roman" w:eastAsia="宋体" w:cs="Times New Roman"/>
      <w:sz w:val="20"/>
    </w:rPr>
  </w:style>
  <w:style w:type="character" w:styleId="1112" w:customStyle="1">
    <w:name w:val="正文文本缩进 3 Char1"/>
    <w:qFormat/>
    <w:rPr>
      <w:rFonts w:ascii="Times New Roman" w:hAnsi="Times New Roman" w:eastAsia="宋体" w:cs="Times New Roman"/>
      <w:sz w:val="20"/>
    </w:rPr>
  </w:style>
  <w:style w:type="character" w:styleId="1113" w:customStyle="1">
    <w:name w:val="正文缩进 Char"/>
    <w:qFormat/>
    <w:rPr>
      <w:rFonts w:ascii="Times New Roman" w:hAnsi="Times New Roman" w:eastAsia="宋体" w:cs="Times New Roman"/>
      <w:sz w:val="20"/>
    </w:rPr>
  </w:style>
  <w:style w:type="character" w:styleId="1114" w:customStyle="1">
    <w:name w:val="批注框文本 Char1"/>
    <w:qFormat/>
    <w:rPr>
      <w:rFonts w:ascii="Times New Roman" w:hAnsi="Times New Roman" w:eastAsia="宋体" w:cs="Times New Roman"/>
      <w:sz w:val="20"/>
    </w:rPr>
  </w:style>
  <w:style w:type="character" w:styleId="1115" w:customStyle="1">
    <w:name w:val="Char Char13"/>
    <w:qFormat/>
    <w:rPr>
      <w:rFonts w:ascii="Times New Roman" w:hAnsi="Times New Roman" w:eastAsia="宋体" w:cs="Times New Roman"/>
      <w:sz w:val="20"/>
    </w:rPr>
  </w:style>
  <w:style w:type="character" w:styleId="1116" w:customStyle="1">
    <w:name w:val="样式2 Char"/>
    <w:qFormat/>
    <w:rPr>
      <w:rFonts w:ascii="Times New Roman" w:hAnsi="Times New Roman" w:eastAsia="宋体" w:cs="Times New Roman"/>
      <w:b/>
      <w:sz w:val="20"/>
    </w:rPr>
  </w:style>
  <w:style w:type="character" w:styleId="1117" w:customStyle="1">
    <w:name w:val="页脚 Char"/>
    <w:qFormat/>
    <w:rPr>
      <w:rFonts w:ascii="Times New Roman" w:hAnsi="Times New Roman" w:eastAsia="宋体" w:cs="Times New Roman"/>
      <w:sz w:val="20"/>
    </w:rPr>
  </w:style>
  <w:style w:type="character" w:styleId="1118" w:customStyle="1">
    <w:name w:val="标准文本 Char"/>
    <w:qFormat/>
    <w:rPr>
      <w:rFonts w:ascii="Times New Roman" w:hAnsi="Times New Roman" w:eastAsia="宋体" w:cs="Times New Roman"/>
      <w:sz w:val="20"/>
    </w:rPr>
  </w:style>
  <w:style w:type="character" w:styleId="1119" w:customStyle="1">
    <w:name w:val="font01"/>
    <w:qFormat/>
    <w:rPr>
      <w:rFonts w:hint="eastAsia" w:ascii="宋体" w:hAnsi="宋体" w:eastAsia="宋体" w:cs="宋体"/>
      <w:color w:val="000000"/>
      <w:sz w:val="24"/>
      <w:szCs w:val="24"/>
      <w:u w:val="none"/>
    </w:rPr>
  </w:style>
  <w:style w:type="character" w:styleId="1120" w:customStyle="1">
    <w:name w:val="标题 3 Char1"/>
    <w:qFormat/>
    <w:rPr>
      <w:rFonts w:ascii="Times New Roman" w:hAnsi="Times New Roman" w:eastAsia="宋体" w:cs="Times New Roman"/>
      <w:b/>
      <w:sz w:val="20"/>
      <w:u w:val="single"/>
    </w:rPr>
  </w:style>
  <w:style w:type="character" w:styleId="1121" w:customStyle="1">
    <w:name w:val="表格 Char Char"/>
    <w:qFormat/>
    <w:rPr>
      <w:rFonts w:ascii="Times New Roman" w:hAnsi="Times New Roman" w:eastAsia="宋体" w:cs="Times New Roman"/>
      <w:sz w:val="20"/>
    </w:rPr>
  </w:style>
  <w:style w:type="character" w:styleId="1122" w:customStyle="1">
    <w:name w:val="正文首行缩进 Char"/>
    <w:qFormat/>
    <w:rPr>
      <w:rFonts w:ascii="Times New Roman" w:hAnsi="Times New Roman" w:eastAsia="宋体" w:cs="Times New Roman"/>
      <w:sz w:val="20"/>
    </w:rPr>
  </w:style>
  <w:style w:type="character" w:styleId="1123" w:customStyle="1">
    <w:name w:val="标题 9 Char"/>
    <w:qFormat/>
    <w:rPr>
      <w:rFonts w:ascii="Times New Roman" w:hAnsi="Times New Roman" w:eastAsia="宋体" w:cs="Times New Roman"/>
      <w:sz w:val="20"/>
    </w:rPr>
  </w:style>
  <w:style w:type="character" w:styleId="1124" w:customStyle="1">
    <w:name w:val="lh151"/>
    <w:qFormat/>
    <w:rPr>
      <w:rFonts w:ascii="Times New Roman" w:hAnsi="Times New Roman" w:eastAsia="宋体" w:cs="Times New Roman"/>
      <w:color w:val="666666"/>
      <w:sz w:val="20"/>
    </w:rPr>
  </w:style>
  <w:style w:type="character" w:styleId="1125" w:customStyle="1">
    <w:name w:val="日期 Char1"/>
    <w:qFormat/>
    <w:rPr>
      <w:rFonts w:ascii="Times New Roman" w:hAnsi="Times New Roman" w:eastAsia="宋体" w:cs="Times New Roman"/>
      <w:sz w:val="20"/>
    </w:rPr>
  </w:style>
  <w:style w:type="character" w:styleId="1126" w:customStyle="1">
    <w:name w:val="图片 Char Char"/>
    <w:qFormat/>
    <w:rPr>
      <w:rFonts w:ascii="Times New Roman" w:hAnsi="Times New Roman" w:eastAsia="宋体" w:cs="Times New Roman"/>
      <w:sz w:val="20"/>
    </w:rPr>
  </w:style>
  <w:style w:type="character" w:styleId="1127" w:customStyle="1">
    <w:name w:val="批注框文本 字符"/>
    <w:qFormat/>
    <w:rPr>
      <w:rFonts w:ascii="Times New Roman" w:hAnsi="Times New Roman" w:eastAsia="宋体" w:cs="Times New Roman"/>
      <w:sz w:val="20"/>
    </w:rPr>
  </w:style>
  <w:style w:type="character" w:styleId="1128" w:customStyle="1">
    <w:name w:val="HTML 预设格式 Char"/>
    <w:qFormat/>
    <w:rPr>
      <w:rFonts w:ascii="Times New Roman" w:hAnsi="Times New Roman" w:eastAsia="宋体" w:cs="Times New Roman"/>
      <w:sz w:val="20"/>
    </w:rPr>
  </w:style>
  <w:style w:type="character" w:styleId="1129" w:customStyle="1">
    <w:name w:val="列出段落 Char"/>
    <w:qFormat/>
    <w:rPr>
      <w:rFonts w:ascii="Times New Roman" w:hAnsi="Times New Roman" w:eastAsia="宋体" w:cs="Times New Roman"/>
      <w:sz w:val="20"/>
    </w:rPr>
  </w:style>
  <w:style w:type="character" w:styleId="1130" w:customStyle="1">
    <w:name w:val="标题 5 Char"/>
    <w:qFormat/>
    <w:rPr>
      <w:rFonts w:ascii="Times New Roman" w:hAnsi="Times New Roman" w:eastAsia="宋体" w:cs="Times New Roman"/>
      <w:b/>
      <w:sz w:val="20"/>
    </w:rPr>
  </w:style>
  <w:style w:type="character" w:styleId="1131" w:customStyle="1">
    <w:name w:val="链接"/>
    <w:qFormat/>
    <w:rPr>
      <w:rFonts w:ascii="Times New Roman" w:hAnsi="Times New Roman" w:eastAsia="宋体" w:cs="Times New Roman"/>
      <w:color w:val="0000ff"/>
      <w:sz w:val="20"/>
      <w:u w:val="single"/>
    </w:rPr>
  </w:style>
  <w:style w:type="character" w:styleId="1132" w:customStyle="1">
    <w:name w:val="18h1"/>
    <w:qFormat/>
    <w:rPr>
      <w:rFonts w:ascii="Times New Roman" w:hAnsi="Times New Roman" w:eastAsia="宋体" w:cs="Times New Roman"/>
      <w:color w:val="3b3b3b"/>
      <w:sz w:val="20"/>
    </w:rPr>
  </w:style>
  <w:style w:type="character" w:styleId="1133" w:customStyle="1">
    <w:name w:val="表格文字（两侧对齐） Char Char"/>
    <w:qFormat/>
    <w:rPr>
      <w:rFonts w:ascii="Times New Roman" w:hAnsi="Times New Roman" w:eastAsia="宋体" w:cs="Times New Roman"/>
      <w:sz w:val="20"/>
    </w:rPr>
  </w:style>
  <w:style w:type="character" w:styleId="1134" w:customStyle="1">
    <w:name w:val="正文文本缩进 2 Char"/>
    <w:qFormat/>
    <w:rPr>
      <w:rFonts w:ascii="Times New Roman" w:hAnsi="Times New Roman" w:eastAsia="宋体" w:cs="Times New Roman"/>
      <w:sz w:val="20"/>
    </w:rPr>
  </w:style>
  <w:style w:type="character" w:styleId="1135" w:customStyle="1">
    <w:name w:val="Char Char14"/>
    <w:qFormat/>
    <w:rPr>
      <w:rFonts w:ascii="Times New Roman" w:hAnsi="Times New Roman" w:eastAsia="宋体" w:cs="Times New Roman"/>
      <w:sz w:val="20"/>
    </w:rPr>
  </w:style>
  <w:style w:type="character" w:styleId="1136" w:customStyle="1">
    <w:name w:val="标题 1 Char1"/>
    <w:qFormat/>
    <w:rPr>
      <w:rFonts w:ascii="Times New Roman" w:hAnsi="Times New Roman" w:eastAsia="宋体" w:cs="Times New Roman"/>
      <w:b/>
      <w:sz w:val="20"/>
    </w:rPr>
  </w:style>
  <w:style w:type="character" w:styleId="1137" w:customStyle="1">
    <w:name w:val="批注框文本 Char"/>
    <w:qFormat/>
    <w:rPr>
      <w:rFonts w:ascii="Times New Roman" w:hAnsi="Times New Roman" w:eastAsia="宋体" w:cs="Times New Roman"/>
      <w:sz w:val="20"/>
    </w:rPr>
  </w:style>
  <w:style w:type="character" w:styleId="1138" w:customStyle="1">
    <w:name w:val="apple-style-span"/>
    <w:qFormat/>
    <w:rPr>
      <w:rFonts w:ascii="Times New Roman" w:hAnsi="Times New Roman" w:eastAsia="宋体" w:cs="Times New Roman"/>
      <w:sz w:val="20"/>
    </w:rPr>
  </w:style>
  <w:style w:type="character" w:styleId="1139" w:customStyle="1">
    <w:name w:val="插图 Char Char"/>
    <w:qFormat/>
    <w:rPr>
      <w:rFonts w:ascii="Times New Roman" w:hAnsi="Times New Roman" w:eastAsia="宋体" w:cs="Times New Roman"/>
      <w:sz w:val="20"/>
    </w:rPr>
  </w:style>
  <w:style w:type="character" w:styleId="1140" w:customStyle="1">
    <w:name w:val="标题 2 Char1"/>
    <w:qFormat/>
    <w:rPr>
      <w:rFonts w:ascii="Times New Roman" w:hAnsi="Times New Roman" w:eastAsia="宋体" w:cs="Times New Roman"/>
      <w:b/>
      <w:sz w:val="20"/>
    </w:rPr>
  </w:style>
  <w:style w:type="character" w:styleId="1141" w:customStyle="1">
    <w:name w:val="_Style 332"/>
    <w:qFormat/>
    <w:rPr>
      <w:rFonts w:ascii="Times New Roman" w:hAnsi="Times New Roman" w:eastAsia="宋体" w:cs="Times New Roman"/>
      <w:i/>
      <w:color w:val="auto"/>
      <w:sz w:val="21"/>
    </w:rPr>
  </w:style>
  <w:style w:type="character" w:styleId="1142" w:customStyle="1">
    <w:name w:val="正文文本 3 Char1"/>
    <w:qFormat/>
    <w:rPr>
      <w:rFonts w:ascii="Times New Roman" w:hAnsi="Times New Roman" w:eastAsia="宋体" w:cs="Times New Roman"/>
      <w:sz w:val="20"/>
    </w:rPr>
  </w:style>
  <w:style w:type="character" w:styleId="1143" w:customStyle="1">
    <w:name w:val="标题 5 Char1"/>
    <w:qFormat/>
    <w:rPr>
      <w:rFonts w:ascii="Times New Roman" w:hAnsi="Times New Roman" w:eastAsia="宋体" w:cs="Times New Roman"/>
      <w:b/>
      <w:sz w:val="20"/>
    </w:rPr>
  </w:style>
  <w:style w:type="character" w:styleId="1144" w:customStyle="1">
    <w:name w:val="批注主题 Char"/>
    <w:qFormat/>
    <w:rPr>
      <w:rFonts w:ascii="Times New Roman" w:hAnsi="Times New Roman" w:eastAsia="宋体" w:cs="Times New Roman"/>
      <w:b/>
      <w:sz w:val="20"/>
    </w:rPr>
  </w:style>
  <w:style w:type="character" w:styleId="1145" w:customStyle="1">
    <w:name w:val="标题 1 Char"/>
    <w:qFormat/>
    <w:rPr>
      <w:rFonts w:ascii="Times New Roman" w:hAnsi="Times New Roman" w:eastAsia="宋体" w:cs="Times New Roman"/>
      <w:b/>
      <w:sz w:val="20"/>
    </w:rPr>
  </w:style>
  <w:style w:type="character" w:styleId="1146" w:customStyle="1">
    <w:name w:val="正文文本 2 Char1"/>
    <w:qFormat/>
    <w:rPr>
      <w:rFonts w:ascii="Times New Roman" w:hAnsi="Times New Roman" w:eastAsia="宋体" w:cs="Times New Roman"/>
      <w:sz w:val="20"/>
    </w:rPr>
  </w:style>
  <w:style w:type="character" w:styleId="1147" w:customStyle="1">
    <w:name w:val="标题 4 Char1"/>
    <w:qFormat/>
    <w:rPr>
      <w:rFonts w:ascii="Times New Roman" w:hAnsi="Times New Roman" w:eastAsia="宋体" w:cs="Times New Roman"/>
      <w:b/>
      <w:sz w:val="20"/>
    </w:rPr>
  </w:style>
  <w:style w:type="character" w:styleId="1148" w:customStyle="1">
    <w:name w:val="正文文本 2 Char"/>
    <w:qFormat/>
    <w:rPr>
      <w:rFonts w:ascii="Times New Roman" w:hAnsi="Times New Roman" w:eastAsia="宋体" w:cs="Times New Roman"/>
      <w:sz w:val="20"/>
    </w:rPr>
  </w:style>
  <w:style w:type="character" w:styleId="1149" w:customStyle="1">
    <w:name w:val="_Style 376"/>
    <w:qFormat/>
    <w:rPr>
      <w:rFonts w:ascii="Times New Roman" w:hAnsi="Times New Roman" w:eastAsia="宋体" w:cs="Times New Roman"/>
      <w:b/>
      <w:color w:val="auto"/>
      <w:sz w:val="21"/>
    </w:rPr>
  </w:style>
  <w:style w:type="character" w:styleId="1150" w:customStyle="1">
    <w:name w:val="062"/>
    <w:qFormat/>
    <w:rPr>
      <w:rFonts w:ascii="Times New Roman" w:hAnsi="Times New Roman" w:eastAsia="宋体" w:cs="Times New Roman"/>
      <w:b/>
      <w:sz w:val="20"/>
    </w:rPr>
  </w:style>
  <w:style w:type="character" w:styleId="1151" w:customStyle="1">
    <w:name w:val="正文文本 Char1"/>
    <w:qFormat/>
    <w:rPr>
      <w:rFonts w:ascii="Times New Roman" w:hAnsi="Times New Roman" w:eastAsia="宋体" w:cs="Times New Roman"/>
      <w:sz w:val="20"/>
    </w:rPr>
  </w:style>
  <w:style w:type="character" w:styleId="1152" w:customStyle="1">
    <w:name w:val="题注 Char"/>
    <w:qFormat/>
    <w:rPr>
      <w:rFonts w:ascii="Times New Roman" w:hAnsi="Times New Roman" w:eastAsia="宋体" w:cs="Times New Roman"/>
      <w:sz w:val="20"/>
    </w:rPr>
  </w:style>
  <w:style w:type="character" w:styleId="1153" w:customStyle="1">
    <w:name w:val="脚注文本 Char"/>
    <w:qFormat/>
    <w:rPr>
      <w:rFonts w:ascii="Times New Roman" w:hAnsi="Times New Roman" w:eastAsia="宋体" w:cs="Times New Roman"/>
      <w:sz w:val="20"/>
    </w:rPr>
  </w:style>
  <w:style w:type="character" w:styleId="1154" w:customStyle="1">
    <w:name w:val="_Style 336"/>
    <w:qFormat/>
    <w:rPr>
      <w:rFonts w:ascii="Times New Roman" w:hAnsi="Times New Roman" w:eastAsia="宋体" w:cs="Times New Roman"/>
      <w:i/>
      <w:color w:val="auto"/>
      <w:sz w:val="21"/>
    </w:rPr>
  </w:style>
  <w:style w:type="character" w:styleId="1155" w:customStyle="1">
    <w:name w:val="表格 Char"/>
    <w:qFormat/>
    <w:rPr>
      <w:rFonts w:ascii="Times New Roman" w:hAnsi="Times New Roman" w:eastAsia="宋体" w:cs="Times New Roman"/>
      <w:color w:val="000000"/>
      <w:sz w:val="20"/>
    </w:rPr>
  </w:style>
  <w:style w:type="character" w:styleId="1156" w:customStyle="1">
    <w:name w:val="批注主题 字符"/>
    <w:qFormat/>
    <w:rPr>
      <w:rFonts w:ascii="Times New Roman" w:hAnsi="Times New Roman" w:eastAsia="宋体" w:cs="Times New Roman"/>
      <w:b/>
      <w:sz w:val="20"/>
    </w:rPr>
  </w:style>
  <w:style w:type="character" w:styleId="1157" w:customStyle="1">
    <w:name w:val="图注 Char Char"/>
    <w:qFormat/>
    <w:rPr>
      <w:rFonts w:ascii="Times New Roman" w:hAnsi="Times New Roman" w:eastAsia="宋体" w:cs="Times New Roman"/>
      <w:sz w:val="20"/>
    </w:rPr>
  </w:style>
  <w:style w:type="character" w:styleId="1158" w:customStyle="1">
    <w:name w:val="页码1"/>
    <w:qFormat/>
    <w:rPr>
      <w:rFonts w:ascii="Times New Roman" w:hAnsi="Times New Roman" w:eastAsia="宋体" w:cs="Times New Roman"/>
      <w:sz w:val="20"/>
    </w:rPr>
  </w:style>
  <w:style w:type="character" w:styleId="1159" w:customStyle="1">
    <w:name w:val="列表框1 Char Char"/>
    <w:qFormat/>
    <w:rPr>
      <w:rFonts w:ascii="Times New Roman" w:hAnsi="Times New Roman" w:eastAsia="宋体" w:cs="Times New Roman"/>
      <w:sz w:val="20"/>
    </w:rPr>
  </w:style>
  <w:style w:type="character" w:styleId="1160" w:customStyle="1">
    <w:name w:val="1ji Char"/>
    <w:qFormat/>
    <w:rPr>
      <w:rFonts w:ascii="Times New Roman" w:hAnsi="Times New Roman" w:eastAsia="宋体" w:cs="Times New Roman"/>
      <w:b/>
      <w:sz w:val="20"/>
    </w:rPr>
  </w:style>
  <w:style w:type="character" w:styleId="1161" w:customStyle="1">
    <w:name w:val="正文文本缩进 Char"/>
    <w:qFormat/>
    <w:rPr>
      <w:rFonts w:ascii="Times New Roman" w:hAnsi="Times New Roman" w:eastAsia="宋体" w:cs="Times New Roman"/>
      <w:sz w:val="20"/>
    </w:rPr>
  </w:style>
  <w:style w:type="character" w:styleId="1162" w:customStyle="1">
    <w:name w:val="标准文本 Char Char"/>
    <w:qFormat/>
    <w:rPr>
      <w:rFonts w:ascii="Times New Roman" w:hAnsi="Times New Roman" w:eastAsia="宋体" w:cs="Times New Roman"/>
      <w:sz w:val="20"/>
    </w:rPr>
  </w:style>
  <w:style w:type="character" w:styleId="1163" w:customStyle="1">
    <w:name w:val="表格用 Char"/>
    <w:qFormat/>
    <w:rPr>
      <w:rFonts w:ascii="Times New Roman" w:hAnsi="Times New Roman" w:eastAsia="宋体" w:cs="Times New Roman"/>
      <w:color w:val="000000"/>
      <w:sz w:val="20"/>
    </w:rPr>
  </w:style>
  <w:style w:type="character" w:styleId="1164" w:customStyle="1">
    <w:name w:val="标题 7 Char1"/>
    <w:qFormat/>
    <w:rPr>
      <w:rFonts w:ascii="Times New Roman" w:hAnsi="Times New Roman" w:eastAsia="宋体" w:cs="Times New Roman"/>
      <w:b/>
      <w:sz w:val="20"/>
    </w:rPr>
  </w:style>
  <w:style w:type="character" w:styleId="1165" w:customStyle="1">
    <w:name w:val="H 3 Char"/>
    <w:qFormat/>
    <w:rPr>
      <w:rFonts w:ascii="Times New Roman" w:hAnsi="Times New Roman" w:eastAsia="宋体" w:cs="Times New Roman"/>
      <w:b/>
      <w:sz w:val="20"/>
    </w:rPr>
  </w:style>
  <w:style w:type="character" w:styleId="1166" w:customStyle="1">
    <w:name w:val="正文文本缩进 3 字符"/>
    <w:qFormat/>
    <w:rPr>
      <w:rFonts w:ascii="Times New Roman" w:hAnsi="Times New Roman" w:eastAsia="宋体" w:cs="Times New Roman"/>
      <w:sz w:val="16"/>
      <w:szCs w:val="16"/>
    </w:rPr>
  </w:style>
  <w:style w:type="character" w:styleId="1167" w:customStyle="1">
    <w:name w:val="标题 Char"/>
    <w:qFormat/>
    <w:rPr>
      <w:rFonts w:ascii="Times New Roman" w:hAnsi="Times New Roman" w:eastAsia="宋体" w:cs="Times New Roman"/>
      <w:b/>
      <w:sz w:val="20"/>
    </w:rPr>
  </w:style>
  <w:style w:type="character" w:styleId="1168" w:customStyle="1">
    <w:name w:val="H 4 Char"/>
    <w:qFormat/>
    <w:rPr>
      <w:rFonts w:ascii="Times New Roman" w:hAnsi="Times New Roman" w:eastAsia="宋体" w:cs="Times New Roman"/>
      <w:b/>
      <w:sz w:val="20"/>
    </w:rPr>
  </w:style>
  <w:style w:type="character" w:styleId="1169" w:customStyle="1">
    <w:name w:val="批注主题 Char1"/>
    <w:qFormat/>
    <w:rPr>
      <w:rFonts w:ascii="Times New Roman" w:hAnsi="Times New Roman" w:eastAsia="宋体" w:cs="Times New Roman"/>
      <w:b/>
      <w:sz w:val="20"/>
    </w:rPr>
  </w:style>
  <w:style w:type="character" w:styleId="1170" w:customStyle="1">
    <w:name w:val="正文文本缩进 Char1"/>
    <w:qFormat/>
    <w:rPr>
      <w:rFonts w:ascii="Times New Roman" w:hAnsi="Times New Roman" w:eastAsia="宋体" w:cs="Times New Roman"/>
      <w:sz w:val="20"/>
    </w:rPr>
  </w:style>
  <w:style w:type="character" w:styleId="1171" w:customStyle="1">
    <w:name w:val="正文文本 3 Char"/>
    <w:qFormat/>
    <w:rPr>
      <w:rFonts w:ascii="Times New Roman" w:hAnsi="Times New Roman" w:eastAsia="宋体" w:cs="Times New Roman"/>
      <w:sz w:val="20"/>
    </w:rPr>
  </w:style>
  <w:style w:type="character" w:styleId="1172" w:customStyle="1">
    <w:name w:val="正文首行缩进 2 Char"/>
    <w:qFormat/>
    <w:rPr>
      <w:rFonts w:ascii="Times New Roman" w:hAnsi="Times New Roman" w:eastAsia="宋体" w:cs="Times New Roman"/>
      <w:sz w:val="20"/>
    </w:rPr>
  </w:style>
  <w:style w:type="character" w:styleId="1173" w:customStyle="1">
    <w:name w:val="页眉 Char1"/>
    <w:qFormat/>
    <w:rPr>
      <w:rFonts w:ascii="Times New Roman" w:hAnsi="Times New Roman" w:eastAsia="宋体" w:cs="Times New Roman"/>
      <w:sz w:val="20"/>
    </w:rPr>
  </w:style>
  <w:style w:type="character" w:styleId="1174" w:customStyle="1">
    <w:name w:val="Char Char2"/>
    <w:qFormat/>
    <w:rPr>
      <w:rFonts w:ascii="Times New Roman" w:hAnsi="Times New Roman" w:eastAsia="宋体" w:cs="Times New Roman"/>
      <w:sz w:val="20"/>
    </w:rPr>
  </w:style>
  <w:style w:type="character" w:styleId="1175" w:customStyle="1">
    <w:name w:val="样式 首行缩进:  2 字符 Char1"/>
    <w:qFormat/>
    <w:rPr>
      <w:rFonts w:ascii="Times New Roman" w:hAnsi="Times New Roman" w:eastAsia="宋体" w:cs="Times New Roman"/>
      <w:sz w:val="20"/>
    </w:rPr>
  </w:style>
  <w:style w:type="character" w:styleId="1176" w:customStyle="1">
    <w:name w:val="标题 2 Char"/>
    <w:qFormat/>
    <w:rPr>
      <w:rFonts w:ascii="Times New Roman" w:hAnsi="Times New Roman" w:eastAsia="宋体" w:cs="Times New Roman"/>
      <w:b/>
      <w:sz w:val="20"/>
    </w:rPr>
  </w:style>
  <w:style w:type="character" w:styleId="1177" w:customStyle="1">
    <w:name w:val="表格文字图表文字 Char Char"/>
    <w:qFormat/>
    <w:rPr>
      <w:rFonts w:ascii="Times New Roman" w:hAnsi="Times New Roman" w:eastAsia="宋体" w:cs="Times New Roman"/>
      <w:sz w:val="20"/>
    </w:rPr>
  </w:style>
  <w:style w:type="character" w:styleId="1178" w:customStyle="1">
    <w:name w:val="图片 Char"/>
    <w:qFormat/>
    <w:rPr>
      <w:rFonts w:ascii="Times New Roman" w:hAnsi="Times New Roman" w:eastAsia="宋体" w:cs="Times New Roman"/>
      <w:sz w:val="20"/>
    </w:rPr>
  </w:style>
  <w:style w:type="character" w:styleId="1179" w:customStyle="1">
    <w:name w:val="标题 6 Char"/>
    <w:qFormat/>
    <w:rPr>
      <w:rFonts w:ascii="Times New Roman" w:hAnsi="Times New Roman" w:eastAsia="宋体" w:cs="Times New Roman"/>
      <w:b/>
      <w:sz w:val="20"/>
    </w:rPr>
  </w:style>
  <w:style w:type="character" w:styleId="1180" w:customStyle="1">
    <w:name w:val="标题 4 Char"/>
    <w:qFormat/>
    <w:rPr>
      <w:rFonts w:ascii="Times New Roman" w:hAnsi="Times New Roman" w:eastAsia="宋体" w:cs="Times New Roman"/>
      <w:b/>
      <w:sz w:val="20"/>
    </w:rPr>
  </w:style>
  <w:style w:type="character" w:styleId="1181" w:customStyle="1">
    <w:name w:val="文档结构图 Char1"/>
    <w:qFormat/>
    <w:rPr>
      <w:rFonts w:ascii="Times New Roman" w:hAnsi="Times New Roman" w:eastAsia="宋体" w:cs="Times New Roman"/>
      <w:sz w:val="20"/>
    </w:rPr>
  </w:style>
  <w:style w:type="character" w:styleId="1182" w:customStyle="1">
    <w:name w:val="项目符0 Char"/>
    <w:qFormat/>
    <w:rPr>
      <w:rFonts w:ascii="Times New Roman" w:hAnsi="Times New Roman" w:eastAsia="宋体" w:cs="Times New Roman"/>
      <w:sz w:val="20"/>
    </w:rPr>
  </w:style>
  <w:style w:type="character" w:styleId="1183" w:customStyle="1">
    <w:name w:val="正文文本缩进 3 Char"/>
    <w:qFormat/>
    <w:rPr>
      <w:rFonts w:ascii="Times New Roman" w:hAnsi="Times New Roman" w:eastAsia="宋体" w:cs="Times New Roman"/>
      <w:sz w:val="20"/>
    </w:rPr>
  </w:style>
  <w:style w:type="character" w:styleId="1184" w:customStyle="1">
    <w:name w:val="Char Char3"/>
    <w:qFormat/>
    <w:rPr>
      <w:rFonts w:ascii="Times New Roman" w:hAnsi="Times New Roman" w:eastAsia="宋体" w:cs="Times New Roman"/>
      <w:sz w:val="20"/>
    </w:rPr>
  </w:style>
  <w:style w:type="character" w:styleId="1185" w:customStyle="1">
    <w:name w:val="纯文本 Char"/>
    <w:qFormat/>
    <w:rPr>
      <w:rFonts w:ascii="Times New Roman" w:hAnsi="Times New Roman" w:eastAsia="宋体" w:cs="Times New Roman"/>
      <w:sz w:val="20"/>
    </w:rPr>
  </w:style>
  <w:style w:type="character" w:styleId="1186" w:customStyle="1">
    <w:name w:val="正文文本缩进 2 Char1"/>
    <w:qFormat/>
    <w:rPr>
      <w:rFonts w:ascii="Times New Roman" w:hAnsi="Times New Roman" w:eastAsia="宋体" w:cs="Times New Roman"/>
      <w:sz w:val="20"/>
    </w:rPr>
  </w:style>
  <w:style w:type="character" w:styleId="1187" w:customStyle="1">
    <w:name w:val="标题 8 Char"/>
    <w:qFormat/>
    <w:rPr>
      <w:rFonts w:ascii="Times New Roman" w:hAnsi="Times New Roman" w:eastAsia="宋体" w:cs="Times New Roman"/>
      <w:sz w:val="20"/>
    </w:rPr>
  </w:style>
  <w:style w:type="character" w:styleId="1188" w:customStyle="1">
    <w:name w:val="标题 6 Char1"/>
    <w:qFormat/>
    <w:rPr>
      <w:rFonts w:ascii="Times New Roman" w:hAnsi="Times New Roman" w:eastAsia="宋体" w:cs="Times New Roman"/>
      <w:b/>
      <w:sz w:val="20"/>
    </w:rPr>
  </w:style>
  <w:style w:type="character" w:styleId="1189" w:customStyle="1">
    <w:name w:val="case31"/>
    <w:qFormat/>
    <w:rPr>
      <w:rFonts w:ascii="Times New Roman" w:hAnsi="Times New Roman" w:eastAsia="宋体" w:cs="Times New Roman"/>
      <w:sz w:val="20"/>
    </w:rPr>
  </w:style>
  <w:style w:type="character" w:styleId="1190" w:customStyle="1">
    <w:name w:val="正文文本 Char"/>
    <w:qFormat/>
    <w:rPr>
      <w:rFonts w:ascii="Times New Roman" w:hAnsi="Times New Roman" w:eastAsia="宋体" w:cs="Times New Roman"/>
      <w:sz w:val="20"/>
    </w:rPr>
  </w:style>
  <w:style w:type="paragraph" w:styleId="1191" w:customStyle="1">
    <w:name w:val="节标题"/>
    <w:basedOn w:val="1011"/>
    <w:next w:val="1192"/>
    <w:qFormat/>
    <w:pPr>
      <w:ind w:left="0" w:firstLine="5120"/>
      <w:jc w:val="center"/>
      <w:spacing w:before="0" w:after="0" w:line="289" w:lineRule="atLeast"/>
    </w:pPr>
    <w:rPr>
      <w:rFonts w:ascii="Times New Roman" w:hAnsi="Times New Roman" w:cs="Times New Roman"/>
    </w:rPr>
  </w:style>
  <w:style w:type="paragraph" w:styleId="1192" w:customStyle="1">
    <w:name w:val="文档标题6"/>
    <w:basedOn w:val="1017"/>
    <w:next w:val="1010"/>
    <w:qFormat/>
    <w:pPr>
      <w:ind w:left="1134" w:firstLine="20"/>
      <w:spacing w:before="280" w:after="280" w:line="360" w:lineRule="auto"/>
      <w:outlineLvl w:val="5"/>
    </w:pPr>
  </w:style>
  <w:style w:type="paragraph" w:styleId="1193" w:customStyle="1">
    <w:name w:val="正文段"/>
    <w:basedOn w:val="1011"/>
    <w:next w:val="1194"/>
    <w:qFormat/>
    <w:pPr>
      <w:ind w:left="454" w:firstLine="1222"/>
      <w:spacing w:before="0" w:after="240" w:line="240" w:lineRule="atLeast"/>
    </w:pPr>
    <w:rPr>
      <w:rFonts w:ascii="Times New Roman" w:hAnsi="Times New Roman" w:cs="Times New Roman"/>
    </w:rPr>
  </w:style>
  <w:style w:type="paragraph" w:styleId="1194" w:customStyle="1">
    <w:name w:val="批注主题1"/>
    <w:next w:val="1010"/>
    <w:qFormat/>
    <w:pPr>
      <w:ind w:left="200" w:firstLine="4808"/>
      <w:spacing w:line="360" w:lineRule="auto"/>
    </w:pPr>
    <w:rPr>
      <w:rFonts w:ascii="Calibri" w:hAnsi="Calibri"/>
    </w:rPr>
  </w:style>
  <w:style w:type="paragraph" w:styleId="1195" w:customStyle="1">
    <w:name w:val="_Style 224"/>
    <w:next w:val="1196"/>
    <w:qFormat/>
    <w:pPr>
      <w:ind w:firstLine="3584"/>
    </w:pPr>
    <w:rPr>
      <w:rFonts w:ascii="Calibri" w:hAnsi="Calibri"/>
    </w:rPr>
  </w:style>
  <w:style w:type="paragraph" w:styleId="1196" w:customStyle="1">
    <w:name w:val="编号1"/>
    <w:basedOn w:val="1011"/>
    <w:next w:val="1197"/>
    <w:qFormat/>
    <w:pPr>
      <w:ind w:left="360" w:right="210" w:firstLine="2200"/>
      <w:spacing w:before="0" w:after="0" w:line="240" w:lineRule="auto"/>
    </w:pPr>
    <w:rPr>
      <w:rFonts w:ascii="Times New Roman" w:hAnsi="Times New Roman" w:cs="Times New Roman"/>
    </w:rPr>
  </w:style>
  <w:style w:type="paragraph" w:styleId="1197" w:customStyle="1">
    <w:name w:val="图片"/>
    <w:basedOn w:val="1011"/>
    <w:next w:val="1198"/>
    <w:qFormat/>
    <w:pPr>
      <w:ind w:left="-283" w:firstLine="2674"/>
      <w:jc w:val="center"/>
      <w:spacing w:before="0" w:after="0" w:line="360" w:lineRule="auto"/>
    </w:pPr>
    <w:rPr>
      <w:rFonts w:ascii="Times New Roman" w:hAnsi="Times New Roman" w:cs="Times New Roman"/>
    </w:rPr>
  </w:style>
  <w:style w:type="paragraph" w:styleId="1198" w:customStyle="1">
    <w:name w:val="样式 目录 3 + 左侧:  2 字符"/>
    <w:next w:val="1066"/>
    <w:qFormat/>
    <w:pPr>
      <w:ind w:left="400" w:firstLine="5120"/>
      <w:spacing w:line="360" w:lineRule="auto"/>
      <w:widowControl w:val="off"/>
    </w:pPr>
    <w:rPr>
      <w:rFonts w:ascii="Calibri" w:hAnsi="Calibri"/>
    </w:rPr>
  </w:style>
  <w:style w:type="paragraph" w:styleId="1199" w:customStyle="1">
    <w:name w:val="图注"/>
    <w:next w:val="1200"/>
    <w:qFormat/>
    <w:pPr>
      <w:ind w:left="360" w:firstLine="2152"/>
      <w:jc w:val="center"/>
    </w:pPr>
    <w:rPr>
      <w:rFonts w:ascii="Calibri" w:hAnsi="Calibri"/>
    </w:rPr>
  </w:style>
  <w:style w:type="paragraph" w:styleId="1200" w:customStyle="1">
    <w:name w:val="列表编号 41"/>
    <w:basedOn w:val="1011"/>
    <w:next w:val="1201"/>
    <w:qFormat/>
    <w:pPr>
      <w:ind w:left="1620" w:firstLine="2712"/>
      <w:spacing w:before="0" w:after="0" w:line="360" w:lineRule="auto"/>
    </w:pPr>
    <w:rPr>
      <w:rFonts w:ascii="Times New Roman" w:hAnsi="Times New Roman" w:cs="Times New Roman"/>
    </w:rPr>
  </w:style>
  <w:style w:type="paragraph" w:styleId="1201" w:customStyle="1">
    <w:name w:val="项目符0"/>
    <w:basedOn w:val="1011"/>
    <w:next w:val="1202"/>
    <w:qFormat/>
    <w:pPr>
      <w:ind w:left="300" w:right="57" w:firstLine="2760"/>
      <w:spacing w:before="0" w:after="0" w:line="300" w:lineRule="auto"/>
    </w:pPr>
    <w:rPr>
      <w:rFonts w:ascii="Times New Roman" w:hAnsi="Times New Roman" w:cs="Times New Roman"/>
    </w:rPr>
  </w:style>
  <w:style w:type="paragraph" w:styleId="1202" w:customStyle="1">
    <w:name w:val="宏文本1"/>
    <w:next w:val="1203"/>
    <w:qFormat/>
    <w:pPr>
      <w:ind w:firstLine="5632"/>
      <w:widowControl w:val="off"/>
    </w:pPr>
    <w:rPr>
      <w:rFonts w:ascii="Calibri" w:hAnsi="Calibri"/>
    </w:rPr>
  </w:style>
  <w:style w:type="paragraph" w:styleId="1203" w:customStyle="1">
    <w:name w:val="Item Step in Table"/>
    <w:next w:val="1204"/>
    <w:qFormat/>
    <w:pPr>
      <w:ind w:left="397" w:firstLine="3699"/>
      <w:jc w:val="both"/>
      <w:spacing w:before="40" w:after="40"/>
    </w:pPr>
    <w:rPr>
      <w:rFonts w:ascii="Calibri" w:hAnsi="Calibri"/>
    </w:rPr>
  </w:style>
  <w:style w:type="paragraph" w:styleId="1204" w:customStyle="1">
    <w:name w:val="Char Char Char Char Char Char1 Char Char Char Char Char Char"/>
    <w:basedOn w:val="1011"/>
    <w:next w:val="1205"/>
    <w:qFormat/>
    <w:pPr>
      <w:ind w:left="0" w:firstLine="2560"/>
      <w:spacing w:before="0" w:after="0" w:line="240" w:lineRule="auto"/>
    </w:pPr>
    <w:rPr>
      <w:rFonts w:ascii="Times New Roman" w:hAnsi="Times New Roman" w:cs="Times New Roman"/>
    </w:rPr>
  </w:style>
  <w:style w:type="paragraph" w:styleId="1205" w:customStyle="1">
    <w:name w:val="Char Char1"/>
    <w:basedOn w:val="1011"/>
    <w:next w:val="1206"/>
    <w:qFormat/>
    <w:pPr>
      <w:ind w:left="0" w:firstLine="3584"/>
      <w:spacing w:before="0" w:after="160" w:line="240" w:lineRule="exact"/>
    </w:pPr>
    <w:rPr>
      <w:rFonts w:ascii="Times New Roman" w:hAnsi="Times New Roman" w:cs="Times New Roman"/>
    </w:rPr>
  </w:style>
  <w:style w:type="paragraph" w:styleId="1206" w:customStyle="1">
    <w:name w:val="样式 标题 3 + 行距: 1.5 倍行距"/>
    <w:basedOn w:val="1014"/>
    <w:next w:val="1072"/>
    <w:qFormat/>
    <w:pPr>
      <w:ind w:left="200" w:firstLine="18"/>
      <w:spacing w:before="0" w:after="0" w:line="360" w:lineRule="auto"/>
      <w:outlineLvl w:val="2"/>
    </w:pPr>
  </w:style>
  <w:style w:type="paragraph" w:styleId="1207" w:customStyle="1">
    <w:name w:val="xl76"/>
    <w:basedOn w:val="1011"/>
    <w:next w:val="1069"/>
    <w:qFormat/>
    <w:pPr>
      <w:ind w:left="0" w:firstLine="3584"/>
      <w:jc w:val="center"/>
      <w:spacing w:before="280" w:after="280" w:line="240" w:lineRule="auto"/>
    </w:pPr>
    <w:rPr>
      <w:rFonts w:ascii="Times New Roman" w:hAnsi="Times New Roman" w:cs="Times New Roman"/>
    </w:rPr>
  </w:style>
  <w:style w:type="paragraph" w:styleId="1208" w:customStyle="1">
    <w:name w:val="xl26"/>
    <w:basedOn w:val="1011"/>
    <w:next w:val="1209"/>
    <w:qFormat/>
    <w:pPr>
      <w:ind w:left="0" w:firstLine="20"/>
      <w:jc w:val="center"/>
      <w:spacing w:before="280" w:after="280" w:line="240" w:lineRule="auto"/>
      <w:shd w:val="clear" w:color="000000" w:fill="ffffff"/>
    </w:pPr>
    <w:rPr>
      <w:rFonts w:ascii="Times New Roman" w:hAnsi="Times New Roman" w:cs="Times New Roman"/>
    </w:rPr>
  </w:style>
  <w:style w:type="paragraph" w:styleId="1209" w:customStyle="1">
    <w:name w:val="Char1 Char Char"/>
    <w:basedOn w:val="1011"/>
    <w:next w:val="1050"/>
    <w:qFormat/>
    <w:pPr>
      <w:ind w:left="0" w:firstLine="2560"/>
      <w:spacing w:before="0" w:after="0" w:line="240" w:lineRule="auto"/>
    </w:pPr>
    <w:rPr>
      <w:rFonts w:ascii="Times New Roman" w:hAnsi="Times New Roman" w:cs="Times New Roman"/>
    </w:rPr>
  </w:style>
  <w:style w:type="paragraph" w:styleId="1210" w:customStyle="1">
    <w:name w:val="纯文本2"/>
    <w:basedOn w:val="1011"/>
    <w:next w:val="1211"/>
    <w:qFormat/>
    <w:pPr>
      <w:ind w:left="0" w:firstLine="3584"/>
      <w:spacing w:before="0" w:after="0" w:line="240" w:lineRule="auto"/>
    </w:pPr>
    <w:rPr>
      <w:rFonts w:ascii="Times New Roman" w:hAnsi="Times New Roman" w:cs="Times New Roman"/>
    </w:rPr>
  </w:style>
  <w:style w:type="paragraph" w:styleId="1211" w:customStyle="1">
    <w:name w:val="xl69"/>
    <w:basedOn w:val="1011"/>
    <w:next w:val="1212"/>
    <w:qFormat/>
    <w:pPr>
      <w:ind w:left="0" w:firstLine="3584"/>
      <w:spacing w:before="280" w:after="280" w:line="240" w:lineRule="auto"/>
    </w:pPr>
    <w:rPr>
      <w:rFonts w:ascii="Times New Roman" w:hAnsi="Times New Roman" w:cs="Times New Roman"/>
    </w:rPr>
  </w:style>
  <w:style w:type="paragraph" w:styleId="1212" w:customStyle="1">
    <w:name w:val="Char Char Char"/>
    <w:basedOn w:val="1011"/>
    <w:next w:val="1213"/>
    <w:qFormat/>
    <w:pPr>
      <w:ind w:left="0" w:firstLine="2560"/>
      <w:spacing w:before="0" w:after="0" w:line="240" w:lineRule="auto"/>
    </w:pPr>
    <w:rPr>
      <w:rFonts w:ascii="Times New Roman" w:hAnsi="Times New Roman" w:cs="Times New Roman"/>
    </w:rPr>
  </w:style>
  <w:style w:type="paragraph" w:styleId="1213" w:customStyle="1">
    <w:name w:val="表格"/>
    <w:basedOn w:val="1011"/>
    <w:next w:val="1208"/>
    <w:qFormat/>
    <w:pPr>
      <w:ind w:left="0" w:firstLine="2560"/>
      <w:spacing w:before="0" w:after="0" w:line="360" w:lineRule="auto"/>
    </w:pPr>
    <w:rPr>
      <w:rFonts w:ascii="Times New Roman" w:hAnsi="Times New Roman" w:cs="Times New Roman"/>
    </w:rPr>
  </w:style>
  <w:style w:type="paragraph" w:styleId="1214" w:customStyle="1">
    <w:name w:val="xl68"/>
    <w:basedOn w:val="1011"/>
    <w:next w:val="1215"/>
    <w:qFormat/>
    <w:pPr>
      <w:ind w:left="100" w:firstLine="5220"/>
      <w:spacing w:before="280" w:after="280" w:line="240" w:lineRule="auto"/>
    </w:pPr>
    <w:rPr>
      <w:rFonts w:ascii="Times New Roman" w:hAnsi="Times New Roman" w:cs="Times New Roman"/>
    </w:rPr>
  </w:style>
  <w:style w:type="paragraph" w:styleId="1215" w:customStyle="1">
    <w:name w:val="Char1"/>
    <w:basedOn w:val="1011"/>
    <w:next w:val="1216"/>
    <w:qFormat/>
    <w:pPr>
      <w:ind w:left="0" w:firstLine="2560"/>
      <w:spacing w:before="0" w:after="0" w:line="240" w:lineRule="auto"/>
    </w:pPr>
    <w:rPr>
      <w:rFonts w:ascii="Times New Roman" w:hAnsi="Times New Roman" w:cs="Times New Roman"/>
    </w:rPr>
  </w:style>
  <w:style w:type="paragraph" w:styleId="1216" w:customStyle="1">
    <w:name w:val="需求文档正文样式"/>
    <w:basedOn w:val="1011"/>
    <w:next w:val="1217"/>
    <w:qFormat/>
    <w:pPr>
      <w:ind w:left="437" w:firstLine="2741"/>
      <w:spacing w:before="0" w:after="0" w:line="360" w:lineRule="auto"/>
    </w:pPr>
    <w:rPr>
      <w:rFonts w:ascii="Times New Roman" w:hAnsi="Times New Roman" w:cs="Times New Roman"/>
    </w:rPr>
  </w:style>
  <w:style w:type="paragraph" w:styleId="1217" w:customStyle="1">
    <w:name w:val="xl74"/>
    <w:basedOn w:val="1011"/>
    <w:next w:val="1218"/>
    <w:qFormat/>
    <w:pPr>
      <w:ind w:left="0" w:firstLine="16"/>
      <w:jc w:val="center"/>
      <w:spacing w:before="280" w:after="280" w:line="240" w:lineRule="auto"/>
      <w:shd w:val="clear" w:color="000000" w:fill="538dd5"/>
    </w:pPr>
    <w:rPr>
      <w:rFonts w:ascii="Times New Roman" w:hAnsi="Times New Roman" w:cs="Times New Roman"/>
    </w:rPr>
  </w:style>
  <w:style w:type="paragraph" w:styleId="1218" w:customStyle="1">
    <w:name w:val="xl88"/>
    <w:basedOn w:val="1011"/>
    <w:next w:val="1219"/>
    <w:qFormat/>
    <w:pPr>
      <w:ind w:left="0" w:firstLine="5120"/>
      <w:spacing w:before="280" w:after="280" w:line="240" w:lineRule="auto"/>
    </w:pPr>
    <w:rPr>
      <w:rFonts w:ascii="Times New Roman" w:hAnsi="Times New Roman" w:cs="Times New Roman"/>
    </w:rPr>
  </w:style>
  <w:style w:type="paragraph" w:styleId="1219" w:customStyle="1">
    <w:name w:val="xl70"/>
    <w:basedOn w:val="1011"/>
    <w:next w:val="1068"/>
    <w:qFormat/>
    <w:pPr>
      <w:ind w:left="0" w:firstLine="1024"/>
      <w:spacing w:before="280" w:after="280" w:line="240" w:lineRule="auto"/>
    </w:pPr>
    <w:rPr>
      <w:rFonts w:ascii="Times New Roman" w:hAnsi="Times New Roman" w:cs="Times New Roman"/>
    </w:rPr>
  </w:style>
  <w:style w:type="paragraph" w:styleId="1220" w:customStyle="1">
    <w:name w:val="文档标题5"/>
    <w:basedOn w:val="1016"/>
    <w:next w:val="1010"/>
    <w:qFormat/>
    <w:pPr>
      <w:ind w:left="992" w:firstLine="18"/>
      <w:spacing w:before="280" w:after="280" w:line="360" w:lineRule="auto"/>
      <w:outlineLvl w:val="4"/>
    </w:pPr>
  </w:style>
  <w:style w:type="paragraph" w:styleId="1221" w:customStyle="1">
    <w:name w:val="样式 加粗 居中"/>
    <w:basedOn w:val="1011"/>
    <w:next w:val="1222"/>
    <w:qFormat/>
    <w:pPr>
      <w:ind w:left="0" w:firstLine="2560"/>
      <w:jc w:val="center"/>
      <w:spacing w:before="0" w:after="0" w:line="360" w:lineRule="auto"/>
    </w:pPr>
    <w:rPr>
      <w:rFonts w:ascii="Times New Roman" w:hAnsi="Times New Roman" w:cs="Times New Roman"/>
    </w:rPr>
  </w:style>
  <w:style w:type="paragraph" w:styleId="1222" w:customStyle="1">
    <w:name w:val="_Style 12"/>
    <w:next w:val="1223"/>
    <w:qFormat/>
    <w:pPr>
      <w:ind w:firstLine="14"/>
      <w:spacing w:line="360" w:lineRule="auto"/>
      <w:shd w:val="clear" w:color="000000" w:fill="000080"/>
    </w:pPr>
    <w:rPr>
      <w:rFonts w:ascii="Calibri" w:hAnsi="Calibri"/>
    </w:rPr>
  </w:style>
  <w:style w:type="paragraph" w:styleId="1223" w:customStyle="1">
    <w:name w:val="正文文本缩进1"/>
    <w:basedOn w:val="1011"/>
    <w:next w:val="1224"/>
    <w:qFormat/>
    <w:pPr>
      <w:ind w:left="420" w:firstLine="3584"/>
      <w:spacing w:before="0" w:after="120" w:line="240" w:lineRule="auto"/>
    </w:pPr>
    <w:rPr>
      <w:rFonts w:ascii="Times New Roman" w:hAnsi="Times New Roman" w:cs="Times New Roman"/>
    </w:rPr>
  </w:style>
  <w:style w:type="paragraph" w:styleId="1224" w:customStyle="1">
    <w:name w:val="列表编号 31"/>
    <w:basedOn w:val="1011"/>
    <w:next w:val="1070"/>
    <w:qFormat/>
    <w:pPr>
      <w:ind w:left="1200" w:firstLine="2712"/>
      <w:spacing w:before="0" w:after="0" w:line="360" w:lineRule="auto"/>
    </w:pPr>
    <w:rPr>
      <w:rFonts w:ascii="Times New Roman" w:hAnsi="Times New Roman" w:cs="Times New Roman"/>
    </w:rPr>
  </w:style>
  <w:style w:type="paragraph" w:styleId="1225" w:customStyle="1">
    <w:name w:val="三号 居中"/>
    <w:basedOn w:val="1011"/>
    <w:next w:val="1226"/>
    <w:qFormat/>
    <w:pPr>
      <w:ind w:left="0" w:firstLine="6144"/>
      <w:jc w:val="center"/>
      <w:spacing w:before="0" w:after="0" w:line="360" w:lineRule="auto"/>
    </w:pPr>
    <w:rPr>
      <w:rFonts w:ascii="Times New Roman" w:hAnsi="Times New Roman" w:cs="Times New Roman"/>
    </w:rPr>
  </w:style>
  <w:style w:type="paragraph" w:styleId="1226" w:customStyle="1">
    <w:name w:val="列出段落1"/>
    <w:basedOn w:val="1011"/>
    <w:next w:val="1227"/>
    <w:qFormat/>
    <w:pPr>
      <w:ind w:left="420" w:firstLine="3748"/>
      <w:spacing w:before="0" w:after="0" w:line="240" w:lineRule="auto"/>
    </w:pPr>
    <w:rPr>
      <w:rFonts w:ascii="Times New Roman" w:hAnsi="Times New Roman" w:cs="Times New Roman"/>
    </w:rPr>
  </w:style>
  <w:style w:type="paragraph" w:styleId="1227" w:customStyle="1">
    <w:name w:val="Char Char Char Char Char Char1 Char Char Char1 Char Char Char"/>
    <w:basedOn w:val="1011"/>
    <w:next w:val="1228"/>
    <w:qFormat/>
    <w:pPr>
      <w:ind w:left="0" w:firstLine="2560"/>
      <w:spacing w:before="0" w:after="0" w:line="240" w:lineRule="auto"/>
    </w:pPr>
    <w:rPr>
      <w:rFonts w:ascii="Times New Roman" w:hAnsi="Times New Roman" w:cs="Times New Roman"/>
    </w:rPr>
  </w:style>
  <w:style w:type="paragraph" w:styleId="1228" w:customStyle="1">
    <w:name w:val="Char Char Char Char Char Char1 Char Char Char1 Char"/>
    <w:basedOn w:val="1011"/>
    <w:next w:val="1229"/>
    <w:qFormat/>
    <w:pPr>
      <w:ind w:left="0" w:firstLine="2560"/>
      <w:spacing w:before="0" w:after="0" w:line="240" w:lineRule="auto"/>
    </w:pPr>
    <w:rPr>
      <w:rFonts w:ascii="Times New Roman" w:hAnsi="Times New Roman" w:cs="Times New Roman"/>
    </w:rPr>
  </w:style>
  <w:style w:type="paragraph" w:styleId="1229" w:customStyle="1">
    <w:name w:val="正文符号4"/>
    <w:basedOn w:val="1011"/>
    <w:next w:val="1221"/>
    <w:qFormat/>
    <w:pPr>
      <w:ind w:left="0" w:firstLine="5632"/>
      <w:spacing w:before="0" w:after="0" w:line="240" w:lineRule="auto"/>
    </w:pPr>
    <w:rPr>
      <w:rFonts w:ascii="Times New Roman" w:hAnsi="Times New Roman" w:cs="Times New Roman"/>
    </w:rPr>
  </w:style>
  <w:style w:type="paragraph" w:styleId="1230" w:customStyle="1">
    <w:name w:val="加粗（居中）"/>
    <w:next w:val="1231"/>
    <w:qFormat/>
    <w:pPr>
      <w:ind w:firstLine="2560"/>
    </w:pPr>
    <w:rPr>
      <w:rFonts w:ascii="Calibri" w:hAnsi="Calibri"/>
    </w:rPr>
  </w:style>
  <w:style w:type="paragraph" w:styleId="1231" w:customStyle="1">
    <w:name w:val="xl65"/>
    <w:basedOn w:val="1011"/>
    <w:next w:val="1191"/>
    <w:qFormat/>
    <w:pPr>
      <w:ind w:left="0" w:firstLine="5120"/>
      <w:spacing w:before="280" w:after="280" w:line="240" w:lineRule="auto"/>
    </w:pPr>
    <w:rPr>
      <w:rFonts w:ascii="Times New Roman" w:hAnsi="Times New Roman" w:cs="Times New Roman"/>
    </w:rPr>
  </w:style>
  <w:style w:type="paragraph" w:styleId="1232" w:customStyle="1">
    <w:name w:val="WPSOffice手动目录 3"/>
    <w:qFormat/>
    <w:pPr>
      <w:ind w:left="400"/>
    </w:pPr>
  </w:style>
  <w:style w:type="paragraph" w:styleId="1233" w:customStyle="1">
    <w:name w:val="xl77"/>
    <w:basedOn w:val="1011"/>
    <w:next w:val="1234"/>
    <w:qFormat/>
    <w:pPr>
      <w:ind w:left="0" w:firstLine="3584"/>
      <w:spacing w:before="280" w:after="280" w:line="240" w:lineRule="auto"/>
    </w:pPr>
    <w:rPr>
      <w:rFonts w:ascii="Times New Roman" w:hAnsi="Times New Roman" w:cs="Times New Roman"/>
    </w:rPr>
  </w:style>
  <w:style w:type="paragraph" w:styleId="1234" w:customStyle="1">
    <w:name w:val="Char Char Char1"/>
    <w:basedOn w:val="1011"/>
    <w:next w:val="1235"/>
    <w:qFormat/>
    <w:pPr>
      <w:ind w:left="900" w:firstLine="2096"/>
      <w:spacing w:before="0" w:after="0" w:line="240" w:lineRule="auto"/>
    </w:pPr>
    <w:rPr>
      <w:rFonts w:ascii="Times New Roman" w:hAnsi="Times New Roman" w:cs="Times New Roman"/>
    </w:rPr>
  </w:style>
  <w:style w:type="paragraph" w:styleId="1235" w:customStyle="1">
    <w:name w:val="索引 21"/>
    <w:basedOn w:val="1011"/>
    <w:next w:val="1010"/>
    <w:qFormat/>
    <w:pPr>
      <w:ind w:left="200" w:firstLine="2560"/>
      <w:jc w:val="center"/>
      <w:spacing w:before="0" w:after="0" w:line="360" w:lineRule="auto"/>
    </w:pPr>
    <w:rPr>
      <w:rFonts w:ascii="Times New Roman" w:hAnsi="Times New Roman" w:cs="Times New Roman"/>
    </w:rPr>
  </w:style>
  <w:style w:type="paragraph" w:styleId="1236" w:customStyle="1">
    <w:name w:val="正文（首行缩进 2 字符）"/>
    <w:next w:val="1237"/>
    <w:qFormat/>
    <w:pPr>
      <w:ind w:left="480" w:firstLine="2784"/>
      <w:jc w:val="center"/>
      <w:spacing w:line="300" w:lineRule="auto"/>
    </w:pPr>
    <w:rPr>
      <w:rFonts w:ascii="Calibri" w:hAnsi="Calibri"/>
    </w:rPr>
  </w:style>
  <w:style w:type="paragraph" w:styleId="1237" w:customStyle="1">
    <w:name w:val="xl28"/>
    <w:basedOn w:val="1011"/>
    <w:next w:val="1238"/>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TML 预设格式1"/>
    <w:basedOn w:val="1011"/>
    <w:next w:val="1239"/>
    <w:qFormat/>
    <w:pPr>
      <w:ind w:left="0" w:firstLine="3584"/>
      <w:spacing w:before="0" w:after="0" w:line="253" w:lineRule="atLeast"/>
    </w:pPr>
    <w:rPr>
      <w:rFonts w:ascii="Times New Roman" w:hAnsi="Times New Roman" w:cs="Times New Roman"/>
    </w:rPr>
  </w:style>
  <w:style w:type="paragraph" w:styleId="1239" w:customStyle="1">
    <w:name w:val="项目符号：一级"/>
    <w:basedOn w:val="1011"/>
    <w:next w:val="1010"/>
    <w:qFormat/>
    <w:pPr>
      <w:ind w:left="425" w:firstLine="1111"/>
      <w:spacing w:before="0" w:after="0" w:line="360" w:lineRule="auto"/>
    </w:pPr>
    <w:rPr>
      <w:rFonts w:ascii="Times New Roman" w:hAnsi="Times New Roman" w:cs="Times New Roman"/>
    </w:rPr>
  </w:style>
  <w:style w:type="paragraph" w:styleId="1240" w:customStyle="1">
    <w:name w:val="Default"/>
    <w:next w:val="1046"/>
    <w:qFormat/>
    <w:pPr>
      <w:ind w:firstLine="5120"/>
      <w:widowControl w:val="off"/>
    </w:pPr>
    <w:rPr>
      <w:rFonts w:ascii="Calibri" w:hAnsi="Calibri"/>
    </w:rPr>
  </w:style>
  <w:style w:type="paragraph" w:styleId="1241" w:customStyle="1">
    <w:name w:val="xl84"/>
    <w:basedOn w:val="1011"/>
    <w:next w:val="1242"/>
    <w:qFormat/>
    <w:pPr>
      <w:ind w:left="0" w:firstLine="2048"/>
      <w:jc w:val="center"/>
      <w:spacing w:before="280" w:after="280" w:line="240" w:lineRule="auto"/>
    </w:pPr>
    <w:rPr>
      <w:rFonts w:ascii="Times New Roman" w:hAnsi="Times New Roman" w:cs="Times New Roman"/>
    </w:rPr>
  </w:style>
  <w:style w:type="paragraph" w:styleId="1242" w:customStyle="1">
    <w:name w:val="2-2ji"/>
    <w:basedOn w:val="1013"/>
    <w:next w:val="1243"/>
    <w:qFormat/>
    <w:pPr>
      <w:ind w:left="0" w:firstLine="24"/>
      <w:jc w:val="center"/>
      <w:spacing w:before="0" w:after="0" w:line="360" w:lineRule="auto"/>
      <w:outlineLvl w:val="1"/>
    </w:pPr>
  </w:style>
  <w:style w:type="paragraph" w:styleId="1243" w:customStyle="1">
    <w:name w:val="应答文本"/>
    <w:basedOn w:val="1011"/>
    <w:next w:val="1244"/>
    <w:qFormat/>
    <w:pPr>
      <w:ind w:left="1296" w:firstLine="2112"/>
      <w:spacing w:before="0" w:after="0" w:line="460" w:lineRule="exact"/>
    </w:pPr>
    <w:rPr>
      <w:rFonts w:ascii="Times New Roman" w:hAnsi="Times New Roman" w:cs="Times New Roman"/>
    </w:rPr>
  </w:style>
  <w:style w:type="paragraph" w:styleId="1244" w:customStyle="1">
    <w:name w:val="引文目录1"/>
    <w:basedOn w:val="1011"/>
    <w:next w:val="1010"/>
    <w:qFormat/>
    <w:pPr>
      <w:ind w:left="420" w:firstLine="2560"/>
      <w:jc w:val="center"/>
      <w:spacing w:before="0" w:after="0" w:line="360" w:lineRule="auto"/>
    </w:pPr>
    <w:rPr>
      <w:rFonts w:ascii="Times New Roman" w:hAnsi="Times New Roman" w:cs="Times New Roman"/>
    </w:rPr>
  </w:style>
  <w:style w:type="paragraph" w:styleId="1245" w:customStyle="1">
    <w:name w:val="首行缩进"/>
    <w:basedOn w:val="1010"/>
    <w:qFormat/>
    <w:pPr>
      <w:ind w:firstLine="480"/>
    </w:pPr>
    <w:rPr>
      <w:rFonts w:ascii="Times New Roman" w:hAnsi="Times New Roman" w:cs="Times New Roman"/>
      <w:lang w:val="zh-CN"/>
    </w:rPr>
  </w:style>
  <w:style w:type="paragraph" w:styleId="1246" w:customStyle="1">
    <w:name w:val="font9"/>
    <w:basedOn w:val="1011"/>
    <w:next w:val="1247"/>
    <w:qFormat/>
    <w:pPr>
      <w:ind w:left="0" w:firstLine="7168"/>
      <w:spacing w:before="280" w:after="280" w:line="240" w:lineRule="auto"/>
    </w:pPr>
    <w:rPr>
      <w:rFonts w:ascii="Times New Roman" w:hAnsi="Times New Roman" w:cs="Times New Roman"/>
    </w:rPr>
  </w:style>
  <w:style w:type="paragraph" w:styleId="1247" w:customStyle="1">
    <w:name w:val="样式 标题 3 + (中文) 黑体 小四 非加粗 段前: 7.8 磅 段后: 0 磅 行距: 固定值 20 磅"/>
    <w:basedOn w:val="1014"/>
    <w:next w:val="1248"/>
    <w:qFormat/>
    <w:pPr>
      <w:ind w:left="0"/>
      <w:spacing w:before="0" w:after="0" w:line="400" w:lineRule="exact"/>
      <w:outlineLvl w:val="2"/>
    </w:pPr>
  </w:style>
  <w:style w:type="paragraph" w:styleId="1248" w:customStyle="1">
    <w:name w:val="标书正文"/>
    <w:basedOn w:val="1011"/>
    <w:next w:val="1249"/>
    <w:qFormat/>
    <w:pPr>
      <w:ind w:left="440" w:right="100" w:firstLine="2760"/>
      <w:spacing w:before="0" w:after="0" w:line="360" w:lineRule="auto"/>
    </w:pPr>
    <w:rPr>
      <w:rFonts w:ascii="Times New Roman" w:hAnsi="Times New Roman" w:cs="Times New Roman"/>
    </w:rPr>
  </w:style>
  <w:style w:type="paragraph" w:styleId="1249" w:customStyle="1">
    <w:name w:val="xl67"/>
    <w:basedOn w:val="1011"/>
    <w:next w:val="1250"/>
    <w:qFormat/>
    <w:pPr>
      <w:ind w:left="0" w:firstLine="5120"/>
      <w:spacing w:before="280" w:after="280" w:line="240" w:lineRule="auto"/>
    </w:pPr>
    <w:rPr>
      <w:rFonts w:ascii="Times New Roman" w:hAnsi="Times New Roman" w:cs="Times New Roman"/>
    </w:rPr>
  </w:style>
  <w:style w:type="paragraph" w:styleId="1250" w:customStyle="1">
    <w:name w:val="索引 61"/>
    <w:basedOn w:val="1011"/>
    <w:next w:val="1010"/>
    <w:qFormat/>
    <w:pPr>
      <w:ind w:left="1000" w:firstLine="2560"/>
      <w:jc w:val="center"/>
      <w:spacing w:before="0" w:after="0" w:line="360" w:lineRule="auto"/>
    </w:pPr>
    <w:rPr>
      <w:rFonts w:ascii="Times New Roman" w:hAnsi="Times New Roman" w:cs="Times New Roman"/>
    </w:rPr>
  </w:style>
  <w:style w:type="paragraph" w:styleId="1251" w:customStyle="1">
    <w:name w:val="目录3"/>
    <w:basedOn w:val="1011"/>
    <w:next w:val="1010"/>
    <w:qFormat/>
    <w:pPr>
      <w:ind w:left="419" w:firstLine="5283"/>
      <w:spacing w:before="0" w:after="0" w:line="317" w:lineRule="atLeast"/>
    </w:pPr>
    <w:rPr>
      <w:rFonts w:ascii="Times New Roman" w:hAnsi="Times New Roman" w:cs="Times New Roman"/>
    </w:rPr>
  </w:style>
  <w:style w:type="paragraph" w:styleId="1252" w:customStyle="1">
    <w:name w:val="xl90"/>
    <w:basedOn w:val="1011"/>
    <w:next w:val="1253"/>
    <w:qFormat/>
    <w:pPr>
      <w:ind w:left="0" w:firstLine="3584"/>
      <w:spacing w:before="280" w:after="280" w:line="240" w:lineRule="auto"/>
    </w:pPr>
    <w:rPr>
      <w:rFonts w:ascii="Times New Roman" w:hAnsi="Times New Roman" w:cs="Times New Roman"/>
    </w:rPr>
  </w:style>
  <w:style w:type="paragraph" w:styleId="1253" w:customStyle="1">
    <w:name w:val="列表框1"/>
    <w:next w:val="1244"/>
    <w:qFormat/>
    <w:pPr>
      <w:ind w:firstLine="2048"/>
      <w:spacing w:line="460" w:lineRule="exact"/>
    </w:pPr>
    <w:rPr>
      <w:rFonts w:ascii="Calibri" w:hAnsi="Calibri"/>
    </w:rPr>
  </w:style>
  <w:style w:type="paragraph" w:styleId="1254" w:customStyle="1">
    <w:name w:val="1ji"/>
    <w:basedOn w:val="1012"/>
    <w:next w:val="1233"/>
    <w:qFormat/>
    <w:pPr>
      <w:ind w:left="0" w:firstLine="18"/>
      <w:jc w:val="center"/>
      <w:spacing w:before="0" w:after="0" w:line="240" w:lineRule="auto"/>
      <w:outlineLvl w:val="0"/>
    </w:pPr>
  </w:style>
  <w:style w:type="paragraph" w:styleId="1255" w:customStyle="1">
    <w:name w:val="索引 81"/>
    <w:basedOn w:val="1011"/>
    <w:next w:val="1010"/>
    <w:qFormat/>
    <w:pPr>
      <w:ind w:left="1400" w:firstLine="2560"/>
      <w:jc w:val="center"/>
      <w:spacing w:before="0" w:after="0" w:line="360" w:lineRule="auto"/>
    </w:pPr>
    <w:rPr>
      <w:rFonts w:ascii="Times New Roman" w:hAnsi="Times New Roman" w:cs="Times New Roman"/>
    </w:rPr>
  </w:style>
  <w:style w:type="paragraph" w:styleId="1256" w:customStyle="1">
    <w:name w:val="正文1"/>
    <w:basedOn w:val="1010"/>
    <w:next w:val="1010"/>
    <w:pPr>
      <w:spacing w:line="312" w:lineRule="atLeast"/>
    </w:pPr>
    <w:rPr>
      <w:rFonts w:ascii="楷体_GB2312" w:hAnsi="Times New Roman" w:eastAsia="楷体_GB2312" w:cs="Times New Roman"/>
      <w:sz w:val="24"/>
    </w:rPr>
  </w:style>
  <w:style w:type="paragraph" w:styleId="1257" w:customStyle="1">
    <w:name w:val="Char Char Char Char Char Char1 Char Char Char1 Char Char Char Char Char Char Char Char Char Char Char Char Char Char Char Char Char Char"/>
    <w:basedOn w:val="1011"/>
    <w:next w:val="1258"/>
    <w:qFormat/>
    <w:pPr>
      <w:ind w:left="0" w:firstLine="2560"/>
      <w:spacing w:before="0" w:after="0" w:line="240" w:lineRule="auto"/>
    </w:pPr>
    <w:rPr>
      <w:rFonts w:ascii="Times New Roman" w:hAnsi="Times New Roman" w:cs="Times New Roman"/>
    </w:rPr>
  </w:style>
  <w:style w:type="paragraph" w:styleId="1258" w:customStyle="1">
    <w:name w:val="样式 加粗 居中11"/>
    <w:basedOn w:val="1011"/>
    <w:next w:val="1259"/>
    <w:pPr>
      <w:ind w:left="0" w:firstLine="2560"/>
      <w:jc w:val="center"/>
      <w:spacing w:before="0" w:after="0" w:line="360" w:lineRule="auto"/>
    </w:pPr>
    <w:rPr>
      <w:rFonts w:ascii="Times New Roman" w:hAnsi="Times New Roman" w:cs="Times New Roman"/>
    </w:rPr>
  </w:style>
  <w:style w:type="paragraph" w:styleId="1259" w:customStyle="1">
    <w:name w:val="xl89"/>
    <w:basedOn w:val="1011"/>
    <w:next w:val="1260"/>
    <w:qFormat/>
    <w:pPr>
      <w:ind w:left="0" w:firstLine="3584"/>
      <w:spacing w:before="280" w:after="280" w:line="240" w:lineRule="auto"/>
    </w:pPr>
    <w:rPr>
      <w:rFonts w:ascii="Times New Roman" w:hAnsi="Times New Roman" w:cs="Times New Roman"/>
    </w:rPr>
  </w:style>
  <w:style w:type="paragraph" w:styleId="1260" w:customStyle="1">
    <w:name w:val="Char Char Char Char Char Char1 Char Char Char Char Char Char1 Char Char Char Char Char Char Char Char Char"/>
    <w:basedOn w:val="1011"/>
    <w:next w:val="1261"/>
    <w:qFormat/>
    <w:pPr>
      <w:ind w:left="0" w:firstLine="2560"/>
      <w:spacing w:before="0" w:after="0" w:line="240" w:lineRule="auto"/>
    </w:pPr>
    <w:rPr>
      <w:rFonts w:ascii="Times New Roman" w:hAnsi="Times New Roman" w:cs="Times New Roman"/>
    </w:rPr>
  </w:style>
  <w:style w:type="paragraph" w:styleId="1261" w:customStyle="1">
    <w:name w:val="文章附标题"/>
    <w:basedOn w:val="1011"/>
    <w:next w:val="1011"/>
    <w:qFormat/>
    <w:pPr>
      <w:ind w:left="0" w:firstLine="5120"/>
      <w:jc w:val="center"/>
      <w:spacing w:before="187" w:after="175" w:line="374" w:lineRule="atLeast"/>
    </w:pPr>
    <w:rPr>
      <w:rFonts w:ascii="Times New Roman" w:hAnsi="Times New Roman" w:cs="Times New Roman"/>
    </w:rPr>
  </w:style>
  <w:style w:type="paragraph" w:styleId="1262">
    <w:name w:val="Quote"/>
    <w:next w:val="1010"/>
    <w:qFormat/>
    <w:pPr>
      <w:ind w:left="3680" w:right="864"/>
      <w:jc w:val="center"/>
      <w:spacing w:before="200" w:after="160"/>
    </w:pPr>
    <w:rPr>
      <w:rFonts w:ascii="Calibri" w:hAnsi="Calibri"/>
      <w:i/>
    </w:rPr>
  </w:style>
  <w:style w:type="paragraph" w:styleId="1263" w:customStyle="1">
    <w:name w:val="Default Paragraph Font Para Char Char Char Char Char Char"/>
    <w:basedOn w:val="1011"/>
    <w:next w:val="1264"/>
    <w:qFormat/>
    <w:pPr>
      <w:ind w:left="0" w:firstLine="3584"/>
      <w:spacing w:before="0" w:after="160" w:line="240" w:lineRule="exact"/>
    </w:pPr>
    <w:rPr>
      <w:rFonts w:ascii="Times New Roman" w:hAnsi="Times New Roman" w:cs="Times New Roman"/>
    </w:rPr>
  </w:style>
  <w:style w:type="paragraph" w:styleId="1264" w:customStyle="1">
    <w:name w:val="xl23"/>
    <w:basedOn w:val="1011"/>
    <w:next w:val="1048"/>
    <w:qFormat/>
    <w:pPr>
      <w:ind w:left="0" w:firstLine="20"/>
      <w:spacing w:before="280" w:after="280" w:line="240" w:lineRule="auto"/>
      <w:shd w:val="clear" w:color="000000" w:fill="ffffff"/>
    </w:pPr>
    <w:rPr>
      <w:rFonts w:ascii="Times New Roman" w:hAnsi="Times New Roman" w:cs="Times New Roman"/>
    </w:rPr>
  </w:style>
  <w:style w:type="paragraph" w:styleId="1265" w:customStyle="1">
    <w:name w:val="列出段落11"/>
    <w:basedOn w:val="1011"/>
    <w:next w:val="1266"/>
    <w:qFormat/>
    <w:pPr>
      <w:ind w:left="420" w:firstLine="3748"/>
      <w:spacing w:before="0" w:after="0" w:line="240" w:lineRule="auto"/>
    </w:pPr>
    <w:rPr>
      <w:rFonts w:ascii="Times New Roman" w:hAnsi="Times New Roman" w:cs="Times New Roman"/>
    </w:rPr>
  </w:style>
  <w:style w:type="paragraph" w:styleId="1266" w:customStyle="1">
    <w:name w:val="样式 标题 2 + (西文) 宋体 非加粗 居中"/>
    <w:basedOn w:val="1013"/>
    <w:next w:val="1267"/>
    <w:qFormat/>
    <w:pPr>
      <w:ind w:left="0" w:firstLine="24"/>
      <w:jc w:val="center"/>
      <w:spacing w:line="412" w:lineRule="auto"/>
      <w:outlineLvl w:val="1"/>
    </w:pPr>
  </w:style>
  <w:style w:type="paragraph" w:styleId="1267" w:customStyle="1">
    <w:name w:val="页脚 Char Char"/>
    <w:basedOn w:val="1011"/>
    <w:next w:val="1268"/>
    <w:qFormat/>
    <w:pPr>
      <w:ind w:left="0" w:firstLine="5120"/>
      <w:spacing w:before="0" w:after="0" w:line="240" w:lineRule="auto"/>
    </w:pPr>
    <w:rPr>
      <w:rFonts w:ascii="Times New Roman" w:hAnsi="Times New Roman" w:cs="Times New Roman"/>
    </w:rPr>
  </w:style>
  <w:style w:type="paragraph" w:styleId="1268" w:customStyle="1">
    <w:name w:val="样式 标题 1 + 段前: 16 磅 段后: 16 磅"/>
    <w:basedOn w:val="1012"/>
    <w:next w:val="1269"/>
    <w:qFormat/>
    <w:pPr>
      <w:ind w:left="0" w:firstLine="18"/>
      <w:jc w:val="center"/>
      <w:spacing w:before="120" w:after="0" w:line="360" w:lineRule="auto"/>
      <w:outlineLvl w:val="0"/>
    </w:pPr>
  </w:style>
  <w:style w:type="paragraph" w:styleId="1269" w:customStyle="1">
    <w:name w:val="Char1 Char Char Char Char Char Char"/>
    <w:basedOn w:val="1011"/>
    <w:next w:val="1270"/>
    <w:qFormat/>
    <w:pPr>
      <w:ind w:left="0" w:firstLine="2560"/>
      <w:spacing w:before="0" w:after="0" w:line="240" w:lineRule="auto"/>
    </w:pPr>
    <w:rPr>
      <w:rFonts w:ascii="Times New Roman" w:hAnsi="Times New Roman" w:cs="Times New Roman"/>
    </w:rPr>
  </w:style>
  <w:style w:type="paragraph" w:styleId="1270" w:customStyle="1">
    <w:name w:val="文档标题4"/>
    <w:basedOn w:val="1015"/>
    <w:next w:val="1010"/>
    <w:qFormat/>
    <w:pPr>
      <w:ind w:left="851" w:firstLine="30"/>
      <w:spacing w:after="280" w:line="360" w:lineRule="auto"/>
      <w:outlineLvl w:val="3"/>
    </w:pPr>
  </w:style>
  <w:style w:type="paragraph" w:styleId="1271" w:customStyle="1">
    <w:name w:val="font0"/>
    <w:basedOn w:val="1011"/>
    <w:next w:val="1246"/>
    <w:qFormat/>
    <w:pPr>
      <w:ind w:left="0" w:firstLine="1024"/>
      <w:spacing w:before="280" w:after="280" w:line="240" w:lineRule="auto"/>
    </w:pPr>
    <w:rPr>
      <w:rFonts w:ascii="Times New Roman" w:hAnsi="Times New Roman" w:cs="Times New Roman"/>
    </w:rPr>
  </w:style>
  <w:style w:type="paragraph" w:styleId="1272" w:customStyle="1">
    <w:name w:val="CM5"/>
    <w:basedOn w:val="1011"/>
    <w:next w:val="1010"/>
    <w:qFormat/>
    <w:pPr>
      <w:ind w:left="200" w:firstLine="2760"/>
      <w:spacing w:before="0" w:after="0" w:line="400" w:lineRule="atLeast"/>
    </w:pPr>
    <w:rPr>
      <w:rFonts w:ascii="Times New Roman" w:hAnsi="Times New Roman" w:cs="Times New Roman"/>
    </w:rPr>
  </w:style>
  <w:style w:type="paragraph" w:styleId="1273" w:customStyle="1">
    <w:name w:val="Pa0"/>
    <w:basedOn w:val="1011"/>
    <w:next w:val="1010"/>
    <w:qFormat/>
    <w:pPr>
      <w:ind w:left="0" w:firstLine="4608"/>
      <w:spacing w:before="0" w:after="0" w:line="241" w:lineRule="atLeast"/>
    </w:pPr>
    <w:rPr>
      <w:rFonts w:ascii="Times New Roman" w:hAnsi="Times New Roman" w:cs="Times New Roman"/>
    </w:rPr>
  </w:style>
  <w:style w:type="paragraph" w:styleId="1274" w:customStyle="1">
    <w:name w:val="招标文件》"/>
    <w:basedOn w:val="1011"/>
    <w:next w:val="1210"/>
    <w:qFormat/>
    <w:pPr>
      <w:ind w:left="420" w:firstLine="2140"/>
      <w:spacing w:before="120" w:after="120" w:line="300" w:lineRule="auto"/>
    </w:pPr>
    <w:rPr>
      <w:rFonts w:ascii="Times New Roman" w:hAnsi="Times New Roman" w:cs="Times New Roman"/>
    </w:rPr>
  </w:style>
  <w:style w:type="paragraph" w:styleId="1275" w:customStyle="1">
    <w:name w:val="段"/>
    <w:next w:val="1010"/>
    <w:qFormat/>
    <w:pPr>
      <w:ind w:firstLine="200"/>
      <w:jc w:val="both"/>
      <w:spacing w:line="360" w:lineRule="auto"/>
    </w:pPr>
    <w:rPr>
      <w:sz w:val="24"/>
      <w:szCs w:val="22"/>
    </w:rPr>
  </w:style>
  <w:style w:type="paragraph" w:styleId="1276" w:customStyle="1">
    <w:name w:val="标书_正文"/>
    <w:basedOn w:val="1011"/>
    <w:next w:val="1277"/>
    <w:qFormat/>
    <w:pPr>
      <w:ind w:left="420" w:firstLine="1188"/>
      <w:spacing w:before="0" w:after="0" w:line="360" w:lineRule="auto"/>
    </w:pPr>
    <w:rPr>
      <w:rFonts w:ascii="Times New Roman" w:hAnsi="Times New Roman" w:cs="Times New Roman"/>
    </w:rPr>
  </w:style>
  <w:style w:type="paragraph" w:styleId="1277" w:customStyle="1">
    <w:name w:val="样式 标题 2 + Times New Roman 四号 非加粗 段前: 5 磅 段后: 0 磅 行距: 固定值 20..."/>
    <w:basedOn w:val="1013"/>
    <w:next w:val="1225"/>
    <w:qFormat/>
    <w:pPr>
      <w:ind w:left="0" w:firstLine="24"/>
      <w:spacing w:before="100" w:after="0" w:line="400" w:lineRule="exact"/>
      <w:outlineLvl w:val="1"/>
    </w:pPr>
  </w:style>
  <w:style w:type="paragraph" w:styleId="1278" w:customStyle="1">
    <w:name w:val="图片0"/>
    <w:basedOn w:val="1011"/>
    <w:next w:val="1061"/>
    <w:qFormat/>
    <w:pPr>
      <w:ind w:left="-161" w:firstLine="1187"/>
      <w:spacing w:before="0" w:after="0" w:line="276" w:lineRule="auto"/>
    </w:pPr>
    <w:rPr>
      <w:rFonts w:ascii="Times New Roman" w:hAnsi="Times New Roman" w:cs="Times New Roman"/>
    </w:rPr>
  </w:style>
  <w:style w:type="paragraph" w:styleId="1279" w:customStyle="1">
    <w:name w:val="Char Char Char2 Char Char Char2 Char"/>
    <w:basedOn w:val="1011"/>
    <w:next w:val="1251"/>
    <w:qFormat/>
    <w:pPr>
      <w:ind w:left="560" w:firstLine="3632"/>
      <w:spacing w:before="0" w:after="160" w:line="240" w:lineRule="exact"/>
    </w:pPr>
    <w:rPr>
      <w:rFonts w:ascii="Times New Roman" w:hAnsi="Times New Roman" w:cs="Times New Roman"/>
    </w:rPr>
  </w:style>
  <w:style w:type="paragraph" w:styleId="1280" w:customStyle="1">
    <w:name w:val="Char Char Char Char"/>
    <w:next w:val="1281"/>
    <w:qFormat/>
    <w:pPr>
      <w:ind w:firstLine="10"/>
      <w:spacing w:line="360" w:lineRule="auto"/>
      <w:shd w:val="clear" w:color="000000" w:fill="000080"/>
    </w:pPr>
    <w:rPr>
      <w:rFonts w:ascii="Calibri" w:hAnsi="Calibri"/>
    </w:rPr>
  </w:style>
  <w:style w:type="paragraph" w:styleId="1281" w:customStyle="1">
    <w:name w:val="杨昂超式样黑体主"/>
    <w:basedOn w:val="1011"/>
    <w:next w:val="1282"/>
    <w:qFormat/>
    <w:pPr>
      <w:ind w:left="0" w:firstLine="4608"/>
      <w:spacing w:before="0" w:after="0" w:line="240" w:lineRule="auto"/>
    </w:pPr>
    <w:rPr>
      <w:rFonts w:ascii="Times New Roman" w:hAnsi="Times New Roman" w:cs="Times New Roman"/>
    </w:rPr>
  </w:style>
  <w:style w:type="paragraph" w:styleId="1282" w:customStyle="1">
    <w:name w:val="Char Char Char Char Char Char1 Char Char Char Char Char Char Char Char Char Char"/>
    <w:basedOn w:val="1011"/>
    <w:next w:val="1283"/>
    <w:qFormat/>
    <w:pPr>
      <w:ind w:left="0" w:firstLine="2560"/>
      <w:spacing w:before="0" w:after="0" w:line="240" w:lineRule="auto"/>
    </w:pPr>
    <w:rPr>
      <w:rFonts w:ascii="Times New Roman" w:hAnsi="Times New Roman" w:cs="Times New Roman"/>
    </w:rPr>
  </w:style>
  <w:style w:type="paragraph" w:styleId="1283" w:customStyle="1">
    <w:name w:val="目录1"/>
    <w:basedOn w:val="1011"/>
    <w:next w:val="1010"/>
    <w:qFormat/>
    <w:pPr>
      <w:ind w:left="0" w:firstLine="7168"/>
      <w:spacing w:before="0" w:after="136" w:line="289" w:lineRule="atLeast"/>
    </w:pPr>
    <w:rPr>
      <w:rFonts w:ascii="Times New Roman" w:hAnsi="Times New Roman" w:cs="Times New Roman"/>
    </w:rPr>
  </w:style>
  <w:style w:type="paragraph" w:styleId="1284" w:customStyle="1">
    <w:name w:val="文档结构图1"/>
    <w:basedOn w:val="1011"/>
    <w:next w:val="1285"/>
    <w:qFormat/>
    <w:pPr>
      <w:ind w:left="200" w:firstLine="2248"/>
      <w:spacing w:before="0" w:after="0" w:line="360" w:lineRule="auto"/>
    </w:pPr>
    <w:rPr>
      <w:rFonts w:ascii="Times New Roman" w:hAnsi="Times New Roman" w:cs="Times New Roman"/>
    </w:rPr>
  </w:style>
  <w:style w:type="paragraph" w:styleId="1285" w:customStyle="1">
    <w:name w:val="2ji"/>
    <w:basedOn w:val="1013"/>
    <w:next w:val="1054"/>
    <w:qFormat/>
    <w:pPr>
      <w:ind w:left="0" w:firstLine="24"/>
      <w:spacing w:before="0" w:after="0" w:line="360" w:lineRule="auto"/>
      <w:outlineLvl w:val="1"/>
    </w:pPr>
  </w:style>
  <w:style w:type="paragraph" w:styleId="1286" w:customStyle="1">
    <w:name w:val="xl91"/>
    <w:basedOn w:val="1011"/>
    <w:next w:val="1207"/>
    <w:qFormat/>
    <w:pPr>
      <w:ind w:left="0" w:firstLine="3584"/>
      <w:spacing w:before="280" w:after="280" w:line="240" w:lineRule="auto"/>
    </w:pPr>
    <w:rPr>
      <w:rFonts w:ascii="Times New Roman" w:hAnsi="Times New Roman" w:cs="Times New Roman"/>
    </w:rPr>
  </w:style>
  <w:style w:type="paragraph" w:styleId="1287" w:customStyle="1">
    <w:name w:val="Text Body"/>
    <w:basedOn w:val="1011"/>
    <w:next w:val="1288"/>
    <w:qFormat/>
    <w:pPr>
      <w:ind w:left="0" w:firstLine="4096"/>
      <w:spacing w:before="0" w:after="120" w:line="240" w:lineRule="auto"/>
    </w:pPr>
    <w:rPr>
      <w:rFonts w:ascii="Times New Roman" w:hAnsi="Times New Roman" w:cs="Times New Roman"/>
    </w:rPr>
  </w:style>
  <w:style w:type="paragraph" w:styleId="1288" w:customStyle="1">
    <w:name w:val="项目符1"/>
    <w:basedOn w:val="1011"/>
    <w:next w:val="1289"/>
    <w:qFormat/>
    <w:pPr>
      <w:ind w:left="1365" w:right="100" w:firstLine="2728"/>
      <w:spacing w:before="78" w:after="78" w:line="300" w:lineRule="auto"/>
    </w:pPr>
    <w:rPr>
      <w:rFonts w:ascii="Times New Roman" w:hAnsi="Times New Roman" w:cs="Times New Roman"/>
    </w:rPr>
  </w:style>
  <w:style w:type="paragraph" w:styleId="1289" w:customStyle="1">
    <w:name w:val="引文目录标题1"/>
    <w:basedOn w:val="1011"/>
    <w:next w:val="1010"/>
    <w:qFormat/>
    <w:pPr>
      <w:ind w:left="0" w:firstLine="4608"/>
      <w:jc w:val="center"/>
      <w:spacing w:before="120" w:after="0" w:line="360" w:lineRule="auto"/>
    </w:pPr>
    <w:rPr>
      <w:rFonts w:ascii="Times New Roman" w:hAnsi="Times New Roman" w:cs="Times New Roman"/>
    </w:rPr>
  </w:style>
  <w:style w:type="paragraph" w:styleId="1290" w:customStyle="1">
    <w:name w:val="样式 标题 3 + (西文) 黑体 (中文) 黑体 (符号) 宋体 小四 段前: 5 磅 段后: 5 磅 行距: 1..."/>
    <w:basedOn w:val="1014"/>
    <w:next w:val="1291"/>
    <w:qFormat/>
    <w:pPr>
      <w:ind w:left="1429" w:firstLine="18"/>
      <w:spacing w:before="100" w:after="100" w:line="360" w:lineRule="auto"/>
      <w:outlineLvl w:val="2"/>
    </w:pPr>
  </w:style>
  <w:style w:type="paragraph" w:styleId="1291" w:customStyle="1">
    <w:name w:val="xl22"/>
    <w:basedOn w:val="1011"/>
    <w:next w:val="1292"/>
    <w:qFormat/>
    <w:pPr>
      <w:ind w:left="0" w:firstLine="20"/>
      <w:jc w:val="right"/>
      <w:spacing w:before="280" w:after="280" w:line="240" w:lineRule="auto"/>
      <w:shd w:val="clear" w:color="000000" w:fill="ffffff"/>
    </w:pPr>
    <w:rPr>
      <w:rFonts w:ascii="Times New Roman" w:hAnsi="Times New Roman" w:cs="Times New Roman"/>
    </w:rPr>
  </w:style>
  <w:style w:type="paragraph" w:styleId="1292" w:customStyle="1">
    <w:name w:val="自定义一"/>
    <w:basedOn w:val="1011"/>
    <w:next w:val="1010"/>
    <w:qFormat/>
    <w:pPr>
      <w:ind w:left="0"/>
      <w:spacing w:before="0" w:after="0" w:line="360" w:lineRule="auto"/>
    </w:pPr>
    <w:rPr>
      <w:rFonts w:ascii="Times New Roman" w:hAnsi="Times New Roman" w:cs="Times New Roman"/>
    </w:rPr>
  </w:style>
  <w:style w:type="paragraph" w:styleId="1293" w:customStyle="1">
    <w:name w:val="xl78"/>
    <w:basedOn w:val="1011"/>
    <w:next w:val="1294"/>
    <w:qFormat/>
    <w:pPr>
      <w:ind w:left="0" w:firstLine="3584"/>
      <w:jc w:val="center"/>
      <w:spacing w:before="280" w:after="280" w:line="240" w:lineRule="auto"/>
    </w:pPr>
    <w:rPr>
      <w:rFonts w:ascii="Times New Roman" w:hAnsi="Times New Roman" w:cs="Times New Roman"/>
    </w:rPr>
  </w:style>
  <w:style w:type="paragraph" w:styleId="1294" w:customStyle="1">
    <w:name w:val="段落正文"/>
    <w:next w:val="1236"/>
    <w:qFormat/>
    <w:pPr>
      <w:ind w:firstLine="4608"/>
      <w:jc w:val="center"/>
      <w:spacing w:line="360" w:lineRule="auto"/>
    </w:pPr>
    <w:rPr>
      <w:rFonts w:ascii="Calibri" w:hAnsi="Calibri"/>
    </w:rPr>
  </w:style>
  <w:style w:type="paragraph" w:styleId="1295" w:customStyle="1">
    <w:name w:val="_Style 169"/>
    <w:next w:val="1010"/>
    <w:qFormat/>
    <w:pPr>
      <w:ind w:left="2560"/>
    </w:pPr>
    <w:rPr>
      <w:rFonts w:ascii="Calibri" w:hAnsi="Calibri"/>
    </w:rPr>
  </w:style>
  <w:style w:type="paragraph" w:styleId="1296" w:customStyle="1">
    <w:name w:val="样式 小四 行距: 1.5 倍行距 首行缩进:  2 字符"/>
    <w:basedOn w:val="1011"/>
    <w:next w:val="1241"/>
    <w:qFormat/>
    <w:pPr>
      <w:ind w:left="480" w:firstLine="2784"/>
      <w:spacing w:before="0" w:after="0" w:line="360" w:lineRule="auto"/>
    </w:pPr>
    <w:rPr>
      <w:rFonts w:ascii="Times New Roman" w:hAnsi="Times New Roman" w:cs="Times New Roman"/>
    </w:rPr>
  </w:style>
  <w:style w:type="paragraph" w:styleId="1297" w:customStyle="1">
    <w:name w:val="小节标题"/>
    <w:basedOn w:val="1011"/>
    <w:next w:val="1010"/>
    <w:qFormat/>
    <w:pPr>
      <w:ind w:left="0" w:firstLine="7168"/>
      <w:spacing w:before="175" w:after="102" w:line="351" w:lineRule="atLeast"/>
    </w:pPr>
    <w:rPr>
      <w:rFonts w:ascii="Times New Roman" w:hAnsi="Times New Roman" w:cs="Times New Roman"/>
    </w:rPr>
  </w:style>
  <w:style w:type="paragraph" w:styleId="1298" w:customStyle="1">
    <w:name w:val="TOC 标题2"/>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9" w:customStyle="1">
    <w:name w:val="表格文字（两侧对齐）"/>
    <w:basedOn w:val="1011"/>
    <w:next w:val="1300"/>
    <w:pPr>
      <w:ind w:left="0" w:firstLine="3584"/>
      <w:spacing w:before="0" w:after="0" w:line="240" w:lineRule="auto"/>
    </w:pPr>
    <w:rPr>
      <w:rFonts w:ascii="Times New Roman" w:hAnsi="Times New Roman" w:cs="Times New Roman"/>
    </w:rPr>
  </w:style>
  <w:style w:type="paragraph" w:styleId="1300" w:customStyle="1">
    <w:name w:val="Char"/>
    <w:basedOn w:val="1011"/>
    <w:next w:val="1279"/>
    <w:qFormat/>
    <w:pPr>
      <w:ind w:left="900" w:firstLine="2608"/>
      <w:spacing w:before="0" w:after="0" w:line="240" w:lineRule="auto"/>
    </w:pPr>
    <w:rPr>
      <w:rFonts w:ascii="Times New Roman" w:hAnsi="Times New Roman" w:cs="Times New Roman"/>
    </w:rPr>
  </w:style>
  <w:style w:type="paragraph" w:styleId="1301" w:customStyle="1">
    <w:name w:val="xl86"/>
    <w:basedOn w:val="1011"/>
    <w:next w:val="1302"/>
    <w:qFormat/>
    <w:pPr>
      <w:ind w:left="0" w:firstLine="5120"/>
      <w:spacing w:before="280" w:after="280" w:line="240" w:lineRule="auto"/>
    </w:pPr>
    <w:rPr>
      <w:rFonts w:ascii="Times New Roman" w:hAnsi="Times New Roman" w:cs="Times New Roman"/>
    </w:rPr>
  </w:style>
  <w:style w:type="paragraph" w:styleId="1302" w:customStyle="1">
    <w:name w:val="索引 71"/>
    <w:basedOn w:val="1011"/>
    <w:next w:val="1010"/>
    <w:qFormat/>
    <w:pPr>
      <w:ind w:left="1200" w:firstLine="2560"/>
      <w:jc w:val="center"/>
      <w:spacing w:before="0" w:after="0" w:line="360" w:lineRule="auto"/>
    </w:pPr>
    <w:rPr>
      <w:rFonts w:ascii="Times New Roman" w:hAnsi="Times New Roman" w:cs="Times New Roman"/>
    </w:rPr>
  </w:style>
  <w:style w:type="paragraph" w:styleId="1303" w:customStyle="1">
    <w:name w:val="111"/>
    <w:next w:val="1304"/>
    <w:pPr>
      <w:ind w:left="480" w:firstLine="4320"/>
      <w:spacing w:line="440" w:lineRule="exact"/>
    </w:pPr>
    <w:rPr>
      <w:rFonts w:ascii="Calibri" w:hAnsi="Calibri"/>
    </w:rPr>
  </w:style>
  <w:style w:type="paragraph" w:styleId="1304" w:customStyle="1">
    <w:name w:val="4"/>
    <w:basedOn w:val="1011"/>
    <w:next w:val="1023"/>
    <w:qFormat/>
    <w:pPr>
      <w:ind w:left="409" w:firstLine="3737"/>
      <w:spacing w:before="0" w:after="0" w:line="420" w:lineRule="exact"/>
    </w:pPr>
    <w:rPr>
      <w:rFonts w:ascii="Times New Roman" w:hAnsi="Times New Roman" w:cs="Times New Roman"/>
    </w:rPr>
  </w:style>
  <w:style w:type="paragraph" w:styleId="1305" w:customStyle="1">
    <w:name w:val="Char Char Char Char Char Char1 Char Char Char1 Char Char Char Char Char Char"/>
    <w:basedOn w:val="1011"/>
    <w:next w:val="1290"/>
    <w:qFormat/>
    <w:pPr>
      <w:ind w:left="0" w:firstLine="2560"/>
      <w:spacing w:before="0" w:after="0" w:line="240" w:lineRule="auto"/>
    </w:pPr>
    <w:rPr>
      <w:rFonts w:ascii="Times New Roman" w:hAnsi="Times New Roman" w:cs="Times New Roman"/>
    </w:rPr>
  </w:style>
  <w:style w:type="paragraph" w:styleId="1306" w:customStyle="1">
    <w:name w:val="Char Char Char Char Char Char1 Char Char Char Char Char Char1 Char Char Char"/>
    <w:basedOn w:val="1011"/>
    <w:next w:val="1307"/>
    <w:pPr>
      <w:ind w:left="0" w:firstLine="2560"/>
      <w:spacing w:before="0" w:after="0" w:line="240" w:lineRule="auto"/>
    </w:pPr>
    <w:rPr>
      <w:rFonts w:ascii="Times New Roman" w:hAnsi="Times New Roman" w:cs="Times New Roman"/>
    </w:rPr>
  </w:style>
  <w:style w:type="paragraph" w:styleId="1307" w:customStyle="1">
    <w:name w:val="正文符号1"/>
    <w:basedOn w:val="1011"/>
    <w:next w:val="1308"/>
    <w:pPr>
      <w:ind w:left="987" w:firstLine="5724"/>
      <w:spacing w:before="0" w:after="0" w:line="240" w:lineRule="auto"/>
    </w:pPr>
    <w:rPr>
      <w:rFonts w:ascii="Times New Roman" w:hAnsi="Times New Roman" w:cs="Times New Roman"/>
    </w:rPr>
  </w:style>
  <w:style w:type="paragraph" w:styleId="1308" w:customStyle="1">
    <w:name w:val="索引 31"/>
    <w:basedOn w:val="1011"/>
    <w:next w:val="1010"/>
    <w:qFormat/>
    <w:pPr>
      <w:ind w:left="400" w:firstLine="2560"/>
      <w:jc w:val="center"/>
      <w:spacing w:before="0" w:after="0" w:line="360" w:lineRule="auto"/>
    </w:pPr>
    <w:rPr>
      <w:rFonts w:ascii="Times New Roman" w:hAnsi="Times New Roman" w:cs="Times New Roman"/>
    </w:rPr>
  </w:style>
  <w:style w:type="paragraph" w:styleId="1309" w:customStyle="1">
    <w:name w:val="目录4"/>
    <w:basedOn w:val="1011"/>
    <w:next w:val="1010"/>
    <w:qFormat/>
    <w:pPr>
      <w:ind w:left="629" w:firstLine="5237"/>
      <w:spacing w:before="0" w:after="0" w:line="317" w:lineRule="atLeast"/>
    </w:pPr>
    <w:rPr>
      <w:rFonts w:ascii="Times New Roman" w:hAnsi="Times New Roman" w:cs="Times New Roman"/>
    </w:rPr>
  </w:style>
  <w:style w:type="paragraph" w:styleId="1310" w:customStyle="1">
    <w:name w:val="p15"/>
    <w:basedOn w:val="1010"/>
    <w:qFormat/>
    <w:pPr>
      <w:ind w:left="0"/>
    </w:pPr>
    <w:rPr>
      <w:rFonts w:ascii="宋体" w:hAnsi="宋体"/>
      <w:sz w:val="28"/>
      <w:szCs w:val="28"/>
    </w:rPr>
  </w:style>
  <w:style w:type="paragraph" w:styleId="1311" w:customStyle="1">
    <w:name w:val="四号 居中"/>
    <w:basedOn w:val="1011"/>
    <w:next w:val="1305"/>
    <w:qFormat/>
    <w:pPr>
      <w:ind w:left="0" w:firstLine="6144"/>
      <w:jc w:val="center"/>
      <w:spacing w:before="0" w:after="0" w:line="360" w:lineRule="auto"/>
    </w:pPr>
    <w:rPr>
      <w:rFonts w:ascii="Times New Roman" w:hAnsi="Times New Roman" w:cs="Times New Roman"/>
    </w:rPr>
  </w:style>
  <w:style w:type="paragraph" w:styleId="1312" w:customStyle="1">
    <w:name w:val="p0"/>
    <w:next w:val="1010"/>
    <w:qFormat/>
    <w:pPr>
      <w:ind w:firstLine="2048"/>
      <w:spacing w:line="360" w:lineRule="auto"/>
    </w:pPr>
    <w:rPr>
      <w:rFonts w:ascii="Calibri" w:hAnsi="Calibri"/>
    </w:rPr>
  </w:style>
  <w:style w:type="paragraph" w:styleId="1313" w:customStyle="1">
    <w:name w:val="列表编号 21"/>
    <w:basedOn w:val="1011"/>
    <w:next w:val="1314"/>
    <w:qFormat/>
    <w:pPr>
      <w:ind w:left="0" w:firstLine="2560"/>
      <w:spacing w:before="0" w:after="0" w:line="360" w:lineRule="auto"/>
    </w:pPr>
    <w:rPr>
      <w:rFonts w:ascii="Times New Roman" w:hAnsi="Times New Roman" w:cs="Times New Roman"/>
    </w:rPr>
  </w:style>
  <w:style w:type="paragraph" w:styleId="1314" w:customStyle="1">
    <w:name w:val="正文文本 21"/>
    <w:basedOn w:val="1011"/>
    <w:next w:val="1195"/>
    <w:qFormat/>
    <w:pPr>
      <w:ind w:left="0" w:firstLine="2560"/>
      <w:jc w:val="center"/>
      <w:spacing w:before="0" w:after="120" w:line="480" w:lineRule="auto"/>
    </w:pPr>
    <w:rPr>
      <w:rFonts w:ascii="Times New Roman" w:hAnsi="Times New Roman" w:cs="Times New Roman"/>
    </w:rPr>
  </w:style>
  <w:style w:type="paragraph" w:styleId="1315" w:customStyle="1">
    <w:name w:val="a2"/>
    <w:basedOn w:val="1011"/>
    <w:next w:val="1051"/>
    <w:qFormat/>
    <w:pPr>
      <w:ind w:left="0" w:firstLine="1024"/>
      <w:spacing w:before="280" w:after="280" w:line="240" w:lineRule="auto"/>
    </w:pPr>
    <w:rPr>
      <w:rFonts w:ascii="Times New Roman" w:hAnsi="Times New Roman" w:cs="Times New Roman"/>
    </w:rPr>
  </w:style>
  <w:style w:type="paragraph" w:styleId="1316" w:customStyle="1">
    <w:name w:val="font8"/>
    <w:basedOn w:val="1011"/>
    <w:next w:val="1240"/>
    <w:qFormat/>
    <w:pPr>
      <w:ind w:left="0" w:firstLine="2048"/>
      <w:spacing w:before="280" w:after="280" w:line="240" w:lineRule="auto"/>
    </w:pPr>
    <w:rPr>
      <w:rFonts w:ascii="Times New Roman" w:hAnsi="Times New Roman" w:cs="Times New Roman"/>
    </w:rPr>
  </w:style>
  <w:style w:type="paragraph" w:styleId="1317" w:customStyle="1">
    <w:name w:val="Char Char Char Char Char Char1 Char Char Char Char Char Char1 Char Char Char Char Char Char Char"/>
    <w:basedOn w:val="1011"/>
    <w:next w:val="1318"/>
    <w:qFormat/>
    <w:pPr>
      <w:ind w:left="0" w:firstLine="2560"/>
      <w:spacing w:before="0" w:after="0" w:line="240" w:lineRule="auto"/>
    </w:pPr>
    <w:rPr>
      <w:rFonts w:ascii="Times New Roman" w:hAnsi="Times New Roman" w:cs="Times New Roman"/>
    </w:rPr>
  </w:style>
  <w:style w:type="paragraph" w:styleId="1318" w:customStyle="1">
    <w:name w:val="xl87"/>
    <w:basedOn w:val="1011"/>
    <w:next w:val="1274"/>
    <w:qFormat/>
    <w:pPr>
      <w:ind w:left="0" w:firstLine="5120"/>
      <w:spacing w:before="280" w:after="280" w:line="240" w:lineRule="auto"/>
    </w:pPr>
    <w:rPr>
      <w:rFonts w:ascii="Times New Roman" w:hAnsi="Times New Roman" w:cs="Times New Roman"/>
    </w:rPr>
  </w:style>
  <w:style w:type="paragraph" w:styleId="1319" w:customStyle="1">
    <w:name w:val="444"/>
    <w:basedOn w:val="1011"/>
    <w:next w:val="1033"/>
    <w:qFormat/>
    <w:pPr>
      <w:ind w:left="0" w:firstLine="4608"/>
      <w:jc w:val="center"/>
      <w:spacing w:before="0" w:after="0" w:line="312" w:lineRule="atLeast"/>
    </w:pPr>
    <w:rPr>
      <w:rFonts w:ascii="Times New Roman" w:hAnsi="Times New Roman" w:cs="Times New Roman"/>
    </w:rPr>
  </w:style>
  <w:style w:type="paragraph" w:styleId="1320" w:customStyle="1">
    <w:name w:val="表格文字图表文字"/>
    <w:basedOn w:val="1011"/>
    <w:next w:val="1321"/>
    <w:qFormat/>
    <w:pPr>
      <w:ind w:left="0" w:firstLine="3584"/>
      <w:jc w:val="center"/>
      <w:spacing w:before="0" w:after="0" w:line="240" w:lineRule="auto"/>
    </w:pPr>
    <w:rPr>
      <w:rFonts w:ascii="Times New Roman" w:hAnsi="Times New Roman" w:cs="Times New Roman"/>
    </w:rPr>
  </w:style>
  <w:style w:type="paragraph" w:styleId="1321" w:customStyle="1">
    <w:name w:val="样式 目录 3 + 左侧:  2 字符1"/>
    <w:next w:val="1322"/>
    <w:qFormat/>
    <w:pPr>
      <w:ind w:left="960" w:firstLine="5120"/>
      <w:spacing w:line="360" w:lineRule="auto"/>
      <w:widowControl w:val="off"/>
    </w:pPr>
    <w:rPr>
      <w:rFonts w:ascii="Calibri" w:hAnsi="Calibri"/>
    </w:rPr>
  </w:style>
  <w:style w:type="paragraph" w:styleId="1322" w:customStyle="1">
    <w:name w:val="文档正文"/>
    <w:basedOn w:val="1011"/>
    <w:next w:val="1323"/>
    <w:qFormat/>
    <w:pPr>
      <w:ind w:left="567" w:firstLine="3639"/>
      <w:spacing w:before="0" w:after="0" w:line="480" w:lineRule="atLeast"/>
    </w:pPr>
    <w:rPr>
      <w:rFonts w:ascii="Times New Roman" w:hAnsi="Times New Roman" w:cs="Times New Roman"/>
    </w:rPr>
  </w:style>
  <w:style w:type="paragraph" w:styleId="1323" w:customStyle="1">
    <w:name w:val="列表框2"/>
    <w:next w:val="1324"/>
    <w:qFormat/>
    <w:pPr>
      <w:ind w:firstLine="2048"/>
      <w:spacing w:line="460" w:lineRule="exact"/>
    </w:pPr>
    <w:rPr>
      <w:rFonts w:ascii="Calibri" w:hAnsi="Calibri"/>
    </w:rPr>
  </w:style>
  <w:style w:type="paragraph" w:styleId="1324" w:customStyle="1">
    <w:name w:val="font10"/>
    <w:basedOn w:val="1011"/>
    <w:next w:val="1044"/>
    <w:qFormat/>
    <w:pPr>
      <w:ind w:left="0" w:firstLine="3584"/>
      <w:spacing w:before="280" w:after="280" w:line="240" w:lineRule="auto"/>
    </w:pPr>
    <w:rPr>
      <w:rFonts w:ascii="Times New Roman" w:hAnsi="Times New Roman" w:cs="Times New Roman"/>
    </w:rPr>
  </w:style>
  <w:style w:type="paragraph" w:styleId="1325" w:customStyle="1">
    <w:name w:val="纯文本1"/>
    <w:basedOn w:val="1011"/>
    <w:next w:val="1057"/>
    <w:qFormat/>
    <w:pPr>
      <w:ind w:left="0" w:firstLine="3584"/>
      <w:spacing w:before="0" w:after="0" w:line="240" w:lineRule="auto"/>
    </w:pPr>
    <w:rPr>
      <w:rFonts w:ascii="Times New Roman" w:hAnsi="Times New Roman" w:cs="Times New Roman"/>
    </w:rPr>
  </w:style>
  <w:style w:type="paragraph" w:styleId="1326" w:customStyle="1">
    <w:name w:val="索引 91"/>
    <w:basedOn w:val="1011"/>
    <w:next w:val="1010"/>
    <w:qFormat/>
    <w:pPr>
      <w:ind w:left="1600" w:firstLine="2560"/>
      <w:jc w:val="center"/>
      <w:spacing w:before="0" w:after="0" w:line="360" w:lineRule="auto"/>
    </w:pPr>
    <w:rPr>
      <w:rFonts w:ascii="Times New Roman" w:hAnsi="Times New Roman" w:cs="Times New Roman"/>
    </w:rPr>
  </w:style>
  <w:style w:type="paragraph" w:styleId="1327" w:customStyle="1">
    <w:name w:val="xl79"/>
    <w:basedOn w:val="1011"/>
    <w:next w:val="1303"/>
    <w:qFormat/>
    <w:pPr>
      <w:ind w:left="0" w:firstLine="3584"/>
      <w:jc w:val="center"/>
      <w:spacing w:before="280" w:after="280" w:line="240" w:lineRule="auto"/>
    </w:pPr>
    <w:rPr>
      <w:rFonts w:ascii="Times New Roman" w:hAnsi="Times New Roman" w:cs="Times New Roman"/>
    </w:rPr>
  </w:style>
  <w:style w:type="paragraph" w:styleId="1328" w:customStyle="1">
    <w:name w:val="表格文字（4号居中）"/>
    <w:next w:val="1329"/>
    <w:qFormat/>
    <w:pPr>
      <w:ind w:firstLine="2560"/>
      <w:jc w:val="center"/>
    </w:pPr>
    <w:rPr>
      <w:rFonts w:ascii="Calibri" w:hAnsi="Calibri"/>
    </w:rPr>
  </w:style>
  <w:style w:type="paragraph" w:styleId="1329" w:customStyle="1">
    <w:name w:val="!方块加粗"/>
    <w:basedOn w:val="1011"/>
    <w:next w:val="1296"/>
    <w:qFormat/>
    <w:pPr>
      <w:ind w:left="600" w:firstLine="5212"/>
      <w:spacing w:before="0" w:after="0" w:line="360" w:lineRule="auto"/>
    </w:pPr>
    <w:rPr>
      <w:rFonts w:ascii="Times New Roman" w:hAnsi="Times New Roman" w:cs="Times New Roman"/>
    </w:rPr>
  </w:style>
  <w:style w:type="paragraph" w:styleId="1330" w:customStyle="1">
    <w:name w:val="xl75"/>
    <w:basedOn w:val="1011"/>
    <w:next w:val="1059"/>
    <w:qFormat/>
    <w:pPr>
      <w:ind w:left="0" w:firstLine="3584"/>
      <w:jc w:val="center"/>
      <w:spacing w:before="280" w:after="280" w:line="240" w:lineRule="auto"/>
    </w:pPr>
    <w:rPr>
      <w:rFonts w:ascii="Times New Roman" w:hAnsi="Times New Roman" w:cs="Times New Roman"/>
    </w:rPr>
  </w:style>
  <w:style w:type="paragraph" w:styleId="1331" w:customStyle="1">
    <w:name w:val="xl81"/>
    <w:basedOn w:val="1011"/>
    <w:next w:val="1332"/>
    <w:qFormat/>
    <w:pPr>
      <w:ind w:left="0" w:firstLine="5120"/>
      <w:spacing w:before="280" w:after="280" w:line="240" w:lineRule="auto"/>
    </w:pPr>
    <w:rPr>
      <w:rFonts w:ascii="Times New Roman" w:hAnsi="Times New Roman" w:cs="Times New Roman"/>
    </w:rPr>
  </w:style>
  <w:style w:type="paragraph" w:styleId="1332" w:customStyle="1">
    <w:name w:val="xl25"/>
    <w:basedOn w:val="1011"/>
    <w:next w:val="1333"/>
    <w:qFormat/>
    <w:pPr>
      <w:ind w:left="0" w:firstLine="14"/>
      <w:spacing w:before="280" w:after="280" w:line="240" w:lineRule="auto"/>
      <w:shd w:val="clear" w:color="000000" w:fill="ffffff"/>
    </w:pPr>
    <w:rPr>
      <w:rFonts w:ascii="Times New Roman" w:hAnsi="Times New Roman" w:cs="Times New Roman"/>
    </w:rPr>
  </w:style>
  <w:style w:type="paragraph" w:styleId="1333" w:customStyle="1">
    <w:name w:val="普通(网站)1"/>
    <w:basedOn w:val="1011"/>
    <w:next w:val="1334"/>
    <w:qFormat/>
    <w:pPr>
      <w:ind w:left="200" w:firstLine="1224"/>
      <w:spacing w:before="280" w:after="280" w:line="240" w:lineRule="auto"/>
    </w:pPr>
    <w:rPr>
      <w:rFonts w:ascii="Times New Roman" w:hAnsi="Times New Roman" w:cs="Times New Roman"/>
    </w:rPr>
  </w:style>
  <w:style w:type="paragraph" w:styleId="1334" w:customStyle="1">
    <w:name w:val="xl27"/>
    <w:basedOn w:val="1011"/>
    <w:next w:val="1320"/>
    <w:qFormat/>
    <w:pPr>
      <w:ind w:left="0" w:firstLine="20"/>
      <w:spacing w:before="280" w:after="280" w:line="240" w:lineRule="auto"/>
      <w:shd w:val="clear" w:color="000000" w:fill="ffffff"/>
    </w:pPr>
    <w:rPr>
      <w:rFonts w:ascii="Times New Roman" w:hAnsi="Times New Roman" w:cs="Times New Roman"/>
    </w:rPr>
  </w:style>
  <w:style w:type="paragraph" w:styleId="1335" w:customStyle="1">
    <w:name w:val="H 4"/>
    <w:basedOn w:val="1015"/>
    <w:next w:val="1336"/>
    <w:qFormat/>
    <w:pPr>
      <w:ind w:left="426" w:firstLine="24"/>
      <w:spacing w:before="0" w:after="0" w:line="360" w:lineRule="auto"/>
      <w:outlineLvl w:val="3"/>
    </w:pPr>
  </w:style>
  <w:style w:type="paragraph" w:styleId="1336" w:customStyle="1">
    <w:name w:val="xl82"/>
    <w:basedOn w:val="1011"/>
    <w:next w:val="1331"/>
    <w:qFormat/>
    <w:pPr>
      <w:ind w:left="0" w:firstLine="5120"/>
      <w:spacing w:before="280" w:after="280" w:line="240" w:lineRule="auto"/>
    </w:pPr>
    <w:rPr>
      <w:rFonts w:ascii="Times New Roman" w:hAnsi="Times New Roman" w:cs="Times New Roman"/>
    </w:rPr>
  </w:style>
  <w:style w:type="paragraph" w:styleId="1337" w:customStyle="1">
    <w:name w:val="Char Char Char Char Char Char Char Char"/>
    <w:next w:val="1338"/>
    <w:qFormat/>
    <w:pPr>
      <w:ind w:firstLine="14"/>
      <w:jc w:val="both"/>
      <w:shd w:val="clear" w:color="000000" w:fill="000080"/>
      <w:widowControl w:val="off"/>
    </w:pPr>
    <w:rPr>
      <w:rFonts w:ascii="Calibri" w:hAnsi="Calibri"/>
    </w:rPr>
  </w:style>
  <w:style w:type="paragraph" w:styleId="1338" w:customStyle="1">
    <w:name w:val="Char Char Char Char Char Char1 Char Char Char1 Char Char Char Char Char Char Char Char Char Char Char Char Char Char Char"/>
    <w:basedOn w:val="1011"/>
    <w:next w:val="1339"/>
    <w:qFormat/>
    <w:pPr>
      <w:ind w:left="0" w:firstLine="2560"/>
      <w:spacing w:before="0" w:after="0" w:line="240" w:lineRule="auto"/>
    </w:pPr>
    <w:rPr>
      <w:rFonts w:ascii="Times New Roman" w:hAnsi="Times New Roman" w:cs="Times New Roman"/>
    </w:rPr>
  </w:style>
  <w:style w:type="paragraph" w:styleId="1339" w:customStyle="1">
    <w:name w:val="样式1"/>
    <w:basedOn w:val="1011"/>
    <w:next w:val="1340"/>
    <w:qFormat/>
    <w:pPr>
      <w:ind w:left="0" w:firstLine="1536"/>
      <w:spacing w:before="120" w:after="120" w:line="300" w:lineRule="auto"/>
    </w:pPr>
    <w:rPr>
      <w:rFonts w:ascii="Times New Roman" w:hAnsi="Times New Roman" w:cs="Times New Roman"/>
    </w:rPr>
  </w:style>
  <w:style w:type="paragraph" w:styleId="1340" w:customStyle="1">
    <w:name w:val="索引 41"/>
    <w:basedOn w:val="1011"/>
    <w:next w:val="1010"/>
    <w:qFormat/>
    <w:pPr>
      <w:ind w:left="600" w:firstLine="2560"/>
      <w:jc w:val="center"/>
      <w:spacing w:before="0" w:after="0" w:line="360" w:lineRule="auto"/>
    </w:pPr>
    <w:rPr>
      <w:rFonts w:ascii="Times New Roman" w:hAnsi="Times New Roman" w:cs="Times New Roman"/>
    </w:rPr>
  </w:style>
  <w:style w:type="paragraph" w:styleId="1341" w:customStyle="1">
    <w:name w:val="自定义二"/>
    <w:basedOn w:val="1011"/>
    <w:next w:val="1010"/>
    <w:qFormat/>
    <w:pPr>
      <w:ind w:left="0" w:firstLine="14"/>
      <w:spacing w:before="0" w:after="0" w:line="360" w:lineRule="auto"/>
      <w:outlineLvl w:val="1"/>
    </w:pPr>
    <w:rPr>
      <w:rFonts w:ascii="Times New Roman" w:hAnsi="Times New Roman" w:cs="Times New Roman"/>
    </w:rPr>
  </w:style>
  <w:style w:type="paragraph" w:styleId="1342" w:customStyle="1">
    <w:name w:val="Bullet"/>
    <w:next w:val="1280"/>
    <w:qFormat/>
    <w:pPr>
      <w:ind w:left="567" w:right="2835" w:firstLine="3584"/>
      <w:spacing w:after="60"/>
    </w:pPr>
    <w:rPr>
      <w:rFonts w:ascii="Calibri" w:hAnsi="Calibri"/>
    </w:rPr>
  </w:style>
  <w:style w:type="paragraph" w:styleId="1343" w:customStyle="1">
    <w:name w:val="Char Char Char Char Char Char1"/>
    <w:basedOn w:val="1011"/>
    <w:next w:val="1344"/>
    <w:qFormat/>
    <w:pPr>
      <w:ind w:left="0" w:firstLine="2560"/>
      <w:spacing w:before="0" w:after="0" w:line="240" w:lineRule="auto"/>
    </w:pPr>
    <w:rPr>
      <w:rFonts w:ascii="Times New Roman" w:hAnsi="Times New Roman" w:cs="Times New Roman"/>
    </w:rPr>
  </w:style>
  <w:style w:type="paragraph" w:styleId="1344" w:customStyle="1">
    <w:name w:val="正文缩进2"/>
    <w:basedOn w:val="1011"/>
    <w:next w:val="1345"/>
    <w:qFormat/>
    <w:pPr>
      <w:ind w:left="420" w:firstLine="1188"/>
      <w:spacing w:before="0" w:after="0" w:line="240" w:lineRule="auto"/>
    </w:pPr>
    <w:rPr>
      <w:rFonts w:ascii="Times New Roman" w:hAnsi="Times New Roman" w:cs="Times New Roman"/>
    </w:rPr>
  </w:style>
  <w:style w:type="paragraph" w:styleId="1345" w:customStyle="1">
    <w:name w:val="列出段落2"/>
    <w:basedOn w:val="1011"/>
    <w:next w:val="1346"/>
    <w:qFormat/>
    <w:pPr>
      <w:ind w:left="420" w:firstLine="3748"/>
      <w:spacing w:before="0" w:after="0" w:line="240" w:lineRule="auto"/>
    </w:pPr>
    <w:rPr>
      <w:rFonts w:ascii="Times New Roman" w:hAnsi="Times New Roman" w:cs="Times New Roman"/>
    </w:rPr>
  </w:style>
  <w:style w:type="paragraph" w:styleId="1346" w:customStyle="1">
    <w:name w:val="正文文本缩进 31"/>
    <w:basedOn w:val="1011"/>
    <w:next w:val="1347"/>
    <w:qFormat/>
    <w:pPr>
      <w:ind w:left="1200" w:firstLine="1248"/>
      <w:spacing w:before="120" w:after="0" w:line="22" w:lineRule="atLeast"/>
    </w:pPr>
    <w:rPr>
      <w:rFonts w:ascii="Times New Roman" w:hAnsi="Times New Roman" w:cs="Times New Roman"/>
    </w:rPr>
  </w:style>
  <w:style w:type="paragraph" w:styleId="1347" w:customStyle="1">
    <w:name w:val="样式 正文首行缩进 + 首行缩进:  2 字符5"/>
    <w:next w:val="1348"/>
    <w:qFormat/>
    <w:pPr>
      <w:ind w:left="200" w:firstLine="3784"/>
      <w:spacing w:line="300" w:lineRule="auto"/>
    </w:pPr>
    <w:rPr>
      <w:rFonts w:ascii="Calibri" w:hAnsi="Calibri"/>
    </w:rPr>
  </w:style>
  <w:style w:type="paragraph" w:styleId="1348" w:customStyle="1">
    <w:name w:val="Char2"/>
    <w:basedOn w:val="1011"/>
    <w:next w:val="1342"/>
    <w:qFormat/>
    <w:pPr>
      <w:ind w:left="0" w:firstLine="3584"/>
      <w:spacing w:before="0" w:after="160" w:line="240" w:lineRule="exact"/>
    </w:pPr>
    <w:rPr>
      <w:rFonts w:ascii="Times New Roman" w:hAnsi="Times New Roman" w:cs="Times New Roman"/>
    </w:rPr>
  </w:style>
  <w:style w:type="paragraph" w:styleId="1349" w:customStyle="1">
    <w:name w:val="WPSOffice手动目录 1"/>
    <w:qFormat/>
  </w:style>
  <w:style w:type="paragraph" w:styleId="1350" w:customStyle="1">
    <w:name w:val="纯文本4"/>
    <w:basedOn w:val="1010"/>
    <w:qFormat/>
    <w:pPr>
      <w:ind w:left="0"/>
      <w:widowControl w:val="off"/>
    </w:pPr>
    <w:rPr>
      <w:rFonts w:ascii="宋体" w:hAnsi="Courier New" w:eastAsia="楷体_GB2312" w:cs="Times New Roman"/>
      <w:sz w:val="26"/>
    </w:rPr>
  </w:style>
  <w:style w:type="paragraph" w:styleId="1351" w:customStyle="1">
    <w:name w:val="Char Char Char Char Char Char Char Char Char Char Char Char Char Char Char Char"/>
    <w:basedOn w:val="1011"/>
    <w:next w:val="1352"/>
    <w:qFormat/>
    <w:pPr>
      <w:ind w:left="682" w:firstLine="1224"/>
      <w:spacing w:before="0" w:after="0" w:line="360" w:lineRule="auto"/>
    </w:pPr>
    <w:rPr>
      <w:rFonts w:ascii="Times New Roman" w:hAnsi="Times New Roman" w:cs="Times New Roman"/>
    </w:rPr>
  </w:style>
  <w:style w:type="paragraph" w:styleId="1352" w:customStyle="1">
    <w:name w:val="列表编号 51"/>
    <w:basedOn w:val="1011"/>
    <w:next w:val="1353"/>
    <w:qFormat/>
    <w:pPr>
      <w:ind w:left="900" w:firstLine="2652"/>
      <w:spacing w:before="0" w:after="0" w:line="360" w:lineRule="auto"/>
    </w:pPr>
    <w:rPr>
      <w:rFonts w:ascii="Times New Roman" w:hAnsi="Times New Roman" w:cs="Times New Roman"/>
    </w:rPr>
  </w:style>
  <w:style w:type="paragraph" w:styleId="1353" w:customStyle="1">
    <w:name w:val="样式 标题 1 + 黑体 (符号) 宋体 三号 段前: 7.8 磅 段后: 7.8 磅 行距: 1.5 倍行距"/>
    <w:basedOn w:val="1012"/>
    <w:next w:val="1354"/>
    <w:qFormat/>
    <w:pPr>
      <w:ind w:left="432" w:firstLine="18"/>
      <w:spacing w:before="40" w:after="40" w:line="360" w:lineRule="auto"/>
      <w:outlineLvl w:val="0"/>
    </w:pPr>
  </w:style>
  <w:style w:type="paragraph" w:styleId="1354" w:customStyle="1">
    <w:name w:val="表格用"/>
    <w:basedOn w:val="1011"/>
    <w:next w:val="1311"/>
    <w:qFormat/>
    <w:pPr>
      <w:ind w:left="0" w:firstLine="1024"/>
      <w:spacing w:before="0" w:after="0" w:line="360" w:lineRule="auto"/>
    </w:pPr>
    <w:rPr>
      <w:rFonts w:ascii="Times New Roman" w:hAnsi="Times New Roman" w:cs="Times New Roman"/>
    </w:rPr>
  </w:style>
  <w:style w:type="paragraph" w:styleId="1355" w:customStyle="1">
    <w:name w:val="xl71"/>
    <w:basedOn w:val="1011"/>
    <w:next w:val="1356"/>
    <w:qFormat/>
    <w:pPr>
      <w:ind w:left="0" w:firstLine="1536"/>
      <w:spacing w:before="280" w:after="280" w:line="240" w:lineRule="auto"/>
    </w:pPr>
    <w:rPr>
      <w:rFonts w:ascii="Times New Roman" w:hAnsi="Times New Roman" w:cs="Times New Roman"/>
    </w:rPr>
  </w:style>
  <w:style w:type="paragraph" w:styleId="1356" w:customStyle="1">
    <w:name w:val="正文文本 31"/>
    <w:basedOn w:val="1011"/>
    <w:next w:val="1357"/>
    <w:qFormat/>
    <w:pPr>
      <w:ind w:left="0" w:firstLine="3584"/>
      <w:jc w:val="center"/>
      <w:spacing w:before="0" w:after="120" w:line="360" w:lineRule="auto"/>
    </w:pPr>
    <w:rPr>
      <w:rFonts w:ascii="Times New Roman" w:hAnsi="Times New Roman" w:cs="Times New Roman"/>
    </w:rPr>
  </w:style>
  <w:style w:type="paragraph" w:styleId="1357" w:customStyle="1">
    <w:name w:val="列出段落111"/>
    <w:basedOn w:val="1011"/>
    <w:next w:val="1293"/>
    <w:qFormat/>
    <w:pPr>
      <w:ind w:left="420" w:firstLine="3748"/>
      <w:spacing w:before="0" w:after="0" w:line="240" w:lineRule="auto"/>
    </w:pPr>
    <w:rPr>
      <w:rFonts w:ascii="Times New Roman" w:hAnsi="Times New Roman" w:cs="Times New Roman"/>
    </w:rPr>
  </w:style>
  <w:style w:type="paragraph" w:styleId="1358" w:customStyle="1">
    <w:name w:val="修订1"/>
    <w:qFormat/>
    <w:rPr>
      <w:rFonts w:ascii="Calibri" w:hAnsi="Calibri"/>
    </w:rPr>
  </w:style>
  <w:style w:type="paragraph" w:styleId="1359" w:customStyle="1">
    <w:name w:val="正文文本缩进 21"/>
    <w:basedOn w:val="1011"/>
    <w:next w:val="1299"/>
    <w:qFormat/>
    <w:pPr>
      <w:ind w:left="480" w:firstLine="4832"/>
      <w:spacing w:before="0" w:after="0" w:line="240" w:lineRule="auto"/>
    </w:pPr>
    <w:rPr>
      <w:rFonts w:ascii="Times New Roman" w:hAnsi="Times New Roman" w:cs="Times New Roman"/>
    </w:rPr>
  </w:style>
  <w:style w:type="paragraph" w:styleId="1360" w:customStyle="1">
    <w:name w:val="Char Char4 Char Char"/>
    <w:basedOn w:val="1011"/>
    <w:next w:val="1309"/>
    <w:qFormat/>
    <w:pPr>
      <w:ind w:left="0" w:firstLine="2560"/>
      <w:spacing w:before="0" w:after="0" w:line="240" w:lineRule="auto"/>
    </w:pPr>
    <w:rPr>
      <w:rFonts w:ascii="Times New Roman" w:hAnsi="Times New Roman" w:cs="Times New Roman"/>
    </w:rPr>
  </w:style>
  <w:style w:type="paragraph" w:styleId="1361" w:customStyle="1">
    <w:name w:val="样式"/>
    <w:next w:val="1010"/>
    <w:qFormat/>
    <w:pPr>
      <w:ind w:firstLine="3584"/>
      <w:widowControl w:val="off"/>
    </w:pPr>
    <w:rPr>
      <w:rFonts w:ascii="Calibri" w:hAnsi="Calibri"/>
    </w:rPr>
  </w:style>
  <w:style w:type="paragraph" w:styleId="1362" w:customStyle="1">
    <w:name w:val="TOC 标题1"/>
    <w:basedOn w:val="1012"/>
    <w:next w:val="1010"/>
    <w:qFormat/>
    <w:pPr>
      <w:ind w:left="0" w:firstLine="6144"/>
      <w:spacing w:before="480" w:after="0" w:line="276" w:lineRule="auto"/>
    </w:pPr>
    <w:rPr>
      <w:b/>
      <w:sz w:val="30"/>
    </w:rPr>
  </w:style>
  <w:style w:type="paragraph" w:styleId="1363" w:customStyle="1">
    <w:name w:val="纯文本3"/>
    <w:basedOn w:val="1010"/>
    <w:qFormat/>
    <w:rPr>
      <w:rFonts w:ascii="宋体" w:hAnsi="Courier New" w:cs="Times New Roman"/>
    </w:rPr>
  </w:style>
  <w:style w:type="paragraph" w:styleId="1364" w:customStyle="1">
    <w:name w:val="afont"/>
    <w:basedOn w:val="1011"/>
    <w:next w:val="1037"/>
    <w:qFormat/>
    <w:pPr>
      <w:ind w:left="0" w:firstLine="2048"/>
      <w:spacing w:before="100" w:after="100" w:line="285" w:lineRule="atLeast"/>
    </w:pPr>
    <w:rPr>
      <w:rFonts w:ascii="Times New Roman" w:hAnsi="Times New Roman" w:cs="Times New Roman"/>
    </w:rPr>
  </w:style>
  <w:style w:type="paragraph" w:styleId="1365" w:customStyle="1">
    <w:name w:val="xl85"/>
    <w:basedOn w:val="1011"/>
    <w:next w:val="1366"/>
    <w:qFormat/>
    <w:pPr>
      <w:ind w:left="0" w:firstLine="2048"/>
      <w:jc w:val="center"/>
      <w:spacing w:before="280" w:after="280" w:line="240" w:lineRule="auto"/>
    </w:pPr>
    <w:rPr>
      <w:rFonts w:ascii="Times New Roman" w:hAnsi="Times New Roman" w:cs="Times New Roman"/>
    </w:rPr>
  </w:style>
  <w:style w:type="paragraph" w:styleId="1366" w:customStyle="1">
    <w:name w:val="文章总标题"/>
    <w:basedOn w:val="1011"/>
    <w:next w:val="1367"/>
    <w:qFormat/>
    <w:pPr>
      <w:ind w:left="0" w:firstLine="7168"/>
      <w:jc w:val="center"/>
      <w:spacing w:before="566" w:after="544" w:line="566" w:lineRule="atLeast"/>
    </w:pPr>
    <w:rPr>
      <w:rFonts w:ascii="Times New Roman" w:hAnsi="Times New Roman" w:cs="Times New Roman"/>
    </w:rPr>
  </w:style>
  <w:style w:type="paragraph" w:styleId="1367" w:customStyle="1">
    <w:name w:val="样式 首行缩进:  2 字符"/>
    <w:basedOn w:val="1011"/>
    <w:next w:val="1330"/>
    <w:qFormat/>
    <w:pPr>
      <w:ind w:left="200" w:firstLine="1224"/>
      <w:spacing w:before="0" w:after="0" w:line="400" w:lineRule="exact"/>
    </w:pPr>
    <w:rPr>
      <w:rFonts w:ascii="Times New Roman" w:hAnsi="Times New Roman" w:cs="Times New Roman"/>
    </w:rPr>
  </w:style>
  <w:style w:type="paragraph" w:styleId="1368" w:customStyle="1">
    <w:name w:val="二级条标题"/>
    <w:basedOn w:val="1011"/>
    <w:next w:val="1010"/>
    <w:qFormat/>
    <w:pPr>
      <w:ind w:left="0" w:firstLine="8"/>
      <w:spacing w:before="0" w:after="0" w:line="240" w:lineRule="auto"/>
      <w:outlineLvl w:val="3"/>
    </w:pPr>
    <w:rPr>
      <w:rFonts w:ascii="Times New Roman" w:hAnsi="Times New Roman" w:cs="Times New Roman"/>
    </w:rPr>
  </w:style>
  <w:style w:type="paragraph" w:styleId="1369" w:customStyle="1">
    <w:name w:val="Plain Text*"/>
    <w:basedOn w:val="1010"/>
    <w:qFormat/>
    <w:pPr>
      <w:ind w:left="0"/>
      <w:jc w:val="left"/>
    </w:pPr>
    <w:rPr>
      <w:rFonts w:ascii="宋体" w:hAnsi="宋体" w:eastAsia="楷体_GB2312" w:cs="Courier New"/>
      <w:sz w:val="26"/>
      <w:lang w:val="zh-CN"/>
    </w:rPr>
  </w:style>
  <w:style w:type="paragraph" w:styleId="1370" w:customStyle="1">
    <w:name w:val="样式 加粗 居中2"/>
    <w:basedOn w:val="1011"/>
    <w:next w:val="1222"/>
    <w:qFormat/>
    <w:pPr>
      <w:ind w:left="0" w:firstLine="2560"/>
      <w:jc w:val="center"/>
      <w:spacing w:before="0" w:after="0" w:line="360" w:lineRule="auto"/>
    </w:pPr>
    <w:rPr>
      <w:rFonts w:ascii="Times New Roman" w:hAnsi="Times New Roman" w:cs="Times New Roman"/>
    </w:rPr>
  </w:style>
  <w:style w:type="paragraph" w:styleId="1371" w:customStyle="1">
    <w:name w:val="标准文本"/>
    <w:basedOn w:val="1011"/>
    <w:next w:val="1325"/>
    <w:qFormat/>
    <w:pPr>
      <w:ind w:left="480" w:firstLine="2784"/>
      <w:spacing w:before="0" w:after="0" w:line="360" w:lineRule="auto"/>
    </w:pPr>
    <w:rPr>
      <w:rFonts w:ascii="Times New Roman" w:hAnsi="Times New Roman" w:cs="Times New Roman"/>
    </w:rPr>
  </w:style>
  <w:style w:type="paragraph" w:styleId="1372" w:customStyle="1">
    <w:name w:val="font5"/>
    <w:basedOn w:val="1011"/>
    <w:next w:val="1373"/>
    <w:qFormat/>
    <w:pPr>
      <w:ind w:left="0" w:firstLine="5120"/>
      <w:spacing w:before="280" w:after="280" w:line="240" w:lineRule="auto"/>
    </w:pPr>
    <w:rPr>
      <w:rFonts w:ascii="Times New Roman" w:hAnsi="Times New Roman" w:cs="Times New Roman"/>
    </w:rPr>
  </w:style>
  <w:style w:type="paragraph" w:styleId="1373" w:customStyle="1">
    <w:name w:val="索引标题1"/>
    <w:basedOn w:val="1011"/>
    <w:next w:val="1252"/>
    <w:qFormat/>
    <w:pPr>
      <w:ind w:left="0" w:firstLine="4608"/>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Char Char Char Char"/>
    <w:basedOn w:val="1011"/>
    <w:next w:val="1375"/>
    <w:qFormat/>
    <w:pPr>
      <w:ind w:left="0" w:firstLine="2560"/>
      <w:spacing w:before="0" w:after="0" w:line="240" w:lineRule="auto"/>
    </w:pPr>
    <w:rPr>
      <w:rFonts w:ascii="Times New Roman" w:hAnsi="Times New Roman" w:cs="Times New Roman"/>
    </w:rPr>
  </w:style>
  <w:style w:type="paragraph" w:styleId="1375" w:customStyle="1">
    <w:name w:val="1正文"/>
    <w:basedOn w:val="1011"/>
    <w:next w:val="1376"/>
    <w:qFormat/>
    <w:pPr>
      <w:ind w:left="480" w:firstLine="2784"/>
      <w:spacing w:before="0" w:after="0" w:line="300" w:lineRule="auto"/>
    </w:pPr>
    <w:rPr>
      <w:rFonts w:ascii="Times New Roman" w:hAnsi="Times New Roman" w:cs="Times New Roman"/>
    </w:rPr>
  </w:style>
  <w:style w:type="paragraph" w:styleId="1376" w:customStyle="1">
    <w:name w:val="目录2"/>
    <w:basedOn w:val="1011"/>
    <w:next w:val="1010"/>
    <w:qFormat/>
    <w:pPr>
      <w:ind w:left="209" w:firstLine="5329"/>
      <w:spacing w:before="0" w:after="0" w:line="317" w:lineRule="atLeast"/>
    </w:pPr>
    <w:rPr>
      <w:rFonts w:ascii="Times New Roman" w:hAnsi="Times New Roman" w:cs="Times New Roman"/>
    </w:rPr>
  </w:style>
  <w:style w:type="paragraph" w:styleId="1377" w:customStyle="1">
    <w:name w:val="图表目录1"/>
    <w:basedOn w:val="1011"/>
    <w:next w:val="1010"/>
    <w:qFormat/>
    <w:pPr>
      <w:ind w:left="200" w:firstLine="2616"/>
      <w:jc w:val="center"/>
      <w:spacing w:before="0" w:after="0" w:line="360" w:lineRule="auto"/>
    </w:pPr>
    <w:rPr>
      <w:rFonts w:ascii="Times New Roman" w:hAnsi="Times New Roman" w:cs="Times New Roman"/>
    </w:rPr>
  </w:style>
  <w:style w:type="paragraph" w:styleId="1378" w:customStyle="1">
    <w:name w:val="xl63"/>
    <w:basedOn w:val="1011"/>
    <w:next w:val="1328"/>
    <w:qFormat/>
    <w:pPr>
      <w:ind w:left="0" w:firstLine="5120"/>
      <w:spacing w:before="280" w:after="280" w:line="240" w:lineRule="auto"/>
    </w:pPr>
    <w:rPr>
      <w:rFonts w:ascii="Times New Roman" w:hAnsi="Times New Roman" w:cs="Times New Roman"/>
    </w:rPr>
  </w:style>
  <w:style w:type="paragraph" w:styleId="1379">
    <w:name w:val="List Paragraph"/>
    <w:basedOn w:val="1010"/>
    <w:next w:val="1286"/>
    <w:qFormat/>
    <w:pPr>
      <w:ind w:left="420" w:firstLine="3748"/>
    </w:pPr>
    <w:rPr>
      <w:rFonts w:ascii="Times New Roman" w:hAnsi="Times New Roman" w:cs="Times New Roman"/>
    </w:rPr>
  </w:style>
  <w:style w:type="paragraph" w:styleId="1380" w:customStyle="1">
    <w:name w:val="xl73"/>
    <w:basedOn w:val="1011"/>
    <w:next w:val="1381"/>
    <w:qFormat/>
    <w:pPr>
      <w:ind w:left="0" w:firstLine="3584"/>
      <w:spacing w:before="280" w:after="280" w:line="240" w:lineRule="auto"/>
    </w:pPr>
    <w:rPr>
      <w:rFonts w:ascii="Times New Roman" w:hAnsi="Times New Roman" w:cs="Times New Roman"/>
    </w:rPr>
  </w:style>
  <w:style w:type="paragraph" w:styleId="1381" w:customStyle="1">
    <w:name w:val="xl80"/>
    <w:basedOn w:val="1011"/>
    <w:next w:val="1382"/>
    <w:qFormat/>
    <w:pPr>
      <w:ind w:left="0" w:firstLine="3584"/>
      <w:jc w:val="center"/>
      <w:spacing w:before="280" w:after="280" w:line="240" w:lineRule="auto"/>
    </w:pPr>
    <w:rPr>
      <w:rFonts w:ascii="Times New Roman" w:hAnsi="Times New Roman" w:cs="Times New Roman"/>
    </w:rPr>
  </w:style>
  <w:style w:type="paragraph" w:styleId="1382" w:customStyle="1">
    <w:name w:val="样式2"/>
    <w:basedOn w:val="1016"/>
    <w:next w:val="1383"/>
    <w:qFormat/>
    <w:pPr>
      <w:ind w:left="1134" w:firstLine="18"/>
      <w:spacing w:before="0" w:after="0" w:line="360" w:lineRule="auto"/>
      <w:outlineLvl w:val="4"/>
    </w:pPr>
  </w:style>
  <w:style w:type="paragraph" w:styleId="1383" w:customStyle="1">
    <w:name w:val="日期1"/>
    <w:basedOn w:val="1011"/>
    <w:next w:val="1010"/>
    <w:qFormat/>
    <w:pPr>
      <w:ind w:left="100" w:firstLine="6144"/>
      <w:spacing w:before="0" w:after="0" w:line="240" w:lineRule="auto"/>
    </w:pPr>
    <w:rPr>
      <w:rFonts w:ascii="Times New Roman" w:hAnsi="Times New Roman" w:cs="Times New Roman"/>
    </w:rPr>
  </w:style>
  <w:style w:type="paragraph" w:styleId="1384" w:customStyle="1">
    <w:name w:val="图1"/>
    <w:basedOn w:val="1011"/>
    <w:next w:val="1010"/>
    <w:qFormat/>
    <w:pPr>
      <w:ind w:left="1105" w:firstLine="2580"/>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w:basedOn w:val="1011"/>
    <w:next w:val="1365"/>
    <w:qFormat/>
    <w:pPr>
      <w:ind w:left="0" w:firstLine="2560"/>
      <w:spacing w:before="0" w:after="0" w:line="240" w:lineRule="auto"/>
    </w:pPr>
    <w:rPr>
      <w:rFonts w:ascii="Times New Roman" w:hAnsi="Times New Roman" w:cs="Times New Roman"/>
    </w:rPr>
  </w:style>
  <w:style w:type="paragraph" w:styleId="1386" w:customStyle="1">
    <w:name w:val="Char Char Char Char Char Char Char"/>
    <w:basedOn w:val="1011"/>
    <w:next w:val="1271"/>
    <w:qFormat/>
    <w:pPr>
      <w:ind w:left="200" w:firstLine="4808"/>
      <w:spacing w:before="0" w:after="0" w:line="360" w:lineRule="auto"/>
    </w:pPr>
    <w:rPr>
      <w:rFonts w:ascii="Times New Roman" w:hAnsi="Times New Roman" w:cs="Times New Roman"/>
    </w:rPr>
  </w:style>
  <w:style w:type="paragraph" w:styleId="1387" w:customStyle="1">
    <w:name w:val="Char Char Char Char Char Char Char Char Char Char Char Char Char Char Char"/>
    <w:basedOn w:val="1011"/>
    <w:next w:val="1362"/>
    <w:qFormat/>
    <w:pPr>
      <w:ind w:left="0" w:firstLine="3584"/>
      <w:jc w:val="center"/>
      <w:spacing w:before="0" w:after="0" w:line="400" w:lineRule="exact"/>
    </w:pPr>
    <w:rPr>
      <w:rFonts w:ascii="Times New Roman" w:hAnsi="Times New Roman" w:cs="Times New Roman"/>
    </w:rPr>
  </w:style>
  <w:style w:type="paragraph" w:styleId="1388">
    <w:name w:val="Intense Quote"/>
    <w:next w:val="1010"/>
    <w:qFormat/>
    <w:pPr>
      <w:ind w:left="3766" w:right="950"/>
      <w:jc w:val="center"/>
      <w:spacing w:before="360" w:after="360"/>
    </w:pPr>
    <w:rPr>
      <w:rFonts w:ascii="Calibri" w:hAnsi="Calibri"/>
      <w:i/>
    </w:rPr>
  </w:style>
  <w:style w:type="paragraph" w:styleId="1389" w:customStyle="1">
    <w:name w:val="索引 51"/>
    <w:basedOn w:val="1011"/>
    <w:next w:val="101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1011"/>
    <w:next w:val="1391"/>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1011"/>
    <w:next w:val="1392"/>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1"/>
    <w:qFormat/>
    <w:pPr>
      <w:ind w:firstLine="2560"/>
      <w:jc w:val="center"/>
    </w:pPr>
    <w:rPr>
      <w:rFonts w:ascii="Calibri" w:hAnsi="Calibri"/>
    </w:rPr>
  </w:style>
  <w:style w:type="paragraph" w:styleId="1393" w:customStyle="1">
    <w:name w:val="修订2"/>
    <w:qFormat/>
    <w:rPr>
      <w:rFonts w:ascii="Calibri" w:hAnsi="Calibri"/>
    </w:rPr>
  </w:style>
  <w:style w:type="paragraph" w:styleId="1394" w:customStyle="1">
    <w:name w:val="Body"/>
    <w:next w:val="1326"/>
    <w:qFormat/>
    <w:pPr>
      <w:ind w:left="567" w:right="2835" w:firstLine="3584"/>
      <w:spacing w:after="60"/>
    </w:pPr>
    <w:rPr>
      <w:rFonts w:ascii="Calibri" w:hAnsi="Calibri"/>
    </w:rPr>
  </w:style>
  <w:style w:type="paragraph" w:styleId="1395" w:customStyle="1">
    <w:name w:val="font6"/>
    <w:basedOn w:val="1011"/>
    <w:next w:val="1396"/>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1023"/>
    <w:next w:val="1394"/>
    <w:qFormat/>
    <w:pPr>
      <w:ind w:left="200" w:firstLine="3784"/>
      <w:jc w:val="center"/>
      <w:spacing w:after="120" w:line="360" w:lineRule="auto"/>
    </w:pPr>
    <w:rPr>
      <w:rFonts w:ascii="Calibri" w:hAnsi="Calibri"/>
    </w:rPr>
  </w:style>
  <w:style w:type="paragraph" w:styleId="1397" w:customStyle="1">
    <w:name w:val="Char Char"/>
    <w:next w:val="1390"/>
    <w:qFormat/>
    <w:pPr>
      <w:ind w:firstLine="14"/>
      <w:spacing w:line="360" w:lineRule="auto"/>
      <w:shd w:val="clear" w:color="000000" w:fill="000080"/>
    </w:pPr>
    <w:rPr>
      <w:rFonts w:ascii="Calibri" w:hAnsi="Calibri"/>
    </w:rPr>
  </w:style>
  <w:style w:type="paragraph" w:styleId="1398" w:customStyle="1">
    <w:name w:val="正文_0_0"/>
    <w:next w:val="1230"/>
    <w:qFormat/>
    <w:pPr>
      <w:ind w:firstLine="3584"/>
      <w:jc w:val="both"/>
      <w:widowControl w:val="off"/>
    </w:pPr>
    <w:rPr>
      <w:rFonts w:ascii="Calibri" w:hAnsi="Calibri"/>
    </w:rPr>
  </w:style>
  <w:style w:type="paragraph" w:styleId="1399" w:customStyle="1">
    <w:name w:val="font7"/>
    <w:basedOn w:val="1011"/>
    <w:next w:val="140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1011"/>
    <w:next w:val="1401"/>
    <w:qFormat/>
    <w:pPr>
      <w:ind w:left="0" w:firstLine="2560"/>
      <w:spacing w:before="0" w:after="0" w:line="240" w:lineRule="auto"/>
    </w:pPr>
    <w:rPr>
      <w:rFonts w:ascii="Times New Roman" w:hAnsi="Times New Roman" w:cs="Times New Roman"/>
    </w:rPr>
  </w:style>
  <w:style w:type="paragraph" w:styleId="1401" w:customStyle="1">
    <w:name w:val="xl64"/>
    <w:basedOn w:val="1011"/>
    <w:next w:val="1368"/>
    <w:qFormat/>
    <w:pPr>
      <w:ind w:left="0" w:firstLine="3584"/>
      <w:spacing w:before="280" w:after="280" w:line="240" w:lineRule="auto"/>
    </w:pPr>
    <w:rPr>
      <w:rFonts w:ascii="Times New Roman" w:hAnsi="Times New Roman" w:cs="Times New Roman"/>
    </w:rPr>
  </w:style>
  <w:style w:type="paragraph" w:styleId="1402" w:customStyle="1">
    <w:name w:val="style16"/>
    <w:basedOn w:val="1011"/>
    <w:next w:val="1395"/>
    <w:qFormat/>
    <w:pPr>
      <w:ind w:left="0" w:firstLine="2048"/>
      <w:spacing w:before="280" w:after="280" w:line="240" w:lineRule="auto"/>
    </w:pPr>
    <w:rPr>
      <w:rFonts w:ascii="Times New Roman" w:hAnsi="Times New Roman" w:cs="Times New Roman"/>
    </w:rPr>
  </w:style>
  <w:style w:type="paragraph" w:styleId="1403" w:customStyle="1">
    <w:name w:val="索引 11"/>
    <w:basedOn w:val="1011"/>
    <w:next w:val="1010"/>
    <w:qFormat/>
    <w:pPr>
      <w:ind w:left="0" w:firstLine="3584"/>
      <w:spacing w:before="0" w:after="0" w:line="240" w:lineRule="auto"/>
    </w:pPr>
    <w:rPr>
      <w:rFonts w:ascii="Times New Roman" w:hAnsi="Times New Roman" w:cs="Times New Roman"/>
    </w:rPr>
  </w:style>
  <w:style w:type="paragraph" w:styleId="1404" w:customStyle="1">
    <w:name w:val="H 3"/>
    <w:basedOn w:val="1014"/>
    <w:next w:val="1405"/>
    <w:qFormat/>
    <w:pPr>
      <w:ind w:left="1429" w:firstLine="18"/>
      <w:spacing w:before="0" w:after="0" w:line="360" w:lineRule="auto"/>
      <w:outlineLvl w:val="2"/>
    </w:pPr>
  </w:style>
  <w:style w:type="paragraph" w:styleId="1405" w:customStyle="1">
    <w:name w:val="xl83"/>
    <w:basedOn w:val="1011"/>
    <w:next w:val="1386"/>
    <w:qFormat/>
    <w:pPr>
      <w:ind w:left="0" w:firstLine="5120"/>
      <w:spacing w:before="280" w:after="280" w:line="240" w:lineRule="auto"/>
    </w:pPr>
    <w:rPr>
      <w:rFonts w:ascii="Times New Roman" w:hAnsi="Times New Roman" w:cs="Times New Roman"/>
    </w:rPr>
  </w:style>
  <w:style w:type="paragraph" w:styleId="1406" w:customStyle="1">
    <w:name w:val="表格文字（居中）"/>
    <w:basedOn w:val="1011"/>
    <w:next w:val="1402"/>
    <w:qFormat/>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1011"/>
    <w:next w:val="1389"/>
    <w:qFormat/>
    <w:pPr>
      <w:ind w:left="200" w:firstLine="3784"/>
      <w:spacing w:before="0" w:after="0" w:line="360" w:lineRule="auto"/>
    </w:pPr>
    <w:rPr>
      <w:rFonts w:ascii="Times New Roman" w:hAnsi="Times New Roman" w:cs="Times New Roman"/>
    </w:rPr>
  </w:style>
  <w:style w:type="paragraph" w:styleId="1408" w:customStyle="1">
    <w:name w:val="1"/>
    <w:basedOn w:val="1011"/>
    <w:next w:val="1045"/>
    <w:qFormat/>
    <w:pPr>
      <w:ind w:left="0" w:firstLine="2048"/>
      <w:spacing w:before="0" w:after="0" w:line="240" w:lineRule="auto"/>
    </w:pPr>
    <w:rPr>
      <w:rFonts w:ascii="Times New Roman" w:hAnsi="Times New Roman" w:cs="Times New Roman"/>
    </w:rPr>
  </w:style>
  <w:style w:type="paragraph" w:styleId="1409" w:customStyle="1">
    <w:name w:val="_Style 398"/>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1010"/>
    <w:uiPriority w:val="1"/>
    <w:qFormat/>
    <w:rPr>
      <w:rFonts w:ascii="宋体" w:hAnsi="宋体"/>
      <w:lang w:val="zh-CN" w:bidi="zh-CN"/>
    </w:rPr>
  </w:style>
  <w:style w:type="paragraph" w:styleId="1411" w:customStyle="1">
    <w:name w:val="_Style 400"/>
    <w:qFormat/>
    <w:rPr>
      <w:rFonts w:ascii="Calibri" w:hAnsi="Calibri"/>
    </w:rPr>
  </w:style>
  <w:style w:type="paragraph" w:styleId="1412" w:customStyle="1">
    <w:name w:val="Style1"/>
    <w:basedOn w:val="1010"/>
    <w:qFormat/>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1011"/>
    <w:next w:val="1278"/>
    <w:qFormat/>
    <w:pPr>
      <w:ind w:left="420" w:firstLine="3748"/>
      <w:spacing w:before="0" w:after="0" w:line="240" w:lineRule="auto"/>
    </w:pPr>
    <w:rPr>
      <w:rFonts w:ascii="Times New Roman" w:hAnsi="Times New Roman" w:cs="Times New Roman"/>
    </w:rPr>
  </w:style>
  <w:style w:type="paragraph" w:styleId="1414" w:customStyle="1">
    <w:name w:val="Char1 Char Char Char"/>
    <w:basedOn w:val="1011"/>
    <w:next w:val="1415"/>
    <w:qFormat/>
    <w:pPr>
      <w:ind w:left="0" w:firstLine="2560"/>
      <w:spacing w:before="0" w:after="0" w:line="240" w:lineRule="auto"/>
    </w:pPr>
    <w:rPr>
      <w:rFonts w:ascii="Times New Roman" w:hAnsi="Times New Roman" w:cs="Times New Roman"/>
    </w:rPr>
  </w:style>
  <w:style w:type="paragraph" w:styleId="1415" w:customStyle="1">
    <w:name w:val="xl24"/>
    <w:basedOn w:val="1011"/>
    <w:next w:val="1360"/>
    <w:qFormat/>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4"/>
    <w:qFormat/>
    <w:pPr>
      <w:ind w:firstLine="3584"/>
    </w:pPr>
    <w:rPr>
      <w:rFonts w:ascii="Calibri" w:hAnsi="Calibri"/>
    </w:rPr>
  </w:style>
  <w:style w:type="paragraph" w:styleId="1417" w:customStyle="1">
    <w:name w:val="xl72"/>
    <w:basedOn w:val="1011"/>
    <w:next w:val="1273"/>
    <w:qFormat/>
    <w:pPr>
      <w:ind w:left="0" w:firstLine="3584"/>
      <w:spacing w:before="280" w:after="280" w:line="240" w:lineRule="auto"/>
    </w:pPr>
    <w:rPr>
      <w:rFonts w:ascii="Times New Roman" w:hAnsi="Times New Roman" w:cs="Times New Roman"/>
    </w:rPr>
  </w:style>
  <w:style w:type="paragraph" w:styleId="1418" w:customStyle="1">
    <w:name w:val="插图"/>
    <w:next w:val="1010"/>
    <w:qFormat/>
    <w:pPr>
      <w:ind w:firstLine="4608"/>
      <w:jc w:val="center"/>
    </w:pPr>
    <w:rPr>
      <w:rFonts w:ascii="Calibri" w:hAnsi="Calibri"/>
    </w:rPr>
  </w:style>
  <w:style w:type="paragraph" w:styleId="1419" w:customStyle="1">
    <w:name w:val="列出段落3"/>
    <w:basedOn w:val="1011"/>
    <w:next w:val="1313"/>
    <w:qFormat/>
    <w:pPr>
      <w:ind w:left="420" w:firstLine="3748"/>
      <w:spacing w:before="0" w:after="0" w:line="240" w:lineRule="auto"/>
    </w:pPr>
    <w:rPr>
      <w:rFonts w:ascii="Times New Roman" w:hAnsi="Times New Roman" w:cs="Times New Roman"/>
    </w:rPr>
  </w:style>
  <w:style w:type="paragraph" w:styleId="1420" w:customStyle="1">
    <w:name w:val="目录标题"/>
    <w:basedOn w:val="1011"/>
    <w:next w:val="1010"/>
    <w:qFormat/>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1011"/>
    <w:next w:val="1316"/>
    <w:qFormat/>
    <w:pPr>
      <w:ind w:left="0" w:firstLine="2560"/>
      <w:spacing w:before="0" w:after="0" w:line="240" w:lineRule="auto"/>
    </w:pPr>
    <w:rPr>
      <w:rFonts w:ascii="Times New Roman" w:hAnsi="Times New Roman" w:cs="Times New Roman"/>
    </w:rPr>
  </w:style>
  <w:style w:type="paragraph" w:styleId="1422" w:customStyle="1">
    <w:name w:val="WPSOffice手动目录 2"/>
    <w:qFormat/>
    <w:pPr>
      <w:ind w:left="200"/>
    </w:pPr>
  </w:style>
  <w:style w:type="paragraph" w:styleId="1423" w:customStyle="1">
    <w:name w:val="表内文字"/>
    <w:basedOn w:val="1011"/>
    <w:next w:val="1053"/>
    <w:qFormat/>
    <w:pPr>
      <w:ind w:left="0" w:firstLine="7680"/>
      <w:jc w:val="center"/>
      <w:spacing w:before="50" w:after="50" w:line="240" w:lineRule="auto"/>
    </w:pPr>
    <w:rPr>
      <w:rFonts w:ascii="Times New Roman" w:hAnsi="Times New Roman" w:cs="Times New Roman"/>
    </w:rPr>
  </w:style>
  <w:style w:type="paragraph" w:styleId="1424" w:customStyle="1">
    <w:name w:val="xl66"/>
    <w:basedOn w:val="1011"/>
    <w:next w:val="1406"/>
    <w:qFormat/>
    <w:pPr>
      <w:ind w:left="0" w:firstLine="3584"/>
      <w:spacing w:before="280" w:after="280" w:line="240" w:lineRule="auto"/>
    </w:pPr>
    <w:rPr>
      <w:rFonts w:ascii="Times New Roman" w:hAnsi="Times New Roman" w:cs="Times New Roman"/>
    </w:rPr>
  </w:style>
  <w:style w:type="paragraph" w:styleId="1425" w:customStyle="1">
    <w:name w:val="*正文"/>
    <w:basedOn w:val="101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1011"/>
    <w:next w:val="1319"/>
    <w:qFormat/>
    <w:pPr>
      <w:ind w:left="0" w:firstLine="2815"/>
      <w:spacing w:before="0" w:after="0" w:line="360" w:lineRule="auto"/>
    </w:pPr>
    <w:rPr>
      <w:rFonts w:ascii="Times New Roman" w:hAnsi="Times New Roman" w:cs="Times New Roman"/>
    </w:rPr>
  </w:style>
  <w:style w:type="table" w:styleId="1427" w:customStyle="1">
    <w:name w:val="网格型1"/>
    <w:basedOn w:val="102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qFormat/>
    <w:rPr>
      <w:rFonts w:hint="default" w:ascii="Times New Roman" w:hAnsi="Times New Roman" w:cs="Times New Roman"/>
      <w:b/>
      <w:bCs/>
      <w:color w:val="000000"/>
      <w:sz w:val="24"/>
      <w:szCs w:val="24"/>
      <w:u w:val="none"/>
    </w:rPr>
  </w:style>
  <w:style w:type="table" w:styleId="1429"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25E7612-ECFB-4A50-A5E6-62EE8D9308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373</cp:revision>
  <dcterms:created xsi:type="dcterms:W3CDTF">2023-12-20T13:18:00Z</dcterms:created>
  <dcterms:modified xsi:type="dcterms:W3CDTF">2026-06-22T01:06:59Z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