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60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南通高新区2026年桥梁检测项目</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JSZC-320612-HSGL-G2026-0035 </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77"/>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7"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590800" cy="1990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854498" name=""/>
                              <pic:cNvPicPr>
                                <a:picLocks noChangeAspect="1"/>
                              </pic:cNvPicPr>
                              <pic:nvPr/>
                            </pic:nvPicPr>
                            <pic:blipFill>
                              <a:blip/>
                              <a:stretch/>
                            </pic:blipFill>
                            <pic:spPr bwMode="auto">
                              <a:xfrm>
                                <a:off x="0" y="0"/>
                                <a:ext cx="2590799" cy="1990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4.0pt;height:156.8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南通高新技术产业开发区招商服务中心</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二〇二六年七月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791165"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3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3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3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3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3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33"/>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9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受[南通高新技术产业开发区招商服务中心]的委托，江苏衡晟项目管理咨询有限公司就[南通高新区2026年桥梁检测项目]进行公开招标采购，欢迎符合条件的供应商投标。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南通高新区2026年桥梁检测项目</w:t>
      </w:r>
      <w:r>
        <w:rPr>
          <w:rFonts w:ascii="SimSun" w:hAnsi="SimSun" w:eastAsia="SimSun" w:cs="SimSun"/>
          <w:color w:val="000000"/>
          <w:sz w:val="24"/>
        </w:rPr>
        <w:t xml:space="preserve">招标项目的潜在投标人可</w:t>
      </w:r>
      <w:r>
        <w:rPr>
          <w:rFonts w:ascii="SimSun" w:hAnsi="SimSun" w:eastAsia="SimSun" w:cs="SimSun"/>
          <w:color w:val="000000"/>
          <w:sz w:val="24"/>
          <w:u w:val="single"/>
        </w:rPr>
        <w:t xml:space="preserve">在“江苏政府采购网”自行免费下载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2026年 7 月 30 日 9点00分（</w:t>
      </w:r>
      <w:r>
        <w:rPr>
          <w:rFonts w:ascii="SimSun" w:hAnsi="SimSun" w:eastAsia="SimSun" w:cs="SimSun"/>
          <w:color w:val="000000"/>
          <w:sz w:val="24"/>
        </w:rPr>
        <w:t xml:space="preserve">北京时间）前递交投标文件。</w:t>
      </w:r>
      <w:r/>
    </w:p>
    <w:p>
      <w:pPr>
        <w:pStyle w:val="70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1.项目编号：JSZC-320612-HSGL-G2026-0035</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2.项目名称：南通高新区2026年桥梁检测项目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3.预算金额：本项目采购预算为人民币约160万元。资金来源为高新区财政资金。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4.本项目设定最高限价：人民币160万元(含检测过程发生的所有费用及专家评审费），实际工作量根据现场检测和取样试验工程量，乙方提供工程检测清单。投标报价超过最高限价的投标将作为无效投标处理。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5.采购需求：对高新区86座桥梁进行桥梁健康状况评定，开展经常性巡查、常规性检测等工作（含2年的桥梁巡查、平台信息报送）。具体检测内容详见第四章项目需求。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个月检测并出具专家评审报告</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个月巡查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pacing w:val="7"/>
          <w:sz w:val="24"/>
        </w:rPr>
        <w:t xml:space="preserve">质量要求：</w:t>
      </w:r>
      <w:r>
        <w:rPr>
          <w:rFonts w:ascii="SimSun" w:hAnsi="SimSun" w:eastAsia="SimSun" w:cs="SimSun"/>
          <w:color w:val="000000"/>
          <w:sz w:val="24"/>
        </w:rPr>
        <w:t xml:space="preserve">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8、本项目是否专门面向中小企业：否。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9、项目类型：服务。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10、所属行业：其他未列明行业。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11、本项目是否接受联合体投标：不接受。</w:t>
      </w:r>
      <w:r/>
    </w:p>
    <w:p>
      <w:pPr>
        <w:pStyle w:val="70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①本项目对小型和微型企业给予10%的扣除价格，用扣除后的价格参与评审。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（7）、专门面向中小企业采购的项目或者采购包，不再执行价格评审优惠的扶持政策。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具有国家行政主管部门颁发的公路工程试验检测综合甲级或公路工程桥梁隧道工程专项检测资质或省级及以上建设行政主管部门颁发的建设工程质量检测综合资质或建设工程质量检测专项资质（桥梁及地下工程）（能力表含有“桥梁结构与构件”），具有有效的省级或以上质量技术监督部门颁发的具备CMA标识的检验检测机构资质认定证书。</w:t>
      </w:r>
      <w:r/>
    </w:p>
    <w:p>
      <w:pPr>
        <w:pStyle w:val="70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70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2026年 7 月 30 日9点00 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w:t>
      </w:r>
      <w:r>
        <w:rPr>
          <w:rFonts w:ascii="SimSun" w:hAnsi="SimSun" w:eastAsia="SimSun" w:cs="SimSun"/>
          <w:color w:val="000000"/>
          <w:sz w:val="24"/>
          <w:u w:val="single"/>
        </w:rPr>
        <w:t xml:space="preserve">点：“苏采云”政府采购交易系统网上开标大厅。</w:t>
      </w:r>
      <w:r/>
    </w:p>
    <w:p>
      <w:pPr>
        <w:pStyle w:val="70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70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70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南通高新技术产业开发区招商服务中心 </w:t>
      </w:r>
      <w:r>
        <w:rPr>
          <w:rFonts w:ascii="SimSun" w:hAnsi="SimSun" w:eastAsia="SimSun" w:cs="SimSun"/>
          <w:color w:val="000000"/>
          <w:sz w:val="24"/>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赵先生联系电话：0513-86028906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高先生15106289000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3、交易系统软件维护人员：0519-86722801、0519-86722806</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70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投标人应自行承担所有与参加投标有关的费用，无论投标过程中的做法和结果如何，招标人和招标代理在任何情况下均无义务和责任承担这些费用。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4.2本次招标交易中心和采购人不收取标书工本费与中标服务费。</w:t>
      </w:r>
      <w:r/>
    </w:p>
    <w:p>
      <w:pPr>
        <w:ind w:left="72" w:right="30" w:firstLine="0"/>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4.3本项目招标代理费为人民币6760元，由中标供应商代为支付，投标报价时综合考虑。</w:t>
      </w:r>
      <w:r/>
    </w:p>
    <w:p>
      <w:pPr>
        <w:pStyle w:val="704"/>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702"/>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请仔细检查招标文件是否齐全，如有缺漏请立即与采购人或采购代理联系解决。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前按招标公告中的通讯地址，以书面形式通知招标人或代理机构。</w:t>
      </w:r>
      <w:r/>
    </w:p>
    <w:p>
      <w:pPr>
        <w:pStyle w:val="70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在投标截止时间前，招标人和招标代理可以对招标文件进行修改。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招标人和招标代理有权按照法定的要求推迟投标截止日期和开标日期。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70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70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投标人提交的投标文件以及投标人与交易中心就有关投标的所有来往通知、函件和文件均应使用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投标有效期为交易中心规定的开标之日后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同时受投标有效期约束的所有权利与义务均延长至新的有效期。</w:t>
      </w:r>
      <w:r/>
    </w:p>
    <w:p>
      <w:pPr>
        <w:pStyle w:val="70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704"/>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17.2中标单位在在中标结果公示结束并经确认后，提供叁份相同的和网上投标文件一致的投标文件（加盖投标单位公章）及不加密电子投标文件（U盘一份）送给招标人或采购代理机构，办领中标通知书，不提供不得办领中标通知书。</w:t>
      </w:r>
      <w:r/>
    </w:p>
    <w:p>
      <w:pPr>
        <w:pStyle w:val="704"/>
        <w:ind w:left="0" w:right="0" w:firstLine="420"/>
        <w:jc w:val="both"/>
        <w:spacing w:before="280" w:after="290" w:line="43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18</w:t>
      </w:r>
      <w:r>
        <w:rPr>
          <w:rFonts w:ascii="SimHei" w:hAnsi="SimHei" w:eastAsia="SimHei" w:cs="SimHei"/>
          <w:b/>
          <w:color w:val="000000"/>
          <w:sz w:val="28"/>
        </w:rPr>
        <w:t xml:space="preserve">、投标截止时间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70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开标后，招标人和招标代理将立即组织评标委员会（以下简称评委会）进行评标。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招标人和招标代理和评标委员会不向未中标的投标人解释未中标原因，也不公布评标过程中的相关细节。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未通过资格审查或符合性审查的投标人，招标人和招标代理将在苏采云系统中告知未通过资格审查或符合性审查的原因，评标结束后，招标人和招标代理将不再告知未通过资格审查和符合性审查的原因。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25.6投标人在开、评标全过程中应保持通讯畅通，及时登录苏采云系统查阅、答复相关信息，并安排专人与招标人或招标代理联系。</w:t>
      </w:r>
      <w:r/>
    </w:p>
    <w:p>
      <w:pPr>
        <w:pStyle w:val="704"/>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702"/>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70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招标人和招标代理将在“江苏政府采购网”发布中标公告，公告期限为1个工作日。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27.4.2向采购人、交易中心行贿或者提供其他不正当利益的。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70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采购人或采购代理收到质疑函后，将对质疑的形式和内容进行审查，如质疑函内容、格式不符合规定，采购人或采购代理将告知质疑人进行补正。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质疑人应当在法定质疑期限内进行补正并重新提交质疑函，拒不补正或者在法定期限内未重新提交质疑函的，为无效质疑，采购人或采购代理有权不予受理。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0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02"/>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70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70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4"/>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提交的履约保证金为人民币壹万元整。以银行汇票或现金支票或银行保函（必须为公司基本账户开户行出具的见索即付保函）形式在签订合同前交纳。招标人账户信息：南通高新技术产业开发区财政局，账号：32001647454052501495，开户银行：建行银河路支行。投标人在收到中标通知书后，须在签订合同前向招标人足额提交履约保证金，否则招标人可以取消其中标资格。履约保证金用以约束成交供应商在合同履行中的行为，弥补合同执行中由于自身行为可能给采购人带来的各种损失。</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在合同履行结束后退还；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9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9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 目 名 称：</w:t>
      </w:r>
      <w:r>
        <w:rPr>
          <w:rFonts w:ascii="SimSun" w:hAnsi="SimSun" w:eastAsia="SimSun" w:cs="SimSun"/>
          <w:color w:val="000000"/>
          <w:sz w:val="30"/>
          <w:u w:val="single"/>
        </w:rPr>
        <w:t xml:space="preserve">南通高新区2026年桥梁检测项目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甲 方：南通高新技术产业开发区招商服务中心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10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乙 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签订日期：</w:t>
      </w:r>
      <w:r>
        <w:rPr>
          <w:rFonts w:ascii="SimSun" w:hAnsi="SimSun" w:eastAsia="SimSun" w:cs="SimSun"/>
          <w:color w:val="000000"/>
          <w:sz w:val="30"/>
          <w:u w:val="single"/>
        </w:rPr>
        <w:t xml:space="preserve">         年    月    日 </w:t>
      </w:r>
      <w:r>
        <w:rPr>
          <w:rFonts w:ascii="SimSun" w:hAnsi="SimSun" w:eastAsia="SimSun" w:cs="SimSu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single"/>
        </w:rPr>
        <w:t xml:space="preserve"> </w:t>
      </w:r>
      <w:r/>
    </w:p>
    <w:p>
      <w:pPr>
        <w:ind w:left="0" w:right="0" w:firstLine="4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发包人（甲方） (全称)：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承包人（乙方） (全称)：</w:t>
      </w:r>
      <w:r>
        <w:rPr>
          <w:rFonts w:ascii="SimSun" w:hAnsi="SimSun" w:eastAsia="SimSun" w:cs="SimSun"/>
          <w:color w:val="000000"/>
          <w:sz w:val="21"/>
          <w:u w:val="single"/>
        </w:rPr>
        <w:t xml:space="preserve">                        </w:t>
      </w:r>
      <w:r/>
    </w:p>
    <w:p>
      <w:pPr>
        <w:ind w:left="0" w:right="0" w:firstLine="40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本合同甲方委托乙方就</w:t>
      </w:r>
      <w:r>
        <w:rPr>
          <w:rFonts w:ascii="SimSun" w:hAnsi="SimSun" w:eastAsia="SimSun" w:cs="SimSun"/>
          <w:color w:val="000000"/>
          <w:sz w:val="21"/>
          <w:u w:val="single"/>
        </w:rPr>
        <w:t xml:space="preserve">                                 </w:t>
      </w:r>
      <w:r>
        <w:rPr>
          <w:rFonts w:ascii="SimSun" w:hAnsi="SimSun" w:eastAsia="SimSun" w:cs="SimSun"/>
          <w:color w:val="000000"/>
          <w:sz w:val="21"/>
        </w:rPr>
        <w:t xml:space="preserve">进行工程检测服务，并支付相应的检测服务报酬。</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双方经过平等协商，在真实、充分地表达各自意愿的基础上，根据《中华人民共和国民法典》的规定，达成如下协议，并由双方共同恪守。</w:t>
      </w:r>
      <w:r/>
    </w:p>
    <w:p>
      <w:pPr>
        <w:numPr>
          <w:ilvl w:val="0"/>
          <w:numId w:val="34"/>
        </w:numPr>
        <w:jc w:val="both"/>
        <w:spacing w:before="0" w:after="0" w:line="479" w:lineRule="atLeast"/>
        <w:tabs>
          <w:tab w:val="left" w:pos="720" w:leader="none"/>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甲方委托乙方进行技术服务的内容如下：</w:t>
      </w:r>
      <w:r/>
    </w:p>
    <w:p>
      <w:pPr>
        <w:ind w:left="-359" w:right="0" w:firstLine="630"/>
        <w:jc w:val="both"/>
        <w:spacing w:before="0" w:after="0" w:line="479" w:lineRule="atLeast"/>
        <w:tabs>
          <w:tab w:val="left" w:pos="1035" w:leader="none"/>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1、技术服务的目标：</w:t>
      </w:r>
      <w:r/>
    </w:p>
    <w:p>
      <w:pPr>
        <w:pStyle w:val="704"/>
        <w:ind w:left="0" w:right="0" w:firstLine="422"/>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受甲方委托，按规范完成指定桥梁检查评定，出具真实、科学、准确、公正的检测报告，为甲方工程监管提供科学依据和技术咨询，并形成检测评定报告，录入管理系统，通过南通高新技术产业开发区招商服务中心的验收，保证系统正常使用；</w:t>
      </w:r>
      <w:r/>
    </w:p>
    <w:p>
      <w:pPr>
        <w:ind w:left="-359"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2、技术服务要求：</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a 按投标文件配备具有相应资格和技术水平的检查评定人员；</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b 按投标文件配备检查设备；</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C根据《城市桥梁养护技术标准》CJJ99-2017对桥梁技术健康状况进行评定并录入系统。</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d提供符合国家标准及行业标准的工程检测报告及评定报告，并负责组织专家评审会对结果进行评审。</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w:t>
      </w:r>
      <w:r>
        <w:rPr>
          <w:rFonts w:ascii="SimSun" w:hAnsi="SimSun" w:eastAsia="SimSun" w:cs="SimSun"/>
          <w:color w:val="000000"/>
          <w:sz w:val="21"/>
        </w:rPr>
        <w:t xml:space="preserve"> 乙方应当按下列要求完成技术服务工作：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1．服务地点：</w:t>
      </w:r>
      <w:r>
        <w:rPr>
          <w:rFonts w:ascii="SimSun" w:hAnsi="SimSun" w:eastAsia="SimSun" w:cs="SimSun"/>
          <w:b/>
          <w:color w:val="000000"/>
          <w:sz w:val="21"/>
          <w:u w:val="single"/>
        </w:rPr>
        <w:t xml:space="preserve">本合同项目工程工地。</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2．服务期限：</w:t>
      </w:r>
      <w:r>
        <w:rPr>
          <w:rFonts w:ascii="SimSun" w:hAnsi="SimSun" w:eastAsia="SimSun" w:cs="SimSun"/>
          <w:b/>
          <w:color w:val="000000"/>
          <w:sz w:val="21"/>
          <w:u w:val="single"/>
        </w:rPr>
        <w:t xml:space="preserve">30个月(6个月检测并出具专家评审报告+24个月巡查)。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3．服务进度：</w:t>
      </w:r>
      <w:r>
        <w:rPr>
          <w:rFonts w:ascii="SimSun" w:hAnsi="SimSun" w:eastAsia="SimSun" w:cs="SimSun"/>
          <w:b/>
          <w:color w:val="000000"/>
          <w:sz w:val="21"/>
          <w:u w:val="single"/>
        </w:rPr>
        <w:t xml:space="preserve">按甲方进度要求。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4．质量要求：</w:t>
      </w:r>
      <w:r>
        <w:rPr>
          <w:rFonts w:ascii="SimSun" w:hAnsi="SimSun" w:eastAsia="SimSun" w:cs="SimSun"/>
          <w:b/>
          <w:color w:val="000000"/>
          <w:sz w:val="21"/>
          <w:u w:val="single"/>
        </w:rPr>
        <w:t xml:space="preserve">符合国家、省市相关规范。通过专家评审会评审后，签署合格的所有桥梁检测评估报告。</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w:t>
      </w:r>
      <w:r>
        <w:rPr>
          <w:rFonts w:ascii="SimSun" w:hAnsi="SimSun" w:eastAsia="SimSun" w:cs="SimSun"/>
          <w:color w:val="000000"/>
          <w:sz w:val="21"/>
        </w:rPr>
        <w:t xml:space="preserve"> 为保证乙方有效进行技术服务工作，甲方应当向乙方提供下列工作条件和协作事项：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1．提供技术资料：</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① 本合同项目相关技术及管理文件；相关图纸。</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2．提供工作条件：</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① 指定委托人及联系人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c0c0c"/>
          <w:sz w:val="24"/>
          <w:u w:val="single"/>
        </w:rPr>
        <w:t xml:space="preserve">试验检测所需的交通工具和其他配套设施由乙方自行解决；检测过程中所发生的人员、机械、第三者等安全问题由乙方负责。</w:t>
      </w:r>
      <w:r/>
    </w:p>
    <w:p>
      <w:pPr>
        <w:ind w:left="0" w:right="0" w:firstLine="3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  甲方向乙方支付技术服务报酬及支付方式为：</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1．技术服务报酬：</w:t>
      </w:r>
      <w:r/>
    </w:p>
    <w:p>
      <w:pPr>
        <w:ind w:left="0" w:right="0" w:firstLine="42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合同形式：固定总价方式</w:t>
      </w:r>
      <w:r/>
    </w:p>
    <w:p>
      <w:pPr>
        <w:ind w:left="0" w:right="0" w:firstLine="42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合同价计人民币：万元</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2．具体支付方式和时间如下：</w:t>
      </w:r>
      <w:r/>
    </w:p>
    <w:p>
      <w:pPr>
        <w:ind w:left="0" w:right="0" w:firstLine="510"/>
        <w:jc w:val="both"/>
        <w:spacing w:before="0" w:after="0" w:line="479" w:lineRule="atLeast"/>
        <w:tabs>
          <w:tab w:val="left" w:pos="81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①</w:t>
      </w:r>
      <w:r>
        <w:rPr>
          <w:rFonts w:ascii="SimSun" w:hAnsi="SimSun" w:eastAsia="SimSun" w:cs="SimSun"/>
          <w:b/>
          <w:color w:val="0c0c0c"/>
          <w:sz w:val="24"/>
          <w:u w:val="single"/>
        </w:rPr>
        <w:t xml:space="preserve"> 完成所有检测工作，提供有效的检测报告并通过专家评审后支付至合同价的60%，评审通过后1年支付至合同价的95%，专家评审通过满2年付清</w:t>
      </w:r>
      <w:r>
        <w:rPr>
          <w:rFonts w:ascii="SimSun" w:hAnsi="SimSun" w:eastAsia="SimSun" w:cs="SimSun"/>
          <w:b/>
          <w:color w:val="000000"/>
          <w:sz w:val="21"/>
          <w:u w:val="single"/>
        </w:rPr>
        <w:t xml:space="preserve">。</w:t>
      </w:r>
      <w:r/>
    </w:p>
    <w:p>
      <w:pPr>
        <w:ind w:left="0" w:right="0" w:firstLine="510"/>
        <w:jc w:val="both"/>
        <w:spacing w:before="0" w:after="0" w:line="479" w:lineRule="atLeast"/>
        <w:tabs>
          <w:tab w:val="left" w:pos="81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② 支付时乙方必须提供税务发票，否则甲方有权拒付。</w:t>
      </w:r>
      <w:r/>
    </w:p>
    <w:p>
      <w:pPr>
        <w:ind w:left="0" w:right="0" w:firstLine="3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  双方确定在履行本合同期间应遵守的保密义务如下：</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1．保密内容(包括技术信息和经营信息)：</w:t>
      </w:r>
      <w:r>
        <w:rPr>
          <w:rFonts w:ascii="SimSun" w:hAnsi="SimSun" w:eastAsia="SimSun" w:cs="SimSun"/>
          <w:b/>
          <w:color w:val="000000"/>
          <w:sz w:val="21"/>
          <w:u w:val="single"/>
        </w:rPr>
        <w:t xml:space="preserve">专利技术。</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2．涉密人员范围：</w:t>
      </w:r>
      <w:r>
        <w:rPr>
          <w:rFonts w:ascii="SimSun" w:hAnsi="SimSun" w:eastAsia="SimSun" w:cs="SimSun"/>
          <w:b/>
          <w:color w:val="000000"/>
          <w:sz w:val="21"/>
          <w:u w:val="single"/>
        </w:rPr>
        <w:t xml:space="preserve">相关人员。</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3．保密期限：</w:t>
      </w:r>
      <w:r>
        <w:rPr>
          <w:rFonts w:ascii="SimSun" w:hAnsi="SimSun" w:eastAsia="SimSun" w:cs="SimSun"/>
          <w:b/>
          <w:color w:val="000000"/>
          <w:sz w:val="21"/>
          <w:u w:val="single"/>
        </w:rPr>
        <w:t xml:space="preserve">该工程档案保存期限。</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4．泄密责任：</w:t>
      </w:r>
      <w:r>
        <w:rPr>
          <w:rFonts w:ascii="SimSun" w:hAnsi="SimSun" w:eastAsia="SimSun" w:cs="SimSun"/>
          <w:b/>
          <w:color w:val="000000"/>
          <w:sz w:val="21"/>
          <w:u w:val="single"/>
        </w:rPr>
        <w:t xml:space="preserve">按国家现行有效法律执行 。</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1．保密内容(包括技术信息和经营信息)：</w:t>
      </w:r>
      <w:r>
        <w:rPr>
          <w:rFonts w:ascii="SimSun" w:hAnsi="SimSun" w:eastAsia="SimSun" w:cs="SimSun"/>
          <w:b/>
          <w:color w:val="000000"/>
          <w:sz w:val="21"/>
          <w:u w:val="single"/>
        </w:rPr>
        <w:t xml:space="preserve">甲方规定的内容</w:t>
      </w:r>
      <w:r>
        <w:rPr>
          <w:rFonts w:ascii="SimSun" w:hAnsi="SimSun" w:eastAsia="SimSun" w:cs="SimSun"/>
          <w:color w:val="000000"/>
          <w:sz w:val="21"/>
        </w:rPr>
        <w:t xml:space="preserve">：包括并不限定于</w:t>
      </w:r>
      <w:r>
        <w:rPr>
          <w:rFonts w:ascii="SimSun" w:hAnsi="SimSun" w:eastAsia="SimSun" w:cs="SimSun"/>
          <w:b/>
          <w:color w:val="000000"/>
          <w:sz w:val="21"/>
          <w:u w:val="single"/>
        </w:rPr>
        <w:t xml:space="preserve">甲方提供的所有技术资料、管理文件、桥梁相关图纸、运营数据，以及乙方在履行本合同过程中获取的所有检测数据、成果报告、甲方内部管理信息等全部未公开信息。</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2．涉密人员范围：</w:t>
      </w:r>
      <w:r>
        <w:rPr>
          <w:rFonts w:ascii="SimSun" w:hAnsi="SimSun" w:eastAsia="SimSun" w:cs="SimSun"/>
          <w:b/>
          <w:color w:val="000000"/>
          <w:sz w:val="21"/>
          <w:u w:val="single"/>
        </w:rPr>
        <w:t xml:space="preserve">所有参与本项目的乙方工作人员。</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3．保密期限：</w:t>
      </w:r>
      <w:r>
        <w:rPr>
          <w:rFonts w:ascii="SimSun" w:hAnsi="SimSun" w:eastAsia="SimSun" w:cs="SimSun"/>
          <w:b/>
          <w:color w:val="000000"/>
          <w:sz w:val="21"/>
          <w:u w:val="single"/>
        </w:rPr>
        <w:t xml:space="preserve">永久，非经甲方书面同意不得解密。</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4．泄密责任：</w:t>
      </w:r>
      <w:r>
        <w:rPr>
          <w:rFonts w:ascii="SimSun" w:hAnsi="SimSun" w:eastAsia="SimSun" w:cs="SimSun"/>
          <w:b/>
          <w:color w:val="000000"/>
          <w:sz w:val="21"/>
          <w:u w:val="single"/>
        </w:rPr>
        <w:t xml:space="preserve">按国家现行有效法律执行 。</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  本合同的变更必须由双方协商一致，并以书面形式确定。</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  双方确定：</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1．在本合同有效期内，甲方利用乙方提交的技术服务工作成果所完成的新的技术成果，归</w:t>
      </w:r>
      <w:r>
        <w:rPr>
          <w:rFonts w:ascii="SimSun" w:hAnsi="SimSun" w:eastAsia="SimSun" w:cs="SimSun"/>
          <w:b/>
          <w:color w:val="000000"/>
          <w:sz w:val="24"/>
          <w:u w:val="single"/>
        </w:rPr>
        <w:t xml:space="preserve">甲方单独</w:t>
      </w:r>
      <w:r>
        <w:rPr>
          <w:rFonts w:ascii="SimSun" w:hAnsi="SimSun" w:eastAsia="SimSun" w:cs="SimSun"/>
          <w:color w:val="000000"/>
          <w:sz w:val="21"/>
        </w:rPr>
        <w:t xml:space="preserve">所有。</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2．在本合同有效期内，乙方利用甲方提供的技术资料和工作条件所完成的新的技术成果，归</w:t>
      </w:r>
      <w:r>
        <w:rPr>
          <w:rFonts w:ascii="SimSun" w:hAnsi="SimSun" w:eastAsia="SimSun" w:cs="SimSun"/>
          <w:b/>
          <w:color w:val="000000"/>
          <w:sz w:val="24"/>
          <w:u w:val="single"/>
        </w:rPr>
        <w:t xml:space="preserve">甲方单独</w:t>
      </w:r>
      <w:r>
        <w:rPr>
          <w:rFonts w:ascii="SimSun" w:hAnsi="SimSun" w:eastAsia="SimSun" w:cs="SimSun"/>
          <w:color w:val="000000"/>
          <w:sz w:val="21"/>
        </w:rPr>
        <w:t xml:space="preserve">所有。</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  双方确定，本合同乙方的履约保证金为</w:t>
      </w:r>
      <w:r>
        <w:rPr>
          <w:rFonts w:ascii="SimSun" w:hAnsi="SimSun" w:eastAsia="SimSun" w:cs="SimSun"/>
          <w:b/>
          <w:color w:val="000000"/>
          <w:sz w:val="21"/>
          <w:u w:val="single"/>
        </w:rPr>
        <w:t xml:space="preserve"> 壹万元整</w:t>
      </w:r>
      <w:r>
        <w:rPr>
          <w:rFonts w:ascii="SimSun" w:hAnsi="SimSun" w:eastAsia="SimSun" w:cs="SimSun"/>
          <w:color w:val="000000"/>
          <w:sz w:val="21"/>
        </w:rPr>
        <w:t xml:space="preserve">，在合同履行结束后退还。</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w:t>
      </w:r>
      <w:r>
        <w:rPr>
          <w:rFonts w:ascii="SimSun" w:hAnsi="SimSun" w:eastAsia="SimSun" w:cs="SimSun"/>
          <w:color w:val="000000"/>
          <w:sz w:val="21"/>
        </w:rPr>
        <w:t xml:space="preserve">  乙方发生下列违约情形时，应承担违约责任：（1）未按合同约定的服务期限完成检测工作并提交符合质量要求的报告，每逾期一日，应按合同总价的千分之一向甲方支付违约金，逾期超过30日的，甲方有权单方解除合同，乙方除支付违约金外，还应退还甲方已支付的全部款项并赔偿甲方因此遭受的全部损失；（2）提交的检测报告不符合国家、省市相关规范或未通过专家评审，乙方应在甲方要求的合理期限内无偿修改直至合格，若仍无法达到合同约定标准，甲方有权单方解除合同，乙方应退还甲方已支付的全部款项，并按合同总价的20%向甲方支付违约金；（3）</w:t>
      </w:r>
      <w:r>
        <w:rPr>
          <w:rFonts w:ascii="SimSun" w:hAnsi="SimSun" w:eastAsia="SimSun" w:cs="SimSun"/>
          <w:color w:val="000000"/>
          <w:sz w:val="21"/>
        </w:rPr>
        <w:t xml:space="preserve">未经甲方书面同意擅自将本合同项下工作转包或分包的，甲方有权单方解除合同，乙方应向甲方支付合同总价20%的违约金；（4）违反本合同第五条约定的保密义务，应向甲方支付合同总价20%的违约金，并赔偿甲方因此遭受的全部损失；（5）乙方履约过程中发生安全事故的，应承担全部责任并赔偿甲方及第三方因此遭受的全部损失。上述违约金不足以弥补甲方损失的，甲方有权要求乙方赔偿超出部分。：</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w:t>
      </w:r>
      <w:r>
        <w:rPr>
          <w:rFonts w:ascii="SimSun" w:hAnsi="SimSun" w:eastAsia="SimSun" w:cs="SimSun"/>
          <w:color w:val="000000"/>
          <w:sz w:val="21"/>
        </w:rPr>
        <w:t xml:space="preserve">  双方确定，在本合同有效期内，甲方指定</w:t>
      </w:r>
      <w:r>
        <w:rPr>
          <w:rFonts w:ascii="SimSun" w:hAnsi="SimSun" w:eastAsia="SimSun" w:cs="SimSun"/>
          <w:color w:val="000000"/>
          <w:sz w:val="21"/>
          <w:u w:val="single"/>
        </w:rPr>
        <w:t xml:space="preserve">          </w:t>
      </w:r>
      <w:r>
        <w:rPr>
          <w:rFonts w:ascii="SimSun" w:hAnsi="SimSun" w:eastAsia="SimSun" w:cs="SimSun"/>
          <w:color w:val="000000"/>
          <w:sz w:val="21"/>
        </w:rPr>
        <w:t xml:space="preserve">为甲方项目联系人，乙方指定</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为乙方项目联系人，乙方项目负责人为：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一方变更项目联系人的，应当及时以书面形式通知另一方。未及时通知并影响本合同履行或造成损失的，应承担相应的责任。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知与送达：本合同履行过程中，双方所有正式通知、文件往来均应采用书面形式，可通过当面送达、邮寄、电子邮件方式送达；双方确认合同落款处的地址为法定送达地址，任何一方变更送达地址应当提前3日书面通知另一方，未通知的，按原地址送达即视为有效送达。</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w:t>
      </w:r>
      <w:r>
        <w:rPr>
          <w:rFonts w:ascii="SimSun" w:hAnsi="SimSun" w:eastAsia="SimSun" w:cs="SimSun"/>
          <w:color w:val="000000"/>
          <w:sz w:val="21"/>
        </w:rPr>
        <w:t xml:space="preserve">  双方因履行本合同而发生的争议，应当协商解决。协商、调解不成的，确定按以下第</w:t>
      </w:r>
      <w:r>
        <w:rPr>
          <w:rFonts w:ascii="SimSun" w:hAnsi="SimSun" w:eastAsia="SimSun" w:cs="SimSun"/>
          <w:b/>
          <w:color w:val="000000"/>
          <w:sz w:val="21"/>
          <w:u w:val="single"/>
        </w:rPr>
        <w:t xml:space="preserve"> 2 </w:t>
      </w:r>
      <w:r>
        <w:rPr>
          <w:rFonts w:ascii="SimSun" w:hAnsi="SimSun" w:eastAsia="SimSun" w:cs="SimSun"/>
          <w:color w:val="000000"/>
          <w:sz w:val="21"/>
        </w:rPr>
        <w:t xml:space="preserve">种方式处理：</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1．提交仲裁委员会仲裁；</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2．依法向甲方住所地有管辖权的人民法院起诉。</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w:t>
      </w:r>
      <w:r>
        <w:rPr>
          <w:rFonts w:ascii="SimSun" w:hAnsi="SimSun" w:eastAsia="SimSun" w:cs="SimSun"/>
          <w:color w:val="000000"/>
          <w:sz w:val="21"/>
        </w:rPr>
        <w:t xml:space="preserve">本合同一式</w:t>
      </w:r>
      <w:r>
        <w:rPr>
          <w:rFonts w:ascii="SimSun" w:hAnsi="SimSun" w:eastAsia="SimSun" w:cs="SimSun"/>
          <w:b/>
          <w:color w:val="000000"/>
          <w:sz w:val="21"/>
          <w:u w:val="single"/>
        </w:rPr>
        <w:t xml:space="preserve"> 四 </w:t>
      </w:r>
      <w:r>
        <w:rPr>
          <w:rFonts w:ascii="SimSun" w:hAnsi="SimSun" w:eastAsia="SimSun" w:cs="SimSun"/>
          <w:color w:val="000000"/>
          <w:sz w:val="21"/>
        </w:rPr>
        <w:t xml:space="preserve">份，甲乙双方各执两份，具有同等法律效力。</w:t>
      </w:r>
      <w:r/>
    </w:p>
    <w:p>
      <w:pPr>
        <w:ind w:left="0" w:right="0" w:firstLine="2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w:t>
      </w:r>
      <w:r>
        <w:rPr>
          <w:rFonts w:ascii="SimSun" w:hAnsi="SimSun" w:eastAsia="SimSun" w:cs="SimSun"/>
          <w:color w:val="000000"/>
          <w:sz w:val="21"/>
        </w:rPr>
        <w:t xml:space="preserve">  本合同经双方签字盖章后生效。</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甲方：</w:t>
      </w:r>
      <w:r>
        <w:rPr>
          <w:rFonts w:ascii="SimSun" w:hAnsi="SimSun" w:eastAsia="SimSun" w:cs="SimSun"/>
          <w:color w:val="000000"/>
          <w:spacing w:val="-10"/>
          <w:sz w:val="21"/>
          <w:u w:val="single"/>
        </w:rPr>
        <w:t xml:space="preserve">                  </w:t>
      </w:r>
      <w:r>
        <w:rPr>
          <w:rFonts w:ascii="SimSun" w:hAnsi="SimSun" w:eastAsia="SimSun" w:cs="SimSun"/>
          <w:color w:val="000000"/>
          <w:sz w:val="21"/>
        </w:rPr>
        <w:t xml:space="preserve">(盖章)</w:t>
      </w:r>
      <w:r>
        <w:rPr>
          <w:rFonts w:ascii="SimSun" w:hAnsi="SimSun" w:eastAsia="SimSun" w:cs="SimSun"/>
          <w:color w:val="000000"/>
          <w:spacing w:val="-10"/>
          <w:sz w:val="21"/>
        </w:rPr>
        <w:t xml:space="preserve">            乙方：</w:t>
      </w:r>
      <w:r>
        <w:rPr>
          <w:rFonts w:ascii="SimSun" w:hAnsi="SimSun" w:eastAsia="SimSun" w:cs="SimSun"/>
          <w:color w:val="000000"/>
          <w:spacing w:val="-1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(盖章)</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法定代表人／委托代理人：(签名)          法定代表人/委托代理人：(签名)</w:t>
      </w:r>
      <w:r/>
    </w:p>
    <w:p>
      <w:pPr>
        <w:ind w:left="0" w:right="480" w:firstLine="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tab/>
        <w:t xml:space="preserve">               年月日</w:t>
      </w:r>
      <w:r/>
    </w:p>
    <w:p>
      <w:pPr>
        <w:ind w:left="0" w:right="480" w:firstLine="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80" w:firstLine="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TSong" w:hAnsi="STSong" w:eastAsia="STSong" w:cs="STSong"/>
          <w:color w:val="000000"/>
          <w:sz w:val="24"/>
        </w:rPr>
        <w:t xml:space="preserve">履约保函示范文本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（独立保函）</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申请人：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受益人：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开立人：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（受益人名称）：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鉴于</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（以下简称“受益人”）与</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（以下简称“申请人”）于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日就</w:t>
      </w:r>
      <w:r>
        <w:rPr>
          <w:rFonts w:ascii="SimSun" w:hAnsi="SimSun" w:eastAsia="SimSun" w:cs="SimSun"/>
          <w:color w:val="000000"/>
          <w:sz w:val="21"/>
          <w:u w:val="single"/>
        </w:rPr>
        <w:t xml:space="preserve">           </w:t>
      </w:r>
      <w:r>
        <w:rPr>
          <w:rFonts w:ascii="SimSun" w:hAnsi="SimSun" w:eastAsia="SimSun" w:cs="SimSun"/>
          <w:color w:val="000000"/>
          <w:sz w:val="21"/>
        </w:rPr>
        <w:t xml:space="preserve">工程（以下简称“本工程”）施工和有关事项协商一致共同签订</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基础合同”），我方（即“开立人”）根据基础合同了解到申请人为基础合同项下之承包人，受益人为基础合同项下之发包人，基于申请人的请求，我方同意就申请人履行与贵方签订的基础合同项下的义务，向贵方提供不可撤销、不可转让的见索即付独立保函（以下简称“本保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一、本保函担保范围：承包人未按照基础合同的约定履行义务，应当向贵方承担的违约责任和赔偿因此造成的损失、利息、律师费、诉讼费用等实现债权的费用。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二、本保函担保金额最高不超过人民币（大写）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三、本保函有效期自开立之日起至基础合同约定的担保期后</w:t>
      </w:r>
      <w:r>
        <w:rPr>
          <w:rFonts w:ascii="SimSun" w:hAnsi="SimSun" w:eastAsia="SimSun" w:cs="SimSun"/>
          <w:color w:val="000000"/>
          <w:sz w:val="21"/>
          <w:u w:val="single"/>
        </w:rPr>
        <w:t xml:space="preserve">   </w:t>
      </w:r>
      <w:r>
        <w:rPr>
          <w:rFonts w:ascii="SimSun" w:hAnsi="SimSun" w:eastAsia="SimSun" w:cs="SimSun"/>
          <w:color w:val="000000"/>
          <w:sz w:val="21"/>
        </w:rPr>
        <w:t xml:space="preserve">日止，最迟不超过</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四、我方承诺，在收到受益人发来的书面付款通知后的</w:t>
      </w:r>
      <w:r>
        <w:rPr>
          <w:rFonts w:ascii="SimSun" w:hAnsi="SimSun" w:eastAsia="SimSun" w:cs="SimSun"/>
          <w:color w:val="000000"/>
          <w:sz w:val="21"/>
          <w:u w:val="single"/>
        </w:rPr>
        <w:t xml:space="preserve">    </w:t>
      </w:r>
      <w:r>
        <w:rPr>
          <w:rFonts w:ascii="SimSun" w:hAnsi="SimSun" w:eastAsia="SimSun" w:cs="SimSun"/>
          <w:color w:val="000000"/>
          <w:sz w:val="21"/>
        </w:rPr>
        <w:t xml:space="preserve">日内无条件支付，前述书面付款通知即为付款要求之单据，且应满足以下要求：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（1）付款通知到达的日期在本保函的有效期内；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（2）载明要求支付的金额；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（3）载明申请人违反合同义务的条款和内容；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（4）声明不存在合同文件约定或我国法律规定免除申请人或开立人支付责任的情形；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（5）付款通知应在本保函有效期内到达的地址是：</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受益人发出的书面付款通知应由其为鉴明受益人法定代表人（负责人）或授权代理人签字并加盖公章。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五、本保函项下的权利不得转让，不得设定担保。贵方未经我方书面同意转 让本保函或其项下任何权利，对我方不发生法律效力。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六、与本保函有关的基础合同不成立、不生效、无效、被撤销、被解除，不影响本保函的独立有效。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七、贵方应在本保函到期后的七日内将本保函正本退回我方注销，但是不论贵方是否按此要求将本保函正本退回我方，我方在本保函项下的义务和责任均在保函有效期到期后自动消灭。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八、本保函适用的法律为中华人民共和国法律，争议裁判管辖地为中华人民共和国</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九、本保函自我方法定代表人或授权代表签字并加盖公章之日起生效。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 立 人：                              （公章）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（签字）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开立时间：      年月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480" w:firstLine="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80" w:firstLine="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57"/>
        <w:jc w:val="both"/>
        <w:spacing w:before="0" w:after="0" w:line="439" w:lineRule="atLeast"/>
        <w:tabs>
          <w:tab w:val="left" w:pos="439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安全生产合同</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color w:val="000000"/>
          <w:sz w:val="21"/>
          <w:u w:val="single"/>
        </w:rPr>
        <w:t xml:space="preserve">                            </w:t>
      </w:r>
      <w:r/>
    </w:p>
    <w:p>
      <w:pPr>
        <w:ind w:left="0" w:right="0" w:firstLine="1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color w:val="000000"/>
          <w:spacing w:val="20"/>
          <w:sz w:val="21"/>
          <w:u w:val="single"/>
        </w:rPr>
        <w:t xml:space="preserve">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 </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工程施工合同的实施过程中创造安全、整洁的施工环境，切实搞好本项目的安全管理工作，本项目发包人与承包人特此签订安全生产合同：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一、发包人职责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1．自觉遵守国家有关安全生产的法律法规、认真执行工程承包合同中的有关安全要求。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2．按照“安全第一、预防为主”和坚持“管生产必须管安全”的原则进行安全生产管理，做到生产与安全工作同时。</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3．重要的安全设施必须坚持与主体工程“三同时”的原则，即：同时设计、审批，同时施工，同时验收，投入使用。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4．组织对承包人施工现场安全生产检查，监督承包人及时处理发现的各项隐患并组织召开安全生产协调会。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二、承包人职责</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1．严格遵守国家有关安全生产的法律法规和有关安全生产的规定，认真执行工程承包合同中的有关安全要求。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规定配备安全员，专职负责所有员工的安全和治安保卫工作及预防事故的发生。安全机构人员，有权按有关规定发布指令，并采取保护性措施防止事故发生。</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4．承包人在任何时候都应采取各种合理的预防措施，防止其员工发生任何违法、违禁、暴力或妨碍治安的行为。</w:t>
      </w:r>
      <w:r/>
    </w:p>
    <w:p>
      <w:pPr>
        <w:ind w:left="99" w:right="0" w:hanging="9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7．操作人员上岗，必须按规定穿戴防护用品。施工负责人和安全检查员应随时检查劳动防护用品的穿戴情况，不按规定穿戴防护用品的人员不得上岗。</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8．所有施工机具设备和高空作业的设备均应定期检查，并有安全员的签字记录，保证其经常处于完好状态；不合格的机具、设备和劳动保护用品严禁使用。</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9．施工中采用新技术、新工艺、新设备、新材料时，必须制定相应的安全技术措施，施工现场必须具有相关的安全标志牌。</w:t>
      </w:r>
      <w:r/>
    </w:p>
    <w:p>
      <w:pPr>
        <w:ind w:left="396" w:right="0" w:hanging="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三、违约责任</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若发生由承包人责任所引起的各类事故、事件及违章违规行为的，将接受有关部门处罚。</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本合同一式四份，合同双方各两份。由双方法定代表人或其授权的代理人签署与加盖公章后生效，全部工程竣工验收后失效。</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  包  人：(公章)</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委托代表人：委托代表人：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Song" w:hAnsi="STSong" w:eastAsia="STSong" w:cs="STSong"/>
          <w:b/>
          <w:color w:val="000000"/>
          <w:sz w:val="32"/>
        </w:rPr>
        <w:t xml:space="preserve">廉洁协议</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为了确保在</w:t>
      </w:r>
      <w:r>
        <w:rPr>
          <w:rFonts w:ascii="SimSun" w:hAnsi="SimSun" w:eastAsia="SimSun" w:cs="SimSun"/>
          <w:color w:val="000000"/>
          <w:sz w:val="24"/>
          <w:u w:val="single"/>
        </w:rPr>
        <w:t xml:space="preserve">                                      项目 </w:t>
      </w:r>
      <w:r>
        <w:rPr>
          <w:rFonts w:ascii="SimSun" w:hAnsi="SimSun" w:eastAsia="SimSun" w:cs="SimSun"/>
          <w:color w:val="000000"/>
          <w:sz w:val="24"/>
        </w:rPr>
        <w:t xml:space="preserve">履行中保持廉洁自律的风气，防止各种不正当行为的发生，根据国家和省、市有关建设工程或政府采购承发包和廉政建设的各项规定，结合项目特点，特订立本协议如下：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一、甲、乙双方应当自觉遵守国家、省、市关于建设工程或政府采购承发包工作规则以及有关廉政建设的各项规定。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二、甲方及其工作人员不得以任何形式向乙方索要和收受回扣等好处费。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三、甲方工作人员应保持与乙方的正常业务交往，不得接受乙方的礼金、有价证券和贵重物品，不得在乙方报销任何应当由个人支付的费用。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四、甲方工作人员不得参加可能对公开执行公务有影响的宴请和娱乐活动。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五、甲方工作人员不得要求或者接受乙方为其住房装修、婚丧嫁娶、家属和子女的工作安排以及出国等提供方便。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六、甲方工作人员不得向乙方介绍家属或者亲友从事与甲方项目有关的材料设备供应、项目分包等经济活动。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七、乙方应当通过正常途径开展相关工作，不得为获取某些正当利益向甲方工作人员赠送礼金、有价证券和贵重物品等。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八、乙方不得为谋取利益擅自与甲方工作人员就项目承包、项目费用、材料设备供应、工程量变动、项目验收、项目质量问题处理等进行私下商谈或者达成默契。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九、乙方不得以洽谈业务、签订经济合同为借口，邀请甲方工作人员外出旅游和进入营业性娱乐场所娱乐。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十、乙方不得为甲方单位和个人购置或者提供通讯工具、交通工具、家电、高档办公用品等物品。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乙方如发现甲方工作人员有违反上述协议者，应向甲方领导或者甲方上级单位举报。甲方不得找任何借口对乙方进行报复。甲方对举报属实和严格遵守廉洁协议的乙方，在同等条件下给予承接后续项目的优先邀请投标权。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十二、甲方发现乙方有违反本协议或者采取不正当的手段行贿甲方工作人员，甲方根据具体情节和造成的后果追究乙方项目合同造价 1～5%的违约金。由此给甲方单位造成的损失均由乙方承担，乙方用不正当手段获取的非法所得由甲方单位予以追缴。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十三、本廉洁协议作为本项目采购承发包合同的附件，与本合同具有同等法律效力，经协议双方签署后立即生效。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十四、本协议一式四份，甲乙双方各执两份。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 </w:t>
      </w:r>
      <w:r/>
    </w:p>
    <w:p>
      <w:pPr>
        <w:ind w:left="0" w:right="0" w:firstLine="52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8、采购需求中必须满足的实质性要求。（请单独列出）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一、项目名称：南通高新区2026年桥梁检测项目。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二、招标范围：本项目采购预算约160万元。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三、具体需求情况。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1、工作量清单</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5"/>
        <w:gridCol w:w="1707"/>
        <w:gridCol w:w="2161"/>
        <w:gridCol w:w="685"/>
        <w:gridCol w:w="1673"/>
        <w:gridCol w:w="1094"/>
        <w:gridCol w:w="1529"/>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桥梁名称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结构类型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跨径（</w:t>
            </w:r>
            <w:r>
              <w:rPr>
                <w:rFonts w:ascii="Times New Roman" w:hAnsi="Times New Roman" w:eastAsia="Times New Roman" w:cs="Times New Roman"/>
                <w:b/>
                <w:color w:val="000000"/>
                <w:sz w:val="21"/>
              </w:rPr>
              <w:t xml:space="preserve">m</w:t>
            </w:r>
            <w:r>
              <w:rPr>
                <w:rFonts w:ascii="SimSun" w:hAnsi="SimSun" w:eastAsia="SimSun" w:cs="SimSun"/>
                <w:b/>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宽度（</w:t>
            </w:r>
            <w:r>
              <w:rPr>
                <w:rFonts w:ascii="Times New Roman" w:hAnsi="Times New Roman" w:eastAsia="Times New Roman" w:cs="Times New Roman"/>
                <w:b/>
                <w:color w:val="000000"/>
                <w:sz w:val="21"/>
              </w:rPr>
              <w:t xml:space="preserve">m</w:t>
            </w:r>
            <w:r>
              <w:rPr>
                <w:rFonts w:ascii="SimSun" w:hAnsi="SimSun" w:eastAsia="SimSun" w:cs="SimSun"/>
                <w:b/>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检测项目</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康富路一号桥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康富路二号桥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五接竖河桥（康富路三号桥）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金圩路一号桥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金圩路二号桥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复兴河桥（金圩路三号桥）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金圩路四号桥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双福路一号桥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双福路二号桥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双福路三号桥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预应力混凝土组合箱梁连续梁桥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变截面连续梁桥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左幅：</w:t>
            </w:r>
            <w:r>
              <w:rPr>
                <w:rFonts w:ascii="Times New Roman" w:hAnsi="Times New Roman" w:eastAsia="Times New Roman" w:cs="Times New Roman"/>
                <w:color w:val="000000"/>
                <w:sz w:val="21"/>
              </w:rPr>
              <w:t xml:space="preserve">5×30m+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40+65+40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m+5×30m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结构定期检测、主桥静动载试验检测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钟秀东路四号桥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6.5+13+13+6.5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金河路一号桥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正场花苑北区东侧区间桥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正场花苑北区区间桥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正场花苑北区西侧区间桥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文萃路一号桥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正场花苑南区区间桥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杏园西路一号桥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金桥路一号桥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朝霞大桥（包含引桥）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预应力混凝土组合箱梁连续梁桥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结构定期检测、主桥静动载试验检测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朝霞路二号桥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碧华路一号桥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金鼎路一号桥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金鼎路二号桥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金鼎路三号桥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一号横河桥（金洲路一号桥）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二号横河桥（金洲路二号桥）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金西横河桥（金洲路三号桥）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金正路一号桥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金渡路三号桥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金渡路二号桥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金渡路一号桥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金源路一号桥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金源路二号桥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金源路三号桥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金源路四号桥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金富路二号桥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金富路一号桥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金彩路一号桥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鹏程大桥（人民东路五号桥）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预应力混凝土组合箱梁连续梁桥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变截面连续梁桥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6×30m+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40+65+40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m+6×30m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结构定期检测、主桥静动载试验检测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人民东路一号桥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人民东路二号桥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人民东路三号桥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10+10+10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人民东路四号桥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盖板涵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希望路一号桥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希望路二号桥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希望路三号桥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金海路一号桥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金海路二号桥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金川路一号桥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金川路二号桥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盖板涵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金川路三号桥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金山路一号桥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金欣路二号桥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金欣路三号桥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榨东横河桥（金乐佳苑</w:t>
            </w: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金国路一号桥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金泰</w:t>
            </w:r>
            <w:r>
              <w:rPr>
                <w:rFonts w:ascii="Times New Roman" w:hAnsi="Times New Roman" w:eastAsia="Times New Roman" w:cs="Times New Roman"/>
                <w:color w:val="000000"/>
                <w:sz w:val="21"/>
              </w:rPr>
              <w:t xml:space="preserve">AB</w:t>
            </w:r>
            <w:r>
              <w:rPr>
                <w:rFonts w:ascii="SimSun" w:hAnsi="SimSun" w:eastAsia="SimSun" w:cs="SimSun"/>
                <w:color w:val="000000"/>
                <w:sz w:val="21"/>
              </w:rPr>
              <w:t xml:space="preserve">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文盛路一号桥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文盛路二号桥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文盛路三号桥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康富路一号桥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文河路一号桥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钟秀东路四号桥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文贤路一号桥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文昌路一号桥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通灵桥路一号桥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文景路一号桥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新江海动力区间桥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金泰幼儿园区间桥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金民路一号桥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金欣佳园</w:t>
            </w:r>
            <w:r>
              <w:rPr>
                <w:rFonts w:ascii="Times New Roman" w:hAnsi="Times New Roman" w:eastAsia="Times New Roman" w:cs="Times New Roman"/>
                <w:color w:val="000000"/>
                <w:sz w:val="21"/>
              </w:rPr>
              <w:t xml:space="preserve">BC</w:t>
            </w:r>
            <w:r>
              <w:rPr>
                <w:rFonts w:ascii="SimSun" w:hAnsi="SimSun" w:eastAsia="SimSun" w:cs="SimSun"/>
                <w:color w:val="000000"/>
                <w:sz w:val="21"/>
              </w:rPr>
              <w:t xml:space="preserve">区间桥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金汇北路一号桥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新世纪大道一号桥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9.5+20+9.5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新世纪大道二号桥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新世纪大道三号桥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钟秀东路五号桥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金通二大道桥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跨</w:t>
            </w:r>
            <w:r>
              <w:rPr>
                <w:rFonts w:ascii="Times New Roman" w:hAnsi="Times New Roman" w:eastAsia="Times New Roman" w:cs="Times New Roman"/>
                <w:color w:val="000000"/>
                <w:sz w:val="21"/>
              </w:rPr>
              <w:t xml:space="preserve">G15</w:t>
            </w:r>
            <w:r>
              <w:rPr>
                <w:rFonts w:ascii="SimSun" w:hAnsi="SimSun" w:eastAsia="SimSun" w:cs="SimSun"/>
                <w:color w:val="000000"/>
                <w:sz w:val="21"/>
              </w:rPr>
              <w:t xml:space="preserve">高速）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预应力混凝土组合箱梁连续梁桥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左幅：</w:t>
            </w:r>
            <w:r>
              <w:rPr>
                <w:rFonts w:ascii="Times New Roman" w:hAnsi="Times New Roman" w:eastAsia="Times New Roman" w:cs="Times New Roman"/>
                <w:color w:val="000000"/>
                <w:sz w:val="21"/>
              </w:rPr>
              <w:t xml:space="preserve">5×30m+4×30m+4×30m+4×30m+5×30m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结构定期检测、中幅主桥静动载试验检测</w:t>
            </w:r>
            <w:r/>
          </w:p>
        </w:tc>
      </w:tr>
      <w:tr>
        <w:trPr>
          <w:trHeight w:val="81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中幅：</w:t>
            </w:r>
            <w:r>
              <w:rPr>
                <w:rFonts w:ascii="Times New Roman" w:hAnsi="Times New Roman" w:eastAsia="Times New Roman" w:cs="Times New Roman"/>
                <w:color w:val="000000"/>
                <w:sz w:val="21"/>
              </w:rPr>
              <w:t xml:space="preserve">4×30m+6×30m+5×30m</w:t>
            </w:r>
            <w:r>
              <w:rPr>
                <w:rFonts w:ascii="SimSun" w:hAnsi="SimSun" w:eastAsia="SimSun" w:cs="SimSun"/>
                <w:color w:val="000000"/>
                <w:sz w:val="21"/>
              </w:rPr>
              <w:t xml:space="preserve">；</w:t>
            </w:r>
            <w:r/>
          </w:p>
        </w:tc>
        <w:tc>
          <w:tcPr>
            <w:vMerge w:val="continue"/>
            <w:textDirection w:val="lrTb"/>
            <w:noWrap w:val="false"/>
          </w:tcPr>
          <w:p>
            <w:r/>
            <w:r/>
          </w:p>
        </w:tc>
        <w:tc>
          <w:tcPr>
            <w:vMerge w:val="continue"/>
            <w:textDirection w:val="lrTb"/>
            <w:noWrap w:val="false"/>
          </w:tcPr>
          <w:p>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文萃路桥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八角庙桥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简支预应力空心板梁桥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结构定期检测</w:t>
            </w:r>
            <w:r/>
          </w:p>
        </w:tc>
      </w:tr>
      <w:tr>
        <w:trPr>
          <w:trHeight w:val="28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w:t>
            </w:r>
            <w:r>
              <w:rPr>
                <w:rFonts w:ascii="Times New Roman" w:hAnsi="Times New Roman" w:eastAsia="Times New Roman" w:cs="Times New Roman"/>
                <w:color w:val="000000"/>
                <w:sz w:val="21"/>
              </w:rPr>
              <w:t xml:space="preserve">86</w:t>
            </w:r>
            <w:r>
              <w:rPr>
                <w:rFonts w:ascii="SimSun" w:hAnsi="SimSun" w:eastAsia="SimSun" w:cs="SimSun"/>
                <w:color w:val="000000"/>
                <w:sz w:val="21"/>
              </w:rPr>
              <w:t xml:space="preserve">座桥梁经常性巡查及省城市桥梁管理系统、局道桥管养系统每月维护更新服务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合同期内</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2、项目概述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本项目检测内容为：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1、在本年度桥梁维修加固工程中，配合主管部门进行桥梁维修加固的全过程、嵌入式现场技术监督和指导，配合主管部门完成加固维修施工验收工作，确保维修加固质量满足设计及规范要求。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管辖范围内高新区城区86座桥梁进行经常性检查（自合同签订之日起30个月），按《城市桥梁养护技术标准》（CJJ99-2017）附录A填写城市桥梁日常巡查报表，登记所检查桥梁病害的损坏类型、损坏程度、损坏位置等，提出相应的养护措施，按月出具巡检报告，并将每日巡查内容上报中心道路桥梁运维管理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3、对管辖范围内高新区城区86座桥梁进行结构定期检测；朝霞大桥、鹏程大桥、钟秀东路一号桥和金通二大道桥进行主桥静动载试验检测；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4、将检测数据录入省住建厅城市桥梁信息管理系统数据库服务期为30个月（自合同签订之日起算）。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3、检测依据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（1）《城市桥梁养护技术标准》（CJJ 99-2017）；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（2）《城市桥梁检测与评定技术规范》（CJJ/T 233-2015）；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（3）《公路桥梁承载能力检测评定规程》（JTG/T J21-2011）；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（4）《公路钢筋混凝土及预应力混凝土桥涵设计规范》（JTG 3362-2018）；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（5）《城市桥梁设计规范》（CJJ 11-2011）；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（6）《公路桥涵设计通用规范》（JTG D 60-2015）；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（7）《混凝土结构现场检测技术标准》（GB/T 50784-2013）；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（8）《回弹法检测砼抗压强度技术规程》（JGJ/T 23-2011）；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（9）《混凝土中钢筋检测技术规程》（JGJ/T 152--2019）；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（10）《公路桥梁荷载试验规程》JTG/T J21-01-2015；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（11）其它现行的相关设计、施工技术规范及相关桥梁图纸、竣工资料等。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4、检测内容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2"/>
        </w:rPr>
        <w:t xml:space="preserve">4.1 经常性检查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根据《城市桥梁养护技术标准》（CJJ99-2017）4.2条，应对在管的86座城市桥梁开展经常性检查，桥梁清单详见工作量清单。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1、经常性检查应对结构变异、桥梁及桥梁安全保护区域设施工作业情况和桥面系、限载标志、限高标志、交通标志及其他附属设施等状况进行日常巡检。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2、经常性检查应包括下列内容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检查城市桥梁各组成结构的完好状态，主要检查内容见下表：</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9"/>
        <w:gridCol w:w="2010"/>
        <w:gridCol w:w="52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组成结构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部位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检查要点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桥面系及附属结构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桥面铺装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平整性及裂缝、坑槽、拥包、车辙、积水、沉陷、碎边、桥头跳车等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伸缩装置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连接松动、异常变形、破损、脱落、漏水、阻塞等；是否造成明显跳车</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排水设施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泄水口堵塞；排水设施缺损等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人行道铺装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裂缝、松动或变形、残缺等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栏杆、防撞护栏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污秽、破损、缺失、露筋、锈蚀、断裂、松动等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防护网、声屏障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锈蚀、缺损、变形、松动等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挡土墙、护坡、调制构造物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开裂、破损、塌陷、倾斜等</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1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上部结构、下部结构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异常变化、缺陷、变形、沉降、位移等</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19"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人形天桥和人形地下通道的自动扶梯、照明设施及其封闭结构等附属设施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异常变化、缺陷、积水等</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w:t>
      </w:r>
      <w:r>
        <w:rPr>
          <w:rFonts w:ascii="Times New Roman" w:hAnsi="Times New Roman" w:eastAsia="Times New Roman" w:cs="Times New Roman"/>
          <w:color w:val="0d0d0d"/>
          <w:sz w:val="24"/>
        </w:rPr>
        <w:t xml:space="preserve">2</w:t>
      </w:r>
      <w:r>
        <w:rPr>
          <w:rFonts w:ascii="SimSun" w:hAnsi="SimSun" w:eastAsia="SimSun" w:cs="SimSun"/>
          <w:color w:val="0d0d0d"/>
          <w:sz w:val="24"/>
        </w:rPr>
        <w:t xml:space="preserve">）检查城市桥梁安全保护区域内的施工作业情况。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w:t>
      </w:r>
      <w:r>
        <w:rPr>
          <w:rFonts w:ascii="Times New Roman" w:hAnsi="Times New Roman" w:eastAsia="Times New Roman" w:cs="Times New Roman"/>
          <w:color w:val="0d0d0d"/>
          <w:sz w:val="24"/>
        </w:rPr>
        <w:t xml:space="preserve">3</w:t>
      </w:r>
      <w:r>
        <w:rPr>
          <w:rFonts w:ascii="SimSun" w:hAnsi="SimSun" w:eastAsia="SimSun" w:cs="SimSun"/>
          <w:color w:val="0d0d0d"/>
          <w:sz w:val="24"/>
        </w:rPr>
        <w:t xml:space="preserve">）城市桥梁限载标志及交通标志设施等各类标志完好情况。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w:t>
      </w:r>
      <w:r>
        <w:rPr>
          <w:rFonts w:ascii="Times New Roman" w:hAnsi="Times New Roman" w:eastAsia="Times New Roman" w:cs="Times New Roman"/>
          <w:color w:val="0d0d0d"/>
          <w:sz w:val="24"/>
        </w:rPr>
        <w:t xml:space="preserve">4</w:t>
      </w:r>
      <w:r>
        <w:rPr>
          <w:rFonts w:ascii="SimSun" w:hAnsi="SimSun" w:eastAsia="SimSun" w:cs="SimSun"/>
          <w:color w:val="0d0d0d"/>
          <w:sz w:val="24"/>
        </w:rPr>
        <w:t xml:space="preserve">）其他较明显的损坏及不正常现象。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3、检测资料及结果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按《城市桥梁养护技术标准》（</w:t>
      </w:r>
      <w:r>
        <w:rPr>
          <w:rFonts w:ascii="Times New Roman" w:hAnsi="Times New Roman" w:eastAsia="Times New Roman" w:cs="Times New Roman"/>
          <w:color w:val="0d0d0d"/>
          <w:sz w:val="24"/>
        </w:rPr>
        <w:t xml:space="preserve">CJJ99-2017</w:t>
      </w:r>
      <w:r>
        <w:rPr>
          <w:rFonts w:ascii="SimSun" w:hAnsi="SimSun" w:eastAsia="SimSun" w:cs="SimSun"/>
          <w:color w:val="0d0d0d"/>
          <w:sz w:val="24"/>
        </w:rPr>
        <w:t xml:space="preserve">）附录</w:t>
      </w:r>
      <w:r>
        <w:rPr>
          <w:rFonts w:ascii="Times New Roman" w:hAnsi="Times New Roman" w:eastAsia="Times New Roman" w:cs="Times New Roman"/>
          <w:color w:val="0d0d0d"/>
          <w:sz w:val="24"/>
        </w:rPr>
        <w:t xml:space="preserve">A</w:t>
      </w:r>
      <w:r>
        <w:rPr>
          <w:rFonts w:ascii="SimSun" w:hAnsi="SimSun" w:eastAsia="SimSun" w:cs="SimSun"/>
          <w:color w:val="0d0d0d"/>
          <w:sz w:val="24"/>
        </w:rPr>
        <w:t xml:space="preserve">现场填写城市桥梁日常巡查报表，登记所检查桥梁病害的损坏类型、损坏程度、损坏位置等，提出相应的养护措施，按月出具巡检报告，当巡检过程中发现明显损坏、影响车辆和行人安全时，应立即设置警示标志，及时向主管部门报告。每月及时将巡查数据录入省住建厅城市桥梁信息管理系统数据库。</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4、桥梁经常性检测（日常巡查）服务期为</w:t>
      </w:r>
      <w:r>
        <w:rPr>
          <w:rFonts w:ascii="Times New Roman" w:hAnsi="Times New Roman" w:eastAsia="Times New Roman" w:cs="Times New Roman"/>
          <w:b/>
          <w:color w:val="000000"/>
          <w:sz w:val="21"/>
          <w:u w:val="single"/>
        </w:rPr>
        <w:t xml:space="preserve">30</w:t>
      </w:r>
      <w:r>
        <w:rPr>
          <w:rFonts w:ascii="SimSun" w:hAnsi="SimSun" w:eastAsia="SimSun" w:cs="SimSun"/>
          <w:b/>
          <w:color w:val="000000"/>
          <w:sz w:val="21"/>
          <w:u w:val="single"/>
        </w:rPr>
        <w:t xml:space="preserve">个月</w:t>
      </w:r>
      <w:r>
        <w:rPr>
          <w:rFonts w:ascii="Times New Roman" w:hAnsi="Times New Roman" w:eastAsia="Times New Roman" w:cs="Times New Roman"/>
          <w:b/>
          <w:color w:val="000000"/>
          <w:sz w:val="21"/>
          <w:u w:val="single"/>
        </w:rPr>
        <w:t xml:space="preserve">(6</w:t>
      </w:r>
      <w:r>
        <w:rPr>
          <w:rFonts w:ascii="SimSun" w:hAnsi="SimSun" w:eastAsia="SimSun" w:cs="SimSun"/>
          <w:b/>
          <w:color w:val="000000"/>
          <w:sz w:val="21"/>
          <w:u w:val="single"/>
        </w:rPr>
        <w:t xml:space="preserve">个月检测并出具专家评审报告</w:t>
      </w:r>
      <w:r>
        <w:rPr>
          <w:rFonts w:ascii="Times New Roman" w:hAnsi="Times New Roman" w:eastAsia="Times New Roman" w:cs="Times New Roman"/>
          <w:b/>
          <w:color w:val="000000"/>
          <w:sz w:val="21"/>
          <w:u w:val="single"/>
        </w:rPr>
        <w:t xml:space="preserve">+24</w:t>
      </w:r>
      <w:r>
        <w:rPr>
          <w:rFonts w:ascii="SimSun" w:hAnsi="SimSun" w:eastAsia="SimSun" w:cs="SimSun"/>
          <w:b/>
          <w:color w:val="000000"/>
          <w:sz w:val="21"/>
          <w:u w:val="single"/>
        </w:rPr>
        <w:t xml:space="preserve">个月巡查</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5、供应商须根据城市桥梁养护标准及要求，配合采购人完成相关工作。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2"/>
        </w:rPr>
        <w:t xml:space="preserve">4.2 常规定期检测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4.2.1常规定期检测应包括下列范围：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（1）</w:t>
      </w:r>
      <w:r>
        <w:rPr>
          <w:rFonts w:ascii="SimSun" w:hAnsi="SimSun" w:eastAsia="SimSun" w:cs="SimSun"/>
          <w:b/>
          <w:color w:val="0d0d0d"/>
          <w:sz w:val="24"/>
        </w:rPr>
        <w:t xml:space="preserve">桥面系</w:t>
      </w:r>
      <w:r>
        <w:rPr>
          <w:rFonts w:ascii="SimSun" w:hAnsi="SimSun" w:eastAsia="SimSun" w:cs="SimSun"/>
          <w:color w:val="0d0d0d"/>
          <w:sz w:val="24"/>
        </w:rPr>
        <w:t xml:space="preserve">包括桥面铺装、桥头搭板、伸缩装置、排水系统、人行道、栏杆或护栏等。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（2）</w:t>
      </w:r>
      <w:r>
        <w:rPr>
          <w:rFonts w:ascii="SimSun" w:hAnsi="SimSun" w:eastAsia="SimSun" w:cs="SimSun"/>
          <w:b/>
          <w:color w:val="0d0d0d"/>
          <w:sz w:val="24"/>
        </w:rPr>
        <w:t xml:space="preserve">上部结构</w:t>
      </w:r>
      <w:r>
        <w:rPr>
          <w:rFonts w:ascii="SimSun" w:hAnsi="SimSun" w:eastAsia="SimSun" w:cs="SimSun"/>
          <w:color w:val="0d0d0d"/>
          <w:sz w:val="24"/>
        </w:rPr>
        <w:t xml:space="preserve">包括主梁、主桁架、主拱圈、横梁、横向联系、主节点、挂梁、连接件等。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（3）</w:t>
      </w:r>
      <w:r>
        <w:rPr>
          <w:rFonts w:ascii="SimSun" w:hAnsi="SimSun" w:eastAsia="SimSun" w:cs="SimSun"/>
          <w:b/>
          <w:color w:val="0d0d0d"/>
          <w:sz w:val="24"/>
        </w:rPr>
        <w:t xml:space="preserve">下部结构</w:t>
      </w:r>
      <w:r>
        <w:rPr>
          <w:rFonts w:ascii="SimSun" w:hAnsi="SimSun" w:eastAsia="SimSun" w:cs="SimSun"/>
          <w:color w:val="0d0d0d"/>
          <w:sz w:val="24"/>
        </w:rPr>
        <w:t xml:space="preserve">包括支座、盖梁、墩身、台帽、台身、基础、挡土墙、护坡及河床冲刷情况等。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4.2.2常规定期检测的情况记录、评分及养护维修管理措施的建议，均应及时整理、归档。</w:t>
      </w:r>
      <w:r>
        <w:rPr>
          <w:rFonts w:ascii="SimSun" w:hAnsi="SimSun" w:eastAsia="SimSun" w:cs="SimSun"/>
          <w:b/>
          <w:color w:val="0d0d0d"/>
          <w:sz w:val="24"/>
        </w:rPr>
        <w:t xml:space="preserve">已建立信息管理系统的应及时纳入城市桥梁管理系统数据库</w:t>
      </w:r>
      <w:r>
        <w:rPr>
          <w:rFonts w:ascii="SimSun" w:hAnsi="SimSun" w:eastAsia="SimSun" w:cs="SimSun"/>
          <w:color w:val="0d0d0d"/>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4.2.3根据常规定期检测的结果，</w:t>
      </w:r>
      <w:r>
        <w:rPr>
          <w:rFonts w:ascii="SimSun" w:hAnsi="SimSun" w:eastAsia="SimSun" w:cs="SimSun"/>
          <w:b/>
          <w:color w:val="0d0d0d"/>
          <w:sz w:val="24"/>
        </w:rPr>
        <w:t xml:space="preserve">进行桥梁技术状况的评估和分级</w:t>
      </w:r>
      <w:r>
        <w:rPr>
          <w:rFonts w:ascii="SimSun" w:hAnsi="SimSun" w:eastAsia="SimSun" w:cs="SimSun"/>
          <w:color w:val="0d0d0d"/>
          <w:sz w:val="24"/>
        </w:rPr>
        <w:t xml:space="preserve">。Ⅰ类养护的城市桥梁应按影响结构安全状况进行评估；</w:t>
      </w:r>
      <w:r>
        <w:rPr>
          <w:rFonts w:ascii="Times New Roman" w:hAnsi="Times New Roman" w:eastAsia="Times New Roman" w:cs="Times New Roman"/>
          <w:color w:val="0d0d0d"/>
          <w:sz w:val="24"/>
        </w:rPr>
        <w:t xml:space="preserve">Ⅱ~Ⅴ</w:t>
      </w:r>
      <w:r>
        <w:rPr>
          <w:rFonts w:ascii="SimSun" w:hAnsi="SimSun" w:eastAsia="SimSun" w:cs="SimSun"/>
          <w:color w:val="0d0d0d"/>
          <w:sz w:val="24"/>
        </w:rPr>
        <w:t xml:space="preserve">类养护的城市桥梁应按《城市桥梁养护技术标准》（CJJ 99-2017）附录D对桥面系、上部结构、下部结构评分等级、扣分表进行评估，并应符合《城市桥梁养护技术标准》（CJJ 99-2017）第4.5节的有关规定。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c0c0c"/>
          <w:sz w:val="32"/>
        </w:rPr>
        <w:t xml:space="preserve">4.3 结构定期检测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c0c0c"/>
          <w:sz w:val="24"/>
        </w:rPr>
        <w:t xml:space="preserve">4.3.1 结构定期检测应包括下列内容：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1）查阅历次检测报告和常规定期检测（外观检查）；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2）桥梁结构各构件的砼强度以及砼的碳化深度检测；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3）桥梁结构主要构件的表层钢筋的保护层厚度检测；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4）桥梁结构主要构件的表层钢筋锈蚀情况检测；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5）桥梁裂缝检测，包括裂缝的位置、长度、宽度、缝宽超限裂缝的深度检测；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6）大桥主桥桥面线形布置与测量；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7）自振特性检测；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8）通过综合检测评定，提出相应的养护措施。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c0c0c"/>
          <w:sz w:val="24"/>
        </w:rPr>
        <w:t xml:space="preserve">4.3.2 结构定期检测应有现场记录，应按CJJ 99-2017标准附录F填写结构定期检测现场记录表，并应符合下列规定：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①技术状况评定应符合常规定期检测中的评分标准，I类养护的城市桥梁技术状况应按标准附录F表中的损坏状况进行；II类~V类养护的城市桥梁，按标准附录F表中的损坏状况，依据标准附录D的评分等级，扣分表进行评估，并应符合标准4.5的有关规定。同时填写下列相关内容：</w:t>
      </w:r>
      <w:r/>
    </w:p>
    <w:p>
      <w:pPr>
        <w:numPr>
          <w:ilvl w:val="0"/>
          <w:numId w:val="3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所有桥梁构件的侵蚀环境情况；</w:t>
      </w:r>
      <w:r/>
    </w:p>
    <w:p>
      <w:pPr>
        <w:numPr>
          <w:ilvl w:val="0"/>
          <w:numId w:val="3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构件的实测损坏类型和程度。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②对I类养护的城市桥梁评为不合格级的，或退化速度过快的构件，II类~V类养护的城市桥梁技术状况评定为D级、E级的，应在构件状态记录表中记录下列相关内容：</w:t>
      </w:r>
      <w:r/>
    </w:p>
    <w:p>
      <w:pPr>
        <w:numPr>
          <w:ilvl w:val="0"/>
          <w:numId w:val="3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构件编号；</w:t>
      </w:r>
      <w:r/>
    </w:p>
    <w:p>
      <w:pPr>
        <w:numPr>
          <w:ilvl w:val="0"/>
          <w:numId w:val="3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构件描述；</w:t>
      </w:r>
      <w:r/>
    </w:p>
    <w:p>
      <w:pPr>
        <w:numPr>
          <w:ilvl w:val="0"/>
          <w:numId w:val="3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构件在结构中的位置；</w:t>
      </w:r>
      <w:r/>
    </w:p>
    <w:p>
      <w:pPr>
        <w:numPr>
          <w:ilvl w:val="0"/>
          <w:numId w:val="3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损坏状况描述：包括损坏位置、程度、产生的原因和可能的退化、照片编号、所有材料试验的细节和材料在结构中的部位。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c0c0c"/>
          <w:sz w:val="24"/>
        </w:rPr>
        <w:t xml:space="preserve">③照片记录表中的照片应针对构件损坏拍摄，并应按顺序编号。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c0c0c"/>
          <w:sz w:val="24"/>
        </w:rPr>
        <w:t xml:space="preserve">4.3.3结构定期检测应对桥梁构件进行侵蚀环境分类（按CJJ 99-2017标准4.3.14条进行）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c0c0c"/>
          <w:sz w:val="24"/>
        </w:rPr>
        <w:t xml:space="preserve">4.3.4加宽桥梁应将原桥与加宽部分分开评估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2"/>
        </w:rPr>
        <w:t xml:space="preserve">4.4 桥梁静动载试验检测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（1）静载试验桥跨应选择主跨开展，测试内容包括应力测试和位移测试，具体控制截面和测试内容符合《城市桥梁检测与评定技术规范》（CJJ/T 233-2015）和《公路桥梁荷载试验规程》JTG/T J21-01-2015的要求。检测桥梁在荷载作用下的应变（应力）、变形（位移）等，评定桥梁的承载能力。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（2）动载试验应选择跑车、跳车或刹车作为动力荷载，具体控制截面和测试内容符合《城市桥梁检测与评定技术规范》（CJJ/T 233-2015）和《公路桥梁荷载试验规程》JTG/T J21-01-2015的要求。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（3）根据结构检测、静动载试验等结果对桥梁进行承载能力评价。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（4）对桥梁承载力评价分析后，给出桥梁安全性评估意见，判定其是否满足原设计要求，提出合理的养护、维修、使用建议，必要时给出限速或限载结论。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5 、技术服务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技术服务要求投标人有固定技术人员团队，能随时响应业主需求。按照要求配备</w:t>
      </w:r>
      <w:r>
        <w:rPr>
          <w:rFonts w:ascii="SimSun" w:hAnsi="SimSun" w:eastAsia="SimSun" w:cs="SimSun"/>
          <w:b/>
          <w:color w:val="000000"/>
          <w:sz w:val="24"/>
        </w:rPr>
        <w:t xml:space="preserve">至少2名</w:t>
      </w:r>
      <w:r>
        <w:rPr>
          <w:rFonts w:ascii="SimSun" w:hAnsi="SimSun" w:eastAsia="SimSun" w:cs="SimSun"/>
          <w:color w:val="000000"/>
          <w:sz w:val="24"/>
        </w:rPr>
        <w:t xml:space="preserve">技术服务人员。具体服务内容如下：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全过程服务于桥梁维修加固施工，配合主管部门进行桥梁维修加固的全过程、嵌入式现场技术监督和指导，参与现场施工质量管控和监督，配合业主完成桥梁维修加固施工质量验收工作</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全市市政桥梁卡片的的更新工作，每次巡检完成后，更新巡检台账并完成录入局道桥养护管理系统和《江苏省城市桥梁信息管理系统》工作，完成定期检测、特殊检测后，将检测成果录入《江苏省城市桥梁信息管理系统》，并负责系统日常维护工作。日常巡检包括对桥下空间违法利用建设和桥梁安全保护区范围内各类施工的日常监督巡查。特别的，如在巡查过程中发现桥梁安全保护区内存在未经市政主管部门审批的施工作业，影响桥梁安全的问题，即时上报；市政主管部门督促相关建设单位提供可行的桥梁安全保护专项方案并督促实施桥梁保护工作，检测单位应为</w:t>
      </w:r>
      <w:r>
        <w:rPr>
          <w:rFonts w:ascii="SimSun" w:hAnsi="SimSun" w:eastAsia="SimSun" w:cs="SimSun"/>
          <w:color w:val="000000"/>
          <w:sz w:val="24"/>
        </w:rPr>
        <w:t xml:space="preserve">业主做好方案审核及相关技术服务。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（2）协助业主完成日常养护、上级下达的桥梁养护考核、检查等工作以及桥梁运营过程中突发事件的检测工作。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（3）指导养护单位进行日常桥梁养护工作，参与桥梁移交验收工作。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（4）服务期内为管理单位和养护单位相关管理和技术人员以交流、讲座、授课等形式至少一次进行培训，提高业主一线养护人员的技术能力。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（5）配合管理单位和养护单位完成桥梁应急演练相关工作。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6、检测服务要求及结论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1）现场建立或校核桥梁基本数据表；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2）根据检查结果，进行桥梁技术状况等级评定；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3）填写桥梁检查数据表，记录各部件缺损状况并配图片说明；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4）详细叙述检查部位的损坏程度及原因，并提出结构部件和总体的维修、加固或改建的建议方案；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5）对难以判断损坏原因和程度的部件，提出特殊检查（专门检查）的要求；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6）对损坏严重、危及安全运行的危险桥梁，提出暂时限制交通的建议；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7）如果有进一步检测的需求，需提出检测项目及内容；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8）根据城市桥梁技术状况，确定下次检测的时间。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7、检测成果文件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对每座受检测桥梁应分别出具详细的检测报告，检测报告的用词、用语必须准确、明了，定性、定量确定；不得使用“大概”、“可能”、“基本”等不确定的词语。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检测报告应包括以下工作内容：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①检测情况总体结论，根据 BCI 计算值明确划分技术状况等级；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②检测目的、依据、概述检测的一般情况、检查的组织、时间、背景和工作过程；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③典型缺损和病害的数码照片及说明，缺损状况的描述应尽量采用专业标准术语，应说明缺损的部位、类型、性质、范围、数量和程度等；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④两张桥梁总体照片，一张桥面正面照片，一张桥梁侧立面照片；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根据检测结果，明确被检测桥梁的安全状态，若桥梁的安全状态不满足要求则需论证其合理的处理方式，并提出初步方案。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根据检测结果，提出应有养护维修加固措施建议及进一步检测、试验、结构分析评估及建议。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（1）检测单位提供的所有文件均应提供电子版（刻录制成光盘），其中文字采用Word格式、表格采用 Excel格式、图形采用 AutoCAD格式、数码照片采用 jpg格式；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（2）本项目的一切技术资料成果检测单位不得对外公布。检测成果归南通高新技术产业开发区招商服务中心所有，检测单位不得外传，也不得作盈利目的应用。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8、检测成果文件数量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（1）定期检测评估报告以每座桥梁单独出具（一桥一报告），数量：纸质 3套，电子文档2套。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（2）在定期检测现场工作完成后，中标人向发包人提交通过专家评审会评审后，签署合格的所有桥梁及设施定期检测评估报告。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（3）定期检测报告主要顺序(可按照实际情况进行调整)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A、工程概况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B、检测依据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C、检测主要内容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D、检测主要设备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E、编号说明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F、检测内容及结果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G、检测评估内容及结果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采购标的对应的中小企业划分标准所属行业一览表</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8"/>
        <w:gridCol w:w="4089"/>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8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南通高新区2026年桥梁检测项目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pStyle w:val="69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9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r>
      <w:r>
        <w:rPr>
          <w:rFonts w:ascii="SimSun" w:hAnsi="SimSun" w:eastAsia="SimSun" w:cs="SimSun"/>
          <w:b/>
          <w:color w:val="000000"/>
          <w:sz w:val="24"/>
        </w:rPr>
        <w:t xml:space="preserve">本项目对小型和微型企业给予10%的扣除价格，用扣除后的价格参与评审。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700"/>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（4）投标人资质要求：</w:t>
      </w:r>
      <w:r>
        <w:rPr>
          <w:rFonts w:ascii="SimSun" w:hAnsi="SimSun" w:eastAsia="SimSun" w:cs="SimSun"/>
          <w:b/>
          <w:color w:val="000000"/>
          <w:sz w:val="24"/>
          <w:u w:val="single"/>
        </w:rPr>
        <w:t xml:space="preserve">具有国家行政主管部门颁发的公路工程试验检测综合甲级或公路工程桥梁隧道工程专项检测资质或省级及以上建设行政主管部门颁发的建设工程质量检测综合资质或建设工程质量检测专项资质（桥梁及地下工程）（能力表含有“桥梁结构与构件”），具有有效的省级或以上质量技术监督部门颁发的具备CMA标识的检验检测机构资质认定证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（5）上一年度（2025年度）的财务审计报告（成立不满一年无需提供）；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（7）具备履行合同所必需的设备和专业技术能力的书面声明；</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（8）参加政府采购活动前 3 年内在经营活动中没有重大违法记录的书面声明；</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42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详细评审标准</w:t>
      </w:r>
      <w:r/>
    </w:p>
    <w:p>
      <w:pPr>
        <w:ind w:left="0" w:right="17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经资格审查合格的投标文件，评标委员会根据招标文件确定的评标标准和方法，对其商务技术标及价格标部分作进一步评审。</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w:t>
      </w:r>
      <w:r>
        <w:rPr>
          <w:rFonts w:ascii="SimSun" w:hAnsi="SimSun" w:eastAsia="SimSun" w:cs="SimSun"/>
          <w:b/>
          <w:color w:val="000000"/>
          <w:sz w:val="24"/>
        </w:rPr>
        <w:t xml:space="preserve">商务技术标评审标准（</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4"/>
        <w:gridCol w:w="764"/>
        <w:gridCol w:w="787"/>
        <w:gridCol w:w="1305"/>
        <w:gridCol w:w="5324"/>
      </w:tblGrid>
      <w:tr>
        <w:trPr>
          <w:trHeight w:val="382"/>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vMerge w:val="restart"/>
            <w:textDirection w:val="lrTb"/>
            <w:noWrap w:val="false"/>
          </w:tcPr>
          <w:p>
            <w:pPr>
              <w:ind w:left="0" w:right="0" w:firstLine="1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检测组织实施方案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总体服务实施方案(4分)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投标人提供的桥梁检测总体服务实施方案、实施计划的科学性、全面性、合理性、可行性、针对性符合或优于项目需求的得4分，有一定关联的得2分，欠合理的1分，没有不得分。</w:t>
            </w:r>
            <w:r/>
          </w:p>
        </w:tc>
      </w:tr>
      <w:tr>
        <w:trPr>
          <w:trHeight w:val="31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具体实施方案、安全保障措施、质量保障措施的全面性、可行性、适用性、合理性（42分）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（1）检测技术方案是否具体明确、详细可行、检测成果的数字化处理是否符合项目需求。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（2）质量目标及控制措施及对服务的质量责任承诺是否符合项目需求。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（3）安全目标控制措施及安全生产的责任承诺是否符合项目需求。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（4）进度目标及进度控制措施（含制定项目进度及保障措施，控制计划措施等）是否符合项目需求。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（5）针对桥梁检测项目的难点、重点进行分析，是否合理可行、技术措施是否有针对性并符合项目需求。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（6）提出对本项目针对性的经常性检查方案和措施方法及积极可行的合理化建议和意见等是否合理可行符合本项目需求。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以上每条符合或优于项目需求的得7分，有一定关联的得4分，欠合理的得2分，没有不得分。合计得分最高为42分。</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vMerge w:val="restart"/>
            <w:textDirection w:val="lrTb"/>
            <w:noWrap w:val="false"/>
          </w:tcPr>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能力设备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（1）投标人自2021年7月1日以来获得过省级及以上主管部门评定的质量检测优秀单位的得1分，提供获奖证书扫描件，获奖单位名称需和投标单位一致。</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（2）投标人自2021年7月1日以来获得过桥梁工程技术相关的国家级奖项的得1分。提供有效的奖励证书扫描件，获奖单位名称需和投标单位一致。</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（3）投标人有桥梁检测车和防撞车的，有一项得1分，最高得2分。（提供有投标人名称的发票复印件及车辆登记证复印件，如为租赁的提供租赁合同复印件、车辆登记证复印件及租赁费发票）。</w:t>
            </w:r>
            <w:r/>
          </w:p>
        </w:tc>
      </w:tr>
      <w:tr>
        <w:trPr>
          <w:trHeight w:val="43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（1）2021年7月1日以来，投标人具有市政桥梁检测项目业绩，包含常规定期检测和动静载检测，提供1个得2分，最多得4分；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（2）2021年7月1日以来，投标人具有市政桥梁经常性检查项目或桥梁结构定期检测项目业绩的，提供1个得2分，最多得4分；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（以上业绩时间以合同签订时间为准，提供合同扫描件。如合同中不能体现具体业绩要求信息的，则需提供业主证明，如同一合同中包括上述两项内容的，仅计一次分值）。</w:t>
            </w:r>
            <w:r/>
          </w:p>
        </w:tc>
      </w:tr>
      <w:tr>
        <w:trPr>
          <w:trHeight w:val="43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人员力量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numPr>
                <w:ilvl w:val="0"/>
                <w:numId w:val="3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项目负责人：具有一级注册结构工程师证书的得2分，具有工程类高级及以上职称的得2分，具有公路工程试验检测工程师（桥梁或桥梁隧道专业）资格证书的，得2分。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本小项最多得6分。</w:t>
            </w:r>
            <w:r/>
          </w:p>
          <w:p>
            <w:pPr>
              <w:numPr>
                <w:ilvl w:val="0"/>
                <w:numId w:val="3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技术负责人：除项目负责人外，技术负责人具有工程类高级及以上职称的得2分，同时具有公路工程试验检测工程师（桥梁或桥梁隧道专业）资格证书的，得1分。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本小项最多得3分。</w:t>
            </w:r>
            <w:r/>
          </w:p>
          <w:p>
            <w:pPr>
              <w:numPr>
                <w:ilvl w:val="0"/>
                <w:numId w:val="3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安全人员：配备一名注册安全工程师或具有安全生产管理人员安全生产考核合格证（C证）的得1分。</w:t>
            </w:r>
            <w:r/>
          </w:p>
          <w:p>
            <w:pPr>
              <w:numPr>
                <w:ilvl w:val="0"/>
                <w:numId w:val="3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除以上人员外，投入人员中具有应急管理部门颁发的高处作业证书且同时具有工程类中级及以上职称和公路水运工程桥梁或桥梁隧道工程试验检测工程师证书的，有1人得1分，最高得2分。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以上均需提供证书扫描件盖公章及和社保机构出具的投标人为其缴纳的投标截止时间前三个月（不含投标截止时间当月）中任意一个月的社保证明）</w:t>
            </w:r>
            <w:r/>
          </w:p>
        </w:tc>
      </w:tr>
    </w:tbl>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4.2价格标（</w:t>
      </w:r>
      <w:r>
        <w:rPr>
          <w:rFonts w:ascii="SimSun" w:hAnsi="SimSun" w:eastAsia="SimSun" w:cs="SimSun"/>
          <w:color w:val="000000"/>
          <w:sz w:val="24"/>
        </w:rPr>
        <w:t xml:space="preserve">30分</w:t>
      </w:r>
      <w:r>
        <w:rPr>
          <w:rFonts w:ascii="SimSun" w:hAnsi="SimSun" w:eastAsia="SimSun" w:cs="SimSun"/>
          <w:b/>
          <w:color w:val="000000"/>
          <w:sz w:val="24"/>
        </w:rPr>
        <w:t xml:space="preserve">）</w:t>
      </w:r>
      <w:r/>
    </w:p>
    <w:p>
      <w:pPr>
        <w:numPr>
          <w:ilvl w:val="0"/>
          <w:numId w:val="3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55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=（评标基准价/报价）×100%×30</w:t>
      </w:r>
      <w:r>
        <w:rPr>
          <w:rFonts w:ascii="SimSun" w:hAnsi="SimSun" w:eastAsia="SimSun" w:cs="SimSun"/>
          <w:b/>
          <w:color w:val="000000"/>
          <w:sz w:val="24"/>
        </w:rPr>
        <w:t xml:space="preserve">。</w:t>
      </w:r>
      <w:r/>
    </w:p>
    <w:p>
      <w:pPr>
        <w:ind w:left="0" w:right="0" w:firstLine="55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本项目对小型和微型企业、残疾人福利单位、监狱和戒毒企业给予10%的扣除价格，用扣除后的价格参与评审。</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700"/>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政府采购评审中出现下列情形之一的，评标委员会应当启动异常低价投标（响应）审查程序：</w:t>
      </w:r>
      <w:r/>
    </w:p>
    <w:p>
      <w:pPr>
        <w:pStyle w:val="700"/>
        <w:numPr>
          <w:ilvl w:val="0"/>
          <w:numId w:val="40"/>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700"/>
        <w:numPr>
          <w:ilvl w:val="0"/>
          <w:numId w:val="40"/>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700"/>
        <w:numPr>
          <w:ilvl w:val="0"/>
          <w:numId w:val="40"/>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700"/>
        <w:numPr>
          <w:ilvl w:val="0"/>
          <w:numId w:val="40"/>
        </w:numPr>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评标委员会基于专业判断，认为供应商报价过低，有可能影响产品质量或者不能诚信履约的其他情形。</w:t>
      </w:r>
      <w:r/>
    </w:p>
    <w:p>
      <w:pPr>
        <w:pStyle w:val="700"/>
        <w:ind w:left="0" w:right="0" w:firstLine="48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、中标原则</w:t>
      </w:r>
      <w:r/>
    </w:p>
    <w:p>
      <w:pPr>
        <w:ind w:left="0" w:right="0" w:firstLine="55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由评标委员会现场抽签决定。</w:t>
      </w:r>
      <w:r/>
    </w:p>
    <w:p>
      <w:pPr>
        <w:ind w:left="0" w:right="0" w:firstLine="55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w:t>
      </w:r>
      <w:r/>
    </w:p>
    <w:p>
      <w:pPr>
        <w:ind w:left="0" w:right="0" w:firstLine="55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9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（4）投标人资质要求：</w:t>
      </w:r>
      <w:r>
        <w:rPr>
          <w:rFonts w:ascii="SimSun" w:hAnsi="SimSun" w:eastAsia="SimSun" w:cs="SimSun"/>
          <w:b/>
          <w:color w:val="000000"/>
          <w:sz w:val="24"/>
          <w:u w:val="single"/>
        </w:rPr>
        <w:t xml:space="preserve">具有国家行政主管部门颁发的公路工程试验检测综合甲级或公路工程桥梁隧道工程专项检测资质或省级及以上建设行政主管部门颁发的建设工程质量检测综合资质或建设工程质量检测专项资质（桥梁及地下工程）（能力表含有“桥梁结构与构件”），具有有效的省级或以上质量技术监督部门颁发的具备CMA标识的检验检测机构资质认定证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（5）上一年度（2025年度）的财务审计报告（成立不满一年无需提供）；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（8）参加政府采购活动前 3 年内在经营活动中没有重大违法记录的书面声明；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4.符合性条件材料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5.商务技术文件材料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14.投标人根据招标文件打分项，提交的材料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报价折扣证明材料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监狱企业证明函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招标编号：标段：</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附委托代理人身份证复印件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投标人：____________________（盖章）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SimSun" w:hAnsi="SimSun" w:eastAsia="SimSun" w:cs="SimSun"/>
          <w:color w:val="000000"/>
          <w:sz w:val="24"/>
        </w:rPr>
        <w:t xml:space="preserve">__________</w:t>
      </w:r>
      <w:r>
        <w:rPr>
          <w:rFonts w:ascii="FangSong" w:hAnsi="FangSong" w:eastAsia="FangSong" w:cs="FangSong"/>
          <w:color w:val="000000"/>
          <w:sz w:val="24"/>
        </w:rPr>
        <w:t xml:space="preserve">年</w:t>
      </w:r>
      <w:r>
        <w:rPr>
          <w:rFonts w:ascii="SimSun" w:hAnsi="SimSun" w:eastAsia="SimSun" w:cs="SimSun"/>
          <w:color w:val="000000"/>
          <w:sz w:val="24"/>
        </w:rPr>
        <w:t xml:space="preserve">______</w:t>
      </w:r>
      <w:r>
        <w:rPr>
          <w:rFonts w:ascii="FangSong" w:hAnsi="FangSong" w:eastAsia="FangSong" w:cs="FangSong"/>
          <w:color w:val="000000"/>
          <w:sz w:val="24"/>
        </w:rPr>
        <w:t xml:space="preserve">月</w:t>
      </w:r>
      <w:r>
        <w:rPr>
          <w:rFonts w:ascii="SimSun" w:hAnsi="SimSun" w:eastAsia="SimSun" w:cs="SimSun"/>
          <w:color w:val="000000"/>
          <w:sz w:val="24"/>
        </w:rPr>
        <w:t xml:space="preserve">_____</w:t>
      </w:r>
      <w:r>
        <w:rPr>
          <w:rFonts w:ascii="FangSong" w:hAnsi="FangSong" w:eastAsia="FangSong" w:cs="FangSong"/>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中小微企业声明函（工程、服务）（包：**）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Times New Roman" w:cs="Times New Roman"/>
          <w:color w:val="000000"/>
          <w:sz w:val="24"/>
        </w:rPr>
        <w:t xml:space="preserve">2023</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57</w:t>
      </w:r>
      <w:r>
        <w:rPr>
          <w:rFonts w:ascii="FangSong" w:hAnsi="FangSong" w:eastAsia="FangSong" w:cs="FangSong"/>
          <w:color w:val="000000"/>
          <w:sz w:val="24"/>
        </w:rPr>
        <w:t xml:space="preserve">号）和《关于深入开展南通市政府采购线上合同信用融资业务的通知》（通财购〔</w:t>
      </w:r>
      <w:r>
        <w:rPr>
          <w:rFonts w:ascii="Times New Roman" w:hAnsi="Times New Roman" w:eastAsia="Times New Roman" w:cs="Times New Roman"/>
          <w:color w:val="000000"/>
          <w:sz w:val="24"/>
        </w:rPr>
        <w:t xml:space="preserve">2022</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68</w:t>
      </w:r>
      <w:r>
        <w:rPr>
          <w:rFonts w:ascii="FangSong" w:hAnsi="FangSong" w:eastAsia="FangSong" w:cs="FangSong"/>
          <w:color w:val="000000"/>
          <w:sz w:val="24"/>
        </w:rPr>
        <w:t xml:space="preserve">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TSong">
    <w:panose1 w:val="0201060004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条"/>
      <w:lvlJc w:val="left"/>
      <w:pPr>
        <w:ind w:left="720" w:hanging="720"/>
      </w:pPr>
    </w:lvl>
    <w:lvl w:ilvl="1">
      <w:start w:val="1"/>
      <w:numFmt w:val="decimal"/>
      <w:isLgl w:val="false"/>
      <w:suff w:val="tab"/>
      <w:lvlText w:val="%2、"/>
      <w:lvlJc w:val="left"/>
      <w:pPr>
        <w:ind w:left="780" w:hanging="360"/>
      </w:pPr>
      <w:rPr>
        <w:color w:val="000000"/>
      </w:r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第%1条"/>
      <w:lvlJc w:val="left"/>
      <w:pPr>
        <w:ind w:left="720" w:hanging="720"/>
      </w:pPr>
    </w:lvl>
    <w:lvl w:ilvl="1">
      <w:start w:val="1"/>
      <w:numFmt w:val="decimal"/>
      <w:isLgl w:val="false"/>
      <w:suff w:val="tab"/>
      <w:lvlText w:val="%2、"/>
      <w:lvlJc w:val="left"/>
      <w:pPr>
        <w:ind w:left="780" w:hanging="360"/>
      </w:pPr>
      <w:rPr>
        <w:color w:val="000000"/>
      </w:r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第%1条"/>
      <w:lvlJc w:val="left"/>
      <w:pPr>
        <w:ind w:left="720" w:hanging="720"/>
      </w:pPr>
    </w:lvl>
    <w:lvl w:ilvl="1">
      <w:start w:val="1"/>
      <w:numFmt w:val="decimal"/>
      <w:isLgl w:val="false"/>
      <w:suff w:val="tab"/>
      <w:lvlText w:val="%2、"/>
      <w:lvlJc w:val="left"/>
      <w:pPr>
        <w:ind w:left="780" w:hanging="360"/>
      </w:pPr>
      <w:rPr>
        <w:color w:val="000000"/>
      </w:r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第%1条"/>
      <w:lvlJc w:val="left"/>
      <w:pPr>
        <w:ind w:left="720" w:hanging="720"/>
      </w:pPr>
    </w:lvl>
    <w:lvl w:ilvl="1">
      <w:start w:val="1"/>
      <w:numFmt w:val="decimal"/>
      <w:isLgl w:val="false"/>
      <w:suff w:val="tab"/>
      <w:lvlText w:val="%2、"/>
      <w:lvlJc w:val="left"/>
      <w:pPr>
        <w:ind w:left="780" w:hanging="360"/>
      </w:pPr>
      <w:rPr>
        <w:color w:val="000000"/>
      </w:r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9">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第%1条"/>
      <w:lvlJc w:val="left"/>
      <w:pPr>
        <w:ind w:left="720" w:hanging="720"/>
      </w:pPr>
    </w:lvl>
    <w:lvl w:ilvl="1">
      <w:start w:val="1"/>
      <w:numFmt w:val="decimal"/>
      <w:isLgl w:val="false"/>
      <w:suff w:val="tab"/>
      <w:lvlText w:val="%2、"/>
      <w:lvlJc w:val="left"/>
      <w:pPr>
        <w:ind w:left="780" w:hanging="360"/>
      </w:pPr>
      <w:rPr>
        <w:color w:val="000000"/>
      </w:r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uiPriority w:val="34"/>
    <w:qFormat/>
    <w:pPr>
      <w:contextualSpacing/>
      <w:ind w:left="720"/>
    </w:pPr>
  </w:style>
  <w:style w:type="paragraph" w:styleId="717">
    <w:name w:val="No Spacing"/>
    <w:uiPriority w:val="1"/>
    <w:qFormat/>
    <w:pPr>
      <w:spacing w:before="0" w:after="0" w:line="240" w:lineRule="auto"/>
    </w:pPr>
  </w:style>
  <w:style w:type="paragraph" w:styleId="718">
    <w:name w:val="Title"/>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link w:val="723"/>
    <w:uiPriority w:val="29"/>
    <w:qFormat/>
    <w:pPr>
      <w:ind w:left="720" w:right="720"/>
    </w:pPr>
    <w:rPr>
      <w:i/>
    </w:rPr>
  </w:style>
  <w:style w:type="character" w:styleId="723">
    <w:name w:val="Quote Char"/>
    <w:link w:val="722"/>
    <w:uiPriority w:val="29"/>
    <w:rPr>
      <w:i/>
    </w:rPr>
  </w:style>
  <w:style w:type="paragraph" w:styleId="724">
    <w:name w:val="Intense Quote"/>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uiPriority w:val="39"/>
    <w:unhideWhenUsed/>
    <w:pPr>
      <w:ind w:left="0" w:right="0" w:firstLine="0"/>
      <w:spacing w:after="57"/>
    </w:pPr>
  </w:style>
  <w:style w:type="paragraph" w:styleId="866">
    <w:name w:val="toc 2"/>
    <w:uiPriority w:val="39"/>
    <w:unhideWhenUsed/>
    <w:pPr>
      <w:ind w:left="283" w:right="0" w:firstLine="0"/>
      <w:spacing w:after="57"/>
    </w:pPr>
  </w:style>
  <w:style w:type="paragraph" w:styleId="867">
    <w:name w:val="toc 3"/>
    <w:uiPriority w:val="39"/>
    <w:unhideWhenUsed/>
    <w:pPr>
      <w:ind w:left="567" w:right="0" w:firstLine="0"/>
      <w:spacing w:after="57"/>
    </w:pPr>
  </w:style>
  <w:style w:type="paragraph" w:styleId="868">
    <w:name w:val="toc 4"/>
    <w:uiPriority w:val="39"/>
    <w:unhideWhenUsed/>
    <w:pPr>
      <w:ind w:left="850" w:right="0" w:firstLine="0"/>
      <w:spacing w:after="57"/>
    </w:pPr>
  </w:style>
  <w:style w:type="paragraph" w:styleId="869">
    <w:name w:val="toc 5"/>
    <w:uiPriority w:val="39"/>
    <w:unhideWhenUsed/>
    <w:pPr>
      <w:ind w:left="1134" w:right="0" w:firstLine="0"/>
      <w:spacing w:after="57"/>
    </w:pPr>
  </w:style>
  <w:style w:type="paragraph" w:styleId="870">
    <w:name w:val="toc 6"/>
    <w:uiPriority w:val="39"/>
    <w:unhideWhenUsed/>
    <w:pPr>
      <w:ind w:left="1417" w:right="0" w:firstLine="0"/>
      <w:spacing w:after="57"/>
    </w:pPr>
  </w:style>
  <w:style w:type="paragraph" w:styleId="871">
    <w:name w:val="toc 7"/>
    <w:uiPriority w:val="39"/>
    <w:unhideWhenUsed/>
    <w:pPr>
      <w:ind w:left="1701" w:right="0" w:firstLine="0"/>
      <w:spacing w:after="57"/>
    </w:pPr>
  </w:style>
  <w:style w:type="paragraph" w:styleId="872">
    <w:name w:val="toc 8"/>
    <w:uiPriority w:val="39"/>
    <w:unhideWhenUsed/>
    <w:pPr>
      <w:ind w:left="1984" w:right="0" w:firstLine="0"/>
      <w:spacing w:after="57"/>
    </w:pPr>
  </w:style>
  <w:style w:type="paragraph" w:styleId="873">
    <w:name w:val="toc 9"/>
    <w:uiPriority w:val="39"/>
    <w:unhideWhenUsed/>
    <w:pPr>
      <w:ind w:left="2268" w:right="0" w:firstLine="0"/>
      <w:spacing w:after="57"/>
    </w:pPr>
  </w:style>
  <w:style w:type="paragraph" w:styleId="874">
    <w:name w:val="TOC Heading"/>
    <w:uiPriority w:val="39"/>
    <w:unhideWhenUsed/>
  </w:style>
  <w:style w:type="paragraph" w:styleId="875">
    <w:name w:val="table of figures"/>
    <w:uiPriority w:val="99"/>
    <w:unhideWhenUsed/>
    <w:pPr>
      <w:spacing w:after="0" w:afterAutospacing="0"/>
    </w:pPr>
  </w:style>
  <w:style w:type="character" w:styleId="876" w:default="1">
    <w:name w:val="Default Paragraph Font"/>
    <w:uiPriority w:val="1"/>
    <w:semiHidden/>
    <w:unhideWhenUsed/>
  </w:style>
  <w:style w:type="numbering" w:styleId="877" w:default="1">
    <w:name w:val="No List"/>
    <w:uiPriority w:val="99"/>
    <w:semiHidden/>
    <w:unhideWhenUsed/>
  </w:style>
  <w:style w:type="paragraph" w:styleId="878" w:default="1">
    <w:name w:val="Normal"/>
    <w:qFormat/>
  </w:style>
  <w:style w:type="table" w:styleId="8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6</cp:revision>
  <dcterms:created xsi:type="dcterms:W3CDTF">2026-07-08T07:18:44Z</dcterms:created>
  <dcterms:modified xsi:type="dcterms:W3CDTF">2026-07-16T06:16:22Z</dcterms:modified>
</cp:coreProperties>
</file>