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1022"/>
        <w:rPr>
          <w:color w:val="000000"/>
          <w:highlight w:val="none"/>
        </w:rPr>
      </w:pPr>
      <w:r>
        <w:rPr>
          <w:color w:val="000000"/>
          <w:highlight w:val="none"/>
        </w:rPr>
      </w:r>
      <w:r/>
    </w:p>
    <w:p>
      <w:pPr>
        <w:pStyle w:val="1033"/>
        <w:jc w:val="center"/>
        <w:rPr>
          <w:rFonts w:eastAsia="黑体"/>
          <w:b/>
          <w:bCs/>
          <w:color w:val="000000"/>
          <w:sz w:val="84"/>
          <w:highlight w:val="none"/>
        </w:rPr>
      </w:pPr>
      <w:r>
        <w:rPr>
          <w:rFonts w:hint="eastAsia" w:eastAsia="黑体"/>
          <w:b/>
          <w:bCs/>
          <w:color w:val="000000"/>
          <w:sz w:val="84"/>
          <w:highlight w:val="none"/>
        </w:rPr>
        <w:t xml:space="preserve">招　标　文　件</w:t>
      </w:r>
      <w:r/>
    </w:p>
    <w:p>
      <w:pPr>
        <w:ind w:firstLine="1508"/>
        <w:spacing w:line="420" w:lineRule="auto"/>
        <w:rPr>
          <w:b/>
          <w:color w:val="000000"/>
          <w:sz w:val="30"/>
          <w:szCs w:val="30"/>
          <w:highlight w:val="none"/>
          <w:u w:val="single"/>
        </w:rPr>
      </w:pPr>
      <w:r>
        <w:rPr>
          <w:rFonts w:hint="eastAsia"/>
          <w:b/>
          <w:color w:val="000000"/>
          <w:sz w:val="30"/>
          <w:szCs w:val="30"/>
          <w:highlight w:val="none"/>
        </w:rPr>
        <w:t xml:space="preserve">项目名称：</w:t>
      </w:r>
      <w:bookmarkStart w:id="0" w:name="OLE_LINK3"/>
      <w:r>
        <w:rPr>
          <w:b/>
          <w:color w:val="000000"/>
          <w:sz w:val="30"/>
          <w:szCs w:val="30"/>
          <w:highlight w:val="none"/>
        </w:rPr>
        <w:t xml:space="preserve">2026年多校食堂设备</w:t>
      </w:r>
      <w:bookmarkEnd w:id="0"/>
      <w:r/>
      <w:r/>
    </w:p>
    <w:p>
      <w:pPr>
        <w:ind w:firstLine="1508"/>
        <w:spacing w:line="420" w:lineRule="auto"/>
        <w:rPr>
          <w:rFonts w:hint="eastAsia" w:eastAsia="宋体"/>
          <w:b/>
          <w:sz w:val="30"/>
          <w:szCs w:val="30"/>
          <w:highlight w:val="none"/>
          <w:lang w:eastAsia="zh-CN"/>
        </w:rPr>
      </w:pPr>
      <w:r>
        <w:rPr>
          <w:rFonts w:hint="eastAsia"/>
          <w:b/>
          <w:sz w:val="30"/>
          <w:szCs w:val="30"/>
          <w:highlight w:val="none"/>
        </w:rPr>
        <w:t xml:space="preserve">项目编号：</w:t>
      </w:r>
      <w:r>
        <w:rPr>
          <w:rFonts w:hint="eastAsia"/>
          <w:b/>
          <w:sz w:val="30"/>
          <w:szCs w:val="30"/>
          <w:highlight w:val="none"/>
          <w:lang w:eastAsia="zh-CN"/>
        </w:rPr>
        <w:t xml:space="preserve">JSZC-320116-LHYX-G2026-0006</w:t>
      </w:r>
      <w:r/>
    </w:p>
    <w:p>
      <w:pPr>
        <w:jc w:val="center"/>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rPr>
          <w:rFonts w:hint="default" w:eastAsia="宋体"/>
          <w:b/>
          <w:color w:val="000000"/>
          <w:sz w:val="32"/>
          <w:szCs w:val="32"/>
          <w:highlight w:val="none"/>
          <w:lang w:val="en-US" w:eastAsia="zh-CN"/>
        </w:rPr>
      </w:pPr>
      <w:r>
        <w:rPr>
          <w:rFonts w:hint="eastAsia"/>
          <w:b/>
          <w:color w:val="000000"/>
          <w:sz w:val="32"/>
          <w:szCs w:val="32"/>
          <w:highlight w:val="none"/>
          <w:lang w:val="en-US" w:eastAsia="zh-CN"/>
        </w:rPr>
        <w:t xml:space="preserve">南京宇厦工程管理咨询有限公司</w:t>
      </w:r>
      <w:r/>
    </w:p>
    <w:p>
      <w:pPr>
        <w:jc w:val="center"/>
        <w:rPr>
          <w:b/>
          <w:color w:val="000000"/>
          <w:sz w:val="32"/>
          <w:szCs w:val="32"/>
          <w:highlight w:val="none"/>
        </w:rPr>
      </w:pPr>
      <w:r>
        <w:rPr>
          <w:b/>
          <w:color w:val="000000"/>
          <w:sz w:val="32"/>
          <w:szCs w:val="32"/>
          <w:highlight w:val="none"/>
        </w:rPr>
      </w:r>
      <w:r/>
    </w:p>
    <w:p>
      <w:pPr>
        <w:jc w:val="center"/>
        <w:rPr>
          <w:b/>
          <w:color w:val="000000"/>
          <w:sz w:val="32"/>
          <w:szCs w:val="32"/>
          <w:highlight w:val="none"/>
        </w:rPr>
      </w:pPr>
      <w:r>
        <w:rPr>
          <w:rFonts w:hint="eastAsia"/>
          <w:b/>
          <w:color w:val="000000"/>
          <w:sz w:val="32"/>
          <w:szCs w:val="32"/>
          <w:highlight w:val="none"/>
        </w:rPr>
        <w:t xml:space="preserve">2026年7月</w:t>
      </w:r>
      <w:r/>
    </w:p>
    <w:p>
      <w:pPr>
        <w:jc w:val="left"/>
        <w:spacing w:before="120" w:after="120" w:line="360" w:lineRule="auto"/>
        <w:rPr>
          <w:rFonts w:ascii="Arial" w:hAnsi="Arial"/>
          <w:color w:val="000000"/>
          <w:sz w:val="24"/>
          <w:szCs w:val="24"/>
          <w:highlight w:val="none"/>
          <w:u w:val="single"/>
        </w:rPr>
      </w:pPr>
      <w:r>
        <w:rPr>
          <w:rFonts w:ascii="Arial" w:hAnsi="Arial"/>
          <w:color w:val="000000"/>
          <w:sz w:val="24"/>
          <w:szCs w:val="24"/>
          <w:highlight w:val="none"/>
          <w:u w:val="single"/>
        </w:rPr>
      </w:r>
      <w:r/>
    </w:p>
    <w:p>
      <w:pPr>
        <w:jc w:val="left"/>
        <w:spacing w:before="120" w:after="120" w:line="360" w:lineRule="auto"/>
        <w:rPr>
          <w:color w:val="000000"/>
          <w:szCs w:val="21"/>
          <w:highlight w:val="none"/>
        </w:rPr>
      </w:pPr>
      <w:r>
        <w:rPr>
          <w:color w:val="000000"/>
          <w:szCs w:val="21"/>
          <w:highlight w:val="none"/>
        </w:rPr>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1" w:name="_Toc120614210"/>
      <w:r/>
      <w:bookmarkStart w:id="2" w:name="_Toc20823272"/>
      <w:r/>
      <w:bookmarkStart w:id="3" w:name="_Toc479757206"/>
      <w:r/>
      <w:bookmarkStart w:id="4" w:name="_Toc513029200"/>
      <w:r/>
      <w:bookmarkStart w:id="5" w:name="_Toc523127445"/>
      <w:r/>
      <w:bookmarkStart w:id="6" w:name="_Toc16938516"/>
      <w:r>
        <w:rPr>
          <w:rFonts w:hint="eastAsia" w:ascii="黑体" w:hAnsi="Arial" w:eastAsia="黑体"/>
          <w:b/>
          <w:color w:val="000000"/>
          <w:sz w:val="44"/>
          <w:szCs w:val="21"/>
          <w:highlight w:val="none"/>
        </w:rPr>
        <w:t xml:space="preserve">总目录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3"/>
        </w:numPr>
        <w:jc w:val="center"/>
        <w:spacing w:line="960" w:lineRule="auto"/>
        <w:rPr>
          <w:rFonts w:hint="eastAsia" w:ascii="黑体" w:hAnsi="宋体" w:eastAsia="黑体"/>
          <w:color w:val="000000"/>
          <w:sz w:val="36"/>
          <w:szCs w:val="21"/>
          <w:highlight w:val="none"/>
        </w:rPr>
        <w:outlineLvl w:val="1"/>
      </w:pPr>
      <w:r/>
      <w:bookmarkStart w:id="7" w:name="_Toc235688447"/>
      <w:r>
        <w:rPr>
          <w:rFonts w:hint="eastAsia" w:ascii="黑体" w:hAnsi="宋体" w:eastAsia="黑体"/>
          <w:color w:val="000000"/>
          <w:sz w:val="36"/>
          <w:szCs w:val="21"/>
          <w:highlight w:val="none"/>
        </w:rPr>
        <w:t xml:space="preserve">投标邀请……………………………………</w:t>
      </w:r>
      <w:bookmarkEnd w:id="7"/>
      <w:r>
        <w:rPr>
          <w:rFonts w:hint="eastAsia" w:ascii="黑体" w:hAnsi="宋体" w:eastAsia="黑体"/>
          <w:color w:val="000000"/>
          <w:sz w:val="36"/>
          <w:szCs w:val="21"/>
          <w:highlight w:val="none"/>
        </w:rPr>
        <w:t xml:space="preserve">4</w:t>
      </w:r>
      <w:r/>
    </w:p>
    <w:p>
      <w:pPr>
        <w:numPr>
          <w:ilvl w:val="0"/>
          <w:numId w:val="3"/>
        </w:numPr>
        <w:jc w:val="center"/>
        <w:spacing w:line="960" w:lineRule="auto"/>
        <w:rPr>
          <w:rFonts w:hint="eastAsia" w:ascii="黑体" w:hAnsi="宋体" w:eastAsia="黑体"/>
          <w:color w:val="000000"/>
          <w:sz w:val="36"/>
          <w:szCs w:val="21"/>
          <w:highlight w:val="none"/>
        </w:rPr>
        <w:outlineLvl w:val="1"/>
      </w:pPr>
      <w:r/>
      <w:bookmarkStart w:id="8" w:name="_Toc235688448"/>
      <w:r>
        <w:rPr>
          <w:rFonts w:hint="eastAsia" w:ascii="黑体" w:hAnsi="宋体" w:eastAsia="黑体"/>
          <w:color w:val="000000"/>
          <w:sz w:val="36"/>
          <w:szCs w:val="21"/>
          <w:highlight w:val="none"/>
        </w:rPr>
        <w:t xml:space="preserve">投标人须知…………………………………</w:t>
      </w:r>
      <w:bookmarkEnd w:id="8"/>
      <w:r>
        <w:rPr>
          <w:rFonts w:hint="eastAsia" w:ascii="黑体" w:hAnsi="宋体" w:eastAsia="黑体"/>
          <w:color w:val="000000"/>
          <w:sz w:val="36"/>
          <w:szCs w:val="21"/>
          <w:highlight w:val="none"/>
        </w:rPr>
        <w:t xml:space="preserve">6</w:t>
      </w:r>
      <w:r/>
    </w:p>
    <w:p>
      <w:pPr>
        <w:numPr>
          <w:ilvl w:val="0"/>
          <w:numId w:val="3"/>
        </w:numPr>
        <w:jc w:val="center"/>
        <w:spacing w:line="960" w:lineRule="auto"/>
        <w:rPr>
          <w:rFonts w:hint="eastAsia" w:ascii="黑体" w:hAnsi="宋体" w:eastAsia="黑体"/>
          <w:color w:val="000000"/>
          <w:sz w:val="36"/>
          <w:szCs w:val="21"/>
          <w:highlight w:val="none"/>
        </w:rPr>
        <w:outlineLvl w:val="1"/>
      </w:pPr>
      <w:r/>
      <w:bookmarkStart w:id="9" w:name="_Toc235688449"/>
      <w:r>
        <w:rPr>
          <w:rFonts w:hint="eastAsia" w:ascii="黑体" w:hAnsi="宋体" w:eastAsia="黑体"/>
          <w:color w:val="000000"/>
          <w:sz w:val="36"/>
          <w:szCs w:val="21"/>
          <w:highlight w:val="none"/>
        </w:rPr>
        <w:t xml:space="preserve">合同文本……………………………………</w:t>
      </w:r>
      <w:bookmarkEnd w:id="9"/>
      <w:r>
        <w:rPr>
          <w:rFonts w:hint="eastAsia" w:ascii="黑体" w:hAnsi="宋体" w:eastAsia="黑体"/>
          <w:color w:val="000000"/>
          <w:sz w:val="36"/>
          <w:szCs w:val="21"/>
          <w:highlight w:val="none"/>
        </w:rPr>
        <w:t xml:space="preserve">16</w:t>
      </w:r>
      <w:r/>
    </w:p>
    <w:p>
      <w:pPr>
        <w:numPr>
          <w:ilvl w:val="0"/>
          <w:numId w:val="3"/>
        </w:numPr>
        <w:jc w:val="center"/>
        <w:spacing w:line="960" w:lineRule="auto"/>
        <w:rPr>
          <w:rFonts w:hint="eastAsia" w:ascii="黑体" w:hAnsi="宋体" w:eastAsia="黑体"/>
          <w:color w:val="000000"/>
          <w:sz w:val="36"/>
          <w:szCs w:val="21"/>
          <w:highlight w:val="none"/>
        </w:rPr>
        <w:outlineLvl w:val="1"/>
      </w:pPr>
      <w:r/>
      <w:bookmarkStart w:id="10" w:name="_Toc235688450"/>
      <w:r>
        <w:rPr>
          <w:rFonts w:hint="eastAsia" w:ascii="黑体" w:hAnsi="宋体" w:eastAsia="黑体"/>
          <w:color w:val="000000"/>
          <w:sz w:val="36"/>
          <w:szCs w:val="21"/>
          <w:highlight w:val="none"/>
        </w:rPr>
        <w:t xml:space="preserve">采购需求……………………………………</w:t>
      </w:r>
      <w:bookmarkEnd w:id="10"/>
      <w:r>
        <w:rPr>
          <w:rFonts w:hint="eastAsia" w:ascii="黑体" w:hAnsi="宋体" w:eastAsia="黑体"/>
          <w:color w:val="000000"/>
          <w:sz w:val="36"/>
          <w:szCs w:val="21"/>
          <w:highlight w:val="none"/>
        </w:rPr>
        <w:t xml:space="preserve">20</w:t>
      </w:r>
      <w:r/>
    </w:p>
    <w:p>
      <w:pPr>
        <w:numPr>
          <w:ilvl w:val="0"/>
          <w:numId w:val="3"/>
        </w:numPr>
        <w:jc w:val="center"/>
        <w:spacing w:line="960" w:lineRule="auto"/>
        <w:rPr>
          <w:rFonts w:hint="eastAsia" w:ascii="黑体" w:hAnsi="宋体" w:eastAsia="黑体"/>
          <w:color w:val="000000"/>
          <w:sz w:val="36"/>
          <w:szCs w:val="21"/>
          <w:highlight w:val="none"/>
        </w:rPr>
        <w:outlineLvl w:val="1"/>
      </w:pPr>
      <w:r/>
      <w:bookmarkStart w:id="11" w:name="_Toc235688451"/>
      <w:r>
        <w:rPr>
          <w:rFonts w:hint="eastAsia" w:ascii="黑体" w:hAnsi="宋体" w:eastAsia="黑体"/>
          <w:color w:val="000000"/>
          <w:sz w:val="36"/>
          <w:szCs w:val="21"/>
          <w:highlight w:val="none"/>
        </w:rPr>
        <w:t xml:space="preserve">评标方法与评标标准………………………</w:t>
      </w:r>
      <w:bookmarkEnd w:id="11"/>
      <w:r>
        <w:rPr>
          <w:rFonts w:hint="eastAsia" w:ascii="黑体" w:hAnsi="宋体" w:eastAsia="黑体"/>
          <w:color w:val="000000"/>
          <w:sz w:val="36"/>
          <w:szCs w:val="21"/>
          <w:highlight w:val="none"/>
        </w:rPr>
        <w:t xml:space="preserve">40</w:t>
      </w:r>
      <w:r/>
    </w:p>
    <w:p>
      <w:pPr>
        <w:numPr>
          <w:ilvl w:val="0"/>
          <w:numId w:val="3"/>
        </w:numPr>
        <w:jc w:val="center"/>
        <w:spacing w:line="960" w:lineRule="auto"/>
        <w:rPr>
          <w:rFonts w:hint="eastAsia" w:ascii="黑体" w:hAnsi="宋体" w:eastAsia="黑体"/>
          <w:color w:val="000000"/>
          <w:sz w:val="36"/>
          <w:szCs w:val="21"/>
          <w:highlight w:val="none"/>
        </w:rPr>
        <w:outlineLvl w:val="1"/>
      </w:pPr>
      <w:r/>
      <w:bookmarkStart w:id="12" w:name="_Toc235688452"/>
      <w:r>
        <w:rPr>
          <w:rFonts w:hint="eastAsia" w:ascii="黑体" w:hAnsi="宋体" w:eastAsia="黑体"/>
          <w:color w:val="000000"/>
          <w:sz w:val="36"/>
          <w:szCs w:val="21"/>
          <w:highlight w:val="none"/>
        </w:rPr>
        <w:t xml:space="preserve">投标文件格式………………………………</w:t>
      </w:r>
      <w:bookmarkEnd w:id="1"/>
      <w:r/>
      <w:bookmarkEnd w:id="12"/>
      <w:r>
        <w:rPr>
          <w:rFonts w:hint="eastAsia" w:ascii="黑体" w:hAnsi="宋体" w:eastAsia="黑体"/>
          <w:color w:val="000000"/>
          <w:sz w:val="36"/>
          <w:szCs w:val="21"/>
          <w:highlight w:val="none"/>
        </w:rPr>
        <w:t xml:space="preserve">43</w:t>
      </w:r>
      <w:r/>
    </w:p>
    <w:p>
      <w:pP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第一章投标邀请</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rPr>
      </w:pPr>
      <w:r/>
      <w:bookmarkStart w:id="13" w:name="_Toc35393790"/>
      <w:r/>
      <w:bookmarkStart w:id="14" w:name="_Toc28359079"/>
      <w:r/>
      <w:bookmarkStart w:id="15" w:name="_Toc28359002"/>
      <w:r/>
      <w:bookmarkStart w:id="16" w:name="_Toc35393621"/>
      <w:r/>
      <w:bookmarkStart w:id="17" w:name="_Toc38985263"/>
      <w:r/>
      <w:bookmarkStart w:id="18" w:name="_Hlk24379207"/>
      <w:r>
        <w:rPr>
          <w:rFonts w:hint="eastAsia" w:ascii="宋体" w:hAnsi="宋体"/>
          <w:sz w:val="24"/>
          <w:szCs w:val="24"/>
          <w:highlight w:val="none"/>
        </w:rPr>
        <w:t xml:space="preserve">受</w:t>
      </w:r>
      <w:r>
        <w:rPr>
          <w:rFonts w:hint="eastAsia" w:ascii="宋体" w:hAnsi="宋体"/>
          <w:sz w:val="24"/>
          <w:szCs w:val="24"/>
          <w:highlight w:val="none"/>
        </w:rPr>
        <w:t xml:space="preserve">南京市六合区教育局</w:t>
      </w:r>
      <w:r>
        <w:rPr>
          <w:rFonts w:hint="eastAsia" w:ascii="宋体" w:hAnsi="宋体"/>
          <w:sz w:val="24"/>
          <w:szCs w:val="24"/>
          <w:highlight w:val="none"/>
        </w:rPr>
        <w:t xml:space="preserve">（采购单位）委托，</w:t>
      </w:r>
      <w:r>
        <w:rPr>
          <w:rFonts w:hint="eastAsia" w:ascii="宋体" w:hAnsi="宋体"/>
          <w:sz w:val="24"/>
          <w:szCs w:val="24"/>
          <w:highlight w:val="none"/>
          <w:u w:val="single"/>
          <w:lang w:val="en-US" w:eastAsia="zh-CN"/>
        </w:rPr>
        <w:t xml:space="preserve">南京宇厦工程管理咨询有限公司</w:t>
      </w:r>
      <w:r>
        <w:rPr>
          <w:rFonts w:hint="eastAsia" w:ascii="宋体" w:hAnsi="宋体"/>
          <w:sz w:val="24"/>
          <w:szCs w:val="24"/>
          <w:highlight w:val="none"/>
        </w:rPr>
        <w:t xml:space="preserve">（以下简称“</w:t>
      </w:r>
      <w:r>
        <w:rPr>
          <w:rFonts w:ascii="宋体" w:hAnsi="宋体"/>
          <w:sz w:val="24"/>
          <w:szCs w:val="24"/>
          <w:highlight w:val="none"/>
        </w:rPr>
        <w:t xml:space="preserve">代理机构</w:t>
      </w:r>
      <w:r>
        <w:rPr>
          <w:rFonts w:hint="eastAsia" w:ascii="宋体" w:hAnsi="宋体"/>
          <w:sz w:val="24"/>
          <w:szCs w:val="24"/>
          <w:highlight w:val="none"/>
        </w:rPr>
        <w:t xml:space="preserve">”）就</w:t>
      </w:r>
      <w:r>
        <w:rPr>
          <w:rFonts w:ascii="宋体" w:hAnsi="宋体"/>
          <w:sz w:val="24"/>
          <w:szCs w:val="24"/>
          <w:highlight w:val="none"/>
        </w:rPr>
        <w:t xml:space="preserve">2026年多校食堂设备</w:t>
      </w:r>
      <w:r>
        <w:rPr>
          <w:rFonts w:hint="eastAsia" w:ascii="宋体" w:hAnsi="宋体"/>
          <w:sz w:val="24"/>
          <w:szCs w:val="24"/>
          <w:highlight w:val="none"/>
        </w:rPr>
        <w:t xml:space="preserve">进行公开招标采购，欢迎符合条件的供应商投标。</w:t>
      </w:r>
      <w:r/>
    </w:p>
    <w:p>
      <w:pPr>
        <w:pStyle w:val="771"/>
        <w:ind w:firstLine="465"/>
        <w:spacing w:before="145" w:after="145" w:line="252" w:lineRule="auto"/>
        <w:rPr>
          <w:rFonts w:ascii="方正黑体_GBK" w:hAnsi="方正黑体_GBK" w:eastAsia="方正黑体_GBK" w:cs="方正黑体_GBK"/>
          <w:b/>
          <w:bCs/>
          <w:color w:val="000000"/>
          <w:sz w:val="30"/>
          <w:szCs w:val="30"/>
          <w:highlight w:val="none"/>
        </w:rPr>
      </w:pPr>
      <w:r/>
      <w:bookmarkStart w:id="19" w:name="_Toc235688454"/>
      <w:r>
        <w:rPr>
          <w:rFonts w:hint="eastAsia" w:ascii="方正黑体_GBK" w:hAnsi="方正黑体_GBK" w:eastAsia="方正黑体_GBK" w:cs="方正黑体_GBK"/>
          <w:color w:val="000000"/>
          <w:sz w:val="30"/>
          <w:szCs w:val="30"/>
          <w:highlight w:val="none"/>
        </w:rPr>
        <w:t xml:space="preserve">一、项目基本情况</w:t>
      </w:r>
      <w:bookmarkEnd w:id="13"/>
      <w:r/>
      <w:bookmarkEnd w:id="14"/>
      <w:r/>
      <w:bookmarkEnd w:id="15"/>
      <w:r/>
      <w:bookmarkEnd w:id="16"/>
      <w:r/>
      <w:bookmarkEnd w:id="17"/>
      <w:r/>
      <w:bookmarkEnd w:id="18"/>
      <w:r/>
      <w:bookmarkEnd w:id="19"/>
      <w:r/>
      <w:r/>
    </w:p>
    <w:p>
      <w:pPr>
        <w:ind w:firstLine="480"/>
        <w:spacing w:line="252" w:lineRule="auto"/>
        <w:rPr>
          <w:rFonts w:hint="eastAsia" w:ascii="宋体" w:hAnsi="宋体"/>
          <w:color w:val="000000"/>
          <w:sz w:val="24"/>
          <w:szCs w:val="24"/>
          <w:highlight w:val="none"/>
        </w:rPr>
      </w:pPr>
      <w:r/>
      <w:bookmarkStart w:id="20" w:name="_Toc35393791"/>
      <w:r/>
      <w:bookmarkStart w:id="21" w:name="_Toc38985264"/>
      <w:r/>
      <w:bookmarkStart w:id="22" w:name="_Toc28359080"/>
      <w:r/>
      <w:bookmarkStart w:id="23" w:name="_Toc28359003"/>
      <w:r/>
      <w:bookmarkStart w:id="24" w:name="_Toc35393622"/>
      <w:r>
        <w:rPr>
          <w:rFonts w:hint="eastAsia" w:ascii="宋体" w:hAnsi="宋体"/>
          <w:color w:val="000000"/>
          <w:sz w:val="24"/>
          <w:szCs w:val="24"/>
          <w:highlight w:val="none"/>
        </w:rPr>
        <w:t xml:space="preserve">1.项目编号：</w:t>
      </w:r>
      <w:r>
        <w:rPr>
          <w:rFonts w:hint="eastAsia"/>
          <w:b w:val="0"/>
          <w:bCs w:val="0"/>
          <w:sz w:val="24"/>
          <w:szCs w:val="24"/>
          <w:highlight w:val="none"/>
          <w:lang w:eastAsia="zh-CN"/>
        </w:rPr>
        <w:t xml:space="preserve">JSZC-320116-LHYX-G2026-0006</w:t>
      </w:r>
      <w:r>
        <w:rPr>
          <w:rFonts w:hint="eastAsia" w:ascii="宋体" w:hAnsi="宋体"/>
          <w:b w:val="0"/>
          <w:bCs w:val="0"/>
          <w:color w:val="000000"/>
          <w:sz w:val="20"/>
          <w:szCs w:val="20"/>
          <w:highlight w:val="none"/>
        </w:rPr>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ascii="宋体" w:hAnsi="宋体"/>
          <w:sz w:val="24"/>
          <w:szCs w:val="24"/>
          <w:highlight w:val="none"/>
        </w:rPr>
        <w:t xml:space="preserve">2026年多校食堂设备</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3.预算金额：110万元</w:t>
      </w:r>
      <w:r/>
    </w:p>
    <w:p>
      <w:pPr>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4.最高限价：</w:t>
      </w:r>
      <w:r>
        <w:rPr>
          <w:rFonts w:ascii="宋体" w:hAnsi="宋体"/>
          <w:sz w:val="24"/>
          <w:szCs w:val="24"/>
          <w:highlight w:val="none"/>
        </w:rPr>
        <w:t xml:space="preserve">109</w:t>
      </w:r>
      <w:r>
        <w:rPr>
          <w:rFonts w:hint="eastAsia" w:ascii="宋体" w:hAnsi="宋体"/>
          <w:sz w:val="24"/>
          <w:szCs w:val="24"/>
          <w:highlight w:val="none"/>
        </w:rPr>
        <w:t xml:space="preserve">.866</w:t>
      </w:r>
      <w:r>
        <w:rPr>
          <w:rFonts w:ascii="宋体" w:hAnsi="宋体"/>
          <w:sz w:val="24"/>
          <w:szCs w:val="24"/>
          <w:highlight w:val="none"/>
        </w:rPr>
        <w:t xml:space="preserve">5万元</w:t>
      </w:r>
      <w:r/>
    </w:p>
    <w:p>
      <w:pPr>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5.采购需求（简介）：</w:t>
      </w:r>
      <w:r>
        <w:rPr>
          <w:rFonts w:ascii="宋体" w:hAnsi="宋体"/>
          <w:color w:val="000000"/>
          <w:sz w:val="24"/>
          <w:szCs w:val="24"/>
          <w:highlight w:val="none"/>
        </w:rPr>
        <w:t xml:space="preserve">为进一步优化内</w:t>
      </w:r>
      <w:r>
        <w:rPr>
          <w:rFonts w:hint="eastAsia" w:ascii="宋体" w:hAnsi="宋体"/>
          <w:color w:val="000000"/>
          <w:sz w:val="24"/>
          <w:szCs w:val="24"/>
          <w:highlight w:val="none"/>
        </w:rPr>
        <w:t xml:space="preserve">中小学</w:t>
      </w:r>
      <w:r>
        <w:rPr>
          <w:rFonts w:ascii="宋体" w:hAnsi="宋体"/>
          <w:color w:val="000000"/>
          <w:sz w:val="24"/>
          <w:szCs w:val="24"/>
          <w:highlight w:val="none"/>
        </w:rPr>
        <w:t xml:space="preserve">食堂运营条件，筑牢校园食品安全防线，改善师生就餐保障能力，启动本次多校食堂设备购项目。本项目覆盖区内多所中小学食堂，采购范围包含食堂烹饪、清洗消毒、食材存储、备餐售卖及辅助配套等全品类设备，兼顾老旧设备更新替换与新增食堂标准化配置需求。（详细内容见本招标文件第四章）</w:t>
      </w:r>
      <w:r/>
    </w:p>
    <w:p>
      <w:pPr>
        <w:ind w:firstLine="480"/>
        <w:spacing w:line="400" w:lineRule="exact"/>
        <w:rPr>
          <w:rFonts w:hint="eastAsia" w:ascii="宋体" w:hAnsi="宋体"/>
          <w:color w:val="ff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sz w:val="24"/>
          <w:szCs w:val="24"/>
          <w:highlight w:val="none"/>
        </w:rPr>
        <w:t xml:space="preserve">：365天，</w:t>
      </w:r>
      <w:r>
        <w:rPr>
          <w:rFonts w:ascii="宋体" w:hAnsi="宋体" w:cs="宋体"/>
          <w:sz w:val="24"/>
          <w:szCs w:val="24"/>
          <w:highlight w:val="none"/>
        </w:rPr>
        <w:t xml:space="preserve">合同签订后</w:t>
      </w:r>
      <w:r>
        <w:rPr>
          <w:rFonts w:hint="eastAsia" w:ascii="宋体" w:hAnsi="宋体" w:cs="宋体"/>
          <w:bCs/>
          <w:sz w:val="24"/>
          <w:szCs w:val="24"/>
          <w:highlight w:val="none"/>
        </w:rPr>
        <w:t xml:space="preserve">30</w:t>
      </w:r>
      <w:r>
        <w:rPr>
          <w:rFonts w:ascii="宋体" w:hAnsi="宋体" w:cs="宋体"/>
          <w:sz w:val="24"/>
          <w:szCs w:val="24"/>
          <w:highlight w:val="none"/>
        </w:rPr>
        <w:t xml:space="preserve">日历天内完成所有设备供货、安装、调试、培训并通过验收。</w:t>
      </w:r>
      <w:r/>
    </w:p>
    <w:p>
      <w:pPr>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p>
    <w:p>
      <w:pPr>
        <w:ind w:firstLine="480"/>
        <w:spacing w:line="252" w:lineRule="auto"/>
        <w:rPr>
          <w:color w:val="000000"/>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p>
    <w:p>
      <w:pPr>
        <w:pStyle w:val="771"/>
        <w:ind w:firstLine="465"/>
        <w:spacing w:before="145" w:after="145" w:line="252" w:lineRule="auto"/>
        <w:rPr>
          <w:rFonts w:ascii="方正黑体_GBK" w:hAnsi="方正黑体_GBK" w:eastAsia="方正黑体_GBK" w:cs="方正黑体_GBK"/>
          <w:b/>
          <w:bCs/>
          <w:color w:val="000000"/>
          <w:sz w:val="30"/>
          <w:szCs w:val="30"/>
          <w:highlight w:val="none"/>
        </w:rPr>
      </w:pPr>
      <w:r/>
      <w:bookmarkStart w:id="25" w:name="_Toc235688455"/>
      <w:r>
        <w:rPr>
          <w:rFonts w:hint="eastAsia" w:ascii="方正黑体_GBK" w:hAnsi="方正黑体_GBK" w:eastAsia="方正黑体_GBK" w:cs="方正黑体_GBK"/>
          <w:color w:val="000000"/>
          <w:sz w:val="30"/>
          <w:szCs w:val="30"/>
          <w:highlight w:val="none"/>
        </w:rPr>
        <w:t xml:space="preserve">二、申请人的资格要求</w:t>
      </w:r>
      <w:bookmarkEnd w:id="20"/>
      <w:r/>
      <w:bookmarkEnd w:id="21"/>
      <w:r/>
      <w:bookmarkEnd w:id="22"/>
      <w:r/>
      <w:bookmarkEnd w:id="23"/>
      <w:r/>
      <w:bookmarkEnd w:id="24"/>
      <w:r/>
      <w:bookmarkEnd w:id="25"/>
      <w:r/>
      <w:r/>
    </w:p>
    <w:p>
      <w:pPr>
        <w:ind w:firstLine="480"/>
        <w:spacing w:line="252" w:lineRule="auto"/>
        <w:rPr>
          <w:rFonts w:hint="eastAsia" w:ascii="宋体" w:hAnsi="宋体" w:cs="宋体"/>
          <w:color w:val="000000"/>
          <w:sz w:val="24"/>
          <w:szCs w:val="24"/>
          <w:highlight w:val="none"/>
        </w:rPr>
      </w:pPr>
      <w:r/>
      <w:bookmarkStart w:id="26" w:name="_Toc28359081"/>
      <w:r/>
      <w:bookmarkStart w:id="27" w:name="_Toc38985265"/>
      <w:r/>
      <w:bookmarkStart w:id="28" w:name="_Toc35393623"/>
      <w:r/>
      <w:bookmarkStart w:id="29" w:name="_Toc28359004"/>
      <w:r/>
      <w:bookmarkStart w:id="30" w:name="_Toc35393792"/>
      <w:r>
        <w:rPr>
          <w:rFonts w:hint="eastAsia" w:ascii="宋体" w:hAnsi="宋体" w:cs="宋体"/>
          <w:color w:val="000000"/>
          <w:sz w:val="24"/>
          <w:szCs w:val="24"/>
          <w:highlight w:val="none"/>
        </w:rPr>
        <w:t xml:space="preserve">（一）通用资格要求</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p>
    <w:p>
      <w:pPr>
        <w:ind w:firstLine="480"/>
        <w:spacing w:line="252" w:lineRule="auto"/>
        <w:rPr>
          <w:rFonts w:hint="eastAsia" w:ascii="宋体" w:hAnsi="宋体" w:cs="宋体"/>
          <w:color w:val="000000"/>
          <w:sz w:val="24"/>
          <w:szCs w:val="24"/>
          <w:highlight w:val="none"/>
        </w:rPr>
      </w:pPr>
      <w:r>
        <w:rPr>
          <w:rFonts w:hint="eastAsia" w:ascii="宋体" w:hAnsi="宋体"/>
          <w:sz w:val="24"/>
          <w:szCs w:val="24"/>
          <w:highlight w:val="none"/>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highlight w:val="none"/>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（二）本项目特定资格要求：无</w:t>
      </w:r>
      <w:r/>
    </w:p>
    <w:p>
      <w:pPr>
        <w:pStyle w:val="771"/>
        <w:ind w:firstLine="465"/>
        <w:spacing w:before="145" w:after="145" w:line="252" w:lineRule="auto"/>
        <w:rPr>
          <w:rFonts w:ascii="方正黑体_GBK" w:hAnsi="方正黑体_GBK" w:eastAsia="方正黑体_GBK" w:cs="方正黑体_GBK"/>
          <w:b/>
          <w:bCs/>
          <w:color w:val="000000"/>
          <w:sz w:val="30"/>
          <w:szCs w:val="30"/>
          <w:highlight w:val="none"/>
        </w:rPr>
      </w:pPr>
      <w:r/>
      <w:bookmarkStart w:id="31" w:name="_Toc235688456"/>
      <w:r>
        <w:rPr>
          <w:rFonts w:hint="eastAsia" w:ascii="方正黑体_GBK" w:hAnsi="方正黑体_GBK" w:eastAsia="方正黑体_GBK" w:cs="方正黑体_GBK"/>
          <w:color w:val="000000"/>
          <w:sz w:val="30"/>
          <w:szCs w:val="30"/>
          <w:highlight w:val="none"/>
        </w:rPr>
        <w:t xml:space="preserve">三、获取招标文件</w:t>
      </w:r>
      <w:bookmarkEnd w:id="26"/>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highlight w:val="none"/>
        </w:rPr>
      </w:pPr>
      <w:r/>
      <w:bookmarkStart w:id="32" w:name="_Toc28359005"/>
      <w:r/>
      <w:bookmarkStart w:id="33" w:name="_Toc28359082"/>
      <w:r/>
      <w:bookmarkStart w:id="34" w:name="_Toc38985266"/>
      <w:r/>
      <w:bookmarkStart w:id="35" w:name="_Toc35393624"/>
      <w:r/>
      <w:bookmarkStart w:id="36" w:name="_Toc35393793"/>
      <w:r>
        <w:rPr>
          <w:rFonts w:hint="eastAsia" w:ascii="宋体" w:hAnsi="宋体" w:cs="宋体"/>
          <w:color w:val="000000"/>
          <w:sz w:val="24"/>
          <w:szCs w:val="24"/>
          <w:highlight w:val="none"/>
        </w:rPr>
        <w:t xml:space="preserve">1.时间：自招标文件公告发布之日起。</w:t>
      </w:r>
      <w:r/>
    </w:p>
    <w:p>
      <w:pPr>
        <w:ind w:firstLine="480"/>
        <w:spacing w:line="25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771"/>
        <w:ind w:firstLine="465"/>
        <w:spacing w:before="145" w:after="145" w:line="252" w:lineRule="auto"/>
        <w:rPr>
          <w:rFonts w:ascii="方正黑体_GBK" w:hAnsi="方正黑体_GBK" w:eastAsia="方正黑体_GBK" w:cs="方正黑体_GBK"/>
          <w:b/>
          <w:bCs/>
          <w:color w:val="000000"/>
          <w:sz w:val="30"/>
          <w:szCs w:val="30"/>
          <w:highlight w:val="none"/>
        </w:rPr>
      </w:pPr>
      <w:r/>
      <w:bookmarkStart w:id="37" w:name="_Toc235688457"/>
      <w:r>
        <w:rPr>
          <w:rFonts w:hint="eastAsia" w:ascii="方正黑体_GBK" w:hAnsi="方正黑体_GBK" w:eastAsia="方正黑体_GBK" w:cs="方正黑体_GBK"/>
          <w:color w:val="000000"/>
          <w:sz w:val="30"/>
          <w:szCs w:val="30"/>
          <w:highlight w:val="none"/>
        </w:rPr>
        <w:t xml:space="preserve">四、提交投标文件</w:t>
      </w:r>
      <w:bookmarkEnd w:id="32"/>
      <w:r/>
      <w:bookmarkEnd w:id="33"/>
      <w:r>
        <w:rPr>
          <w:rFonts w:hint="eastAsia" w:ascii="方正黑体_GBK" w:hAnsi="方正黑体_GBK" w:eastAsia="方正黑体_GBK" w:cs="方正黑体_GBK"/>
          <w:color w:val="000000"/>
          <w:sz w:val="30"/>
          <w:szCs w:val="30"/>
          <w:highlight w:val="none"/>
        </w:rPr>
        <w:t xml:space="preserve">截止时间、开标时间和地点</w:t>
      </w:r>
      <w:bookmarkEnd w:id="34"/>
      <w:r/>
      <w:bookmarkEnd w:id="35"/>
      <w:r/>
      <w:bookmarkEnd w:id="36"/>
      <w:r/>
      <w:bookmarkEnd w:id="37"/>
      <w:r/>
      <w:r/>
    </w:p>
    <w:p>
      <w:pPr>
        <w:ind w:firstLine="480"/>
        <w:spacing w:line="252" w:lineRule="auto"/>
        <w:rPr>
          <w:rFonts w:hint="eastAsia" w:ascii="宋体" w:hAnsi="宋体"/>
          <w:bCs/>
          <w:color w:val="000000"/>
          <w:sz w:val="24"/>
          <w:szCs w:val="24"/>
          <w:highlight w:val="none"/>
          <w:u w:val="single"/>
        </w:rPr>
      </w:pPr>
      <w:r/>
      <w:bookmarkStart w:id="38" w:name="_Toc35393625"/>
      <w:r/>
      <w:bookmarkStart w:id="39" w:name="_Toc28359084"/>
      <w:r/>
      <w:bookmarkStart w:id="40" w:name="_Toc28359007"/>
      <w:r/>
      <w:bookmarkStart w:id="41" w:name="_Toc35393794"/>
      <w:r/>
      <w:bookmarkStart w:id="42" w:name="_Toc38985267"/>
      <w:r>
        <w:rPr>
          <w:rFonts w:hint="eastAsia" w:ascii="宋体" w:hAnsi="宋体" w:cs="宋体"/>
          <w:color w:val="000000"/>
          <w:sz w:val="24"/>
          <w:szCs w:val="24"/>
          <w:highlight w:val="none"/>
        </w:rPr>
        <w:t xml:space="preserve">1.提交投标文件截止时间、开标时间：</w:t>
      </w:r>
      <w:r>
        <w:rPr>
          <w:rFonts w:hint="eastAsia"/>
          <w:b/>
          <w:bCs/>
          <w:color w:val="000000"/>
          <w:sz w:val="24"/>
          <w:szCs w:val="24"/>
          <w:highlight w:val="none"/>
        </w:rPr>
        <w:t xml:space="preserve">2026</w:t>
      </w:r>
      <w:r>
        <w:rPr>
          <w:rFonts w:hint="eastAsia" w:eastAsia="Times New Roman"/>
          <w:b/>
          <w:bCs/>
          <w:color w:val="000000"/>
          <w:sz w:val="24"/>
          <w:szCs w:val="24"/>
          <w:highlight w:val="none"/>
        </w:rPr>
        <w:t xml:space="preserve">年</w:t>
      </w:r>
      <w:r>
        <w:rPr>
          <w:rFonts w:hint="eastAsia" w:eastAsiaTheme="minorEastAsia"/>
          <w:b/>
          <w:bCs/>
          <w:color w:val="000000"/>
          <w:sz w:val="24"/>
          <w:szCs w:val="24"/>
          <w:highlight w:val="none"/>
          <w:lang w:val="en-US" w:eastAsia="zh-CN"/>
        </w:rPr>
        <w:t xml:space="preserve">8</w:t>
      </w:r>
      <w:r>
        <w:rPr>
          <w:rFonts w:hint="eastAsia" w:eastAsia="Times New Roman"/>
          <w:b/>
          <w:bCs/>
          <w:color w:val="000000"/>
          <w:sz w:val="24"/>
          <w:szCs w:val="24"/>
          <w:highlight w:val="none"/>
        </w:rPr>
        <w:t xml:space="preserve">月</w:t>
      </w:r>
      <w:r>
        <w:rPr>
          <w:rFonts w:hint="eastAsia"/>
          <w:b/>
          <w:bCs/>
          <w:color w:val="000000"/>
          <w:sz w:val="24"/>
          <w:szCs w:val="24"/>
          <w:highlight w:val="none"/>
          <w:lang w:val="en-US" w:eastAsia="zh-CN"/>
        </w:rPr>
        <w:t xml:space="preserve">18</w:t>
      </w:r>
      <w:r>
        <w:rPr>
          <w:rFonts w:hint="eastAsia" w:eastAsia="Times New Roman"/>
          <w:b/>
          <w:bCs/>
          <w:color w:val="000000"/>
          <w:sz w:val="24"/>
          <w:szCs w:val="24"/>
          <w:highlight w:val="none"/>
        </w:rPr>
        <w:t xml:space="preserve">日09时</w:t>
      </w:r>
      <w:r>
        <w:rPr>
          <w:rFonts w:hint="eastAsia"/>
          <w:b/>
          <w:bCs/>
          <w:color w:val="000000"/>
          <w:sz w:val="24"/>
          <w:szCs w:val="24"/>
          <w:highlight w:val="none"/>
        </w:rPr>
        <w:t xml:space="preserve">3</w:t>
      </w:r>
      <w:r>
        <w:rPr>
          <w:rFonts w:hint="eastAsia"/>
          <w:b/>
          <w:bCs/>
          <w:color w:val="000000"/>
          <w:sz w:val="24"/>
          <w:szCs w:val="24"/>
          <w:highlight w:val="none"/>
        </w:rPr>
        <w:t xml:space="preserve">0</w:t>
      </w:r>
      <w:r>
        <w:rPr>
          <w:rFonts w:hint="eastAsia" w:eastAsia="Times New Roman"/>
          <w:b/>
          <w:bCs/>
          <w:color w:val="000000"/>
          <w:sz w:val="24"/>
          <w:szCs w:val="24"/>
          <w:highlight w:val="none"/>
        </w:rPr>
        <w:t xml:space="preserve">分</w:t>
      </w:r>
      <w:r>
        <w:rPr>
          <w:rFonts w:hint="eastAsia" w:ascii="宋体" w:hAnsi="宋体"/>
          <w:bCs/>
          <w:color w:val="000000"/>
          <w:sz w:val="24"/>
          <w:szCs w:val="24"/>
          <w:highlight w:val="none"/>
        </w:rPr>
        <w:t xml:space="preserve">（北京时间）。</w:t>
      </w:r>
      <w:r/>
    </w:p>
    <w:p>
      <w:pPr>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p>
    <w:p>
      <w:pPr>
        <w:pStyle w:val="771"/>
        <w:ind w:firstLine="465"/>
        <w:spacing w:before="145" w:after="145" w:line="252" w:lineRule="auto"/>
        <w:rPr>
          <w:rFonts w:ascii="方正黑体_GBK" w:hAnsi="方正黑体_GBK" w:eastAsia="方正黑体_GBK" w:cs="方正黑体_GBK"/>
          <w:b/>
          <w:bCs/>
          <w:color w:val="000000"/>
          <w:sz w:val="30"/>
          <w:szCs w:val="30"/>
          <w:highlight w:val="none"/>
        </w:rPr>
      </w:pPr>
      <w:r/>
      <w:bookmarkStart w:id="43" w:name="_Toc235688458"/>
      <w:r>
        <w:rPr>
          <w:rFonts w:hint="eastAsia" w:ascii="方正黑体_GBK" w:hAnsi="方正黑体_GBK" w:eastAsia="方正黑体_GBK" w:cs="方正黑体_GBK"/>
          <w:color w:val="000000"/>
          <w:sz w:val="30"/>
          <w:szCs w:val="30"/>
          <w:highlight w:val="none"/>
        </w:rPr>
        <w:t xml:space="preserve">五、公告期限</w:t>
      </w:r>
      <w:bookmarkEnd w:id="38"/>
      <w:r/>
      <w:bookmarkEnd w:id="39"/>
      <w:r/>
      <w:bookmarkEnd w:id="40"/>
      <w:r/>
      <w:bookmarkEnd w:id="41"/>
      <w:r/>
      <w:bookmarkEnd w:id="42"/>
      <w:r/>
      <w:bookmarkEnd w:id="43"/>
      <w:r/>
      <w:r/>
    </w:p>
    <w:p>
      <w:pPr>
        <w:ind w:firstLine="480"/>
        <w:spacing w:line="252" w:lineRule="auto"/>
        <w:rPr>
          <w:rFonts w:hint="eastAsia" w:ascii="宋体" w:hAnsi="宋体" w:cs="宋体"/>
          <w:color w:val="000000"/>
          <w:sz w:val="24"/>
          <w:szCs w:val="24"/>
          <w:highlight w:val="none"/>
        </w:rPr>
      </w:pPr>
      <w:r/>
      <w:bookmarkStart w:id="44" w:name="_Toc35393795"/>
      <w:r/>
      <w:bookmarkStart w:id="45" w:name="_Toc38985268"/>
      <w:r/>
      <w:bookmarkStart w:id="46" w:name="_Toc35393626"/>
      <w:r>
        <w:rPr>
          <w:rFonts w:hint="eastAsia" w:ascii="宋体" w:hAnsi="宋体" w:cs="宋体"/>
          <w:color w:val="000000"/>
          <w:sz w:val="24"/>
          <w:szCs w:val="24"/>
          <w:highlight w:val="none"/>
        </w:rPr>
        <w:t xml:space="preserve">公告期限为自本公告发布之日起5个工作日。</w:t>
      </w:r>
      <w:bookmarkStart w:id="267" w:name="_GoBack"/>
      <w:r/>
      <w:bookmarkEnd w:id="267"/>
      <w:r/>
      <w:r/>
    </w:p>
    <w:p>
      <w:pPr>
        <w:pStyle w:val="771"/>
        <w:ind w:firstLine="465"/>
        <w:spacing w:before="145" w:after="145" w:line="252" w:lineRule="auto"/>
        <w:rPr>
          <w:rFonts w:ascii="方正黑体_GBK" w:hAnsi="方正黑体_GBK" w:eastAsia="方正黑体_GBK" w:cs="方正黑体_GBK"/>
          <w:b/>
          <w:bCs/>
          <w:color w:val="000000"/>
          <w:sz w:val="30"/>
          <w:szCs w:val="30"/>
          <w:highlight w:val="none"/>
        </w:rPr>
      </w:pPr>
      <w:r/>
      <w:bookmarkStart w:id="47" w:name="_Toc235688459"/>
      <w:r>
        <w:rPr>
          <w:rFonts w:hint="eastAsia" w:ascii="方正黑体_GBK" w:hAnsi="方正黑体_GBK" w:eastAsia="方正黑体_GBK" w:cs="方正黑体_GBK"/>
          <w:color w:val="000000"/>
          <w:sz w:val="30"/>
          <w:szCs w:val="30"/>
          <w:highlight w:val="none"/>
        </w:rPr>
        <w:t xml:space="preserve">六、其他事宜</w:t>
      </w:r>
      <w:bookmarkEnd w:id="44"/>
      <w:r/>
      <w:bookmarkEnd w:id="45"/>
      <w:r/>
      <w:bookmarkEnd w:id="46"/>
      <w:r/>
      <w:bookmarkEnd w:id="47"/>
      <w:r/>
      <w:r/>
    </w:p>
    <w:p>
      <w:pPr>
        <w:ind w:firstLine="480"/>
        <w:spacing w:line="300" w:lineRule="auto"/>
        <w:tabs>
          <w:tab w:val="left" w:pos="900" w:leader="none"/>
        </w:tabs>
        <w:rPr>
          <w:rFonts w:hint="eastAsia" w:ascii="宋体" w:hAnsi="宋体"/>
          <w:bCs/>
          <w:color w:val="000000"/>
          <w:sz w:val="24"/>
          <w:szCs w:val="24"/>
          <w:highlight w:val="none"/>
        </w:rPr>
      </w:pPr>
      <w:r/>
      <w:bookmarkStart w:id="48" w:name="_Toc28359008"/>
      <w:r/>
      <w:bookmarkStart w:id="49" w:name="_Toc38985269"/>
      <w:r/>
      <w:bookmarkStart w:id="50" w:name="_Toc35393627"/>
      <w:r/>
      <w:bookmarkStart w:id="51" w:name="_Toc28359085"/>
      <w:r/>
      <w:bookmarkStart w:id="52" w:name="_Toc35393796"/>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spacing w:line="300" w:lineRule="auto"/>
        <w:rPr>
          <w:rFonts w:hint="eastAsia" w:ascii="宋体" w:hAnsi="宋体"/>
          <w:color w:val="000000"/>
          <w:sz w:val="24"/>
          <w:szCs w:val="24"/>
          <w:highlight w:val="none"/>
        </w:rPr>
      </w:pPr>
      <w:r>
        <w:rPr>
          <w:rFonts w:ascii="宋体" w:hAnsi="宋体"/>
          <w:color w:val="000000"/>
          <w:sz w:val="24"/>
          <w:szCs w:val="24"/>
          <w:highlight w:val="none"/>
        </w:rPr>
        <w:t xml:space="preserve">2.本项目不组织集中勘察及答疑，供应商如对采购需求有疑问，请咨询采购单位联系人。</w:t>
      </w:r>
      <w:r/>
    </w:p>
    <w:p>
      <w:pPr>
        <w:ind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p>
    <w:p>
      <w:pPr>
        <w:ind w:firstLine="482"/>
        <w:spacing w:line="300" w:lineRule="auto"/>
        <w:rPr>
          <w:rFonts w:hint="eastAsia" w:ascii="宋体" w:hAnsi="宋体"/>
          <w:b/>
          <w:bCs/>
          <w:sz w:val="24"/>
          <w:highlight w:val="none"/>
          <w:lang w:val="zh-CN"/>
        </w:rPr>
      </w:pPr>
      <w:r>
        <w:rPr>
          <w:rFonts w:hint="eastAsia" w:ascii="宋体" w:hAnsi="宋体"/>
          <w:b/>
          <w:bCs/>
          <w:sz w:val="24"/>
          <w:highlight w:val="none"/>
        </w:rPr>
        <w:t xml:space="preserve">5.</w:t>
      </w:r>
      <w:r>
        <w:rPr>
          <w:rFonts w:hint="eastAsia" w:ascii="宋体" w:hAnsi="宋体"/>
          <w:b/>
          <w:bCs/>
          <w:sz w:val="24"/>
          <w:highlight w:val="none"/>
          <w:lang w:val="zh-CN"/>
        </w:rPr>
        <w:t xml:space="preserve">供应商（含潜在供应商）</w:t>
      </w:r>
      <w:r>
        <w:rPr>
          <w:rFonts w:hint="eastAsia" w:ascii="宋体" w:hAnsi="宋体"/>
          <w:b/>
          <w:bCs/>
          <w:sz w:val="24"/>
          <w:highlight w:val="none"/>
        </w:rPr>
        <w:t xml:space="preserve">对本项目有关</w:t>
      </w:r>
      <w:r>
        <w:rPr>
          <w:rFonts w:hint="eastAsia" w:ascii="宋体" w:hAnsi="宋体"/>
          <w:b/>
          <w:bCs/>
          <w:sz w:val="24"/>
          <w:highlight w:val="none"/>
          <w:lang w:val="zh-CN"/>
        </w:rPr>
        <w:t xml:space="preserve">的</w:t>
      </w:r>
      <w:r>
        <w:rPr>
          <w:rFonts w:hint="eastAsia" w:ascii="宋体" w:hAnsi="宋体"/>
          <w:b/>
          <w:bCs/>
          <w:sz w:val="24"/>
          <w:highlight w:val="none"/>
        </w:rPr>
        <w:t xml:space="preserve">所有</w:t>
      </w:r>
      <w:r>
        <w:rPr>
          <w:rFonts w:hint="eastAsia" w:ascii="宋体" w:hAnsi="宋体"/>
          <w:b/>
          <w:bCs/>
          <w:sz w:val="24"/>
          <w:highlight w:val="none"/>
          <w:lang w:val="zh-CN"/>
        </w:rPr>
        <w:t xml:space="preserve">询问</w:t>
      </w:r>
      <w:r>
        <w:rPr>
          <w:rFonts w:hint="eastAsia" w:ascii="宋体" w:hAnsi="宋体"/>
          <w:b/>
          <w:bCs/>
          <w:sz w:val="24"/>
          <w:highlight w:val="none"/>
        </w:rPr>
        <w:t xml:space="preserve">或</w:t>
      </w:r>
      <w:r>
        <w:rPr>
          <w:rFonts w:hint="eastAsia" w:ascii="宋体" w:hAnsi="宋体"/>
          <w:b/>
          <w:bCs/>
          <w:sz w:val="24"/>
          <w:highlight w:val="none"/>
          <w:lang w:val="zh-CN"/>
        </w:rPr>
        <w:t xml:space="preserve">质疑向采购人提出，由采购人负责答复</w:t>
      </w:r>
      <w:r/>
    </w:p>
    <w:p>
      <w:pPr>
        <w:ind w:firstLine="480"/>
        <w:spacing w:line="300" w:lineRule="auto"/>
        <w:widowControl/>
        <w:rPr>
          <w:rFonts w:hint="eastAsia" w:ascii="宋体" w:hAnsi="宋体"/>
          <w:sz w:val="24"/>
          <w:highlight w:val="none"/>
        </w:rPr>
      </w:pPr>
      <w:r>
        <w:rPr>
          <w:rFonts w:hint="eastAsia" w:ascii="宋体" w:hAnsi="宋体"/>
          <w:sz w:val="24"/>
          <w:highlight w:val="none"/>
        </w:rPr>
        <w:t xml:space="preserve">采购人《质疑函》收件人：沈老师，收件地址：</w:t>
      </w:r>
      <w:r>
        <w:rPr>
          <w:rFonts w:ascii="宋体" w:hAnsi="宋体"/>
          <w:sz w:val="24"/>
          <w:highlight w:val="none"/>
        </w:rPr>
        <w:t xml:space="preserve">南京市六合区雄州南路268号</w:t>
      </w:r>
      <w:r>
        <w:rPr>
          <w:rFonts w:hint="eastAsia" w:ascii="宋体" w:hAnsi="宋体"/>
          <w:sz w:val="24"/>
          <w:highlight w:val="none"/>
        </w:rPr>
        <w:t xml:space="preserve">六合区教育局1717室，联系电话：025-57156991。</w:t>
      </w:r>
      <w:r/>
    </w:p>
    <w:p>
      <w:pPr>
        <w:pStyle w:val="771"/>
        <w:ind w:firstLine="465"/>
        <w:spacing w:before="145" w:after="145" w:line="252" w:lineRule="auto"/>
        <w:rPr>
          <w:rFonts w:ascii="方正黑体_GBK" w:hAnsi="方正黑体_GBK" w:eastAsia="方正黑体_GBK" w:cs="方正黑体_GBK"/>
          <w:b/>
          <w:bCs/>
          <w:color w:val="auto"/>
          <w:sz w:val="30"/>
          <w:szCs w:val="30"/>
          <w:highlight w:val="none"/>
        </w:rPr>
      </w:pPr>
      <w:r/>
      <w:bookmarkStart w:id="53" w:name="_Toc235688460"/>
      <w:r>
        <w:rPr>
          <w:rFonts w:hint="eastAsia" w:ascii="方正黑体_GBK" w:hAnsi="方正黑体_GBK" w:eastAsia="方正黑体_GBK" w:cs="方正黑体_GBK"/>
          <w:color w:val="auto"/>
          <w:sz w:val="30"/>
          <w:szCs w:val="30"/>
          <w:highlight w:val="none"/>
        </w:rPr>
        <w:t xml:space="preserve">七、本次招标联系方式</w:t>
      </w:r>
      <w:bookmarkEnd w:id="48"/>
      <w:r/>
      <w:bookmarkEnd w:id="49"/>
      <w:r/>
      <w:bookmarkEnd w:id="50"/>
      <w:r/>
      <w:bookmarkEnd w:id="51"/>
      <w:r/>
      <w:bookmarkEnd w:id="52"/>
      <w:r/>
      <w:bookmarkEnd w:id="53"/>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名称：南京市六合区教育局</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地址：南京市六合区雄州南路268号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联系人：沈老师</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联系电话：025-57156991</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代理机构</w:t>
      </w:r>
      <w:r/>
    </w:p>
    <w:p>
      <w:pPr>
        <w:ind w:firstLine="480"/>
        <w:spacing w:line="252"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名称：</w:t>
      </w:r>
      <w:r>
        <w:rPr>
          <w:rFonts w:hint="eastAsia" w:ascii="宋体" w:hAnsi="宋体"/>
          <w:sz w:val="24"/>
          <w:szCs w:val="24"/>
          <w:highlight w:val="none"/>
          <w:lang w:val="en-US" w:eastAsia="zh-CN"/>
        </w:rPr>
        <w:t xml:space="preserve">南京宇厦工程管理咨询有限公司</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地址：南京市六合区雄州街道理想城1栋1609</w:t>
      </w:r>
      <w:r/>
    </w:p>
    <w:p>
      <w:pPr>
        <w:ind w:firstLine="480"/>
        <w:spacing w:line="252"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厉薇</w:t>
      </w:r>
      <w:r/>
    </w:p>
    <w:p>
      <w:pPr>
        <w:ind w:firstLine="480"/>
        <w:spacing w:line="252" w:lineRule="auto"/>
        <w:rPr>
          <w:rFonts w:hint="default" w:eastAsia="宋体"/>
          <w:color w:val="000000"/>
          <w:highlight w:val="none"/>
          <w:lang w:val="en-US" w:eastAsia="zh-CN"/>
        </w:rPr>
      </w:pP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13401994299</w:t>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2"/>
      <w:r/>
      <w:bookmarkEnd w:id="3"/>
      <w:r/>
      <w:bookmarkEnd w:id="4"/>
      <w:r/>
      <w:bookmarkEnd w:id="5"/>
      <w:r/>
      <w:bookmarkEnd w:id="6"/>
      <w:r/>
      <w:bookmarkStart w:id="54" w:name="_Toc120614211"/>
      <w:r>
        <w:rPr>
          <w:rFonts w:hint="eastAsia" w:ascii="方正小标宋简体" w:hAnsi="方正小标宋简体" w:eastAsia="方正小标宋简体" w:cs="方正小标宋简体"/>
          <w:color w:val="000000"/>
          <w:sz w:val="36"/>
          <w:szCs w:val="36"/>
          <w:highlight w:val="none"/>
        </w:rPr>
        <w:t xml:space="preserve">第二章</w:t>
      </w:r>
      <w:bookmarkEnd w:id="54"/>
      <w:r/>
      <w:bookmarkStart w:id="55" w:name="_Toc20823274"/>
      <w:r/>
      <w:bookmarkStart w:id="56" w:name="_Toc16938518"/>
      <w:r/>
      <w:bookmarkStart w:id="57" w:name="_Toc513029202"/>
      <w:r/>
      <w:bookmarkStart w:id="58" w:name="_Toc120614213"/>
      <w:r>
        <w:rPr>
          <w:rFonts w:hint="eastAsia" w:ascii="方正小标宋简体" w:hAnsi="方正小标宋简体" w:eastAsia="方正小标宋简体" w:cs="方正小标宋简体"/>
          <w:color w:val="000000"/>
          <w:sz w:val="36"/>
          <w:szCs w:val="36"/>
          <w:highlight w:val="none"/>
        </w:rPr>
        <w:t xml:space="preserve">投标人须知</w:t>
      </w:r>
      <w:bookmarkEnd w:id="55"/>
      <w:r/>
      <w:bookmarkEnd w:id="56"/>
      <w:r/>
      <w:bookmarkEnd w:id="57"/>
      <w:r/>
      <w:bookmarkEnd w:id="58"/>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59" w:name="_Toc16938519"/>
      <w:r/>
      <w:bookmarkStart w:id="60" w:name="_Toc120614214"/>
      <w:r/>
      <w:bookmarkStart w:id="61" w:name="_Toc20823275"/>
      <w:r/>
      <w:bookmarkStart w:id="62" w:name="_Toc235688462"/>
      <w:r/>
      <w:bookmarkStart w:id="63" w:name="_Toc513029203"/>
      <w:r/>
      <w:bookmarkStart w:id="64" w:name="_Toc16938558"/>
      <w:r/>
      <w:bookmarkStart w:id="65" w:name="_Toc20823314"/>
      <w:r/>
      <w:bookmarkStart w:id="66" w:name="_Toc120614221"/>
      <w:r/>
      <w:bookmarkStart w:id="67" w:name="_Toc513029242"/>
      <w:r/>
      <w:bookmarkStart w:id="68" w:name="_Toc479757207"/>
      <w:r>
        <w:rPr>
          <w:rFonts w:hint="eastAsia" w:ascii="方正黑体_GBK" w:hAnsi="方正黑体_GBK" w:eastAsia="方正黑体_GBK" w:cs="方正黑体_GBK"/>
          <w:color w:val="000000"/>
          <w:sz w:val="30"/>
          <w:szCs w:val="30"/>
          <w:highlight w:val="none"/>
        </w:rPr>
        <w:t xml:space="preserve">一、总则</w:t>
      </w:r>
      <w:bookmarkEnd w:id="59"/>
      <w:r/>
      <w:bookmarkEnd w:id="60"/>
      <w:r/>
      <w:bookmarkEnd w:id="61"/>
      <w:r/>
      <w:bookmarkEnd w:id="62"/>
      <w:r/>
      <w:bookmarkEnd w:id="63"/>
      <w:r/>
      <w:r/>
    </w:p>
    <w:p>
      <w:pPr>
        <w:pStyle w:val="772"/>
        <w:ind w:firstLine="422"/>
        <w:spacing w:before="0" w:after="0"/>
        <w:rPr>
          <w:rFonts w:ascii="方正楷体_GBK" w:hAnsi="方正楷体_GBK" w:eastAsia="方正楷体_GBK" w:cs="方正楷体_GBK"/>
          <w:color w:val="000000"/>
          <w:highlight w:val="none"/>
        </w:rPr>
      </w:pPr>
      <w:r/>
      <w:bookmarkStart w:id="69" w:name="_Hlt16619475"/>
      <w:r/>
      <w:bookmarkEnd w:id="69"/>
      <w:r/>
      <w:bookmarkStart w:id="70" w:name="_Toc458694821"/>
      <w:r/>
      <w:bookmarkStart w:id="71" w:name="_Toc16938520"/>
      <w:r/>
      <w:bookmarkStart w:id="72" w:name="_Toc513029204"/>
      <w:r/>
      <w:bookmarkStart w:id="73" w:name="_Toc20823276"/>
      <w:r>
        <w:rPr>
          <w:rFonts w:hint="eastAsia" w:ascii="方正楷体_GBK" w:hAnsi="方正楷体_GBK" w:eastAsia="方正楷体_GBK" w:cs="方正楷体_GBK"/>
          <w:color w:val="000000"/>
          <w:highlight w:val="none"/>
        </w:rPr>
        <w:t xml:space="preserve">1</w:t>
      </w:r>
      <w:bookmarkEnd w:id="70"/>
      <w:r>
        <w:rPr>
          <w:rFonts w:hint="eastAsia" w:ascii="方正楷体_GBK" w:hAnsi="方正楷体_GBK" w:eastAsia="方正楷体_GBK" w:cs="方正楷体_GBK"/>
          <w:color w:val="000000"/>
          <w:highlight w:val="none"/>
        </w:rPr>
        <w:t xml:space="preserve">.招标方式</w:t>
      </w:r>
      <w:bookmarkEnd w:id="71"/>
      <w:r/>
      <w:bookmarkEnd w:id="72"/>
      <w:r/>
      <w:bookmarkEnd w:id="73"/>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1.1本次招标采取公开招标方式，本文件仅适用于招标公告中所述项目。</w:t>
      </w:r>
      <w:r/>
    </w:p>
    <w:p>
      <w:pPr>
        <w:pStyle w:val="772"/>
        <w:ind w:firstLine="422"/>
        <w:spacing w:before="0" w:after="0"/>
        <w:rPr>
          <w:rFonts w:ascii="方正楷体_GBK" w:hAnsi="方正楷体_GBK" w:eastAsia="方正楷体_GBK" w:cs="方正楷体_GBK"/>
          <w:color w:val="000000"/>
          <w:highlight w:val="none"/>
        </w:rPr>
      </w:pPr>
      <w:r/>
      <w:bookmarkStart w:id="74" w:name="_Toc16938521"/>
      <w:r/>
      <w:bookmarkStart w:id="75" w:name="_Toc513029205"/>
      <w:r/>
      <w:bookmarkStart w:id="76" w:name="_Toc20823277"/>
      <w:r>
        <w:rPr>
          <w:rFonts w:hint="eastAsia" w:ascii="方正楷体_GBK" w:hAnsi="方正楷体_GBK" w:eastAsia="方正楷体_GBK" w:cs="方正楷体_GBK"/>
          <w:color w:val="000000"/>
          <w:highlight w:val="none"/>
        </w:rPr>
        <w:t xml:space="preserve">2.合格的投标人</w:t>
      </w:r>
      <w:bookmarkEnd w:id="74"/>
      <w:r/>
      <w:bookmarkEnd w:id="75"/>
      <w:r/>
      <w:bookmarkEnd w:id="76"/>
      <w:r/>
      <w:r/>
    </w:p>
    <w:p>
      <w:pPr>
        <w:ind w:firstLine="420"/>
        <w:rPr>
          <w:rFonts w:hint="eastAsia" w:ascii="宋体" w:hAnsi="宋体"/>
          <w:color w:val="000000"/>
          <w:sz w:val="24"/>
          <w:highlight w:val="none"/>
        </w:rPr>
      </w:pPr>
      <w:r>
        <w:rPr>
          <w:rFonts w:hint="eastAsia" w:ascii="宋体" w:hAnsi="宋体"/>
          <w:color w:val="000000"/>
          <w:sz w:val="24"/>
          <w:highlight w:val="none"/>
        </w:rPr>
        <w:t xml:space="preserve">2.1满足招标公告对供应商资格要求的规定。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2.2满足招标文件规定的实质性要求和条件。</w:t>
      </w:r>
      <w:r/>
    </w:p>
    <w:p>
      <w:pPr>
        <w:pStyle w:val="772"/>
        <w:ind w:firstLine="422"/>
        <w:spacing w:before="0" w:after="0"/>
        <w:rPr>
          <w:rFonts w:ascii="方正楷体_GBK" w:hAnsi="方正楷体_GBK" w:eastAsia="方正楷体_GBK" w:cs="方正楷体_GBK"/>
          <w:color w:val="000000"/>
          <w:highlight w:val="none"/>
        </w:rPr>
      </w:pPr>
      <w:r/>
      <w:bookmarkStart w:id="77" w:name="_Toc16938522"/>
      <w:r/>
      <w:bookmarkStart w:id="78" w:name="_Toc20823278"/>
      <w:r/>
      <w:bookmarkStart w:id="79" w:name="_Toc513029206"/>
      <w:r>
        <w:rPr>
          <w:rFonts w:hint="eastAsia" w:ascii="方正楷体_GBK" w:hAnsi="方正楷体_GBK" w:eastAsia="方正楷体_GBK" w:cs="方正楷体_GBK"/>
          <w:color w:val="000000"/>
          <w:highlight w:val="none"/>
        </w:rPr>
        <w:t xml:space="preserve">3.适用法律</w:t>
      </w:r>
      <w:bookmarkEnd w:id="77"/>
      <w:r/>
      <w:bookmarkEnd w:id="78"/>
      <w:r/>
      <w:bookmarkEnd w:id="79"/>
      <w:r/>
      <w:r/>
    </w:p>
    <w:p>
      <w:pPr>
        <w:ind w:firstLine="420"/>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3.1本次招标及由此产生的合同受中华人民共和国有关的法律法规制约和保护。</w:t>
      </w:r>
      <w:r/>
    </w:p>
    <w:p>
      <w:pPr>
        <w:pStyle w:val="772"/>
        <w:ind w:firstLine="422"/>
        <w:spacing w:before="0" w:after="0"/>
        <w:rPr>
          <w:rFonts w:ascii="方正楷体_GBK" w:hAnsi="方正楷体_GBK" w:eastAsia="方正楷体_GBK" w:cs="方正楷体_GBK"/>
          <w:color w:val="000000"/>
          <w:highlight w:val="none"/>
        </w:rPr>
      </w:pPr>
      <w:r/>
      <w:bookmarkStart w:id="80" w:name="_Toc513029207"/>
      <w:r/>
      <w:bookmarkStart w:id="81" w:name="_Toc20823279"/>
      <w:r/>
      <w:bookmarkStart w:id="82" w:name="_Toc16938523"/>
      <w:r/>
      <w:bookmarkStart w:id="83" w:name="_Toc462564067"/>
      <w:r>
        <w:rPr>
          <w:rFonts w:hint="eastAsia" w:ascii="方正楷体_GBK" w:hAnsi="方正楷体_GBK" w:eastAsia="方正楷体_GBK" w:cs="方正楷体_GBK"/>
          <w:color w:val="000000"/>
          <w:highlight w:val="none"/>
        </w:rPr>
        <w:t xml:space="preserve">4.投标费用</w:t>
      </w:r>
      <w:bookmarkEnd w:id="80"/>
      <w:r/>
      <w:bookmarkEnd w:id="81"/>
      <w:r/>
      <w:bookmarkEnd w:id="82"/>
      <w:r/>
      <w:bookmarkEnd w:id="83"/>
      <w:r/>
      <w:r/>
    </w:p>
    <w:p>
      <w:pPr>
        <w:ind w:firstLine="420"/>
        <w:rPr>
          <w:rFonts w:hint="eastAsia" w:ascii="宋体" w:hAnsi="宋体"/>
          <w:color w:val="000000"/>
          <w:sz w:val="24"/>
          <w:highlight w:val="none"/>
        </w:rPr>
      </w:pPr>
      <w:r>
        <w:rPr>
          <w:rFonts w:hint="eastAsia" w:ascii="宋体" w:hAnsi="宋体"/>
          <w:color w:val="000000"/>
          <w:sz w:val="24"/>
          <w:highlight w:val="none"/>
        </w:rPr>
        <w:t xml:space="preserve">4.1投标人应自行承担所有与参加投标有关的费用，无论投标过程中的做法和结果如何，代理机构在任何情况下均无义务和责任承担这些费用。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4.2本次招标中标供应商按《招标代理服务费管理暂行办法》（国家发展计划委员会计价格【2002】1980号）代理招标收费基准费率计算*80%收取，</w:t>
      </w:r>
      <w:r>
        <w:rPr>
          <w:rFonts w:hint="eastAsia" w:ascii="宋体" w:hAnsi="宋体"/>
          <w:color w:val="000000"/>
          <w:sz w:val="24"/>
          <w:highlight w:val="none"/>
          <w:lang w:val="en-US" w:eastAsia="zh-CN"/>
        </w:rPr>
        <w:t xml:space="preserve">由中标供应商支付。</w:t>
      </w:r>
      <w:r>
        <w:rPr>
          <w:rFonts w:hint="eastAsia" w:ascii="宋体" w:hAnsi="宋体"/>
          <w:color w:val="000000"/>
          <w:sz w:val="24"/>
          <w:highlight w:val="none"/>
        </w:rPr>
        <w:t xml:space="preserve">评审专家费由采购人支付。</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5.1投标人一旦参加本项目采购活动，即被认为接受了本文件的规定和约束。</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84" w:name="_Toc16938525"/>
      <w:r/>
      <w:bookmarkStart w:id="85" w:name="_Toc20823281"/>
      <w:r/>
      <w:bookmarkStart w:id="86" w:name="_Toc513029209"/>
      <w:r/>
      <w:bookmarkStart w:id="87" w:name="_Toc235688463"/>
      <w:r/>
      <w:bookmarkStart w:id="88" w:name="_Toc120614215"/>
      <w:r>
        <w:rPr>
          <w:rFonts w:hint="eastAsia" w:ascii="方正黑体_GBK" w:hAnsi="方正黑体_GBK" w:eastAsia="方正黑体_GBK" w:cs="方正黑体_GBK"/>
          <w:color w:val="000000"/>
          <w:sz w:val="30"/>
          <w:szCs w:val="30"/>
          <w:highlight w:val="none"/>
        </w:rPr>
        <w:t xml:space="preserve">二、招标文件</w:t>
      </w:r>
      <w:bookmarkEnd w:id="84"/>
      <w:r/>
      <w:bookmarkEnd w:id="85"/>
      <w:r/>
      <w:bookmarkEnd w:id="86"/>
      <w:r/>
      <w:bookmarkEnd w:id="87"/>
      <w:r/>
      <w:bookmarkEnd w:id="88"/>
      <w:r/>
      <w:r/>
    </w:p>
    <w:p>
      <w:pPr>
        <w:pStyle w:val="772"/>
        <w:ind w:firstLine="422"/>
        <w:spacing w:before="0" w:after="0"/>
        <w:rPr>
          <w:rFonts w:ascii="方正楷体_GBK" w:hAnsi="方正楷体_GBK" w:eastAsia="方正楷体_GBK" w:cs="方正楷体_GBK"/>
          <w:color w:val="000000"/>
          <w:highlight w:val="none"/>
        </w:rPr>
      </w:pPr>
      <w:r/>
      <w:bookmarkStart w:id="89" w:name="_Toc513029210"/>
      <w:r/>
      <w:bookmarkStart w:id="90" w:name="_Toc20823282"/>
      <w:r/>
      <w:bookmarkStart w:id="91" w:name="_Toc16938526"/>
      <w:r>
        <w:rPr>
          <w:rFonts w:hint="eastAsia" w:ascii="方正楷体_GBK" w:hAnsi="方正楷体_GBK" w:eastAsia="方正楷体_GBK" w:cs="方正楷体_GBK"/>
          <w:color w:val="000000"/>
          <w:highlight w:val="none"/>
        </w:rPr>
        <w:t xml:space="preserve">6.招标文件构成</w:t>
      </w:r>
      <w:bookmarkEnd w:id="89"/>
      <w:r/>
      <w:bookmarkEnd w:id="90"/>
      <w:r/>
      <w:bookmarkEnd w:id="91"/>
      <w:r/>
      <w:r/>
    </w:p>
    <w:p>
      <w:pPr>
        <w:ind w:firstLine="420"/>
        <w:rPr>
          <w:rFonts w:hint="eastAsia" w:ascii="宋体" w:hAnsi="宋体"/>
          <w:color w:val="000000"/>
          <w:sz w:val="24"/>
          <w:highlight w:val="none"/>
        </w:rPr>
      </w:pPr>
      <w:r>
        <w:rPr>
          <w:rFonts w:hint="eastAsia" w:ascii="宋体" w:hAnsi="宋体"/>
          <w:color w:val="000000"/>
          <w:sz w:val="24"/>
          <w:highlight w:val="none"/>
        </w:rPr>
        <w:t xml:space="preserve">6.1招标文件由以下部分组成：</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投标人应仔细检查招标文件是否齐全，如有缺漏请立即与代理机构联系。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2"/>
        <w:ind w:firstLine="422"/>
        <w:spacing w:before="0" w:after="0"/>
        <w:rPr>
          <w:rFonts w:ascii="方正楷体_GBK" w:hAnsi="方正楷体_GBK" w:eastAsia="方正楷体_GBK" w:cs="方正楷体_GBK"/>
          <w:color w:val="000000"/>
          <w:highlight w:val="none"/>
        </w:rPr>
      </w:pPr>
      <w:r/>
      <w:bookmarkStart w:id="92" w:name="_Toc462564070"/>
      <w:r/>
      <w:bookmarkStart w:id="93" w:name="_Toc16938527"/>
      <w:r/>
      <w:bookmarkStart w:id="94" w:name="_Toc513029211"/>
      <w:r/>
      <w:bookmarkStart w:id="95" w:name="_Toc20823283"/>
      <w:r>
        <w:rPr>
          <w:rFonts w:hint="eastAsia" w:ascii="方正楷体_GBK" w:hAnsi="方正楷体_GBK" w:eastAsia="方正楷体_GBK" w:cs="方正楷体_GBK"/>
          <w:color w:val="000000"/>
          <w:highlight w:val="none"/>
        </w:rPr>
        <w:t xml:space="preserve">7.招标文件的澄清</w:t>
      </w:r>
      <w:bookmarkEnd w:id="92"/>
      <w:r/>
      <w:bookmarkEnd w:id="93"/>
      <w:r/>
      <w:bookmarkEnd w:id="94"/>
      <w:r/>
      <w:bookmarkEnd w:id="95"/>
      <w:r/>
      <w:r/>
    </w:p>
    <w:p>
      <w:pPr>
        <w:ind w:firstLine="420"/>
        <w:rPr>
          <w:rFonts w:hint="eastAsia" w:ascii="宋体" w:hAnsi="宋体"/>
          <w:color w:val="000000"/>
          <w:sz w:val="24"/>
          <w:highlight w:val="none"/>
        </w:rPr>
      </w:pPr>
      <w:r>
        <w:rPr>
          <w:rFonts w:hint="eastAsia" w:ascii="宋体" w:hAnsi="宋体"/>
          <w:color w:val="000000"/>
          <w:sz w:val="24"/>
          <w:highlight w:val="none"/>
        </w:rPr>
        <w:t xml:space="preserve">7.1任何要求对招标文件进行澄清的投标人，应在投标截止期十日前按招标公告中的通讯地址，以书面形式通知代理机构。</w:t>
      </w:r>
      <w:r/>
    </w:p>
    <w:p>
      <w:pPr>
        <w:pStyle w:val="772"/>
        <w:ind w:firstLine="422"/>
        <w:spacing w:before="0" w:after="0"/>
        <w:rPr>
          <w:rFonts w:ascii="方正楷体_GBK" w:hAnsi="方正楷体_GBK" w:eastAsia="方正楷体_GBK" w:cs="方正楷体_GBK"/>
          <w:color w:val="000000"/>
          <w:highlight w:val="none"/>
        </w:rPr>
      </w:pPr>
      <w:r/>
      <w:bookmarkStart w:id="96" w:name="_Toc513029212"/>
      <w:r/>
      <w:bookmarkStart w:id="97" w:name="_Toc462564071"/>
      <w:r/>
      <w:bookmarkStart w:id="98" w:name="_Toc20823284"/>
      <w:r/>
      <w:bookmarkStart w:id="99" w:name="_Toc16938528"/>
      <w:r>
        <w:rPr>
          <w:rFonts w:hint="eastAsia" w:ascii="方正楷体_GBK" w:hAnsi="方正楷体_GBK" w:eastAsia="方正楷体_GBK" w:cs="方正楷体_GBK"/>
          <w:color w:val="000000"/>
          <w:highlight w:val="none"/>
        </w:rPr>
        <w:t xml:space="preserve">8.招标文件的修改</w:t>
      </w:r>
      <w:bookmarkEnd w:id="96"/>
      <w:r/>
      <w:bookmarkEnd w:id="97"/>
      <w:r/>
      <w:bookmarkEnd w:id="98"/>
      <w:r/>
      <w:bookmarkEnd w:id="99"/>
      <w:r/>
      <w:r/>
    </w:p>
    <w:p>
      <w:pPr>
        <w:ind w:firstLine="420"/>
        <w:rPr>
          <w:rFonts w:hint="eastAsia" w:ascii="宋体" w:hAnsi="宋体"/>
          <w:color w:val="000000"/>
          <w:sz w:val="24"/>
          <w:highlight w:val="none"/>
        </w:rPr>
      </w:pPr>
      <w:r/>
      <w:bookmarkStart w:id="100" w:name="_Toc120614216"/>
      <w:r/>
      <w:bookmarkStart w:id="101" w:name="_Toc20823285"/>
      <w:r/>
      <w:bookmarkStart w:id="102" w:name="_Toc513029213"/>
      <w:r/>
      <w:bookmarkStart w:id="103" w:name="_Toc462564072"/>
      <w:r/>
      <w:bookmarkStart w:id="104" w:name="_Toc16938529"/>
      <w:r>
        <w:rPr>
          <w:rFonts w:hint="eastAsia" w:ascii="宋体" w:hAnsi="宋体"/>
          <w:color w:val="000000"/>
          <w:sz w:val="24"/>
          <w:highlight w:val="none"/>
        </w:rPr>
        <w:t xml:space="preserve">8.1在投标截止时间前，代理机构可以对招标文件进行修改。招标文件的修改将在原公告媒体发布更正公告，更正内容将作为招标文件的组成部分，并对投标人具有约束力。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8.3代理机构有权按照法定的要求推迟投标截止日期和开标日期，并在原公告媒体发布更正公告。</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105" w:name="_Toc235688464"/>
      <w:r>
        <w:rPr>
          <w:rFonts w:hint="eastAsia" w:ascii="方正黑体_GBK" w:hAnsi="方正黑体_GBK" w:eastAsia="方正黑体_GBK" w:cs="方正黑体_GBK"/>
          <w:color w:val="000000"/>
          <w:sz w:val="30"/>
          <w:szCs w:val="30"/>
          <w:highlight w:val="none"/>
        </w:rPr>
        <w:t xml:space="preserve">三、投标文件的编制</w:t>
      </w:r>
      <w:bookmarkEnd w:id="100"/>
      <w:r/>
      <w:bookmarkEnd w:id="101"/>
      <w:r/>
      <w:bookmarkEnd w:id="102"/>
      <w:r/>
      <w:bookmarkEnd w:id="103"/>
      <w:r/>
      <w:bookmarkEnd w:id="104"/>
      <w:r/>
      <w:bookmarkEnd w:id="105"/>
      <w:r/>
      <w:r/>
    </w:p>
    <w:p>
      <w:pPr>
        <w:pStyle w:val="772"/>
        <w:ind w:firstLine="422"/>
        <w:spacing w:before="0" w:after="0"/>
        <w:rPr>
          <w:rFonts w:ascii="方正楷体_GBK" w:hAnsi="方正楷体_GBK" w:eastAsia="方正楷体_GBK" w:cs="方正楷体_GBK"/>
          <w:color w:val="000000"/>
          <w:highlight w:val="none"/>
        </w:rPr>
      </w:pPr>
      <w:r/>
      <w:bookmarkStart w:id="106" w:name="_Toc16938530"/>
      <w:r/>
      <w:bookmarkStart w:id="107" w:name="_Toc462564073"/>
      <w:r/>
      <w:bookmarkStart w:id="108" w:name="_Toc20823286"/>
      <w:r/>
      <w:bookmarkStart w:id="109" w:name="_Toc513029214"/>
      <w:r>
        <w:rPr>
          <w:rFonts w:hint="eastAsia" w:ascii="方正楷体_GBK" w:hAnsi="方正楷体_GBK" w:eastAsia="方正楷体_GBK" w:cs="方正楷体_GBK"/>
          <w:color w:val="000000"/>
          <w:highlight w:val="none"/>
        </w:rPr>
        <w:t xml:space="preserve">9.投标文件的语言及度量衡单位</w:t>
      </w:r>
      <w:bookmarkEnd w:id="106"/>
      <w:r/>
      <w:bookmarkEnd w:id="107"/>
      <w:r/>
      <w:bookmarkEnd w:id="108"/>
      <w:r/>
      <w:bookmarkEnd w:id="109"/>
      <w:r/>
      <w:r/>
    </w:p>
    <w:p>
      <w:pPr>
        <w:ind w:firstLine="420"/>
        <w:rPr>
          <w:rFonts w:hint="eastAsia" w:ascii="宋体" w:hAnsi="宋体"/>
          <w:color w:val="000000"/>
          <w:sz w:val="24"/>
          <w:highlight w:val="none"/>
        </w:rPr>
      </w:pPr>
      <w:r>
        <w:rPr>
          <w:rFonts w:hint="eastAsia" w:ascii="宋体" w:hAnsi="宋体"/>
          <w:color w:val="000000"/>
          <w:sz w:val="24"/>
          <w:highlight w:val="none"/>
        </w:rPr>
        <w:t xml:space="preserve">9.1投标人提交的投标文件以及投标人与代理机构就有关投标的所有来往通知、函件和文件均应使用简体中文。</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9.2除技术性能另有规定外，投标文件所使用的度量衡单位，均须采用国家法定计量单位。</w:t>
      </w:r>
      <w:r/>
    </w:p>
    <w:p>
      <w:pPr>
        <w:pStyle w:val="772"/>
        <w:ind w:firstLine="422"/>
        <w:spacing w:before="0" w:after="0"/>
        <w:rPr>
          <w:rFonts w:ascii="方正楷体_GBK" w:hAnsi="方正楷体_GBK" w:eastAsia="方正楷体_GBK" w:cs="方正楷体_GBK"/>
          <w:color w:val="000000"/>
          <w:highlight w:val="none"/>
        </w:rPr>
      </w:pPr>
      <w:r/>
      <w:bookmarkStart w:id="110" w:name="_Toc462564074"/>
      <w:r/>
      <w:bookmarkStart w:id="111" w:name="_Toc16938531"/>
      <w:r/>
      <w:bookmarkStart w:id="112" w:name="_Toc20823287"/>
      <w:r/>
      <w:bookmarkStart w:id="113" w:name="_Toc513029215"/>
      <w:r>
        <w:rPr>
          <w:rFonts w:hint="eastAsia" w:ascii="方正楷体_GBK" w:hAnsi="方正楷体_GBK" w:eastAsia="方正楷体_GBK" w:cs="方正楷体_GBK"/>
          <w:color w:val="000000"/>
          <w:highlight w:val="none"/>
        </w:rPr>
        <w:t xml:space="preserve">10.投标文件构成</w:t>
      </w:r>
      <w:bookmarkEnd w:id="110"/>
      <w:r/>
      <w:bookmarkEnd w:id="111"/>
      <w:r/>
      <w:bookmarkEnd w:id="112"/>
      <w:r/>
      <w:bookmarkEnd w:id="113"/>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10.2如标书制作工具中格式和内容与“江苏政府采购网”发布的招标文件不一致，以“江苏政府采购网”发布的招标文件为准。</w:t>
      </w:r>
      <w:r/>
    </w:p>
    <w:p>
      <w:pPr>
        <w:pStyle w:val="772"/>
        <w:ind w:firstLine="422"/>
        <w:spacing w:before="0" w:after="0"/>
        <w:rPr>
          <w:rFonts w:ascii="方正楷体_GBK" w:hAnsi="方正楷体_GBK" w:eastAsia="方正楷体_GBK" w:cs="方正楷体_GBK"/>
          <w:color w:val="000000"/>
          <w:highlight w:val="none"/>
        </w:rPr>
      </w:pPr>
      <w:r/>
      <w:bookmarkStart w:id="114" w:name="_Hlt26954838"/>
      <w:r/>
      <w:bookmarkEnd w:id="114"/>
      <w:r/>
      <w:bookmarkStart w:id="115" w:name="_Hlt26670360"/>
      <w:r/>
      <w:bookmarkEnd w:id="115"/>
      <w:r/>
      <w:bookmarkStart w:id="116" w:name="_Hlt26668975"/>
      <w:r/>
      <w:bookmarkEnd w:id="116"/>
      <w:r/>
      <w:bookmarkStart w:id="117" w:name="_Toc513029219"/>
      <w:r/>
      <w:bookmarkStart w:id="118" w:name="_Toc14577354"/>
      <w:r/>
      <w:bookmarkStart w:id="119" w:name="_Toc49090509"/>
      <w:r/>
      <w:bookmarkStart w:id="120" w:name="_Toc49090507"/>
      <w:r/>
      <w:bookmarkStart w:id="121" w:name="_Toc513029216"/>
      <w:r/>
      <w:bookmarkStart w:id="122" w:name="_Toc14577357"/>
      <w:r>
        <w:rPr>
          <w:rFonts w:hint="eastAsia" w:ascii="方正楷体_GBK" w:hAnsi="方正楷体_GBK" w:eastAsia="方正楷体_GBK" w:cs="方正楷体_GBK"/>
          <w:color w:val="000000"/>
          <w:highlight w:val="none"/>
        </w:rPr>
        <w:t xml:space="preserve">11.证明投标人及投标标的符合招标文件规定的文件</w:t>
      </w:r>
      <w:bookmarkEnd w:id="117"/>
      <w:r/>
      <w:bookmarkEnd w:id="118"/>
      <w:r/>
      <w:bookmarkEnd w:id="119"/>
      <w:r/>
      <w:bookmarkEnd w:id="120"/>
      <w:r/>
      <w:bookmarkEnd w:id="121"/>
      <w:r/>
      <w:bookmarkEnd w:id="122"/>
      <w:r/>
      <w:r/>
    </w:p>
    <w:p>
      <w:pPr>
        <w:ind w:firstLine="420"/>
        <w:rPr>
          <w:rFonts w:hint="eastAsia" w:ascii="宋体" w:hAnsi="宋体"/>
          <w:color w:val="000000"/>
          <w:sz w:val="24"/>
          <w:highlight w:val="none"/>
        </w:rPr>
      </w:pPr>
      <w:r/>
      <w:bookmarkStart w:id="123" w:name="_Toc14577355"/>
      <w:r/>
      <w:bookmarkStart w:id="124" w:name="_Toc49090508"/>
      <w:r>
        <w:rPr>
          <w:rFonts w:hint="eastAsia" w:ascii="宋体" w:hAnsi="宋体"/>
          <w:color w:val="000000"/>
          <w:sz w:val="24"/>
          <w:highlight w:val="none"/>
        </w:rPr>
        <w:t xml:space="preserve">11.1投标人应按照法律、法规、规章和规范性文件以及招标文件要求提交证明文件，证明其投标标的符合招标文件规定。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23"/>
      <w:r/>
      <w:bookmarkStart w:id="125" w:name="_Hlt26670373"/>
      <w:r/>
      <w:bookmarkEnd w:id="125"/>
      <w:r>
        <w:rPr>
          <w:rFonts w:hint="eastAsia" w:ascii="方正楷体_GBK" w:hAnsi="方正楷体_GBK" w:eastAsia="方正楷体_GBK" w:cs="方正楷体_GBK"/>
          <w:color w:val="000000"/>
          <w:highlight w:val="none"/>
        </w:rPr>
        <w:t xml:space="preserve">表</w:t>
      </w:r>
      <w:bookmarkEnd w:id="124"/>
      <w:r>
        <w:rPr>
          <w:rFonts w:hint="eastAsia" w:ascii="方正楷体_GBK" w:hAnsi="方正楷体_GBK" w:eastAsia="方正楷体_GBK" w:cs="方正楷体_GBK"/>
          <w:color w:val="000000"/>
          <w:highlight w:val="none"/>
        </w:rPr>
        <w:t xml:space="preserve">（如有）</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12.1投</w:t>
      </w:r>
      <w:bookmarkStart w:id="126" w:name="_Hlt26954840"/>
      <w:r/>
      <w:bookmarkEnd w:id="126"/>
      <w:r>
        <w:rPr>
          <w:rFonts w:hint="eastAsia" w:ascii="宋体" w:hAnsi="宋体"/>
          <w:color w:val="000000"/>
          <w:sz w:val="24"/>
          <w:highlight w:val="none"/>
        </w:rPr>
        <w:t xml:space="preserve">标人应按照招标文件规定格式填报投标分项报价表</w:t>
      </w:r>
      <w:bookmarkStart w:id="127" w:name="_Hlt26670399"/>
      <w:r/>
      <w:bookmarkEnd w:id="127"/>
      <w:r>
        <w:rPr>
          <w:rFonts w:hint="eastAsia" w:ascii="宋体" w:hAnsi="宋体"/>
          <w:color w:val="000000"/>
          <w:sz w:val="24"/>
          <w:highlight w:val="none"/>
        </w:rPr>
        <w:t xml:space="preserve">。</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12.2投标文件中的单价和总价无特殊规定的采用人民币报价，以元为单位标注。招标文件另有规定的按规定执行。</w:t>
      </w:r>
      <w:r/>
    </w:p>
    <w:p>
      <w:pPr>
        <w:pStyle w:val="772"/>
        <w:ind w:firstLine="422"/>
        <w:spacing w:before="0" w:after="0"/>
        <w:rPr>
          <w:rFonts w:ascii="方正楷体_GBK" w:hAnsi="方正楷体_GBK" w:eastAsia="方正楷体_GBK" w:cs="方正楷体_GBK"/>
          <w:color w:val="000000"/>
          <w:highlight w:val="none"/>
        </w:rPr>
      </w:pPr>
      <w:r/>
      <w:bookmarkStart w:id="128" w:name="_Hlt26954731"/>
      <w:r/>
      <w:bookmarkEnd w:id="128"/>
      <w:r/>
      <w:bookmarkStart w:id="129" w:name="_Hlt26670403"/>
      <w:r/>
      <w:bookmarkEnd w:id="129"/>
      <w:r/>
      <w:bookmarkStart w:id="130" w:name="_Hlt26954842"/>
      <w:r/>
      <w:bookmarkEnd w:id="130"/>
      <w:r/>
      <w:bookmarkStart w:id="131" w:name="_Hlt26670482"/>
      <w:r/>
      <w:bookmarkEnd w:id="131"/>
      <w:r/>
      <w:bookmarkStart w:id="132" w:name="_Hlt26670486"/>
      <w:r/>
      <w:bookmarkEnd w:id="132"/>
      <w:r/>
      <w:bookmarkStart w:id="133" w:name="_Hlt26670425"/>
      <w:r/>
      <w:bookmarkEnd w:id="133"/>
      <w:r/>
      <w:bookmarkStart w:id="134" w:name="_Hlt26954846"/>
      <w:r/>
      <w:bookmarkEnd w:id="134"/>
      <w:r/>
      <w:bookmarkStart w:id="135" w:name="_Hlt26954848"/>
      <w:r/>
      <w:bookmarkEnd w:id="135"/>
      <w:r/>
      <w:bookmarkStart w:id="136" w:name="_Hlt26668983"/>
      <w:r/>
      <w:bookmarkEnd w:id="136"/>
      <w:r/>
      <w:bookmarkStart w:id="137" w:name="_Hlt26954844"/>
      <w:r/>
      <w:bookmarkEnd w:id="137"/>
      <w:r>
        <w:rPr>
          <w:rFonts w:hint="eastAsia" w:ascii="方正楷体_GBK" w:hAnsi="方正楷体_GBK" w:eastAsia="方正楷体_GBK" w:cs="方正楷体_GBK"/>
          <w:color w:val="000000"/>
          <w:highlight w:val="none"/>
        </w:rPr>
        <w:t xml:space="preserve">13.响应及偏离表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13.1投标人需对招标文件中的技术要求与商务要求逐项作出响应或偏离说明。</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13.2投标人可以在投标文件中提供认为需要的其他技术文件或说明。</w:t>
      </w:r>
      <w:r/>
    </w:p>
    <w:p>
      <w:pPr>
        <w:pStyle w:val="772"/>
        <w:ind w:firstLine="422"/>
        <w:spacing w:before="0" w:after="0"/>
        <w:rPr>
          <w:rFonts w:ascii="方正楷体_GBK" w:hAnsi="方正楷体_GBK" w:eastAsia="方正楷体_GBK" w:cs="方正楷体_GBK"/>
          <w:color w:val="000000"/>
          <w:highlight w:val="none"/>
        </w:rPr>
      </w:pPr>
      <w:r/>
      <w:bookmarkStart w:id="138" w:name="_Toc14577359"/>
      <w:r/>
      <w:bookmarkStart w:id="139" w:name="_Toc49090510"/>
      <w:r>
        <w:rPr>
          <w:rFonts w:hint="eastAsia" w:ascii="方正楷体_GBK" w:hAnsi="方正楷体_GBK" w:eastAsia="方正楷体_GBK" w:cs="方正楷体_GBK"/>
          <w:color w:val="000000"/>
          <w:highlight w:val="none"/>
        </w:rPr>
        <w:t xml:space="preserve">14.投标函和开标一览表及核心产品品牌一览表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14.1投标人应按照招标文件规定格式完整、正确填报投标函、开标一览表及核心产品品牌一览表。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14.3核心产品品牌一览表中所投核心产品品牌缺项的将视为无效投标。</w:t>
      </w:r>
      <w:bookmarkEnd w:id="138"/>
      <w:r/>
      <w:bookmarkEnd w:id="139"/>
      <w:r/>
      <w:r/>
    </w:p>
    <w:p>
      <w:pPr>
        <w:pStyle w:val="772"/>
        <w:ind w:firstLine="422"/>
        <w:spacing w:before="0" w:after="0"/>
        <w:rPr>
          <w:rFonts w:ascii="方正楷体_GBK" w:hAnsi="方正楷体_GBK" w:eastAsia="方正楷体_GBK" w:cs="方正楷体_GBK"/>
          <w:color w:val="000000"/>
          <w:highlight w:val="none"/>
        </w:rPr>
      </w:pPr>
      <w:r/>
      <w:bookmarkStart w:id="140" w:name="_Hlt26954734"/>
      <w:r/>
      <w:bookmarkEnd w:id="140"/>
      <w:r/>
      <w:bookmarkStart w:id="141" w:name="_Hlt26670489"/>
      <w:r/>
      <w:bookmarkEnd w:id="141"/>
      <w:r/>
      <w:bookmarkStart w:id="142" w:name="_Hlt26954850"/>
      <w:r/>
      <w:bookmarkEnd w:id="142"/>
      <w:r/>
      <w:bookmarkStart w:id="143" w:name="_Toc14577360"/>
      <w:r/>
      <w:bookmarkStart w:id="144" w:name="_Toc49090511"/>
      <w:r>
        <w:rPr>
          <w:rFonts w:hint="eastAsia" w:ascii="方正楷体_GBK" w:hAnsi="方正楷体_GBK" w:eastAsia="方正楷体_GBK" w:cs="方正楷体_GBK"/>
          <w:color w:val="000000"/>
          <w:highlight w:val="none"/>
        </w:rPr>
        <w:t xml:space="preserve">15.投标有效期</w:t>
      </w:r>
      <w:bookmarkEnd w:id="143"/>
      <w:r/>
      <w:bookmarkEnd w:id="144"/>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145" w:name="_Hlt26954739"/>
      <w:r/>
      <w:bookmarkEnd w:id="145"/>
      <w:r/>
      <w:bookmarkStart w:id="146" w:name="_Hlt26954852"/>
      <w:r/>
      <w:bookmarkEnd w:id="146"/>
      <w:r/>
      <w:bookmarkStart w:id="147" w:name="_Toc235688465"/>
      <w:r/>
      <w:bookmarkStart w:id="148" w:name="_Toc513029224"/>
      <w:r/>
      <w:bookmarkStart w:id="149" w:name="_Toc20823296"/>
      <w:r/>
      <w:bookmarkStart w:id="150" w:name="_Toc120614217"/>
      <w:r/>
      <w:bookmarkStart w:id="151" w:name="_Toc16938540"/>
      <w:r>
        <w:rPr>
          <w:rFonts w:hint="eastAsia" w:ascii="方正黑体_GBK" w:hAnsi="方正黑体_GBK" w:eastAsia="方正黑体_GBK" w:cs="方正黑体_GBK"/>
          <w:color w:val="000000"/>
          <w:sz w:val="30"/>
          <w:szCs w:val="30"/>
          <w:highlight w:val="none"/>
        </w:rPr>
        <w:t xml:space="preserve">四、投标文件的递交</w:t>
      </w:r>
      <w:bookmarkEnd w:id="147"/>
      <w:r/>
      <w:bookmarkEnd w:id="148"/>
      <w:r/>
      <w:bookmarkEnd w:id="149"/>
      <w:r/>
      <w:bookmarkEnd w:id="150"/>
      <w:r/>
      <w:bookmarkEnd w:id="151"/>
      <w:r/>
      <w:r/>
    </w:p>
    <w:p>
      <w:pPr>
        <w:pStyle w:val="772"/>
        <w:ind w:firstLine="422"/>
        <w:spacing w:before="0" w:after="0"/>
        <w:rPr>
          <w:rFonts w:ascii="方正楷体_GBK" w:hAnsi="方正楷体_GBK" w:eastAsia="方正楷体_GBK" w:cs="方正楷体_GBK"/>
          <w:color w:val="000000"/>
          <w:highlight w:val="none"/>
        </w:rPr>
      </w:pPr>
      <w:r/>
      <w:bookmarkStart w:id="152" w:name="_Toc462564084"/>
      <w:r/>
      <w:bookmarkStart w:id="153" w:name="_Toc16938541"/>
      <w:r/>
      <w:bookmarkStart w:id="154" w:name="_Toc513029225"/>
      <w:r/>
      <w:bookmarkStart w:id="155" w:name="_Toc20823297"/>
      <w:r>
        <w:rPr>
          <w:rFonts w:hint="eastAsia" w:ascii="方正楷体_GBK" w:hAnsi="方正楷体_GBK" w:eastAsia="方正楷体_GBK" w:cs="方正楷体_GBK"/>
          <w:color w:val="000000"/>
          <w:highlight w:val="none"/>
        </w:rPr>
        <w:t xml:space="preserve">17.投标文件</w:t>
      </w:r>
      <w:bookmarkEnd w:id="152"/>
      <w:r/>
      <w:bookmarkEnd w:id="153"/>
      <w:r/>
      <w:bookmarkEnd w:id="154"/>
      <w:r/>
      <w:bookmarkEnd w:id="155"/>
      <w:r>
        <w:rPr>
          <w:rFonts w:hint="eastAsia" w:ascii="方正楷体_GBK" w:hAnsi="方正楷体_GBK" w:eastAsia="方正楷体_GBK" w:cs="方正楷体_GBK"/>
          <w:color w:val="000000"/>
          <w:highlight w:val="none"/>
        </w:rPr>
        <w:t xml:space="preserve">的递交</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17.1投标人应当按照《操作手册》规定，在招标公告规定的投标截止时间前制作并上传电子投标文件。</w:t>
      </w:r>
      <w:bookmarkStart w:id="156" w:name="_Toc20823298"/>
      <w:r/>
      <w:bookmarkEnd w:id="156"/>
      <w:r/>
      <w:bookmarkStart w:id="157" w:name="_Toc513029226"/>
      <w:r/>
      <w:bookmarkEnd w:id="157"/>
      <w:r/>
      <w:bookmarkStart w:id="158" w:name="_Toc16938542"/>
      <w:r/>
      <w:bookmarkEnd w:id="158"/>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代理机构可以按照规定，通过修改招标文件酌情延长投标截止时间，在此情况下，投标人的所有权利和义务均以延长后新的截止时间为准。</w:t>
      </w:r>
      <w:r/>
    </w:p>
    <w:p>
      <w:pPr>
        <w:pStyle w:val="772"/>
        <w:ind w:firstLine="422"/>
        <w:spacing w:before="0" w:after="0"/>
        <w:rPr>
          <w:rFonts w:ascii="方正楷体_GBK" w:hAnsi="方正楷体_GBK" w:eastAsia="方正楷体_GBK" w:cs="方正楷体_GBK"/>
          <w:color w:val="000000"/>
          <w:highlight w:val="none"/>
        </w:rPr>
      </w:pPr>
      <w:r/>
      <w:bookmarkStart w:id="159" w:name="_Toc16938543"/>
      <w:r/>
      <w:bookmarkStart w:id="160" w:name="_Toc20823299"/>
      <w:r/>
      <w:bookmarkStart w:id="161" w:name="_Toc513029227"/>
      <w:r>
        <w:rPr>
          <w:rFonts w:hint="eastAsia" w:ascii="方正楷体_GBK" w:hAnsi="方正楷体_GBK" w:eastAsia="方正楷体_GBK" w:cs="方正楷体_GBK"/>
          <w:color w:val="000000"/>
          <w:highlight w:val="none"/>
        </w:rPr>
        <w:t xml:space="preserve">18.投标文件</w:t>
      </w:r>
      <w:bookmarkEnd w:id="159"/>
      <w:r/>
      <w:bookmarkEnd w:id="160"/>
      <w:r/>
      <w:bookmarkEnd w:id="161"/>
      <w:r>
        <w:rPr>
          <w:rFonts w:hint="eastAsia" w:ascii="方正楷体_GBK" w:hAnsi="方正楷体_GBK" w:eastAsia="方正楷体_GBK" w:cs="方正楷体_GBK"/>
          <w:color w:val="000000"/>
          <w:highlight w:val="none"/>
        </w:rPr>
        <w:t xml:space="preserve">的拒收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.1投标截止时间后上传的任何投标文件将被拒绝。</w:t>
      </w:r>
      <w:r/>
    </w:p>
    <w:p>
      <w:pPr>
        <w:pStyle w:val="772"/>
        <w:ind w:firstLine="422"/>
        <w:spacing w:before="0" w:after="0"/>
        <w:rPr>
          <w:rFonts w:ascii="方正楷体_GBK" w:hAnsi="方正楷体_GBK" w:eastAsia="方正楷体_GBK" w:cs="方正楷体_GBK"/>
          <w:color w:val="000000"/>
          <w:highlight w:val="none"/>
        </w:rPr>
      </w:pPr>
      <w:r/>
      <w:bookmarkStart w:id="162" w:name="_Toc20823300"/>
      <w:r/>
      <w:bookmarkStart w:id="163" w:name="_Toc513029228"/>
      <w:r/>
      <w:bookmarkStart w:id="164" w:name="_Toc16938544"/>
      <w:r>
        <w:rPr>
          <w:rFonts w:hint="eastAsia" w:ascii="方正楷体_GBK" w:hAnsi="方正楷体_GBK" w:eastAsia="方正楷体_GBK" w:cs="方正楷体_GBK"/>
          <w:color w:val="000000"/>
          <w:highlight w:val="none"/>
        </w:rPr>
        <w:t xml:space="preserve">19.投标文件的撤回和修改</w:t>
      </w:r>
      <w:bookmarkEnd w:id="162"/>
      <w:r/>
      <w:bookmarkEnd w:id="163"/>
      <w:r/>
      <w:bookmarkEnd w:id="164"/>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.1投标文件的撤回</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.1.1投标人可在投标截止时间前撤回其电子投标文件，具体操作方法见《操作手册》。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.1.2投标人撤回电子投标文件，则认为其不再参与本项目投标活动。</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.2投标文件的修改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.2.1投标人可在投标截止时间前对其电子投标文件进行修改，具体操作方法见《操作手册》。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.2.2投标截止时间之后，投标人不得对其电子投标文件作任何修改。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.3在投标截止时间至招标文件中规定的投标有效期满之间的这段时间内，投标人不得撤回其投标。</w:t>
      </w:r>
      <w:bookmarkStart w:id="165" w:name="_Toc20823301"/>
      <w:r/>
      <w:bookmarkStart w:id="166" w:name="_Toc120614218"/>
      <w:r/>
      <w:bookmarkStart w:id="167" w:name="_Toc16938545"/>
      <w:r/>
      <w:bookmarkStart w:id="168" w:name="_Toc513029229"/>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169" w:name="_Toc235688466"/>
      <w:r>
        <w:rPr>
          <w:rFonts w:hint="eastAsia" w:ascii="方正黑体_GBK" w:hAnsi="方正黑体_GBK" w:eastAsia="方正黑体_GBK" w:cs="方正黑体_GBK"/>
          <w:color w:val="000000"/>
          <w:sz w:val="30"/>
          <w:szCs w:val="30"/>
          <w:highlight w:val="none"/>
        </w:rPr>
        <w:t xml:space="preserve">五、开标与评标</w:t>
      </w:r>
      <w:bookmarkEnd w:id="165"/>
      <w:r/>
      <w:bookmarkEnd w:id="166"/>
      <w:r/>
      <w:bookmarkEnd w:id="167"/>
      <w:r/>
      <w:bookmarkEnd w:id="168"/>
      <w:r/>
      <w:bookmarkEnd w:id="169"/>
      <w:r/>
      <w:r/>
    </w:p>
    <w:p>
      <w:pPr>
        <w:pStyle w:val="772"/>
        <w:ind w:firstLine="422"/>
        <w:spacing w:before="0" w:after="0"/>
        <w:rPr>
          <w:rFonts w:ascii="方正楷体_GBK" w:hAnsi="方正楷体_GBK" w:eastAsia="方正楷体_GBK" w:cs="方正楷体_GBK"/>
          <w:color w:val="000000"/>
          <w:highlight w:val="none"/>
        </w:rPr>
      </w:pPr>
      <w:r/>
      <w:bookmarkStart w:id="170" w:name="_Toc20823302"/>
      <w:r/>
      <w:bookmarkStart w:id="171" w:name="_Toc16938546"/>
      <w:r/>
      <w:bookmarkStart w:id="172" w:name="_Toc513029230"/>
      <w:r>
        <w:rPr>
          <w:rFonts w:hint="eastAsia" w:ascii="方正楷体_GBK" w:hAnsi="方正楷体_GBK" w:eastAsia="方正楷体_GBK" w:cs="方正楷体_GBK"/>
          <w:color w:val="000000"/>
          <w:highlight w:val="none"/>
        </w:rPr>
        <w:t xml:space="preserve">20.开标</w:t>
      </w:r>
      <w:bookmarkEnd w:id="170"/>
      <w:r/>
      <w:bookmarkEnd w:id="171"/>
      <w:r/>
      <w:bookmarkEnd w:id="172"/>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p>
    <w:p>
      <w:pPr>
        <w:pStyle w:val="772"/>
        <w:ind w:firstLine="422"/>
        <w:spacing w:before="0" w:after="0"/>
        <w:rPr>
          <w:rFonts w:ascii="方正楷体_GBK" w:hAnsi="方正楷体_GBK" w:eastAsia="方正楷体_GBK" w:cs="方正楷体_GBK"/>
          <w:color w:val="000000"/>
          <w:highlight w:val="none"/>
        </w:rPr>
      </w:pPr>
      <w:r/>
      <w:bookmarkStart w:id="173" w:name="_Toc513029231"/>
      <w:r/>
      <w:bookmarkStart w:id="174" w:name="_Toc20823303"/>
      <w:r/>
      <w:bookmarkStart w:id="175" w:name="_Toc16938547"/>
      <w:r>
        <w:rPr>
          <w:rFonts w:hint="eastAsia" w:ascii="方正楷体_GBK" w:hAnsi="方正楷体_GBK" w:eastAsia="方正楷体_GBK" w:cs="方正楷体_GBK"/>
          <w:color w:val="000000"/>
          <w:highlight w:val="none"/>
        </w:rPr>
        <w:t xml:space="preserve">21.评标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.2评委会由采购人代表和有关方面专家组成，人员构成符合政府采购有关规定。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bookmarkEnd w:id="173"/>
      <w:r/>
      <w:bookmarkEnd w:id="174"/>
      <w:r/>
      <w:bookmarkEnd w:id="175"/>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.1凡是与审查、澄清、评价和比较投标的有关资料以及授标建议等，采购人、评委、代理机构均不得向投标人或与评标无关的其他人员透露。</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.3代理机构和评委会不向未中标的投标人解释未中标原因，也不公布评标过程中的相关细节。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p>
    <w:p>
      <w:pPr>
        <w:pStyle w:val="772"/>
        <w:ind w:firstLine="422"/>
        <w:spacing w:before="0" w:after="0"/>
        <w:rPr>
          <w:rFonts w:ascii="方正楷体_GBK" w:hAnsi="方正楷体_GBK" w:eastAsia="方正楷体_GBK" w:cs="方正楷体_GBK"/>
          <w:color w:val="000000"/>
          <w:highlight w:val="none"/>
        </w:rPr>
      </w:pPr>
      <w:r/>
      <w:bookmarkStart w:id="176" w:name="_Toc16938548"/>
      <w:r/>
      <w:bookmarkStart w:id="177" w:name="_Toc513029232"/>
      <w:r/>
      <w:bookmarkStart w:id="178" w:name="_Toc20823304"/>
      <w:r>
        <w:rPr>
          <w:rFonts w:hint="eastAsia" w:ascii="方正楷体_GBK" w:hAnsi="方正楷体_GBK" w:eastAsia="方正楷体_GBK" w:cs="方正楷体_GBK"/>
          <w:color w:val="000000"/>
          <w:highlight w:val="none"/>
        </w:rPr>
        <w:t xml:space="preserve">23.投标文件的澄清</w:t>
      </w:r>
      <w:bookmarkEnd w:id="176"/>
      <w:r/>
      <w:bookmarkEnd w:id="177"/>
      <w:r/>
      <w:bookmarkEnd w:id="178"/>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p>
    <w:p>
      <w:pPr>
        <w:pStyle w:val="772"/>
        <w:ind w:firstLine="422"/>
        <w:spacing w:before="0" w:after="0"/>
        <w:rPr>
          <w:rFonts w:ascii="方正楷体_GBK" w:hAnsi="方正楷体_GBK" w:eastAsia="方正楷体_GBK" w:cs="方正楷体_GBK"/>
          <w:color w:val="000000"/>
          <w:highlight w:val="none"/>
        </w:rPr>
      </w:pPr>
      <w:r/>
      <w:bookmarkStart w:id="179" w:name="_Toc16938549"/>
      <w:r/>
      <w:bookmarkStart w:id="180" w:name="_Toc513029233"/>
      <w:r/>
      <w:bookmarkStart w:id="181" w:name="_Toc20823305"/>
      <w:r>
        <w:rPr>
          <w:rFonts w:hint="eastAsia" w:ascii="方正楷体_GBK" w:hAnsi="方正楷体_GBK" w:eastAsia="方正楷体_GBK" w:cs="方正楷体_GBK"/>
          <w:color w:val="000000"/>
          <w:highlight w:val="none"/>
        </w:rPr>
        <w:t xml:space="preserve">24.投标文件的</w:t>
      </w:r>
      <w:bookmarkEnd w:id="179"/>
      <w:r/>
      <w:bookmarkEnd w:id="180"/>
      <w:r/>
      <w:bookmarkEnd w:id="181"/>
      <w:r>
        <w:rPr>
          <w:rFonts w:hint="eastAsia" w:ascii="方正楷体_GBK" w:hAnsi="方正楷体_GBK" w:eastAsia="方正楷体_GBK" w:cs="方正楷体_GBK"/>
          <w:color w:val="000000"/>
          <w:highlight w:val="none"/>
        </w:rPr>
        <w:t xml:space="preserve">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.1投标文件审查分为资格审查和符合性审查。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.1.3未通过资格审查或符合性审查的投标人，代理机构将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highlight w:val="none"/>
          <w:lang w:val="zh-CN"/>
        </w:rPr>
      </w:pPr>
      <w:r/>
      <w:bookmarkStart w:id="182" w:name="_Toc513029234"/>
      <w:r/>
      <w:bookmarkStart w:id="183" w:name="_Toc16938550"/>
      <w:r/>
      <w:bookmarkStart w:id="184" w:name="_Toc2082330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.6投标人在开、评标全过程中应保持通讯畅通，及时登录苏采云系统查阅、答复相关信息，并安排专人与代理机构及评委会联系。</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24.7异常低价投标审查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评标过程中出现下列情形之一的，评委会应当启动异常低价投标审查程序：</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（1）投标报价低于全部通过符合性审查供应商投标报价平均值</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的，即投标报价&lt;全部通过符合性审查供应商投标报价平均值×</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（2）投标报价低于通过符合性审查的次低报价供应商投标报价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的，即投标报价&lt;通过符合性审查的次低报价供应商投标报价×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（3）投标报价低于采购项目最高限价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的，即投标报价&lt;采购项目最高限价×</w:t>
      </w:r>
      <w:r>
        <w:rPr>
          <w:rFonts w:hint="eastAsia" w:ascii="宋体" w:hAnsi="宋体"/>
          <w:color w:val="000000"/>
          <w:sz w:val="24"/>
          <w:highlight w:val="none"/>
          <w:u w:val="single"/>
        </w:rPr>
        <w:t xml:space="preserve">50</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85" w:name="OLE_LINK2"/>
      <w:r>
        <w:rPr>
          <w:rFonts w:hint="eastAsia" w:ascii="宋体" w:hAnsi="宋体"/>
          <w:color w:val="000000"/>
          <w:sz w:val="24"/>
          <w:highlight w:val="none"/>
          <w:lang w:val="zh-CN"/>
        </w:rPr>
        <w:t xml:space="preserve">供应商已随投标文件一并提交相关书面说明及必要的证明材料的，在评标现场可不再重复提交</w:t>
      </w:r>
      <w:bookmarkEnd w:id="185"/>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82"/>
      <w:r/>
      <w:bookmarkEnd w:id="183"/>
      <w:r/>
      <w:bookmarkEnd w:id="184"/>
      <w:r>
        <w:rPr>
          <w:rFonts w:hint="eastAsia" w:ascii="方正楷体_GBK" w:hAnsi="方正楷体_GBK" w:eastAsia="方正楷体_GBK" w:cs="方正楷体_GBK"/>
          <w:color w:val="000000"/>
          <w:highlight w:val="none"/>
        </w:rPr>
        <w:t xml:space="preserve">5.无效投标和废标</w:t>
      </w:r>
      <w:r/>
    </w:p>
    <w:p>
      <w:pPr>
        <w:ind w:firstLine="420"/>
        <w:rPr>
          <w:rFonts w:hint="eastAsia" w:ascii="宋体" w:hAnsi="宋体"/>
          <w:color w:val="000000"/>
          <w:sz w:val="24"/>
          <w:highlight w:val="none"/>
          <w:lang w:val="zh-CN"/>
        </w:rPr>
      </w:pPr>
      <w:r/>
      <w:bookmarkStart w:id="186" w:name="_Toc16938551"/>
      <w:r/>
      <w:bookmarkStart w:id="187" w:name="_Toc513029235"/>
      <w:r/>
      <w:bookmarkStart w:id="188" w:name="_Toc20823307"/>
      <w:r/>
      <w:bookmarkStart w:id="189" w:name="_Toc120614219"/>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.1无效投标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.1.1投标人在苏采云系统规定的时间内未成功解密电子投标文件。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.1.2投标人未按照招标文件要求上传电子投标文件。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.1.3同一投标人提交两个（含两个）以上不同的投标报价。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.1.4投标人不具备招标文件中规定资格要求。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.1.6未通过符合性审查。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.1.9投标文件含有采购人不能接受的附加条件。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25.1.10评委会</w:t>
      </w:r>
      <w:r>
        <w:rPr>
          <w:rFonts w:hint="eastAsia" w:ascii="宋体" w:hAnsi="宋体"/>
          <w:color w:val="000000"/>
          <w:sz w:val="24"/>
          <w:szCs w:val="21"/>
          <w:highlight w:val="none"/>
        </w:rPr>
        <w:t xml:space="preserve">按照本招标文件规定对投标人进行异常低价投标审查后，认为投标人不能证明其报价合理性的。</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25.1.12投标文件未按照招标文件要求加盖电子公章。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.2废标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.2.1符合资格条件的供应商或者对招标文件作实质响应的供应商不足三家。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.2.2出现影响采购公正的违法、违规行为。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.2.3因重大变故采购任务取消。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.2.4评委会认定招标文件存在歧义、重大缺陷导致评审工作无法进行。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25.2.5因苏采云系统故障造成开标不成功。</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highlight w:val="none"/>
        </w:rPr>
      </w:pPr>
      <w:r>
        <w:rPr>
          <w:rFonts w:hint="eastAsia" w:ascii="宋体" w:hAnsi="宋体"/>
          <w:b/>
          <w:bCs/>
          <w:color w:val="000000"/>
          <w:sz w:val="24"/>
          <w:highlight w:val="none"/>
          <w:lang w:val="zh-CN"/>
        </w:rPr>
        <w:t xml:space="preserve">25.4如出现25.2.1或25.3情形，招标活动失败，评审委员会</w:t>
      </w:r>
      <w:r>
        <w:rPr>
          <w:rFonts w:hint="eastAsia" w:ascii="宋体" w:hAnsi="宋体"/>
          <w:b/>
          <w:bCs/>
          <w:color w:val="000000"/>
          <w:sz w:val="24"/>
          <w:highlight w:val="none"/>
        </w:rPr>
        <w:t xml:space="preserve">应</w:t>
      </w:r>
      <w:r>
        <w:rPr>
          <w:rFonts w:hint="eastAsia" w:ascii="宋体" w:hAnsi="宋体"/>
          <w:b/>
          <w:bCs/>
          <w:color w:val="000000"/>
          <w:sz w:val="24"/>
          <w:highlight w:val="none"/>
          <w:lang w:bidi="ar"/>
        </w:rPr>
        <w:t xml:space="preserve">对</w:t>
      </w:r>
      <w:r>
        <w:rPr>
          <w:rFonts w:hint="eastAsia" w:ascii="宋体" w:hAnsi="宋体"/>
          <w:b/>
          <w:bCs/>
          <w:color w:val="000000"/>
          <w:sz w:val="24"/>
          <w:highlight w:val="none"/>
          <w:lang w:val="zh-CN" w:bidi="ar"/>
        </w:rPr>
        <w:t xml:space="preserve">招标文件是否存在不合理条款</w:t>
      </w:r>
      <w:r>
        <w:rPr>
          <w:rFonts w:hint="eastAsia" w:ascii="宋体" w:hAnsi="宋体"/>
          <w:b/>
          <w:bCs/>
          <w:color w:val="000000"/>
          <w:sz w:val="24"/>
          <w:highlight w:val="none"/>
          <w:lang w:bidi="ar"/>
        </w:rPr>
        <w:t xml:space="preserve">进行论证，并在评审报告中写明</w:t>
      </w:r>
      <w:r>
        <w:rPr>
          <w:rFonts w:hint="eastAsia" w:ascii="宋体" w:hAnsi="宋体"/>
          <w:b/>
          <w:bCs/>
          <w:color w:val="000000"/>
          <w:sz w:val="24"/>
          <w:highlight w:val="none"/>
          <w:lang w:val="zh-CN" w:bidi="ar"/>
        </w:rPr>
        <w:t xml:space="preserve">论证意见。</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190" w:name="_Toc235688467"/>
      <w:r>
        <w:rPr>
          <w:rFonts w:hint="eastAsia" w:ascii="方正黑体_GBK" w:hAnsi="方正黑体_GBK" w:eastAsia="方正黑体_GBK" w:cs="方正黑体_GBK"/>
          <w:color w:val="000000"/>
          <w:sz w:val="30"/>
          <w:szCs w:val="30"/>
          <w:highlight w:val="none"/>
        </w:rPr>
        <w:t xml:space="preserve">六、</w:t>
      </w:r>
      <w:bookmarkEnd w:id="186"/>
      <w:r/>
      <w:bookmarkEnd w:id="187"/>
      <w:r/>
      <w:bookmarkEnd w:id="188"/>
      <w:r>
        <w:rPr>
          <w:rFonts w:hint="eastAsia" w:ascii="方正黑体_GBK" w:hAnsi="方正黑体_GBK" w:eastAsia="方正黑体_GBK" w:cs="方正黑体_GBK"/>
          <w:color w:val="000000"/>
          <w:sz w:val="30"/>
          <w:szCs w:val="30"/>
          <w:highlight w:val="none"/>
        </w:rPr>
        <w:t xml:space="preserve">定标</w:t>
      </w:r>
      <w:bookmarkEnd w:id="189"/>
      <w:r/>
      <w:bookmarkEnd w:id="190"/>
      <w:r/>
      <w:r/>
    </w:p>
    <w:p>
      <w:pPr>
        <w:pStyle w:val="772"/>
        <w:ind w:firstLine="422"/>
        <w:spacing w:before="0" w:after="0"/>
        <w:rPr>
          <w:rFonts w:ascii="方正楷体_GBK" w:hAnsi="方正楷体_GBK" w:eastAsia="方正楷体_GBK" w:cs="方正楷体_GBK"/>
          <w:color w:val="000000"/>
          <w:highlight w:val="none"/>
        </w:rPr>
      </w:pPr>
      <w:r/>
      <w:bookmarkStart w:id="191" w:name="_Toc513029238"/>
      <w:r/>
      <w:bookmarkStart w:id="192" w:name="_Toc16938554"/>
      <w:r/>
      <w:bookmarkStart w:id="193" w:name="_Toc20823310"/>
      <w:r>
        <w:rPr>
          <w:rFonts w:hint="eastAsia" w:ascii="方正楷体_GBK" w:hAnsi="方正楷体_GBK" w:eastAsia="方正楷体_GBK" w:cs="方正楷体_GBK"/>
          <w:color w:val="000000"/>
          <w:highlight w:val="none"/>
        </w:rPr>
        <w:t xml:space="preserve">2</w:t>
      </w:r>
      <w:bookmarkEnd w:id="191"/>
      <w:r>
        <w:rPr>
          <w:rFonts w:hint="eastAsia" w:ascii="方正楷体_GBK" w:hAnsi="方正楷体_GBK" w:eastAsia="方正楷体_GBK" w:cs="方正楷体_GBK"/>
          <w:color w:val="000000"/>
          <w:highlight w:val="none"/>
        </w:rPr>
        <w:t xml:space="preserve">6.确定</w:t>
      </w:r>
      <w:bookmarkEnd w:id="192"/>
      <w:r/>
      <w:bookmarkEnd w:id="193"/>
      <w:r>
        <w:rPr>
          <w:rFonts w:hint="eastAsia" w:ascii="方正楷体_GBK" w:hAnsi="方正楷体_GBK" w:eastAsia="方正楷体_GBK" w:cs="方正楷体_GBK"/>
          <w:color w:val="000000"/>
          <w:highlight w:val="none"/>
        </w:rPr>
        <w:t xml:space="preserve">中标单位</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按第二种方式确定中标人的，代理机构自评审结束之日起两个工作日内将评审报告送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.3代理机构将在“江苏政府采购网”发布中标公告，公告期限为1个工作日。</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.4.1提供虚假材料谋取中标。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.4.2向评审专家、采购人或代理机构工作人员行贿或者提供其他不正当利益。</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.4.3与其他供应商、评审专家、采购人或代理机构工作人员恶意串通。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.4.5采取不正当手段诋毁、排挤其他供应商。</w:t>
      </w:r>
      <w:r/>
    </w:p>
    <w:p>
      <w:pPr>
        <w:ind w:firstLine="420"/>
        <w:rPr>
          <w:rFonts w:hint="eastAsia" w:ascii="宋体" w:hAnsi="宋体"/>
          <w:b/>
          <w:bCs/>
          <w:color w:val="000000"/>
          <w:sz w:val="24"/>
          <w:highlight w:val="none"/>
          <w:lang w:val="zh-CN"/>
        </w:rPr>
      </w:pPr>
      <w:r/>
      <w:bookmarkStart w:id="194"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b/>
          <w:bCs/>
          <w:color w:val="000000"/>
          <w:sz w:val="24"/>
          <w:highlight w:val="none"/>
          <w:lang w:val="zh-CN"/>
        </w:rPr>
        <w:t xml:space="preserve">有下列情形之一的视为投标人串通投标，投标无效：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.5.4不同投标人的投标文件异常一致或者投标报价呈规律性差异。</w:t>
      </w:r>
      <w:bookmarkEnd w:id="194"/>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27.中标通知书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.l中标结果确定后，代理机构将向中标人发出《中标通知书》。中标人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195" w:name="_Toc235688468"/>
      <w:r/>
      <w:bookmarkStart w:id="196" w:name="_Toc16938552"/>
      <w:r/>
      <w:bookmarkStart w:id="197" w:name="_Toc120614220"/>
      <w:r/>
      <w:bookmarkStart w:id="198" w:name="_Toc20823308"/>
      <w:r/>
      <w:bookmarkStart w:id="199" w:name="_Toc513029236"/>
      <w:r>
        <w:rPr>
          <w:rFonts w:hint="eastAsia" w:ascii="方正黑体_GBK" w:hAnsi="方正黑体_GBK" w:eastAsia="方正黑体_GBK" w:cs="方正黑体_GBK"/>
          <w:color w:val="000000"/>
          <w:sz w:val="30"/>
          <w:szCs w:val="30"/>
          <w:highlight w:val="none"/>
        </w:rPr>
        <w:t xml:space="preserve">七、授予合同</w:t>
      </w:r>
      <w:bookmarkEnd w:id="195"/>
      <w:r/>
      <w:bookmarkEnd w:id="196"/>
      <w:r/>
      <w:bookmarkEnd w:id="197"/>
      <w:r/>
      <w:bookmarkEnd w:id="198"/>
      <w:r/>
      <w:bookmarkEnd w:id="199"/>
      <w:r/>
      <w:r/>
    </w:p>
    <w:p>
      <w:pPr>
        <w:pStyle w:val="772"/>
        <w:ind w:firstLine="422"/>
        <w:spacing w:before="0" w:after="0"/>
        <w:rPr>
          <w:rFonts w:ascii="方正楷体_GBK" w:hAnsi="方正楷体_GBK" w:eastAsia="方正楷体_GBK" w:cs="方正楷体_GBK"/>
          <w:color w:val="000000"/>
          <w:highlight w:val="none"/>
        </w:rPr>
      </w:pPr>
      <w:r/>
      <w:bookmarkStart w:id="200" w:name="_Toc513029237"/>
      <w:r/>
      <w:bookmarkStart w:id="201" w:name="_Toc20823309"/>
      <w:r/>
      <w:bookmarkStart w:id="202" w:name="_Toc16938553"/>
      <w:r>
        <w:rPr>
          <w:rFonts w:hint="eastAsia" w:ascii="方正楷体_GBK" w:hAnsi="方正楷体_GBK" w:eastAsia="方正楷体_GBK" w:cs="方正楷体_GBK"/>
          <w:color w:val="000000"/>
          <w:highlight w:val="none"/>
        </w:rPr>
        <w:t xml:space="preserve">28.签订合同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.2招标文件、中标人的投标文件及招标过程中有关澄清、承诺文件均作为合同附件。</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bookmarkEnd w:id="200"/>
      <w:r/>
      <w:bookmarkEnd w:id="201"/>
      <w:r/>
      <w:bookmarkEnd w:id="202"/>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30.1</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p>
    <w:p>
      <w:pPr>
        <w:ind w:firstLine="420"/>
        <w:rPr>
          <w:color w:val="000000"/>
          <w:highlight w:val="none"/>
          <w:lang w:val="zh-CN"/>
        </w:rPr>
      </w:pPr>
      <w:r>
        <w:rPr>
          <w:rFonts w:hint="eastAsia" w:ascii="宋体" w:hAnsi="宋体"/>
          <w:color w:val="000000"/>
          <w:sz w:val="24"/>
          <w:highlight w:val="none"/>
        </w:rPr>
        <w:t xml:space="preserve">30.2依据《关于在全省政府采购领域推行电子履约保函（保险）的通知》（苏财购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203" w:name="_Toc235688469"/>
      <w:r>
        <w:rPr>
          <w:rFonts w:hint="eastAsia" w:ascii="方正黑体_GBK" w:hAnsi="方正黑体_GBK" w:eastAsia="方正黑体_GBK" w:cs="方正黑体_GBK"/>
          <w:color w:val="000000"/>
          <w:sz w:val="30"/>
          <w:szCs w:val="30"/>
          <w:highlight w:val="none"/>
        </w:rPr>
        <w:t xml:space="preserve">八、质疑</w:t>
      </w:r>
      <w:bookmarkEnd w:id="203"/>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规定以书面形式向采购人或代理机构提出质疑。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2.3对中标或者成交结果提出质疑的，为中标或者成交结果公告期限届满之日。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供应商根据质疑事项向相应的质疑答复主体提出质疑，具体详见采购文件第一章。由采购人负责答复的质疑。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6.1超出政府采购法定期限的质疑；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w:t>
      </w:r>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71"/>
        <w:ind w:firstLine="465"/>
        <w:spacing w:before="145" w:after="145"/>
        <w:rPr>
          <w:rFonts w:ascii="方正黑体_GBK" w:hAnsi="方正黑体_GBK" w:eastAsia="方正黑体_GBK" w:cs="方正黑体_GBK"/>
          <w:b/>
          <w:bCs/>
          <w:color w:val="000000"/>
          <w:sz w:val="30"/>
          <w:szCs w:val="30"/>
          <w:highlight w:val="none"/>
        </w:rPr>
      </w:pPr>
      <w:r/>
      <w:bookmarkStart w:id="204" w:name="_Toc235688470"/>
      <w:r>
        <w:rPr>
          <w:rFonts w:hint="eastAsia" w:ascii="方正黑体_GBK" w:hAnsi="方正黑体_GBK" w:eastAsia="方正黑体_GBK" w:cs="方正黑体_GBK"/>
          <w:color w:val="000000"/>
          <w:sz w:val="30"/>
          <w:szCs w:val="30"/>
          <w:highlight w:val="none"/>
        </w:rPr>
        <w:t xml:space="preserve">九、政策功能落实</w:t>
      </w:r>
      <w:bookmarkEnd w:id="204"/>
      <w:r/>
      <w:r/>
    </w:p>
    <w:p>
      <w:pPr>
        <w:pStyle w:val="772"/>
        <w:ind w:firstLine="422"/>
        <w:spacing w:before="0" w:after="0"/>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38.1本项目中的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38.2</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38.4</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39.2采购产品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39.3采购产品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40.1采购产品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40.2采购产品中涉及数据中心相关设备、运维服务的，应按照《关于印发〈绿色数据中心政府采购需求标准（试行）的通知》（财办库〔2023〕7号）、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rPr>
        <w:t xml:space="preserve">41.1优先采购各级政府部门公开发布的有效期内的创新产品、首台套等《目录》内的创新产品。创新产品自进入《目录》起2年内视同具备相应销售业绩。</w:t>
      </w:r>
      <w:r/>
    </w:p>
    <w:p>
      <w:pPr>
        <w:pStyle w:val="772"/>
        <w:ind w:firstLine="422"/>
        <w:spacing w:before="0" w:after="0"/>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42.1</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42.2</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72"/>
        <w:ind w:firstLine="422"/>
        <w:spacing w:before="0" w:after="0"/>
        <w:rPr>
          <w:rFonts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43.实施本国产品标准及相关政策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43.2本国产品应当符合以下条件：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43.4对本国产品的支持政策</w:t>
      </w:r>
      <w:r/>
    </w:p>
    <w:p>
      <w:pPr>
        <w:ind w:firstLine="422"/>
        <w:rPr>
          <w:rFonts w:hint="eastAsia"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43.5政策执行要求</w:t>
      </w:r>
      <w:r/>
    </w:p>
    <w:p>
      <w:pPr>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22"/>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rPr>
          <w:rFonts w:hint="eastAsia" w:ascii="宋体" w:hAnsi="宋体"/>
          <w:color w:val="000000"/>
          <w:sz w:val="24"/>
          <w:highlight w:val="none"/>
          <w:lang w:val="zh-CN"/>
        </w:rPr>
      </w:pPr>
      <w:r>
        <w:rPr>
          <w:rFonts w:hint="eastAsia" w:ascii="宋体" w:hAnsi="宋体"/>
          <w:color w:val="000000"/>
          <w:sz w:val="24"/>
          <w:highlight w:val="none"/>
          <w:lang w:val="zh-CN"/>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第三章合同</w:t>
      </w:r>
      <w:bookmarkEnd w:id="64"/>
      <w:r/>
      <w:bookmarkEnd w:id="65"/>
      <w:r/>
      <w:bookmarkEnd w:id="66"/>
      <w:r/>
      <w:bookmarkEnd w:id="67"/>
      <w:r/>
      <w:bookmarkEnd w:id="68"/>
      <w:r>
        <w:rPr>
          <w:rFonts w:hint="eastAsia" w:ascii="方正小标宋简体" w:hAnsi="方正小标宋简体" w:eastAsia="方正小标宋简体" w:cs="方正小标宋简体"/>
          <w:color w:val="000000"/>
          <w:sz w:val="36"/>
          <w:szCs w:val="36"/>
          <w:highlight w:val="none"/>
        </w:rPr>
        <w:t xml:space="preserve">文本</w:t>
      </w:r>
      <w:r/>
    </w:p>
    <w:p>
      <w:pPr>
        <w:ind w:firstLine="480"/>
        <w:spacing w:line="264" w:lineRule="auto"/>
        <w:rPr>
          <w:rFonts w:hint="eastAsia" w:ascii="宋体" w:hAnsi="宋体"/>
          <w:bCs/>
          <w:color w:val="000000"/>
          <w:sz w:val="24"/>
          <w:szCs w:val="21"/>
          <w:highlight w:val="none"/>
        </w:rPr>
      </w:pPr>
      <w:r/>
      <w:bookmarkStart w:id="205" w:name="_Toc20823315"/>
      <w:r/>
      <w:bookmarkStart w:id="206" w:name="_Toc16938559"/>
      <w:r/>
      <w:bookmarkStart w:id="207" w:name="_Toc513029243"/>
      <w:r/>
      <w:bookmarkStart w:id="208" w:name="_Hlt16619350"/>
      <w:r/>
      <w:bookmarkStart w:id="209" w:name="_Toc20823346"/>
      <w:r/>
      <w:bookmarkStart w:id="210" w:name="_Toc16938590"/>
      <w:r/>
      <w:bookmarkStart w:id="211" w:name="_Toc120614244"/>
      <w:r/>
      <w:bookmarkStart w:id="212" w:name="_Toc479757211"/>
      <w:r/>
      <w:bookmarkStart w:id="213" w:name="_Toc462564139"/>
      <w:r>
        <w:rPr>
          <w:rFonts w:hint="eastAsia" w:ascii="宋体" w:hAnsi="宋体"/>
          <w:bCs/>
          <w:color w:val="000000"/>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项目名称：项目编号：</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spacing w:line="264" w:lineRule="auto"/>
        <w:rPr>
          <w:rFonts w:hint="eastAsia"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p>
    <w:p>
      <w:pPr>
        <w:pStyle w:val="771"/>
        <w:spacing w:before="60" w:after="60"/>
        <w:rPr>
          <w:rFonts w:hint="eastAsia" w:ascii="黑体" w:hAnsi="黑体" w:eastAsia="黑体" w:cs="方正黑体_GBK"/>
          <w:b/>
          <w:bCs/>
          <w:color w:val="000000"/>
          <w:sz w:val="24"/>
          <w:szCs w:val="24"/>
          <w:highlight w:val="none"/>
        </w:rPr>
      </w:pPr>
      <w:r/>
      <w:bookmarkStart w:id="214" w:name="_Toc235688472"/>
      <w:r>
        <w:rPr>
          <w:rFonts w:hint="eastAsia" w:ascii="黑体" w:hAnsi="黑体" w:eastAsia="黑体" w:cs="方正黑体_GBK"/>
          <w:color w:val="000000"/>
          <w:sz w:val="24"/>
          <w:szCs w:val="24"/>
          <w:highlight w:val="none"/>
        </w:rPr>
        <w:t xml:space="preserve">一、合同内容</w:t>
      </w:r>
      <w:bookmarkEnd w:id="214"/>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1.1标的名称：</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1.2标的质量：按招标文件及投标文件执行。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.3标的数量（规模）：按招标文件及投标文件执行。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.4履行时间（期限）：按招标文件及投标文件执行。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.5履行地点：甲方指定地点。</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.7包装方式：按招标文件及投标文件执行。</w:t>
      </w:r>
      <w:r/>
    </w:p>
    <w:p>
      <w:pPr>
        <w:rPr>
          <w:color w:val="000000"/>
          <w:highlight w:val="none"/>
        </w:rPr>
      </w:pPr>
      <w:r>
        <w:rPr>
          <w:rFonts w:ascii="宋体" w:hAnsi="宋体" w:cs="宋体"/>
          <w:color w:val="000000"/>
          <w:sz w:val="24"/>
          <w:szCs w:val="24"/>
          <w:highlight w:val="none"/>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71"/>
        <w:spacing w:before="60" w:after="60"/>
        <w:rPr>
          <w:rFonts w:hint="eastAsia" w:ascii="黑体" w:hAnsi="黑体" w:eastAsia="黑体" w:cs="方正黑体_GBK"/>
          <w:b/>
          <w:bCs/>
          <w:color w:val="000000"/>
          <w:sz w:val="24"/>
          <w:szCs w:val="24"/>
          <w:highlight w:val="none"/>
        </w:rPr>
      </w:pPr>
      <w:r/>
      <w:bookmarkStart w:id="215" w:name="_Toc235688473"/>
      <w:r>
        <w:rPr>
          <w:rFonts w:hint="eastAsia" w:ascii="黑体" w:hAnsi="黑体" w:eastAsia="黑体" w:cs="方正黑体_GBK"/>
          <w:color w:val="000000"/>
          <w:sz w:val="24"/>
          <w:szCs w:val="24"/>
          <w:highlight w:val="none"/>
        </w:rPr>
        <w:t xml:space="preserve">二、合同金额</w:t>
      </w:r>
      <w:bookmarkEnd w:id="215"/>
      <w:r/>
      <w:r/>
    </w:p>
    <w:p>
      <w:pPr>
        <w:pStyle w:val="794"/>
        <w:spacing w:line="264" w:lineRule="auto"/>
        <w:rPr>
          <w:rFonts w:hint="eastAsia" w:hAnsi="宋体"/>
          <w:sz w:val="24"/>
          <w:szCs w:val="24"/>
          <w:highlight w:val="none"/>
        </w:rPr>
      </w:pPr>
      <w:r>
        <w:rPr>
          <w:rFonts w:hAnsi="宋体"/>
          <w:sz w:val="24"/>
          <w:szCs w:val="24"/>
          <w:highlight w:val="none"/>
        </w:rPr>
        <w:t xml:space="preserve">2.1</w:t>
      </w:r>
      <w:r>
        <w:rPr>
          <w:rFonts w:hint="eastAsia" w:hAnsi="宋体"/>
          <w:sz w:val="24"/>
          <w:szCs w:val="24"/>
          <w:highlight w:val="none"/>
        </w:rPr>
        <w:t xml:space="preserve">本合同金额为：人民币____________________元，（大写：_____________________）</w:t>
      </w:r>
      <w:r/>
    </w:p>
    <w:p>
      <w:pPr>
        <w:pStyle w:val="771"/>
        <w:spacing w:before="60" w:after="60"/>
        <w:rPr>
          <w:rFonts w:hint="eastAsia" w:ascii="黑体" w:hAnsi="黑体" w:eastAsia="黑体" w:cs="方正黑体_GBK"/>
          <w:b/>
          <w:bCs/>
          <w:color w:val="000000"/>
          <w:sz w:val="24"/>
          <w:szCs w:val="24"/>
          <w:highlight w:val="none"/>
        </w:rPr>
      </w:pPr>
      <w:r/>
      <w:bookmarkStart w:id="216" w:name="_Toc235688474"/>
      <w:r>
        <w:rPr>
          <w:rFonts w:hint="eastAsia" w:ascii="黑体" w:hAnsi="黑体" w:eastAsia="黑体" w:cs="方正黑体_GBK"/>
          <w:color w:val="000000"/>
          <w:sz w:val="24"/>
          <w:szCs w:val="24"/>
          <w:highlight w:val="none"/>
        </w:rPr>
        <w:t xml:space="preserve">三、技术资料</w:t>
      </w:r>
      <w:bookmarkEnd w:id="216"/>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.1乙方应按招标文件规定的时间向甲方提供货物(包含与货物相关的服务)的有关技术资料。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71"/>
        <w:spacing w:before="60" w:after="60"/>
        <w:rPr>
          <w:rFonts w:hint="eastAsia" w:ascii="黑体" w:hAnsi="黑体" w:eastAsia="黑体" w:cs="方正黑体_GBK"/>
          <w:b/>
          <w:bCs/>
          <w:color w:val="000000"/>
          <w:sz w:val="24"/>
          <w:szCs w:val="24"/>
          <w:highlight w:val="none"/>
        </w:rPr>
      </w:pPr>
      <w:r/>
      <w:bookmarkStart w:id="217" w:name="_Toc235688475"/>
      <w:r>
        <w:rPr>
          <w:rFonts w:hint="eastAsia" w:ascii="黑体" w:hAnsi="黑体" w:eastAsia="黑体" w:cs="方正黑体_GBK"/>
          <w:color w:val="000000"/>
          <w:sz w:val="24"/>
          <w:szCs w:val="24"/>
          <w:highlight w:val="none"/>
        </w:rPr>
        <w:t xml:space="preserve">四、知识产权</w:t>
      </w:r>
      <w:bookmarkEnd w:id="217"/>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71"/>
        <w:spacing w:before="60" w:after="60"/>
        <w:rPr>
          <w:rFonts w:hint="eastAsia" w:ascii="黑体" w:hAnsi="黑体" w:eastAsia="黑体" w:cs="方正黑体_GBK"/>
          <w:b/>
          <w:bCs/>
          <w:color w:val="000000"/>
          <w:sz w:val="24"/>
          <w:szCs w:val="24"/>
          <w:highlight w:val="none"/>
        </w:rPr>
      </w:pPr>
      <w:r/>
      <w:bookmarkStart w:id="218" w:name="_Toc235688476"/>
      <w:r>
        <w:rPr>
          <w:rFonts w:hint="eastAsia" w:ascii="黑体" w:hAnsi="黑体" w:eastAsia="黑体" w:cs="方正黑体_GBK"/>
          <w:color w:val="000000"/>
          <w:sz w:val="24"/>
          <w:szCs w:val="24"/>
          <w:highlight w:val="none"/>
        </w:rPr>
        <w:t xml:space="preserve">五、产权担保</w:t>
      </w:r>
      <w:bookmarkEnd w:id="218"/>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5.1乙方保证所交付的货物（包含与货物相关的服务）的所有权完全属于乙方且无任何抵押、查封等产权瑕疵。</w:t>
      </w:r>
      <w:r/>
    </w:p>
    <w:p>
      <w:pPr>
        <w:pStyle w:val="771"/>
        <w:spacing w:before="60" w:after="60"/>
        <w:rPr>
          <w:rFonts w:hint="eastAsia" w:ascii="黑体" w:hAnsi="黑体" w:eastAsia="黑体" w:cs="方正黑体_GBK"/>
          <w:b/>
          <w:bCs/>
          <w:color w:val="000000"/>
          <w:sz w:val="24"/>
          <w:szCs w:val="24"/>
          <w:highlight w:val="none"/>
        </w:rPr>
      </w:pPr>
      <w:r/>
      <w:bookmarkStart w:id="219" w:name="_Toc235688477"/>
      <w:r>
        <w:rPr>
          <w:rFonts w:hint="eastAsia" w:ascii="黑体" w:hAnsi="黑体" w:eastAsia="黑体" w:cs="方正黑体_GBK"/>
          <w:color w:val="000000"/>
          <w:sz w:val="24"/>
          <w:szCs w:val="24"/>
          <w:highlight w:val="none"/>
        </w:rPr>
        <w:t xml:space="preserve">六、履约保证金</w:t>
      </w:r>
      <w:bookmarkEnd w:id="219"/>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w:t>
      </w:r>
      <w:r>
        <w:rPr>
          <w:rFonts w:ascii="宋体" w:hAnsi="宋体" w:cs="Courier New"/>
          <w:color w:val="000000"/>
          <w:sz w:val="24"/>
          <w:szCs w:val="24"/>
          <w:highlight w:val="none"/>
        </w:rPr>
        <w:t xml:space="preserve">本项目乙方无需缴纳履约保证金。</w:t>
      </w:r>
      <w:r/>
    </w:p>
    <w:p>
      <w:pPr>
        <w:pStyle w:val="771"/>
        <w:spacing w:before="60" w:after="60"/>
        <w:rPr>
          <w:rFonts w:hint="eastAsia" w:ascii="黑体" w:hAnsi="黑体" w:eastAsia="黑体" w:cs="方正黑体_GBK"/>
          <w:b/>
          <w:bCs/>
          <w:color w:val="000000"/>
          <w:sz w:val="24"/>
          <w:szCs w:val="24"/>
          <w:highlight w:val="none"/>
        </w:rPr>
      </w:pPr>
      <w:r/>
      <w:bookmarkStart w:id="220" w:name="_Toc235688478"/>
      <w:r>
        <w:rPr>
          <w:rFonts w:hint="eastAsia" w:ascii="黑体" w:hAnsi="黑体" w:eastAsia="黑体" w:cs="方正黑体_GBK"/>
          <w:color w:val="000000"/>
          <w:sz w:val="24"/>
          <w:szCs w:val="24"/>
          <w:highlight w:val="none"/>
        </w:rPr>
        <w:t xml:space="preserve">七、合同转包或分包</w:t>
      </w:r>
      <w:bookmarkEnd w:id="220"/>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7.1乙方不得将合同标的转包给他人履行。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7.3乙方如有转包或未经甲方同意的分包行为，甲方有权终止合同。</w:t>
      </w:r>
      <w:r/>
    </w:p>
    <w:p>
      <w:pPr>
        <w:pStyle w:val="771"/>
        <w:spacing w:before="60" w:after="60"/>
        <w:rPr>
          <w:rFonts w:hint="eastAsia" w:ascii="黑体" w:hAnsi="黑体" w:eastAsia="黑体" w:cs="方正黑体_GBK"/>
          <w:b/>
          <w:bCs/>
          <w:color w:val="000000"/>
          <w:sz w:val="24"/>
          <w:szCs w:val="24"/>
          <w:highlight w:val="none"/>
        </w:rPr>
      </w:pPr>
      <w:r/>
      <w:bookmarkStart w:id="221" w:name="_Toc235688479"/>
      <w:r>
        <w:rPr>
          <w:rFonts w:hint="eastAsia" w:ascii="黑体" w:hAnsi="黑体" w:eastAsia="黑体" w:cs="方正黑体_GBK"/>
          <w:color w:val="000000"/>
          <w:sz w:val="24"/>
          <w:szCs w:val="24"/>
          <w:highlight w:val="none"/>
        </w:rPr>
        <w:t xml:space="preserve">八、合同款项支付</w:t>
      </w:r>
      <w:bookmarkEnd w:id="221"/>
      <w:r/>
      <w:r/>
    </w:p>
    <w:p>
      <w:pPr>
        <w:pStyle w:val="794"/>
        <w:spacing w:line="264" w:lineRule="auto"/>
        <w:rPr>
          <w:rFonts w:hint="eastAsia" w:hAnsi="宋体"/>
          <w:color w:val="000000"/>
          <w:sz w:val="24"/>
          <w:szCs w:val="24"/>
          <w:highlight w:val="none"/>
        </w:rPr>
      </w:pPr>
      <w:r>
        <w:rPr>
          <w:rFonts w:hint="eastAsia" w:hAnsi="宋体"/>
          <w:color w:val="000000"/>
          <w:sz w:val="24"/>
          <w:szCs w:val="24"/>
          <w:highlight w:val="none"/>
        </w:rPr>
        <w:t xml:space="preserve">8.1合同款项的支付方式及时间</w:t>
      </w:r>
      <w:r/>
    </w:p>
    <w:p>
      <w:pPr>
        <w:pStyle w:val="794"/>
        <w:spacing w:line="264" w:lineRule="auto"/>
        <w:rPr>
          <w:rFonts w:hint="eastAsia" w:hAnsi="宋体"/>
          <w:color w:val="000000"/>
          <w:sz w:val="24"/>
          <w:szCs w:val="24"/>
          <w:highlight w:val="none"/>
        </w:rPr>
      </w:pPr>
      <w:r>
        <w:rPr>
          <w:rFonts w:hint="eastAsia" w:hAnsi="宋体"/>
          <w:color w:val="000000"/>
          <w:sz w:val="24"/>
          <w:szCs w:val="24"/>
          <w:highlight w:val="none"/>
        </w:rPr>
        <w:t xml:space="preserve">8.1.1合同签订后，甲方支付合同总价款的30%作为预付款。</w:t>
      </w:r>
      <w:r/>
    </w:p>
    <w:p>
      <w:pPr>
        <w:pStyle w:val="794"/>
        <w:spacing w:line="264" w:lineRule="auto"/>
        <w:rPr>
          <w:rFonts w:hint="eastAsia" w:hAnsi="宋体"/>
          <w:color w:val="000000"/>
          <w:sz w:val="24"/>
          <w:szCs w:val="24"/>
          <w:highlight w:val="none"/>
        </w:rPr>
      </w:pPr>
      <w:r>
        <w:rPr>
          <w:rFonts w:hint="eastAsia" w:hAnsi="宋体"/>
          <w:color w:val="000000"/>
          <w:sz w:val="24"/>
          <w:szCs w:val="24"/>
          <w:highlight w:val="none"/>
        </w:rPr>
        <w:t xml:space="preserve">8.1.2供货结束并验收合格后，甲方支付合同总价款的70%。</w:t>
      </w:r>
      <w:r/>
    </w:p>
    <w:p>
      <w:pPr>
        <w:pStyle w:val="794"/>
        <w:spacing w:line="264" w:lineRule="auto"/>
        <w:rPr>
          <w:rFonts w:hint="eastAsia" w:hAnsi="宋体"/>
          <w:color w:val="000000"/>
          <w:sz w:val="24"/>
          <w:szCs w:val="24"/>
          <w:highlight w:val="none"/>
        </w:rPr>
      </w:pPr>
      <w:r>
        <w:rPr>
          <w:rFonts w:hint="eastAsia" w:hAnsi="宋体"/>
          <w:color w:val="000000"/>
          <w:sz w:val="24"/>
          <w:szCs w:val="24"/>
          <w:highlight w:val="none"/>
        </w:rPr>
        <w:t xml:space="preserve">8.1.3满足合同约定支付条件的，甲方收到乙方发票后10个工作日内，将资金支付到合同约定的乙方账户。</w:t>
      </w:r>
      <w:r/>
    </w:p>
    <w:p>
      <w:pPr>
        <w:pStyle w:val="794"/>
        <w:spacing w:line="264" w:lineRule="auto"/>
        <w:rPr>
          <w:rFonts w:hint="eastAsia" w:hAnsi="宋体"/>
          <w:sz w:val="24"/>
          <w:szCs w:val="24"/>
          <w:highlight w:val="none"/>
        </w:rPr>
      </w:pPr>
      <w:r>
        <w:rPr>
          <w:rFonts w:hint="eastAsia" w:hAnsi="宋体"/>
          <w:sz w:val="24"/>
          <w:szCs w:val="24"/>
          <w:highlight w:val="none"/>
        </w:rPr>
        <w:t xml:space="preserve">8.2根据《保障中小企业款项支付条例》规定，甲方未按合同约定支付款项的，乙方可以向有关部门投诉。</w:t>
      </w:r>
      <w:r/>
    </w:p>
    <w:p>
      <w:pPr>
        <w:pStyle w:val="794"/>
        <w:spacing w:line="264" w:lineRule="auto"/>
        <w:rPr>
          <w:rFonts w:hint="eastAsia" w:hAnsi="宋体"/>
          <w:color w:val="000000"/>
          <w:sz w:val="24"/>
          <w:szCs w:val="24"/>
          <w:highlight w:val="none"/>
        </w:rPr>
      </w:pPr>
      <w:r>
        <w:rPr>
          <w:rFonts w:hint="eastAsia" w:hAnsi="宋体"/>
          <w:color w:val="000000"/>
          <w:sz w:val="24"/>
          <w:szCs w:val="24"/>
          <w:highlight w:val="none"/>
        </w:rPr>
        <w:t xml:space="preserve">8.3当采购数量与实际使用数量不一致时，乙方应根据实际使用量供货，合同的最终结算金额按实际使用量乘以成交单价进行计算。</w:t>
      </w:r>
      <w:r/>
    </w:p>
    <w:p>
      <w:pPr>
        <w:pStyle w:val="771"/>
        <w:spacing w:before="60" w:after="60"/>
        <w:rPr>
          <w:rFonts w:hint="eastAsia" w:ascii="黑体" w:hAnsi="黑体" w:eastAsia="黑体" w:cs="方正黑体_GBK"/>
          <w:b/>
          <w:bCs/>
          <w:color w:val="000000"/>
          <w:sz w:val="24"/>
          <w:szCs w:val="24"/>
          <w:highlight w:val="none"/>
        </w:rPr>
      </w:pPr>
      <w:r/>
      <w:bookmarkStart w:id="222" w:name="_Toc235688480"/>
      <w:r>
        <w:rPr>
          <w:rFonts w:hint="eastAsia" w:ascii="黑体" w:hAnsi="黑体" w:eastAsia="黑体" w:cs="方正黑体_GBK"/>
          <w:color w:val="000000"/>
          <w:sz w:val="24"/>
          <w:szCs w:val="24"/>
          <w:highlight w:val="none"/>
        </w:rPr>
        <w:t xml:space="preserve">九、税费</w:t>
      </w:r>
      <w:bookmarkEnd w:id="222"/>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9.1本合同执行中的相关税费均由乙方负担。</w:t>
      </w:r>
      <w:r/>
    </w:p>
    <w:p>
      <w:pPr>
        <w:pStyle w:val="771"/>
        <w:spacing w:before="60" w:after="60"/>
        <w:rPr>
          <w:rFonts w:hint="eastAsia" w:ascii="黑体" w:hAnsi="黑体" w:eastAsia="黑体" w:cs="方正黑体_GBK"/>
          <w:b/>
          <w:bCs/>
          <w:color w:val="000000"/>
          <w:sz w:val="24"/>
          <w:szCs w:val="24"/>
          <w:highlight w:val="none"/>
        </w:rPr>
      </w:pPr>
      <w:r/>
      <w:bookmarkStart w:id="223" w:name="_Toc235688481"/>
      <w:r>
        <w:rPr>
          <w:rFonts w:hint="eastAsia" w:ascii="黑体" w:hAnsi="黑体" w:eastAsia="黑体" w:cs="方正黑体_GBK"/>
          <w:color w:val="000000"/>
          <w:sz w:val="24"/>
          <w:szCs w:val="24"/>
          <w:highlight w:val="none"/>
        </w:rPr>
        <w:t xml:space="preserve">十、质量保修范围和保修期及售后服务</w:t>
      </w:r>
      <w:bookmarkEnd w:id="223"/>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10.2.1更换：由乙方承担所发生的全部费用。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10.2.2贬值处理：由甲乙双方合议定价。</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10.3如在使用过程中发生质量问题，乙方应在接到甲方通知后小时内到达甲方现场。</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10.4质保期内，乙方应对货物出现的质量及安全问题负责处理解决并承担一切费用。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10.5质保期为自交货验收合格之日起年，因人为因素出现的故障不在质保范围内。超过质保期的乙方负责终生维修，维修时只收取部件成本费。</w:t>
      </w:r>
      <w:r/>
    </w:p>
    <w:p>
      <w:pPr>
        <w:pStyle w:val="771"/>
        <w:spacing w:before="60" w:after="60"/>
        <w:rPr>
          <w:rFonts w:hint="eastAsia" w:ascii="黑体" w:hAnsi="黑体" w:eastAsia="黑体" w:cs="方正黑体_GBK"/>
          <w:b/>
          <w:bCs/>
          <w:color w:val="000000"/>
          <w:sz w:val="24"/>
          <w:szCs w:val="24"/>
          <w:highlight w:val="none"/>
        </w:rPr>
      </w:pPr>
      <w:r/>
      <w:bookmarkStart w:id="224" w:name="_Toc235688482"/>
      <w:r>
        <w:rPr>
          <w:rFonts w:hint="eastAsia" w:ascii="黑体" w:hAnsi="黑体" w:eastAsia="黑体" w:cs="方正黑体_GBK"/>
          <w:color w:val="000000"/>
          <w:sz w:val="24"/>
          <w:szCs w:val="24"/>
          <w:highlight w:val="none"/>
        </w:rPr>
        <w:t xml:space="preserve">十一、项目验收</w:t>
      </w:r>
      <w:bookmarkEnd w:id="224"/>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11.1甲方依法组织履约验收工作。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11.3对于实际使用人和甲方分离的项目，甲方邀请实际使用人参与验收。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1"/>
        <w:spacing w:before="60" w:after="60"/>
        <w:rPr>
          <w:rFonts w:hint="eastAsia" w:ascii="黑体" w:hAnsi="黑体" w:eastAsia="黑体" w:cs="方正黑体_GBK"/>
          <w:b/>
          <w:bCs/>
          <w:color w:val="000000"/>
          <w:sz w:val="24"/>
          <w:szCs w:val="24"/>
          <w:highlight w:val="none"/>
        </w:rPr>
      </w:pPr>
      <w:r/>
      <w:bookmarkStart w:id="225" w:name="_Toc235688483"/>
      <w:r>
        <w:rPr>
          <w:rFonts w:hint="eastAsia" w:ascii="黑体" w:hAnsi="黑体" w:eastAsia="黑体" w:cs="方正黑体_GBK"/>
          <w:color w:val="000000"/>
          <w:sz w:val="24"/>
          <w:szCs w:val="24"/>
          <w:highlight w:val="none"/>
        </w:rPr>
        <w:t xml:space="preserve">十二、货物的包装、发运及运输</w:t>
      </w:r>
      <w:bookmarkEnd w:id="225"/>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12.4货物在交付甲方前发生的风险均由乙方负责。</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12.5货物在规定的交付期限内由乙方送达甲方指定的地点视为交付，乙方同时需通知甲方货物已送达。</w:t>
      </w:r>
      <w:r/>
    </w:p>
    <w:p>
      <w:pPr>
        <w:pStyle w:val="771"/>
        <w:spacing w:before="60" w:after="60"/>
        <w:rPr>
          <w:rFonts w:hint="eastAsia" w:ascii="黑体" w:hAnsi="黑体" w:eastAsia="黑体" w:cs="方正黑体_GBK"/>
          <w:b/>
          <w:bCs/>
          <w:color w:val="000000"/>
          <w:sz w:val="24"/>
          <w:szCs w:val="24"/>
          <w:highlight w:val="none"/>
        </w:rPr>
      </w:pPr>
      <w:r/>
      <w:bookmarkStart w:id="226" w:name="_Toc235688484"/>
      <w:r>
        <w:rPr>
          <w:rFonts w:hint="eastAsia" w:ascii="黑体" w:hAnsi="黑体" w:eastAsia="黑体" w:cs="方正黑体_GBK"/>
          <w:color w:val="000000"/>
          <w:sz w:val="24"/>
          <w:szCs w:val="24"/>
          <w:highlight w:val="none"/>
        </w:rPr>
        <w:t xml:space="preserve">十三、违约责任</w:t>
      </w:r>
      <w:bookmarkEnd w:id="226"/>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13.1甲方无正当理由拒收货物的，应向乙方偿付拒收货物总价款</w:t>
      </w:r>
      <w:r>
        <w:rPr>
          <w:rFonts w:hint="eastAsia" w:ascii="宋体" w:hAnsi="宋体" w:cs="Courier New"/>
          <w:color w:val="000000"/>
          <w:sz w:val="24"/>
          <w:szCs w:val="24"/>
          <w:highlight w:val="none"/>
          <w:u w:val="single"/>
        </w:rPr>
        <w:t xml:space="preserve">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rPr>
        <w:t xml:space="preserve">的违约金。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13.2甲方无故逾期验收和办理货款支付手续的，应按逾期付款总额每日</w:t>
      </w:r>
      <w:r>
        <w:rPr>
          <w:rFonts w:hint="eastAsia" w:ascii="宋体" w:hAnsi="宋体" w:cs="Courier New"/>
          <w:color w:val="000000"/>
          <w:sz w:val="24"/>
          <w:szCs w:val="24"/>
          <w:highlight w:val="none"/>
          <w:u w:val="single"/>
        </w:rPr>
        <w:t xml:space="preserve">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5</w:t>
      </w:r>
      <w:r>
        <w:rPr>
          <w:rFonts w:ascii="宋体" w:hAnsi="宋体" w:cs="宋体"/>
          <w:color w:val="000000"/>
          <w:sz w:val="24"/>
          <w:szCs w:val="24"/>
          <w:highlight w:val="none"/>
        </w:rPr>
        <w:t xml:space="preserve">%。</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13.3乙方逾期交付货物的，应按逾期交货总额每日</w:t>
      </w:r>
      <w:r>
        <w:rPr>
          <w:rFonts w:hint="eastAsia" w:ascii="宋体" w:hAnsi="宋体" w:cs="Courier New"/>
          <w:color w:val="000000"/>
          <w:sz w:val="24"/>
          <w:szCs w:val="24"/>
          <w:highlight w:val="none"/>
          <w:u w:val="single"/>
        </w:rPr>
        <w:t xml:space="preserve">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5</w:t>
      </w:r>
      <w:r>
        <w:rPr>
          <w:rFonts w:ascii="宋体" w:hAnsi="宋体" w:cs="Courier New"/>
          <w:color w:val="000000"/>
          <w:sz w:val="24"/>
          <w:szCs w:val="24"/>
          <w:highlight w:val="none"/>
          <w:u w:val="single"/>
        </w:rPr>
        <w:t xml:space="preserve">%</w:t>
      </w:r>
      <w:r>
        <w:rPr>
          <w:rFonts w:hint="eastAsia" w:ascii="宋体" w:hAnsi="宋体" w:cs="Courier New"/>
          <w:color w:val="000000"/>
          <w:sz w:val="24"/>
          <w:szCs w:val="24"/>
          <w:highlight w:val="none"/>
        </w:rPr>
        <w:t xml:space="preserve">的违约金。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highlight w:val="none"/>
        </w:rPr>
      </w:pPr>
      <w:r>
        <w:rPr>
          <w:rFonts w:hint="eastAsia" w:ascii="宋体" w:hAnsi="宋体" w:cs="Courier New"/>
          <w:color w:val="000000"/>
          <w:sz w:val="24"/>
          <w:szCs w:val="24"/>
          <w:highlight w:val="none"/>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71"/>
        <w:spacing w:before="60" w:after="60"/>
        <w:rPr>
          <w:rFonts w:hint="eastAsia" w:ascii="黑体" w:hAnsi="黑体" w:eastAsia="黑体" w:cs="方正黑体_GBK"/>
          <w:b/>
          <w:bCs/>
          <w:color w:val="000000"/>
          <w:sz w:val="24"/>
          <w:szCs w:val="24"/>
          <w:highlight w:val="none"/>
        </w:rPr>
      </w:pPr>
      <w:r/>
      <w:bookmarkStart w:id="227" w:name="_Toc235688485"/>
      <w:r>
        <w:rPr>
          <w:rFonts w:hint="eastAsia" w:ascii="黑体" w:hAnsi="黑体" w:eastAsia="黑体" w:cs="方正黑体_GBK"/>
          <w:color w:val="000000"/>
          <w:sz w:val="24"/>
          <w:szCs w:val="24"/>
          <w:highlight w:val="none"/>
        </w:rPr>
        <w:t xml:space="preserve">十四、不可抗力事件处理</w:t>
      </w:r>
      <w:bookmarkEnd w:id="227"/>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14.2不可抗力事件发生后，应立即通知对方并寄送有关权威机构出具的证明。</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14.3不可抗力事件延续120天以上，双方应通过友好协商确定是否继续履行合同。</w:t>
      </w:r>
      <w:r/>
    </w:p>
    <w:p>
      <w:pPr>
        <w:pStyle w:val="771"/>
        <w:spacing w:before="60" w:after="60"/>
        <w:rPr>
          <w:rFonts w:hint="eastAsia" w:ascii="黑体" w:hAnsi="黑体" w:eastAsia="黑体" w:cs="方正黑体_GBK"/>
          <w:b/>
          <w:bCs/>
          <w:color w:val="000000"/>
          <w:sz w:val="24"/>
          <w:szCs w:val="24"/>
          <w:highlight w:val="none"/>
        </w:rPr>
      </w:pPr>
      <w:r/>
      <w:bookmarkStart w:id="228" w:name="_Toc235688486"/>
      <w:r>
        <w:rPr>
          <w:rFonts w:hint="eastAsia" w:ascii="黑体" w:hAnsi="黑体" w:eastAsia="黑体" w:cs="方正黑体_GBK"/>
          <w:color w:val="000000"/>
          <w:sz w:val="24"/>
          <w:szCs w:val="24"/>
          <w:highlight w:val="none"/>
        </w:rPr>
        <w:t xml:space="preserve">十五、解决争议的方法</w:t>
      </w:r>
      <w:bookmarkEnd w:id="228"/>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15.1甲乙双方因合同签订、履行而发生的一切争议，应通过友好协商解决。协商不成的由甲方住所地人民法院管辖。</w:t>
      </w:r>
      <w:r/>
    </w:p>
    <w:p>
      <w:pPr>
        <w:pStyle w:val="771"/>
        <w:spacing w:before="60" w:after="60"/>
        <w:rPr>
          <w:rFonts w:hint="eastAsia" w:ascii="黑体" w:hAnsi="黑体" w:eastAsia="黑体" w:cs="方正黑体_GBK"/>
          <w:b/>
          <w:bCs/>
          <w:color w:val="000000"/>
          <w:sz w:val="24"/>
          <w:szCs w:val="24"/>
          <w:highlight w:val="none"/>
        </w:rPr>
      </w:pPr>
      <w:r/>
      <w:bookmarkStart w:id="229" w:name="_Toc235688487"/>
      <w:r>
        <w:rPr>
          <w:rFonts w:hint="eastAsia" w:ascii="黑体" w:hAnsi="黑体" w:eastAsia="黑体" w:cs="方正黑体_GBK"/>
          <w:color w:val="000000"/>
          <w:sz w:val="24"/>
          <w:szCs w:val="24"/>
          <w:highlight w:val="none"/>
        </w:rPr>
        <w:t xml:space="preserve">十六、合同生效及其它</w:t>
      </w:r>
      <w:bookmarkEnd w:id="229"/>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16.1本合同经双方加盖单位公章后生效。</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16.3本合同正本一式两份，具有同等法律效力，甲方、乙方各执一份。</w:t>
      </w:r>
      <w:bookmarkEnd w:id="205"/>
      <w:r/>
      <w:bookmarkEnd w:id="206"/>
      <w:r/>
      <w:bookmarkEnd w:id="207"/>
      <w:r/>
      <w:r/>
    </w:p>
    <w:p>
      <w:pPr>
        <w:pStyle w:val="794"/>
        <w:spacing w:before="120" w:after="120" w:line="264" w:lineRule="auto"/>
        <w:rPr>
          <w:rFonts w:hint="eastAsia" w:hAnsi="宋体"/>
          <w:color w:val="000000"/>
          <w:sz w:val="24"/>
          <w:szCs w:val="24"/>
          <w:highlight w:val="none"/>
        </w:rPr>
      </w:pPr>
      <w:r/>
      <w:bookmarkStart w:id="230" w:name="_Hlt16619369"/>
      <w:r/>
      <w:bookmarkEnd w:id="230"/>
      <w:r/>
      <w:r/>
    </w:p>
    <w:p>
      <w:pPr>
        <w:pStyle w:val="794"/>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甲方：（公章）                         乙方：（公章）</w:t>
      </w:r>
      <w:r/>
    </w:p>
    <w:p>
      <w:pPr>
        <w:pStyle w:val="794"/>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地址：                                 地址：</w:t>
      </w:r>
      <w:r/>
    </w:p>
    <w:p>
      <w:pPr>
        <w:pStyle w:val="794"/>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p>
    <w:p>
      <w:pPr>
        <w:pStyle w:val="794"/>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w:t>
      </w:r>
      <w:r/>
    </w:p>
    <w:p>
      <w:pPr>
        <w:pStyle w:val="794"/>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794"/>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1"/>
      </w:pPr>
      <w:r/>
      <w:bookmarkStart w:id="231" w:name="_Toc235688488"/>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231"/>
      <w:r/>
      <w:r/>
    </w:p>
    <w:p>
      <w:pPr>
        <w:pStyle w:val="794"/>
        <w:ind w:firstLine="480"/>
        <w:jc w:val="left"/>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ind w:right="839"/>
        <w:jc w:val="center"/>
        <w:spacing w:after="240"/>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208"/>
      <w:r>
        <w:rPr>
          <w:rFonts w:hint="eastAsia" w:ascii="方正小标宋简体" w:hAnsi="方正小标宋简体" w:eastAsia="方正小标宋简体" w:cs="方正小标宋简体"/>
          <w:color w:val="000000"/>
          <w:sz w:val="36"/>
          <w:szCs w:val="36"/>
          <w:highlight w:val="none"/>
        </w:rPr>
        <w:t xml:space="preserve">四章采购需求</w:t>
      </w:r>
      <w:bookmarkEnd w:id="209"/>
      <w:r/>
      <w:bookmarkEnd w:id="210"/>
      <w:r/>
      <w:bookmarkEnd w:id="211"/>
      <w:r/>
      <w:r/>
    </w:p>
    <w:p>
      <w:pPr>
        <w:pStyle w:val="771"/>
        <w:spacing w:before="60" w:after="60"/>
        <w:rPr>
          <w:rFonts w:hint="eastAsia" w:ascii="黑体" w:hAnsi="黑体" w:eastAsia="黑体" w:cs="方正黑体_GBK"/>
          <w:b/>
          <w:bCs/>
          <w:color w:val="000000"/>
          <w:sz w:val="24"/>
          <w:szCs w:val="24"/>
          <w:highlight w:val="none"/>
        </w:rPr>
      </w:pPr>
      <w:r/>
      <w:bookmarkStart w:id="232" w:name="_Toc235688490"/>
      <w:r/>
      <w:bookmarkStart w:id="233" w:name="_Toc49090575"/>
      <w:r/>
      <w:bookmarkStart w:id="234" w:name="_Toc26554093"/>
      <w:r>
        <w:rPr>
          <w:rFonts w:hint="eastAsia" w:ascii="黑体" w:hAnsi="黑体" w:eastAsia="黑体" w:cs="方正黑体_GBK"/>
          <w:color w:val="000000"/>
          <w:sz w:val="24"/>
          <w:szCs w:val="24"/>
          <w:highlight w:val="none"/>
        </w:rPr>
        <w:t xml:space="preserve">一、项目属性：</w:t>
      </w:r>
      <w:r>
        <w:rPr>
          <w:rFonts w:hint="eastAsia" w:ascii="宋体" w:hAnsi="宋体" w:cs="方正黑体_GBK"/>
          <w:color w:val="000000"/>
          <w:sz w:val="24"/>
          <w:szCs w:val="24"/>
          <w:highlight w:val="none"/>
        </w:rPr>
        <w:t xml:space="preserve">货物类项目。</w:t>
      </w:r>
      <w:bookmarkEnd w:id="232"/>
      <w:r/>
      <w:r/>
    </w:p>
    <w:p>
      <w:pPr>
        <w:pStyle w:val="771"/>
        <w:spacing w:before="60" w:after="60"/>
        <w:rPr>
          <w:rFonts w:hint="eastAsia" w:ascii="黑体" w:hAnsi="黑体" w:eastAsia="黑体" w:cs="方正黑体_GBK"/>
          <w:b/>
          <w:bCs/>
          <w:color w:val="000000"/>
          <w:sz w:val="24"/>
          <w:szCs w:val="24"/>
          <w:highlight w:val="none"/>
        </w:rPr>
      </w:pPr>
      <w:r/>
      <w:bookmarkStart w:id="235" w:name="_Toc235688491"/>
      <w:r>
        <w:rPr>
          <w:rFonts w:hint="eastAsia" w:ascii="黑体" w:hAnsi="黑体" w:eastAsia="黑体" w:cs="方正黑体_GBK"/>
          <w:color w:val="000000"/>
          <w:sz w:val="24"/>
          <w:szCs w:val="24"/>
          <w:highlight w:val="none"/>
        </w:rPr>
        <w:t xml:space="preserve">二、项目概况</w:t>
      </w:r>
      <w:bookmarkEnd w:id="235"/>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（一）项目背景</w:t>
      </w:r>
      <w:r/>
    </w:p>
    <w:p>
      <w:pPr>
        <w:ind w:firstLine="480"/>
        <w:spacing w:line="300" w:lineRule="auto"/>
        <w:rPr>
          <w:rFonts w:hint="eastAsia" w:ascii="宋体" w:hAnsi="宋体" w:cs="宋体"/>
          <w:bCs/>
          <w:sz w:val="24"/>
          <w:szCs w:val="24"/>
          <w:highlight w:val="none"/>
        </w:rPr>
      </w:pPr>
      <w:r>
        <w:rPr>
          <w:rFonts w:ascii="宋体" w:hAnsi="宋体" w:cs="宋体"/>
          <w:bCs/>
          <w:sz w:val="24"/>
          <w:szCs w:val="24"/>
          <w:highlight w:val="none"/>
        </w:rPr>
        <w:t xml:space="preserve">为进一步优化内中小学食堂运营条件，筑牢校园食品安全防线，改善师生就餐保障能力，启动本次多校食堂设备购项目。本项目覆盖区内多所中小学食堂，采购范围包含食堂烹饪、清洗消毒、食材存储、备餐售卖及辅助配套等全品类设备，兼顾老旧设备更新替换与新增食堂标准化配置需求。</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（二）项目建设遵循标准</w:t>
      </w:r>
      <w:r/>
    </w:p>
    <w:p>
      <w:pPr>
        <w:ind w:firstLine="480"/>
        <w:spacing w:line="300" w:lineRule="auto"/>
        <w:rPr>
          <w:rFonts w:hint="eastAsia" w:ascii="宋体" w:hAnsi="宋体" w:cs="宋体"/>
          <w:bCs/>
          <w:sz w:val="24"/>
          <w:szCs w:val="24"/>
          <w:highlight w:val="none"/>
        </w:rPr>
      </w:pPr>
      <w:r>
        <w:rPr>
          <w:rFonts w:ascii="宋体" w:hAnsi="宋体" w:cs="宋体"/>
          <w:bCs/>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（三）资产配置标准</w:t>
      </w:r>
      <w:r/>
    </w:p>
    <w:p>
      <w:pPr>
        <w:ind w:firstLine="480"/>
        <w:spacing w:line="300" w:lineRule="auto"/>
        <w:rPr>
          <w:rFonts w:hint="eastAsia" w:ascii="宋体" w:hAnsi="宋体" w:cs="宋体"/>
          <w:bCs/>
          <w:sz w:val="24"/>
          <w:szCs w:val="24"/>
          <w:highlight w:val="none"/>
        </w:rPr>
      </w:pPr>
      <w:r>
        <w:rPr>
          <w:rFonts w:hint="eastAsia" w:ascii="宋体" w:hAnsi="宋体" w:cs="宋体"/>
          <w:bCs/>
          <w:sz w:val="24"/>
          <w:szCs w:val="24"/>
          <w:highlight w:val="none"/>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71"/>
        <w:spacing w:before="60" w:after="60"/>
        <w:rPr>
          <w:rFonts w:hint="eastAsia" w:ascii="黑体" w:hAnsi="黑体" w:eastAsia="黑体" w:cs="方正黑体_GBK"/>
          <w:color w:val="000000"/>
          <w:sz w:val="24"/>
          <w:szCs w:val="24"/>
          <w:highlight w:val="none"/>
        </w:rPr>
      </w:pPr>
      <w:r/>
      <w:bookmarkStart w:id="236" w:name="_Toc235688492"/>
      <w:r>
        <w:rPr>
          <w:rFonts w:hint="eastAsia" w:ascii="黑体" w:hAnsi="黑体" w:eastAsia="黑体" w:cs="方正黑体_GBK"/>
          <w:color w:val="000000"/>
          <w:sz w:val="24"/>
          <w:szCs w:val="24"/>
          <w:highlight w:val="none"/>
        </w:rPr>
        <w:t xml:space="preserve">三、项目清单</w:t>
      </w:r>
      <w:bookmarkEnd w:id="236"/>
      <w:r/>
      <w:r/>
    </w:p>
    <w:tbl>
      <w:tblPr>
        <w:tblStyle w:val="779"/>
        <w:tblW w:w="10060"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2757"/>
        <w:gridCol w:w="851"/>
        <w:gridCol w:w="709"/>
        <w:gridCol w:w="992"/>
        <w:gridCol w:w="992"/>
        <w:gridCol w:w="1134"/>
        <w:gridCol w:w="992"/>
        <w:gridCol w:w="993"/>
      </w:tblGrid>
      <w:tr>
        <w:trPr>
          <w:trHeight w:val="79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2757"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产品名称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需求数量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单价上限（元）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产品类型</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所属行业</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属性</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政府强制采购节能产品</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中餐燃气炒菜灶（带熄保）</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炊用燃气大锅灶（带熄保）-1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炊用燃气大锅灶（带熄保）-2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电磁双头矮汤灶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电磁单头矮汤灶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电磁单头900大炒灶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汽电两用蒸饭箱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双门电蒸饭箱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核心产品</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双门燃气蒸饭箱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9500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双门热风循环消毒柜</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留样冰箱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color w:val="000000"/>
                <w:sz w:val="18"/>
                <w:szCs w:val="18"/>
                <w:highlight w:val="none"/>
              </w:rPr>
            </w:pPr>
            <w:r>
              <w:rPr>
                <w:rFonts w:cs="宋体" w:asciiTheme="minorEastAsia" w:hAnsiTheme="minorEastAsia" w:eastAsiaTheme="minorEastAsia"/>
                <w:color w:val="000000"/>
                <w:sz w:val="18"/>
                <w:szCs w:val="18"/>
                <w:highlight w:val="none"/>
              </w:rPr>
              <w:t xml:space="preserve">洗碗机主洗模块</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17500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洗碗机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69000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土豆脱皮机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开水器连底座</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绞切肉机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多功能切菜机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16500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豆浆机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电炸炉</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2800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除湿机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1280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灭蝇灯</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四格保温售卖台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不锈钢单移门工作柜</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不锈钢移动工作台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1700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不锈钢双层工作台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大单星水池-1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1400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大单星水池-2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不锈钢双层餐车-1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不锈钢双层餐车-2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不锈钢双层餐车-3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不锈钢双层餐车-4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不锈钢双层收碗车</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平板推车-1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平板推车-2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平板推车-3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平板推车-4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不锈钢八人餐桌椅</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不锈钢五格带盖餐盒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不锈钢四格带盖餐盒-1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1450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不锈钢四格带盖餐盒-2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27</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六格快餐盘</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不锈钢双层汤碗-1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2900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不锈钢双层汤碗-2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不锈钢双层汤碗-3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不锈钢汤勺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不锈钢餐勺-1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不锈钢餐勺-2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不锈钢筷子</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双</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不锈钢蒸饭盘</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75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EPP保温箱-1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EPP保温箱-2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EPP保温箱-3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EPP保温箱-4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PP透明收纳箱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蓝色整理箱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不锈钢保温桶-1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不锈钢保温桶-2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240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不锈钢保温桶-3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不锈钢保温桶-4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310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保温汤桶（内胆不锈钢）</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塑料洗菜筐-1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塑料洗菜筐-2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不锈钢装菜盆连盖</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电磁灶专用汤桶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不锈钢盛饭桶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不锈钢汤桶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161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添饭盒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留样盒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加厚大锅</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厨片刀</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厨房专用剪刀（大）</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磨刀石</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不锈钢淘米箩</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不锈钢盆-1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不锈钢盆-2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不锈钢盆-3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不锈钢盆-4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不锈钢冲孔洗菜盆</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长柄炒勺-1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长柄炒勺-2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不锈钢笊篱-1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不锈钢笊篱-2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51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不锈钢水舀</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37</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不锈钢打汤勺-1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不锈钢打汤勺-2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不锈钢打菜勺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不锈钢加厚油钵</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42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不锈钢调料缸带盖</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89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PP圆形砧板-1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PP圆形砧板-2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带盖塑料圆型桶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带盖塑料残余垃圾桶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36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落地电子秤</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650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冷热水龙头</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350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是</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感应水龙头</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720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是</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保温售卖台维修</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260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97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平板推车维修</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hint="eastAsia"/>
                <w:highlight w:val="none"/>
              </w:rPr>
              <w:t xml:space="preserve">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160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cs="宋体" w:asciiTheme="minorEastAsia" w:hAnsiTheme="minorEastAsia" w:eastAsiaTheme="minorEastAsia"/>
                <w:sz w:val="18"/>
                <w:szCs w:val="18"/>
                <w:highlight w:val="none"/>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highlight w:val="none"/>
              </w:rPr>
            </w:pPr>
            <w:r>
              <w:rPr>
                <w:rFonts w:hint="eastAsia" w:cs="宋体" w:asciiTheme="minorEastAsia" w:hAnsiTheme="minorEastAsia" w:eastAsiaTheme="minorEastAsia"/>
                <w:sz w:val="18"/>
                <w:szCs w:val="18"/>
                <w:highlight w:val="none"/>
              </w:rPr>
            </w:r>
            <w:r/>
          </w:p>
        </w:tc>
      </w:tr>
    </w:tbl>
    <w:p>
      <w:pPr>
        <w:pStyle w:val="780"/>
        <w:ind w:firstLine="0"/>
        <w:rPr>
          <w:rFonts w:hint="eastAsia"/>
          <w:highlight w:val="none"/>
          <w:lang w:eastAsia="zh-CN"/>
        </w:rPr>
      </w:pPr>
      <w:r>
        <w:rPr>
          <w:rFonts w:hint="eastAsia"/>
          <w:highlight w:val="none"/>
          <w:lang w:eastAsia="zh-CN"/>
        </w:rPr>
      </w:r>
      <w:r/>
    </w:p>
    <w:p>
      <w:pPr>
        <w:pStyle w:val="771"/>
        <w:spacing w:before="60" w:after="60"/>
        <w:rPr>
          <w:rFonts w:hint="eastAsia" w:ascii="黑体" w:hAnsi="黑体" w:eastAsia="黑体" w:cs="方正黑体_GBK"/>
          <w:b/>
          <w:bCs/>
          <w:color w:val="000000"/>
          <w:sz w:val="24"/>
          <w:szCs w:val="24"/>
          <w:highlight w:val="none"/>
        </w:rPr>
      </w:pPr>
      <w:r/>
      <w:bookmarkStart w:id="237" w:name="_Toc235688493"/>
      <w:r>
        <w:rPr>
          <w:rFonts w:hint="eastAsia" w:ascii="黑体" w:hAnsi="黑体" w:eastAsia="黑体" w:cs="方正黑体_GBK"/>
          <w:color w:val="000000"/>
          <w:sz w:val="24"/>
          <w:szCs w:val="24"/>
          <w:highlight w:val="none"/>
        </w:rPr>
        <w:t xml:space="preserve">四、拟采购标的需要满足的技术、商务要求</w:t>
      </w:r>
      <w:bookmarkEnd w:id="237"/>
      <w:r/>
      <w:r/>
    </w:p>
    <w:p>
      <w:pPr>
        <w:ind w:firstLine="480"/>
        <w:spacing w:line="264" w:lineRule="auto"/>
        <w:rPr>
          <w:rFonts w:hint="eastAsia" w:ascii="宋体" w:hAnsi="宋体" w:cs="宋体"/>
          <w:bCs/>
          <w:color w:val="000000"/>
          <w:sz w:val="24"/>
          <w:szCs w:val="24"/>
          <w:highlight w:val="none"/>
        </w:rPr>
        <w:outlineLvl w:val="2"/>
      </w:pPr>
      <w:r/>
      <w:bookmarkStart w:id="238" w:name="_Toc235688494"/>
      <w:r>
        <w:rPr>
          <w:rFonts w:hint="eastAsia" w:ascii="宋体" w:hAnsi="宋体" w:cs="宋体"/>
          <w:bCs/>
          <w:color w:val="000000"/>
          <w:sz w:val="24"/>
          <w:szCs w:val="24"/>
          <w:highlight w:val="none"/>
        </w:rPr>
        <w:t xml:space="preserve">（一）技术要求</w:t>
      </w:r>
      <w:bookmarkEnd w:id="238"/>
      <w:r/>
      <w:r/>
    </w:p>
    <w:p>
      <w:pPr>
        <w:pStyle w:val="773"/>
        <w:ind w:firstLine="480"/>
        <w:rPr>
          <w:b/>
          <w:bCs/>
          <w:color w:val="000000"/>
          <w:highlight w:val="none"/>
        </w:rPr>
      </w:pPr>
      <w:r>
        <w:rPr>
          <w:rFonts w:hint="eastAsia" w:ascii="宋体" w:hAnsi="宋体"/>
          <w:color w:val="auto"/>
          <w:highlight w:val="none"/>
        </w:rPr>
        <w:t xml:space="preserve">1.</w:t>
      </w:r>
      <w:bookmarkStart w:id="239" w:name="OLE_LINK10"/>
      <w:r>
        <w:rPr>
          <w:rFonts w:hint="eastAsia" w:ascii="宋体" w:hAnsi="宋体"/>
          <w:color w:val="auto"/>
          <w:highlight w:val="none"/>
        </w:rPr>
        <w:t xml:space="preserve">产品技术指标</w:t>
      </w:r>
      <w:bookmarkEnd w:id="239"/>
      <w:r/>
      <w:r/>
    </w:p>
    <w:tbl>
      <w:tblPr>
        <w:tblStyle w:val="779"/>
        <w:tblW w:w="13616" w:type="dxa"/>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765"/>
        <w:gridCol w:w="7655"/>
        <w:gridCol w:w="3556"/>
      </w:tblGrid>
      <w:tr>
        <w:trPr>
          <w:gridAfter w:val="1"/>
          <w:trHeight w:val="402"/>
        </w:trPr>
        <w:tc>
          <w:tcPr>
            <w:tcBorders>
              <w:top w:val="single" w:color="auto"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vMerge w:val="restart"/>
            <w:textDirection w:val="lrTb"/>
            <w:noWrap/>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7655" w:type="dxa"/>
            <w:vAlign w:val="center"/>
            <w:vMerge w:val="restart"/>
            <w:textDirection w:val="lrTb"/>
            <w:noWrap/>
          </w:tcPr>
          <w:p>
            <w:pPr>
              <w:jc w:val="center"/>
              <w:widowControl/>
              <w:rPr>
                <w:rFonts w:hint="eastAsia" w:ascii="宋体" w:hAnsi="宋体" w:cs="宋体"/>
                <w:sz w:val="24"/>
                <w:szCs w:val="24"/>
                <w:highlight w:val="none"/>
              </w:rPr>
            </w:pPr>
            <w:r>
              <w:rPr>
                <w:rFonts w:hint="eastAsia" w:ascii="宋体" w:hAnsi="宋体" w:cs="宋体"/>
                <w:b/>
                <w:sz w:val="24"/>
                <w:highlight w:val="none"/>
              </w:rPr>
              <w:t xml:space="preserve">功能、性能、配置要求不低于以下要求</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655" w:type="dxa"/>
            <w:vAlign w:val="center"/>
            <w:vMerge w:val="continue"/>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3556" w:type="dxa"/>
            <w:vAlign w:val="center"/>
            <w:textDirection w:val="lrTb"/>
            <w:noWrap/>
          </w:tcPr>
          <w:p>
            <w:pPr>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中餐燃气炒菜灶（带熄保）</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规格：1000*1200*800+400mm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2.炉面板采用≥1.5mm不锈钢磨砂板；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3.炉膛采用≥2.0mm镀锌钢板；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4.炉身及炉背采用≥1.0mm不锈钢磨砂板；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5.炉体骨架采用40*40*4mm国标角钢；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6.炉脚采用≥Ф50mm无缝不锈钢管内含钢柱配可调不锈钢子弹脚；</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7.采用节能炉头配火种制、风制；风管、气管采用国标管；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8.炉包采用≥1.5mm不锈钢板冲压件及铸铁炉圈；</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9.每个炉配摇摆水龙头等配套件；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10.采用优质的一键启动电子点火装置及熄火保护装置。</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炊用燃气大锅灶（带熄保）-1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规格：2000*1200*800+400mm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2.炉面板采用≥1.5mm不锈钢磨砂板；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3.炉膛采用≥2.0mm镀锌钢板；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4.炉身及炉背采用≥1.0mm不锈钢磨砂板；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5.炉体骨架采用40*40*4mm国标角钢；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6.炉脚采用≥Ф50mm无缝不锈钢管内含钢柱配可调不锈钢子弹脚；</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7.采用节能炉头配火种制、风制；风管、气管采用国标管；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8.炉包采用304#b=≥1.5mm不锈钢板冲压件及铸铁炉圈；</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9.每个炉配摇摆水龙头等配套件；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10.采用优质的一键启动电子点火装置及熄火保护装置；</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11.配置：配套加厚翅片锅直径860mm两只。</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炊用燃气大锅灶（带熄保）-2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规格：1100*1200*800+400mm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2.炉面板采用≥1.5mm不锈钢磨砂板，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3.炉膛采用≥2.0mm镀锌钢板；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4.炉身及炉背采用≥1.0mm不锈钢磨砂板；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5.炉体骨架采用40*40*4mm国标角钢；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6.炉脚采用≥Ф50mm无缝不锈钢管内含钢柱配可调不锈钢子弹脚；</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7.采用节能炉头配火种制、风制；风管、气管采用国标管；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8.炉包采用304#b=≥1.5mm不锈钢板冲压件及铸铁炉圈；</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9.每个炉配摇摆水龙头等配套件，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10.采用优质的一键启动电子点火装置及熄火保护装置；</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11.配置：配套加厚翅片锅直径860mm壹只。</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电磁双头矮汤灶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规格：1300*750*500/700mm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3.侧板：≥1.2mm不锈钢拉丝板；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4.电磁感应加热，聚能线圈盘设计；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5.机芯.线盘双通道散热；</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6.独立微晶面板，可独立更换；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7.横推式八档火力精准调节，</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8.一体成型台面，配备直径500mm的电磁炉专用桶2个；</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9.电压：380V功率：≥20kW*2</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▲10.依据GB40876-2021《商用电磁灶能效限定值及能效等级》，热效率≥96%（</w:t>
            </w:r>
            <w:r>
              <w:rPr>
                <w:rFonts w:hint="eastAsia" w:ascii="宋体" w:hAnsi="宋体" w:cs="宋体"/>
                <w:sz w:val="24"/>
                <w:szCs w:val="24"/>
                <w:highlight w:val="none"/>
                <w:lang w:eastAsia="zh-CN"/>
              </w:rPr>
              <w:t xml:space="preserve">签订合同时提供第三方检测报告</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电磁单头矮汤灶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规格：650*700*550/650mm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3.侧板：≥1.2mm不锈钢拉丝板；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4.电磁感应加热，聚能线圈盘设计；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5.机芯.线盘双通道散热；</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6.独立微晶面板，可独立更换；</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7.横推式八档火力调节；</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8.一体成型台面，配直径500mm的电磁炉专用桶1个；</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9.电压：380V功率：≥15kW。</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电磁单头900大炒灶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规格：1100*1200*800/400mm</w:t>
            </w:r>
            <w:r>
              <w:rPr>
                <w:rFonts w:ascii="宋体" w:hAnsi="宋体" w:cs="宋体"/>
                <w:sz w:val="24"/>
                <w:szCs w:val="24"/>
                <w:highlight w:val="none"/>
              </w:rPr>
              <w:br/>
            </w:r>
            <w:r>
              <w:rPr>
                <w:rFonts w:ascii="宋体" w:hAnsi="宋体" w:cs="宋体"/>
                <w:sz w:val="24"/>
                <w:szCs w:val="24"/>
                <w:highlight w:val="none"/>
              </w:rPr>
              <w:t xml:space="preserve">1.材质：面板采用一体成型304#不锈钢板，厚1.5mm，侧板厚1.0mm</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2.功率</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25KW，电压380V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3.锅厚3mm并通过食品接触产品安全及卫生认证，全304#不锈钢水龙头</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4.采用锌合金双八档旋转开关及一键启停电源开关，具有离岗关机停止加热功</w:t>
            </w:r>
            <w:r>
              <w:rPr>
                <w:rFonts w:hint="eastAsia" w:ascii="宋体" w:hAnsi="宋体" w:cs="宋体"/>
                <w:sz w:val="24"/>
                <w:szCs w:val="24"/>
                <w:highlight w:val="none"/>
              </w:rPr>
              <w:t xml:space="preserve">能；</w:t>
            </w:r>
            <w:r>
              <w:rPr>
                <w:rFonts w:ascii="宋体" w:hAnsi="宋体" w:cs="宋体"/>
                <w:sz w:val="24"/>
                <w:szCs w:val="24"/>
                <w:highlight w:val="none"/>
              </w:rPr>
              <w:br/>
            </w:r>
            <w:r>
              <w:rPr>
                <w:rFonts w:ascii="宋体" w:hAnsi="宋体" w:cs="宋体"/>
                <w:sz w:val="24"/>
                <w:szCs w:val="24"/>
                <w:highlight w:val="none"/>
              </w:rPr>
              <w:t xml:space="preserve">5.机芯核心部件采用不同导热特殊材料灌封，具有防潮效果</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6.采用识字量运算控制，智能调节算法对功率、频率、温度、电源、电压、电流、相位、频率等参数的数字化控制</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7.采用变频送风技术，同步感应追踪多路工作点温度，有效防止散热系统堵塞</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8.线盘采用高频线制作锅底。</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汽电两用蒸饭箱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规格：≥24盘</w:t>
            </w:r>
            <w:r>
              <w:rPr>
                <w:rFonts w:ascii="宋体" w:hAnsi="宋体" w:cs="宋体"/>
                <w:sz w:val="24"/>
                <w:szCs w:val="24"/>
                <w:highlight w:val="none"/>
              </w:rPr>
              <w:br/>
            </w:r>
            <w:r>
              <w:rPr>
                <w:rFonts w:ascii="宋体" w:hAnsi="宋体" w:cs="宋体"/>
                <w:sz w:val="24"/>
                <w:szCs w:val="24"/>
                <w:highlight w:val="none"/>
              </w:rPr>
              <w:t xml:space="preserve">1.蒸箱整机采用304≥1.0mm不锈钢板焊接制作；</w:t>
            </w:r>
            <w:r>
              <w:rPr>
                <w:rFonts w:ascii="宋体" w:hAnsi="宋体" w:cs="宋体"/>
                <w:sz w:val="24"/>
                <w:szCs w:val="24"/>
                <w:highlight w:val="none"/>
              </w:rPr>
              <w:br/>
            </w:r>
            <w:r>
              <w:rPr>
                <w:rFonts w:ascii="宋体" w:hAnsi="宋体" w:cs="宋体"/>
                <w:sz w:val="24"/>
                <w:szCs w:val="24"/>
                <w:highlight w:val="none"/>
              </w:rPr>
              <w:t xml:space="preserve">2.蒸箱加热内胆采用304≥1.2mm不锈钢板焊接制作；</w:t>
            </w:r>
            <w:r>
              <w:rPr>
                <w:rFonts w:ascii="宋体" w:hAnsi="宋体" w:cs="宋体"/>
                <w:sz w:val="24"/>
                <w:szCs w:val="24"/>
                <w:highlight w:val="none"/>
              </w:rPr>
              <w:br/>
            </w:r>
            <w:r>
              <w:rPr>
                <w:rFonts w:ascii="宋体" w:hAnsi="宋体" w:cs="宋体"/>
                <w:sz w:val="24"/>
                <w:szCs w:val="24"/>
                <w:highlight w:val="none"/>
              </w:rPr>
              <w:t xml:space="preserve">3.蒸箱内部配备≥24层304不锈钢板≥1.2mm的层架；</w:t>
            </w:r>
            <w:r>
              <w:rPr>
                <w:rFonts w:ascii="宋体" w:hAnsi="宋体" w:cs="宋体"/>
                <w:sz w:val="24"/>
                <w:szCs w:val="24"/>
                <w:highlight w:val="none"/>
              </w:rPr>
              <w:br/>
            </w:r>
            <w:r>
              <w:rPr>
                <w:rFonts w:ascii="宋体" w:hAnsi="宋体" w:cs="宋体"/>
                <w:sz w:val="24"/>
                <w:szCs w:val="24"/>
                <w:highlight w:val="none"/>
              </w:rPr>
              <w:t xml:space="preserve">4.蒸箱配备自动泄压系统；</w:t>
            </w:r>
            <w:r>
              <w:rPr>
                <w:rFonts w:ascii="宋体" w:hAnsi="宋体" w:cs="宋体"/>
                <w:sz w:val="24"/>
                <w:szCs w:val="24"/>
                <w:highlight w:val="none"/>
              </w:rPr>
              <w:br/>
            </w:r>
            <w:r>
              <w:rPr>
                <w:rFonts w:ascii="宋体" w:hAnsi="宋体" w:cs="宋体"/>
                <w:sz w:val="24"/>
                <w:szCs w:val="24"/>
                <w:highlight w:val="none"/>
              </w:rPr>
              <w:t xml:space="preserve">5.门把手采用不锈钢或优质熟料制品，门铰链应牢固可靠；</w:t>
            </w:r>
            <w:r>
              <w:rPr>
                <w:rFonts w:ascii="宋体" w:hAnsi="宋体" w:cs="宋体"/>
                <w:sz w:val="24"/>
                <w:szCs w:val="24"/>
                <w:highlight w:val="none"/>
              </w:rPr>
              <w:br/>
            </w:r>
            <w:r>
              <w:rPr>
                <w:rFonts w:ascii="宋体" w:hAnsi="宋体" w:cs="宋体"/>
                <w:sz w:val="24"/>
                <w:szCs w:val="24"/>
                <w:highlight w:val="none"/>
              </w:rPr>
              <w:t xml:space="preserve">6.蒸柜内置缺水保护系统及过载过载保护；</w:t>
            </w:r>
            <w:r>
              <w:rPr>
                <w:rFonts w:ascii="宋体" w:hAnsi="宋体" w:cs="宋体"/>
                <w:sz w:val="24"/>
                <w:szCs w:val="24"/>
                <w:highlight w:val="none"/>
              </w:rPr>
              <w:br/>
            </w:r>
            <w:r>
              <w:rPr>
                <w:rFonts w:ascii="宋体" w:hAnsi="宋体" w:cs="宋体"/>
                <w:sz w:val="24"/>
                <w:szCs w:val="24"/>
                <w:highlight w:val="none"/>
              </w:rPr>
              <w:t xml:space="preserve">7.蒸柜面板设置工作状态指示灯显示；</w:t>
            </w:r>
            <w:r>
              <w:rPr>
                <w:rFonts w:ascii="宋体" w:hAnsi="宋体" w:cs="宋体"/>
                <w:sz w:val="24"/>
                <w:szCs w:val="24"/>
                <w:highlight w:val="none"/>
              </w:rPr>
              <w:br/>
            </w:r>
            <w:r>
              <w:rPr>
                <w:rFonts w:ascii="宋体" w:hAnsi="宋体" w:cs="宋体"/>
                <w:sz w:val="24"/>
                <w:szCs w:val="24"/>
                <w:highlight w:val="none"/>
              </w:rPr>
              <w:t xml:space="preserve">8.整机功率及电压：≥12kW*2/380V-50hz</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双门电蒸饭箱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规格：≥24盘</w:t>
            </w:r>
            <w:r>
              <w:rPr>
                <w:rFonts w:ascii="宋体" w:hAnsi="宋体" w:cs="宋体"/>
                <w:sz w:val="24"/>
                <w:szCs w:val="24"/>
                <w:highlight w:val="none"/>
              </w:rPr>
              <w:br/>
            </w:r>
            <w:r>
              <w:rPr>
                <w:rFonts w:ascii="宋体" w:hAnsi="宋体" w:cs="宋体"/>
                <w:sz w:val="24"/>
                <w:szCs w:val="24"/>
                <w:highlight w:val="none"/>
              </w:rPr>
              <w:t xml:space="preserve">1.蒸箱整机采用304≥1.0mm不锈钢板焊接制作；</w:t>
            </w:r>
            <w:r>
              <w:rPr>
                <w:rFonts w:ascii="宋体" w:hAnsi="宋体" w:cs="宋体"/>
                <w:sz w:val="24"/>
                <w:szCs w:val="24"/>
                <w:highlight w:val="none"/>
              </w:rPr>
              <w:br/>
            </w:r>
            <w:r>
              <w:rPr>
                <w:rFonts w:ascii="宋体" w:hAnsi="宋体" w:cs="宋体"/>
                <w:sz w:val="24"/>
                <w:szCs w:val="24"/>
                <w:highlight w:val="none"/>
              </w:rPr>
              <w:t xml:space="preserve">2.蒸箱加热内胆采用304≥1.2mm不锈钢板焊接制作；</w:t>
            </w:r>
            <w:r>
              <w:rPr>
                <w:rFonts w:ascii="宋体" w:hAnsi="宋体" w:cs="宋体"/>
                <w:sz w:val="24"/>
                <w:szCs w:val="24"/>
                <w:highlight w:val="none"/>
              </w:rPr>
              <w:br/>
            </w:r>
            <w:r>
              <w:rPr>
                <w:rFonts w:ascii="宋体" w:hAnsi="宋体" w:cs="宋体"/>
                <w:sz w:val="24"/>
                <w:szCs w:val="24"/>
                <w:highlight w:val="none"/>
              </w:rPr>
              <w:t xml:space="preserve">3.蒸箱内部配备≥24层304不锈钢板≥1.2mm的层架；</w:t>
            </w:r>
            <w:r>
              <w:rPr>
                <w:rFonts w:ascii="宋体" w:hAnsi="宋体" w:cs="宋体"/>
                <w:sz w:val="24"/>
                <w:szCs w:val="24"/>
                <w:highlight w:val="none"/>
              </w:rPr>
              <w:br/>
            </w:r>
            <w:r>
              <w:rPr>
                <w:rFonts w:ascii="宋体" w:hAnsi="宋体" w:cs="宋体"/>
                <w:sz w:val="24"/>
                <w:szCs w:val="24"/>
                <w:highlight w:val="none"/>
              </w:rPr>
              <w:t xml:space="preserve">4.蒸箱配备自动泄压系统；</w:t>
            </w:r>
            <w:r>
              <w:rPr>
                <w:rFonts w:ascii="宋体" w:hAnsi="宋体" w:cs="宋体"/>
                <w:sz w:val="24"/>
                <w:szCs w:val="24"/>
                <w:highlight w:val="none"/>
              </w:rPr>
              <w:br/>
            </w:r>
            <w:r>
              <w:rPr>
                <w:rFonts w:ascii="宋体" w:hAnsi="宋体" w:cs="宋体"/>
                <w:sz w:val="24"/>
                <w:szCs w:val="24"/>
                <w:highlight w:val="none"/>
              </w:rPr>
              <w:t xml:space="preserve">5.门把手采用不锈钢或优质熟料制品，门铰链应牢固可靠；</w:t>
            </w:r>
            <w:r>
              <w:rPr>
                <w:rFonts w:ascii="宋体" w:hAnsi="宋体" w:cs="宋体"/>
                <w:sz w:val="24"/>
                <w:szCs w:val="24"/>
                <w:highlight w:val="none"/>
              </w:rPr>
              <w:br/>
            </w:r>
            <w:r>
              <w:rPr>
                <w:rFonts w:ascii="宋体" w:hAnsi="宋体" w:cs="宋体"/>
                <w:sz w:val="24"/>
                <w:szCs w:val="24"/>
                <w:highlight w:val="none"/>
              </w:rPr>
              <w:t xml:space="preserve">6.蒸柜内置缺水保护系统及过载过载保护；</w:t>
            </w:r>
            <w:r>
              <w:rPr>
                <w:rFonts w:ascii="宋体" w:hAnsi="宋体" w:cs="宋体"/>
                <w:sz w:val="24"/>
                <w:szCs w:val="24"/>
                <w:highlight w:val="none"/>
              </w:rPr>
              <w:br/>
            </w:r>
            <w:r>
              <w:rPr>
                <w:rFonts w:ascii="宋体" w:hAnsi="宋体" w:cs="宋体"/>
                <w:sz w:val="24"/>
                <w:szCs w:val="24"/>
                <w:highlight w:val="none"/>
              </w:rPr>
              <w:t xml:space="preserve">7.蒸柜面板设置工作状态指示灯显示；</w:t>
            </w:r>
            <w:r>
              <w:rPr>
                <w:rFonts w:ascii="宋体" w:hAnsi="宋体" w:cs="宋体"/>
                <w:sz w:val="24"/>
                <w:szCs w:val="24"/>
                <w:highlight w:val="none"/>
              </w:rPr>
              <w:br/>
            </w:r>
            <w:r>
              <w:rPr>
                <w:rFonts w:ascii="宋体" w:hAnsi="宋体" w:cs="宋体"/>
                <w:sz w:val="24"/>
                <w:szCs w:val="24"/>
                <w:highlight w:val="none"/>
              </w:rPr>
              <w:t xml:space="preserve">8.整机功率及电压：≥12kW*2/380V-50hz</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双门燃气蒸饭箱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规格：≥24盘</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2.内外箱板材厚度≥1.2mm；</w:t>
            </w:r>
            <w:r>
              <w:rPr>
                <w:rFonts w:ascii="宋体" w:hAnsi="宋体" w:cs="宋体"/>
                <w:sz w:val="24"/>
                <w:szCs w:val="24"/>
                <w:highlight w:val="none"/>
              </w:rPr>
              <w:br/>
            </w:r>
            <w:r>
              <w:rPr>
                <w:rFonts w:ascii="宋体" w:hAnsi="宋体" w:cs="宋体"/>
                <w:sz w:val="24"/>
                <w:szCs w:val="24"/>
                <w:highlight w:val="none"/>
              </w:rPr>
              <w:t xml:space="preserve">3.结构形式：双门，24盘；</w:t>
            </w:r>
            <w:r>
              <w:rPr>
                <w:rFonts w:ascii="宋体" w:hAnsi="宋体" w:cs="宋体"/>
                <w:sz w:val="24"/>
                <w:szCs w:val="24"/>
                <w:highlight w:val="none"/>
              </w:rPr>
              <w:br/>
            </w:r>
            <w:r>
              <w:rPr>
                <w:rFonts w:ascii="宋体" w:hAnsi="宋体" w:cs="宋体"/>
                <w:sz w:val="24"/>
                <w:szCs w:val="24"/>
                <w:highlight w:val="none"/>
              </w:rPr>
              <w:t xml:space="preserve">4.每门配置12个304不锈钢方盘，方盘尺寸400*600mm；</w:t>
            </w:r>
            <w:r>
              <w:rPr>
                <w:rFonts w:ascii="宋体" w:hAnsi="宋体" w:cs="宋体"/>
                <w:sz w:val="24"/>
                <w:szCs w:val="24"/>
                <w:highlight w:val="none"/>
              </w:rPr>
              <w:br/>
            </w:r>
            <w:r>
              <w:rPr>
                <w:rFonts w:ascii="宋体" w:hAnsi="宋体" w:cs="宋体"/>
                <w:sz w:val="24"/>
                <w:szCs w:val="24"/>
                <w:highlight w:val="none"/>
              </w:rPr>
              <w:t xml:space="preserve">5.微电脑智能控制，可实现定时定温；</w:t>
            </w:r>
            <w:r>
              <w:rPr>
                <w:rFonts w:ascii="宋体" w:hAnsi="宋体" w:cs="宋体"/>
                <w:sz w:val="24"/>
                <w:szCs w:val="24"/>
                <w:highlight w:val="none"/>
              </w:rPr>
              <w:br/>
            </w:r>
            <w:r>
              <w:rPr>
                <w:rFonts w:ascii="宋体" w:hAnsi="宋体" w:cs="宋体"/>
                <w:sz w:val="24"/>
                <w:szCs w:val="24"/>
                <w:highlight w:val="none"/>
              </w:rPr>
              <w:t xml:space="preserve">6.内置2组全自动燃烧机，每侧独立控制；</w:t>
            </w:r>
            <w:r>
              <w:rPr>
                <w:rFonts w:ascii="宋体" w:hAnsi="宋体" w:cs="宋体"/>
                <w:sz w:val="24"/>
                <w:szCs w:val="24"/>
                <w:highlight w:val="none"/>
              </w:rPr>
              <w:br/>
            </w:r>
            <w:r>
              <w:rPr>
                <w:rFonts w:ascii="宋体" w:hAnsi="宋体" w:cs="宋体"/>
                <w:sz w:val="24"/>
                <w:szCs w:val="24"/>
                <w:highlight w:val="none"/>
              </w:rPr>
              <w:t xml:space="preserve">7.配燃气熄火保护、缺水保护、过热保护，超压保护；</w:t>
            </w:r>
            <w:r>
              <w:rPr>
                <w:rFonts w:ascii="宋体" w:hAnsi="宋体" w:cs="宋体"/>
                <w:sz w:val="24"/>
                <w:szCs w:val="24"/>
                <w:highlight w:val="none"/>
              </w:rPr>
              <w:br/>
            </w:r>
            <w:r>
              <w:rPr>
                <w:rFonts w:ascii="宋体" w:hAnsi="宋体" w:cs="宋体"/>
                <w:sz w:val="24"/>
                <w:szCs w:val="24"/>
                <w:highlight w:val="none"/>
              </w:rPr>
              <w:t xml:space="preserve">8.密封条采用食品级硅胶条，</w:t>
            </w:r>
            <w:r>
              <w:rPr>
                <w:rFonts w:hint="eastAsia" w:ascii="宋体" w:hAnsi="宋体" w:cs="宋体"/>
                <w:sz w:val="24"/>
                <w:szCs w:val="24"/>
                <w:highlight w:val="none"/>
              </w:rPr>
              <w:t xml:space="preserve">不锈钢</w:t>
            </w:r>
            <w:r>
              <w:rPr>
                <w:rFonts w:ascii="宋体" w:hAnsi="宋体" w:cs="宋体"/>
                <w:sz w:val="24"/>
                <w:szCs w:val="24"/>
                <w:highlight w:val="none"/>
              </w:rPr>
              <w:t xml:space="preserve">门铰链</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双门热风循环消毒柜</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规格：1300*640*1950mm</w:t>
            </w:r>
            <w:r>
              <w:rPr>
                <w:rFonts w:ascii="宋体" w:hAnsi="宋体" w:cs="宋体"/>
                <w:sz w:val="24"/>
                <w:szCs w:val="24"/>
                <w:highlight w:val="none"/>
              </w:rPr>
              <w:br/>
            </w:r>
            <w:r>
              <w:rPr>
                <w:rFonts w:ascii="宋体" w:hAnsi="宋体" w:cs="宋体"/>
                <w:sz w:val="24"/>
                <w:szCs w:val="24"/>
                <w:highlight w:val="none"/>
              </w:rPr>
              <w:t xml:space="preserve">1.电压功率：220V-50hz/≥4kW；</w:t>
            </w:r>
            <w:r>
              <w:rPr>
                <w:rFonts w:ascii="宋体" w:hAnsi="宋体" w:cs="宋体"/>
                <w:sz w:val="24"/>
                <w:szCs w:val="24"/>
                <w:highlight w:val="none"/>
              </w:rPr>
              <w:br/>
            </w:r>
            <w:r>
              <w:rPr>
                <w:rFonts w:ascii="宋体" w:hAnsi="宋体" w:cs="宋体"/>
                <w:sz w:val="24"/>
                <w:szCs w:val="24"/>
                <w:highlight w:val="none"/>
              </w:rPr>
              <w:t xml:space="preserve">2.消毒容积：≥720升/8个篮筐；</w:t>
            </w:r>
            <w:r>
              <w:rPr>
                <w:rFonts w:ascii="宋体" w:hAnsi="宋体" w:cs="宋体"/>
                <w:sz w:val="24"/>
                <w:szCs w:val="24"/>
                <w:highlight w:val="none"/>
              </w:rPr>
              <w:br/>
            </w:r>
            <w:r>
              <w:rPr>
                <w:rFonts w:ascii="宋体" w:hAnsi="宋体" w:cs="宋体"/>
                <w:sz w:val="24"/>
                <w:szCs w:val="24"/>
                <w:highlight w:val="none"/>
              </w:rPr>
              <w:t xml:space="preserve">3.箱体材质：箱体为304优质不锈钢，厚度≥0.8mm；</w:t>
            </w:r>
            <w:r>
              <w:rPr>
                <w:rFonts w:ascii="宋体" w:hAnsi="宋体" w:cs="宋体"/>
                <w:sz w:val="24"/>
                <w:szCs w:val="24"/>
                <w:highlight w:val="none"/>
              </w:rPr>
              <w:br/>
            </w:r>
            <w:r>
              <w:rPr>
                <w:rFonts w:ascii="宋体" w:hAnsi="宋体" w:cs="宋体"/>
                <w:sz w:val="24"/>
                <w:szCs w:val="24"/>
                <w:highlight w:val="none"/>
              </w:rPr>
              <w:t xml:space="preserve">4.温度显示：温度数码显示；</w:t>
            </w:r>
            <w:r>
              <w:rPr>
                <w:rFonts w:ascii="宋体" w:hAnsi="宋体" w:cs="宋体"/>
                <w:sz w:val="24"/>
                <w:szCs w:val="24"/>
                <w:highlight w:val="none"/>
              </w:rPr>
              <w:br/>
            </w:r>
            <w:r>
              <w:rPr>
                <w:rFonts w:ascii="宋体" w:hAnsi="宋体" w:cs="宋体"/>
                <w:sz w:val="24"/>
                <w:szCs w:val="24"/>
                <w:highlight w:val="none"/>
              </w:rPr>
              <w:t xml:space="preserve">5.门体工艺：自动回归双层隔热门，强磁吸附；</w:t>
            </w:r>
            <w:r>
              <w:rPr>
                <w:rFonts w:ascii="宋体" w:hAnsi="宋体" w:cs="宋体"/>
                <w:sz w:val="24"/>
                <w:szCs w:val="24"/>
                <w:highlight w:val="none"/>
              </w:rPr>
              <w:br/>
            </w:r>
            <w:r>
              <w:rPr>
                <w:rFonts w:ascii="宋体" w:hAnsi="宋体" w:cs="宋体"/>
                <w:sz w:val="24"/>
                <w:szCs w:val="24"/>
                <w:highlight w:val="none"/>
              </w:rPr>
              <w:t xml:space="preserve">6.设备底脚：配置重力脚，高度调节范围为上下10mm-20mm；</w:t>
            </w:r>
            <w:r>
              <w:rPr>
                <w:rFonts w:ascii="宋体" w:hAnsi="宋体" w:cs="宋体"/>
                <w:sz w:val="24"/>
                <w:szCs w:val="24"/>
                <w:highlight w:val="none"/>
              </w:rPr>
              <w:br/>
            </w:r>
            <w:r>
              <w:rPr>
                <w:rFonts w:ascii="宋体" w:hAnsi="宋体" w:cs="宋体"/>
                <w:sz w:val="24"/>
                <w:szCs w:val="24"/>
                <w:highlight w:val="none"/>
              </w:rPr>
              <w:t xml:space="preserve">7.消毒温度：消毒温控范围10-120℃</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8.消毒方式：热风循环式</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留样冰箱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规格：600*700*1950mm</w:t>
            </w:r>
            <w:r>
              <w:rPr>
                <w:rFonts w:ascii="宋体" w:hAnsi="宋体" w:cs="宋体"/>
                <w:sz w:val="24"/>
                <w:szCs w:val="24"/>
                <w:highlight w:val="none"/>
              </w:rPr>
              <w:br/>
            </w:r>
            <w:r>
              <w:rPr>
                <w:rFonts w:ascii="宋体" w:hAnsi="宋体" w:cs="宋体"/>
                <w:sz w:val="24"/>
                <w:szCs w:val="24"/>
                <w:highlight w:val="none"/>
              </w:rPr>
              <w:t xml:space="preserve">1.电压：220V/50Hz</w:t>
            </w:r>
            <w:r>
              <w:rPr>
                <w:rFonts w:ascii="宋体" w:hAnsi="宋体" w:cs="宋体"/>
                <w:sz w:val="24"/>
                <w:szCs w:val="24"/>
                <w:highlight w:val="none"/>
              </w:rPr>
              <w:br/>
            </w:r>
            <w:r>
              <w:rPr>
                <w:rFonts w:ascii="宋体" w:hAnsi="宋体" w:cs="宋体"/>
                <w:sz w:val="24"/>
                <w:szCs w:val="24"/>
                <w:highlight w:val="none"/>
              </w:rPr>
              <w:t xml:space="preserve">2.外箱材质：304#不锈钢磨砂；</w:t>
            </w:r>
            <w:r>
              <w:rPr>
                <w:rFonts w:ascii="宋体" w:hAnsi="宋体" w:cs="宋体"/>
                <w:sz w:val="24"/>
                <w:szCs w:val="24"/>
                <w:highlight w:val="none"/>
              </w:rPr>
              <w:br/>
            </w:r>
            <w:r>
              <w:rPr>
                <w:rFonts w:ascii="宋体" w:hAnsi="宋体" w:cs="宋体"/>
                <w:sz w:val="24"/>
                <w:szCs w:val="24"/>
                <w:highlight w:val="none"/>
              </w:rPr>
              <w:t xml:space="preserve">3.内箱材料：304#不锈钢；</w:t>
            </w:r>
            <w:r>
              <w:rPr>
                <w:rFonts w:ascii="宋体" w:hAnsi="宋体" w:cs="宋体"/>
                <w:sz w:val="24"/>
                <w:szCs w:val="24"/>
                <w:highlight w:val="none"/>
              </w:rPr>
              <w:br/>
            </w:r>
            <w:r>
              <w:rPr>
                <w:rFonts w:ascii="宋体" w:hAnsi="宋体" w:cs="宋体"/>
                <w:sz w:val="24"/>
                <w:szCs w:val="24"/>
                <w:highlight w:val="none"/>
              </w:rPr>
              <w:t xml:space="preserve">4.温度范围：0℃~+10℃；</w:t>
            </w:r>
            <w:r>
              <w:rPr>
                <w:rFonts w:ascii="宋体" w:hAnsi="宋体" w:cs="宋体"/>
                <w:sz w:val="24"/>
                <w:szCs w:val="24"/>
                <w:highlight w:val="none"/>
              </w:rPr>
              <w:br/>
            </w:r>
            <w:r>
              <w:rPr>
                <w:rFonts w:ascii="宋体" w:hAnsi="宋体" w:cs="宋体"/>
                <w:sz w:val="24"/>
                <w:szCs w:val="24"/>
                <w:highlight w:val="none"/>
              </w:rPr>
              <w:t xml:space="preserve">5.加装双锁。</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洗碗机主洗模块</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规格：1200*875*1400mm</w:t>
            </w:r>
            <w:r>
              <w:rPr>
                <w:rFonts w:ascii="宋体" w:hAnsi="宋体" w:cs="宋体"/>
                <w:color w:val="000000"/>
                <w:sz w:val="24"/>
                <w:szCs w:val="24"/>
                <w:highlight w:val="none"/>
              </w:rPr>
              <w:br/>
            </w:r>
            <w:r>
              <w:rPr>
                <w:rFonts w:ascii="宋体" w:hAnsi="宋体" w:cs="宋体"/>
                <w:color w:val="000000"/>
                <w:sz w:val="24"/>
                <w:szCs w:val="24"/>
                <w:highlight w:val="none"/>
              </w:rPr>
              <w:t xml:space="preserve">1.洗碗机主洗模块尺寸：1200*875*1400mm，有效装载清洗宽度和高度≥630*440mm，功率</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KW</w:t>
            </w:r>
            <w:r>
              <w:rPr>
                <w:rFonts w:hint="eastAsia" w:ascii="宋体" w:hAnsi="宋体" w:cs="宋体"/>
                <w:color w:val="000000"/>
                <w:sz w:val="24"/>
                <w:szCs w:val="24"/>
                <w:highlight w:val="none"/>
              </w:rPr>
              <w:t xml:space="preserve">±2KW</w:t>
            </w:r>
            <w:r>
              <w:rPr>
                <w:rFonts w:ascii="宋体" w:hAnsi="宋体" w:cs="宋体"/>
                <w:color w:val="000000"/>
                <w:sz w:val="24"/>
                <w:szCs w:val="24"/>
                <w:highlight w:val="none"/>
              </w:rPr>
              <w:t xml:space="preserve">(380V/50Hz)；</w:t>
            </w:r>
            <w:r/>
          </w:p>
          <w:p>
            <w:pPr>
              <w:numPr>
                <w:ilvl w:val="0"/>
                <w:numId w:val="4"/>
              </w:num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清洗温度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55-70°，持续恒温保证清洗效果；</w:t>
            </w:r>
            <w:r/>
          </w:p>
          <w:p>
            <w:pPr>
              <w:numPr>
                <w:ilvl w:val="0"/>
                <w:numId w:val="5"/>
              </w:num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喷淋设计：内凹防堵广角水刀式清洗喷臂，上下清洗；</w:t>
            </w:r>
            <w:r/>
          </w:p>
          <w:p>
            <w:pPr>
              <w:numPr>
                <w:ilvl w:val="0"/>
                <w:numId w:val="5"/>
              </w:numPr>
              <w:ind w:left="0" w:firstLine="0"/>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传送设计：传送履带为尼龙材料，承重≥100公斤无损坏；</w:t>
            </w:r>
            <w:r/>
          </w:p>
          <w:p>
            <w:pPr>
              <w:numPr>
                <w:ilvl w:val="0"/>
                <w:numId w:val="5"/>
              </w:numPr>
              <w:ind w:left="0" w:firstLine="0"/>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洗涤喷臂采用内凹防堵广角水刀式，拆装简便，适应不同的餐具和容器清洗；</w:t>
            </w:r>
            <w:r/>
          </w:p>
          <w:p>
            <w:pPr>
              <w:numPr>
                <w:ilvl w:val="0"/>
                <w:numId w:val="5"/>
              </w:numPr>
              <w:ind w:left="0" w:firstLine="0"/>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板材采用高品质304#不锈钢材料，外观全封闭式结构设计</w:t>
            </w:r>
            <w:r>
              <w:rPr>
                <w:rFonts w:hint="eastAsia" w:ascii="宋体" w:hAnsi="宋体" w:cs="宋体"/>
                <w:color w:val="000000"/>
                <w:sz w:val="24"/>
                <w:szCs w:val="24"/>
                <w:highlight w:val="none"/>
                <w:lang w:eastAsia="zh-CN"/>
              </w:rPr>
              <w:t xml:space="preserve">；</w:t>
            </w:r>
            <w:r/>
          </w:p>
          <w:p>
            <w:pPr>
              <w:numPr>
                <w:numId w:val="0"/>
              </w:num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7、电控系统配置：核心电器元器部件采用国产品牌；</w:t>
            </w:r>
            <w:r>
              <w:rPr>
                <w:rFonts w:ascii="宋体" w:hAnsi="宋体" w:cs="宋体"/>
                <w:color w:val="000000"/>
                <w:sz w:val="24"/>
                <w:szCs w:val="24"/>
                <w:highlight w:val="none"/>
              </w:rPr>
              <w:br/>
            </w:r>
            <w:r>
              <w:rPr>
                <w:rFonts w:ascii="宋体" w:hAnsi="宋体" w:cs="宋体"/>
                <w:color w:val="000000"/>
                <w:sz w:val="24"/>
                <w:szCs w:val="24"/>
                <w:highlight w:val="none"/>
              </w:rPr>
              <w:t xml:space="preserve">8、包含电器、电路改装。</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洗碗机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规格：4000*840*1600mm</w:t>
            </w:r>
            <w:r>
              <w:rPr>
                <w:rFonts w:ascii="宋体" w:hAnsi="宋体" w:cs="宋体"/>
                <w:sz w:val="24"/>
                <w:szCs w:val="24"/>
                <w:highlight w:val="none"/>
              </w:rPr>
              <w:br/>
            </w:r>
            <w:r>
              <w:rPr>
                <w:rFonts w:ascii="宋体" w:hAnsi="宋体" w:cs="宋体"/>
                <w:sz w:val="24"/>
                <w:szCs w:val="24"/>
                <w:highlight w:val="none"/>
              </w:rPr>
              <w:t xml:space="preserve">2.整机功率</w:t>
            </w:r>
            <w:r>
              <w:rPr>
                <w:rFonts w:hint="eastAsia" w:ascii="宋体" w:hAnsi="宋体" w:cs="宋体"/>
                <w:sz w:val="24"/>
                <w:szCs w:val="24"/>
                <w:highlight w:val="none"/>
              </w:rPr>
              <w:t xml:space="preserve">60</w:t>
            </w:r>
            <w:r>
              <w:rPr>
                <w:rFonts w:ascii="宋体" w:hAnsi="宋体" w:cs="宋体"/>
                <w:sz w:val="24"/>
                <w:szCs w:val="24"/>
                <w:highlight w:val="none"/>
              </w:rPr>
              <w:t xml:space="preserve">KW</w:t>
            </w:r>
            <w:r>
              <w:rPr>
                <w:rFonts w:hint="eastAsia" w:ascii="宋体" w:hAnsi="宋体" w:cs="宋体"/>
                <w:sz w:val="24"/>
                <w:szCs w:val="24"/>
                <w:highlight w:val="none"/>
              </w:rPr>
              <w:t xml:space="preserve">±5KW</w:t>
            </w:r>
            <w:r>
              <w:rPr>
                <w:rFonts w:ascii="宋体" w:hAnsi="宋体" w:cs="宋体"/>
                <w:sz w:val="24"/>
                <w:szCs w:val="24"/>
                <w:highlight w:val="none"/>
              </w:rPr>
              <w:t xml:space="preserve">(380V/50Hz)，</w:t>
            </w:r>
            <w:r>
              <w:rPr>
                <w:rFonts w:ascii="宋体" w:hAnsi="宋体" w:cs="宋体"/>
                <w:sz w:val="24"/>
                <w:szCs w:val="24"/>
                <w:highlight w:val="none"/>
              </w:rPr>
              <w:br/>
            </w:r>
            <w:r>
              <w:rPr>
                <w:rFonts w:ascii="宋体" w:hAnsi="宋体" w:cs="宋体"/>
                <w:sz w:val="24"/>
                <w:szCs w:val="24"/>
                <w:highlight w:val="none"/>
              </w:rPr>
              <w:t xml:space="preserve">3.有效装载清洗宽度630mm，高度445mm，</w:t>
            </w:r>
            <w:r>
              <w:rPr>
                <w:rFonts w:ascii="宋体" w:hAnsi="宋体" w:cs="宋体"/>
                <w:sz w:val="24"/>
                <w:szCs w:val="24"/>
                <w:highlight w:val="none"/>
              </w:rPr>
              <w:br/>
            </w:r>
            <w:r>
              <w:rPr>
                <w:rFonts w:ascii="宋体" w:hAnsi="宋体" w:cs="宋体"/>
                <w:sz w:val="24"/>
                <w:szCs w:val="24"/>
                <w:highlight w:val="none"/>
              </w:rPr>
              <w:t xml:space="preserve">4.耗水量≤350L/h，</w:t>
            </w:r>
            <w:r>
              <w:rPr>
                <w:rFonts w:ascii="宋体" w:hAnsi="宋体" w:cs="宋体"/>
                <w:sz w:val="24"/>
                <w:szCs w:val="24"/>
                <w:highlight w:val="none"/>
              </w:rPr>
              <w:br/>
            </w:r>
            <w:r>
              <w:rPr>
                <w:rFonts w:ascii="宋体" w:hAnsi="宋体" w:cs="宋体"/>
                <w:sz w:val="24"/>
                <w:szCs w:val="24"/>
                <w:highlight w:val="none"/>
              </w:rPr>
              <w:t xml:space="preserve">5.清洗数量：3500-5800（碟/小时）；</w:t>
            </w:r>
            <w:r>
              <w:rPr>
                <w:rFonts w:ascii="宋体" w:hAnsi="宋体" w:cs="宋体"/>
                <w:sz w:val="24"/>
                <w:szCs w:val="24"/>
                <w:highlight w:val="none"/>
              </w:rPr>
              <w:br/>
            </w:r>
            <w:r>
              <w:rPr>
                <w:rFonts w:ascii="宋体" w:hAnsi="宋体" w:cs="宋体"/>
                <w:sz w:val="24"/>
                <w:szCs w:val="24"/>
                <w:highlight w:val="none"/>
              </w:rPr>
              <w:t xml:space="preserve">6.功能区采用模块化设计，方便日常维护保养与组装，由入口区、预洗区、主洗区、高温漂洗区、出口区组成，双喷淋漂洗设计；清洗温度55-70°，漂洗温度82-95°；7.配置高清触摸控制显示屏幕，实时显示设备运行状态，搭载全智能物联网控制系统，管理者在APP后台可实时掌握设备运行状态（如水温、水量、洗涤周期、故障代码等），系统可分析设备使用频率与能耗数据；</w:t>
            </w:r>
            <w:r>
              <w:rPr>
                <w:rFonts w:ascii="宋体" w:hAnsi="宋体" w:cs="宋体"/>
                <w:sz w:val="24"/>
                <w:szCs w:val="24"/>
                <w:highlight w:val="none"/>
              </w:rPr>
              <w:br/>
            </w:r>
            <w:r>
              <w:rPr>
                <w:rFonts w:ascii="宋体" w:hAnsi="宋体" w:cs="宋体"/>
                <w:sz w:val="24"/>
                <w:szCs w:val="24"/>
                <w:highlight w:val="none"/>
              </w:rPr>
              <w:t xml:space="preserve">8.清洗喷臂采用内凹防堵广角水刀式，上下各8根，拆装简便，漂洗喷臂上下各2根，适应不同的餐具和容器清洗；</w:t>
            </w:r>
            <w:r>
              <w:rPr>
                <w:rFonts w:ascii="宋体" w:hAnsi="宋体" w:cs="宋体"/>
                <w:sz w:val="24"/>
                <w:szCs w:val="24"/>
                <w:highlight w:val="none"/>
              </w:rPr>
              <w:br/>
            </w:r>
            <w:r>
              <w:rPr>
                <w:rFonts w:ascii="宋体" w:hAnsi="宋体" w:cs="宋体"/>
                <w:sz w:val="24"/>
                <w:szCs w:val="24"/>
                <w:highlight w:val="none"/>
              </w:rPr>
              <w:t xml:space="preserve">9.双层隔热门设计，传送履带为尼龙材料；</w:t>
            </w:r>
            <w:r>
              <w:rPr>
                <w:rFonts w:ascii="宋体" w:hAnsi="宋体" w:cs="宋体"/>
                <w:sz w:val="24"/>
                <w:szCs w:val="24"/>
                <w:highlight w:val="none"/>
              </w:rPr>
              <w:br/>
            </w:r>
            <w:r>
              <w:rPr>
                <w:rFonts w:ascii="宋体" w:hAnsi="宋体" w:cs="宋体"/>
                <w:sz w:val="24"/>
                <w:szCs w:val="24"/>
                <w:highlight w:val="none"/>
              </w:rPr>
              <w:t xml:space="preserve">10.整机板材采用SU304#不锈钢材料，内置药液分配器，无需额外安装，外观全封闭设计；</w:t>
            </w:r>
            <w:r>
              <w:rPr>
                <w:rFonts w:ascii="宋体" w:hAnsi="宋体" w:cs="宋体"/>
                <w:sz w:val="24"/>
                <w:szCs w:val="24"/>
                <w:highlight w:val="none"/>
              </w:rPr>
              <w:br/>
            </w:r>
            <w:r>
              <w:rPr>
                <w:rFonts w:ascii="宋体" w:hAnsi="宋体" w:cs="宋体"/>
                <w:sz w:val="24"/>
                <w:szCs w:val="24"/>
                <w:highlight w:val="none"/>
              </w:rPr>
              <w:t xml:space="preserve">▲11.产品电气使用安全要求：洗碗机行程开关、洗碗机控制主板</w:t>
            </w:r>
            <w:r>
              <w:rPr>
                <w:rFonts w:hint="eastAsia" w:ascii="宋体" w:hAnsi="宋体" w:cs="宋体"/>
                <w:sz w:val="24"/>
                <w:szCs w:val="24"/>
                <w:highlight w:val="none"/>
              </w:rPr>
              <w:t xml:space="preserve">和</w:t>
            </w:r>
            <w:r>
              <w:rPr>
                <w:rFonts w:ascii="宋体" w:hAnsi="宋体" w:cs="宋体"/>
                <w:sz w:val="24"/>
                <w:szCs w:val="24"/>
                <w:highlight w:val="none"/>
              </w:rPr>
              <w:t xml:space="preserve">洗碗机电控接触器依据GB/T5169.5-2020《电工电子产品着火危险试验第5部分:试验火焰针焰试验方法装置、确认试验方法和导则》标准，通过针焰试验，检测合格</w:t>
            </w:r>
            <w:r>
              <w:rPr>
                <w:rFonts w:hint="eastAsia" w:ascii="宋体" w:hAnsi="宋体" w:cs="宋体"/>
                <w:sz w:val="24"/>
                <w:szCs w:val="24"/>
                <w:highlight w:val="none"/>
              </w:rPr>
              <w:t xml:space="preserve">或符合</w:t>
            </w:r>
            <w:bookmarkStart w:id="240" w:name="OLE_LINK1"/>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签订合同时提供第三方检测报告</w:t>
            </w:r>
            <w:r>
              <w:rPr>
                <w:rFonts w:hint="eastAsia" w:ascii="宋体" w:hAnsi="宋体" w:cs="宋体"/>
                <w:sz w:val="24"/>
                <w:szCs w:val="24"/>
                <w:highlight w:val="none"/>
              </w:rPr>
              <w:t xml:space="preserve">）</w:t>
            </w:r>
            <w:bookmarkEnd w:id="240"/>
            <w:r>
              <w:rPr>
                <w:rFonts w:ascii="宋体" w:hAnsi="宋体" w:cs="宋体"/>
                <w:sz w:val="24"/>
                <w:szCs w:val="24"/>
                <w:highlight w:val="none"/>
              </w:rPr>
              <w:t xml:space="preserve">；▲12.洗碗机输送带(拔齿)、洗碗机挡水帘)依据GB/T1040.2-2022标准，测试其拉伸强度≥20</w:t>
            </w:r>
            <w:r>
              <w:rPr>
                <w:rFonts w:hint="eastAsia" w:ascii="宋体" w:hAnsi="宋体" w:cs="宋体"/>
                <w:sz w:val="24"/>
                <w:szCs w:val="24"/>
                <w:highlight w:val="none"/>
              </w:rPr>
              <w:t xml:space="preserve">0</w:t>
            </w:r>
            <w:r>
              <w:rPr>
                <w:rFonts w:ascii="宋体" w:hAnsi="宋体" w:cs="宋体"/>
                <w:sz w:val="24"/>
                <w:szCs w:val="24"/>
                <w:highlight w:val="none"/>
              </w:rPr>
              <w:t xml:space="preserve">MPa，符合产品强度要求</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签订合同时提供第三方检测报告</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土豆脱皮机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规格：730*600*1000mm</w:t>
            </w:r>
            <w:r>
              <w:rPr>
                <w:rFonts w:ascii="宋体" w:hAnsi="宋体" w:cs="宋体"/>
                <w:sz w:val="24"/>
                <w:szCs w:val="24"/>
                <w:highlight w:val="none"/>
              </w:rPr>
              <w:br/>
            </w:r>
            <w:r>
              <w:rPr>
                <w:rFonts w:ascii="宋体" w:hAnsi="宋体" w:cs="宋体"/>
                <w:sz w:val="24"/>
                <w:szCs w:val="24"/>
                <w:highlight w:val="none"/>
              </w:rPr>
              <w:t xml:space="preserve">1.产量≥400kg/h</w:t>
            </w:r>
            <w:r>
              <w:rPr>
                <w:rFonts w:hint="eastAsia" w:ascii="宋体" w:hAnsi="宋体" w:cs="宋体"/>
                <w:sz w:val="24"/>
                <w:szCs w:val="24"/>
                <w:highlight w:val="none"/>
              </w:rPr>
              <w:t xml:space="preserve">，</w:t>
            </w:r>
            <w:r>
              <w:rPr>
                <w:rFonts w:ascii="宋体" w:hAnsi="宋体" w:cs="宋体"/>
                <w:sz w:val="24"/>
                <w:szCs w:val="24"/>
                <w:highlight w:val="none"/>
              </w:rPr>
              <w:t xml:space="preserve">功率≥1.5kw，电压220V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2.SU304#不锈钢外壳</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3.可拆卸进水管</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4.可打开式出料口门</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ascii="宋体" w:hAnsi="宋体" w:cs="宋体"/>
                <w:sz w:val="24"/>
                <w:szCs w:val="24"/>
                <w:highlight w:val="none"/>
              </w:rPr>
              <w:t xml:space="preserve">▲</w:t>
            </w:r>
            <w:r>
              <w:rPr>
                <w:rFonts w:hint="eastAsia" w:ascii="宋体" w:hAnsi="宋体" w:cs="宋体"/>
                <w:sz w:val="24"/>
                <w:szCs w:val="24"/>
                <w:highlight w:val="none"/>
              </w:rPr>
              <w:t xml:space="preserve">5</w:t>
            </w:r>
            <w:r>
              <w:rPr>
                <w:rFonts w:ascii="宋体" w:hAnsi="宋体" w:cs="宋体"/>
                <w:sz w:val="24"/>
                <w:szCs w:val="24"/>
                <w:highlight w:val="none"/>
              </w:rPr>
              <w:t xml:space="preserve">.所投设备不锈钢板检测依据：GB/T228.1-2021、GB/T232-2024、GB/T4340.1-2024，抗拉强度、规定塑性延伸强度、断后伸长率、弯曲试验、维氏硬度检测结果均符合要求（</w:t>
            </w:r>
            <w:r>
              <w:rPr>
                <w:rFonts w:hint="eastAsia" w:ascii="宋体" w:hAnsi="宋体" w:cs="宋体"/>
                <w:sz w:val="24"/>
                <w:szCs w:val="24"/>
                <w:highlight w:val="none"/>
                <w:lang w:eastAsia="zh-CN"/>
              </w:rPr>
              <w:t xml:space="preserve">签订合同时提供第三方检测报告</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开水器连底座</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规格：495*260*960mm</w:t>
            </w:r>
            <w:r>
              <w:rPr>
                <w:rFonts w:ascii="宋体" w:hAnsi="宋体" w:cs="宋体"/>
                <w:sz w:val="24"/>
                <w:szCs w:val="24"/>
                <w:highlight w:val="none"/>
              </w:rPr>
              <w:br/>
            </w:r>
            <w:r>
              <w:rPr>
                <w:rFonts w:ascii="宋体" w:hAnsi="宋体" w:cs="宋体"/>
                <w:sz w:val="24"/>
                <w:szCs w:val="24"/>
                <w:highlight w:val="none"/>
              </w:rPr>
              <w:t xml:space="preserve">1.功率：≥12kw</w:t>
            </w:r>
            <w:r>
              <w:rPr>
                <w:rFonts w:ascii="宋体" w:hAnsi="宋体" w:cs="宋体"/>
                <w:sz w:val="24"/>
                <w:szCs w:val="24"/>
                <w:highlight w:val="none"/>
              </w:rPr>
              <w:br/>
            </w:r>
            <w:r>
              <w:rPr>
                <w:rFonts w:ascii="宋体" w:hAnsi="宋体" w:cs="宋体"/>
                <w:sz w:val="24"/>
                <w:szCs w:val="24"/>
                <w:highlight w:val="none"/>
              </w:rPr>
              <w:t xml:space="preserve">2.电压：380V</w:t>
            </w:r>
            <w:r>
              <w:rPr>
                <w:rFonts w:ascii="宋体" w:hAnsi="宋体" w:cs="宋体"/>
                <w:sz w:val="24"/>
                <w:szCs w:val="24"/>
                <w:highlight w:val="none"/>
              </w:rPr>
              <w:br/>
            </w:r>
            <w:r>
              <w:rPr>
                <w:rFonts w:ascii="宋体" w:hAnsi="宋体" w:cs="宋体"/>
                <w:sz w:val="24"/>
                <w:szCs w:val="24"/>
                <w:highlight w:val="none"/>
              </w:rPr>
              <w:t xml:space="preserve">3.供水量：≥120升/H</w:t>
            </w:r>
            <w:r>
              <w:rPr>
                <w:rFonts w:ascii="宋体" w:hAnsi="宋体" w:cs="宋体"/>
                <w:sz w:val="24"/>
                <w:szCs w:val="24"/>
                <w:highlight w:val="none"/>
              </w:rPr>
              <w:br/>
            </w:r>
            <w:r>
              <w:rPr>
                <w:rFonts w:ascii="宋体" w:hAnsi="宋体" w:cs="宋体"/>
                <w:sz w:val="24"/>
                <w:szCs w:val="24"/>
                <w:highlight w:val="none"/>
              </w:rPr>
              <w:t xml:space="preserve">4.水咀：2个</w:t>
            </w:r>
            <w:r>
              <w:rPr>
                <w:rFonts w:ascii="宋体" w:hAnsi="宋体" w:cs="宋体"/>
                <w:sz w:val="24"/>
                <w:szCs w:val="24"/>
                <w:highlight w:val="none"/>
              </w:rPr>
              <w:br/>
            </w:r>
            <w:r>
              <w:rPr>
                <w:rFonts w:ascii="宋体" w:hAnsi="宋体" w:cs="宋体"/>
                <w:sz w:val="24"/>
                <w:szCs w:val="24"/>
                <w:highlight w:val="none"/>
              </w:rPr>
              <w:t xml:space="preserve">5.数码显示水温，微电脑控温，全自动控制，整体发泡，配不锈钢底座。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绞切肉机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规格：580*460*800mm</w:t>
            </w:r>
            <w:r>
              <w:rPr>
                <w:rFonts w:ascii="宋体" w:hAnsi="宋体" w:cs="宋体"/>
                <w:sz w:val="24"/>
                <w:szCs w:val="24"/>
                <w:highlight w:val="none"/>
              </w:rPr>
              <w:br/>
            </w:r>
            <w:r>
              <w:rPr>
                <w:rFonts w:ascii="宋体" w:hAnsi="宋体" w:cs="宋体"/>
                <w:sz w:val="24"/>
                <w:szCs w:val="24"/>
                <w:highlight w:val="none"/>
              </w:rPr>
              <w:t xml:space="preserve">1.效率：切肉片≥400kg/h、绞肉≥250kg/h；</w:t>
            </w:r>
            <w:r>
              <w:rPr>
                <w:rFonts w:ascii="宋体" w:hAnsi="宋体" w:cs="宋体"/>
                <w:sz w:val="24"/>
                <w:szCs w:val="24"/>
                <w:highlight w:val="none"/>
              </w:rPr>
              <w:br/>
            </w:r>
            <w:r>
              <w:rPr>
                <w:rFonts w:ascii="宋体" w:hAnsi="宋体" w:cs="宋体"/>
                <w:sz w:val="24"/>
                <w:szCs w:val="24"/>
                <w:highlight w:val="none"/>
              </w:rPr>
              <w:t xml:space="preserve">2.肉片厚度：3mm、5mm；</w:t>
            </w:r>
            <w:r>
              <w:rPr>
                <w:rFonts w:ascii="宋体" w:hAnsi="宋体" w:cs="宋体"/>
                <w:sz w:val="24"/>
                <w:szCs w:val="24"/>
                <w:highlight w:val="none"/>
              </w:rPr>
              <w:br/>
            </w:r>
            <w:r>
              <w:rPr>
                <w:rFonts w:ascii="宋体" w:hAnsi="宋体" w:cs="宋体"/>
                <w:sz w:val="24"/>
                <w:szCs w:val="24"/>
                <w:highlight w:val="none"/>
              </w:rPr>
              <w:t xml:space="preserve">3.功率：≥2.2kw/220v；</w:t>
            </w:r>
            <w:r>
              <w:rPr>
                <w:rFonts w:ascii="宋体" w:hAnsi="宋体" w:cs="宋体"/>
                <w:sz w:val="24"/>
                <w:szCs w:val="24"/>
                <w:highlight w:val="none"/>
              </w:rPr>
              <w:br/>
            </w:r>
            <w:r>
              <w:rPr>
                <w:rFonts w:ascii="宋体" w:hAnsi="宋体" w:cs="宋体"/>
                <w:sz w:val="24"/>
                <w:szCs w:val="24"/>
                <w:highlight w:val="none"/>
              </w:rPr>
              <w:t xml:space="preserve">4.刀轴转速：</w:t>
            </w:r>
            <w:r>
              <w:rPr>
                <w:rFonts w:hint="eastAsia" w:ascii="宋体" w:hAnsi="宋体" w:cs="宋体"/>
                <w:sz w:val="24"/>
                <w:szCs w:val="24"/>
                <w:highlight w:val="none"/>
              </w:rPr>
              <w:t xml:space="preserve">450～</w:t>
            </w:r>
            <w:r>
              <w:rPr>
                <w:rFonts w:ascii="宋体" w:hAnsi="宋体" w:cs="宋体"/>
                <w:sz w:val="24"/>
                <w:szCs w:val="24"/>
                <w:highlight w:val="none"/>
              </w:rPr>
              <w:t xml:space="preserve">4</w:t>
            </w:r>
            <w:r>
              <w:rPr>
                <w:rFonts w:hint="eastAsia" w:ascii="宋体" w:hAnsi="宋体" w:cs="宋体"/>
                <w:sz w:val="24"/>
                <w:szCs w:val="24"/>
                <w:highlight w:val="none"/>
              </w:rPr>
              <w:t xml:space="preserve">8</w:t>
            </w:r>
            <w:r>
              <w:rPr>
                <w:rFonts w:ascii="宋体" w:hAnsi="宋体" w:cs="宋体"/>
                <w:sz w:val="24"/>
                <w:szCs w:val="24"/>
                <w:highlight w:val="none"/>
              </w:rPr>
              <w:t xml:space="preserve">0r/min；</w:t>
            </w:r>
            <w:r>
              <w:rPr>
                <w:rFonts w:ascii="宋体" w:hAnsi="宋体" w:cs="宋体"/>
                <w:sz w:val="24"/>
                <w:szCs w:val="24"/>
                <w:highlight w:val="none"/>
              </w:rPr>
              <w:br/>
            </w:r>
            <w:r>
              <w:rPr>
                <w:rFonts w:ascii="宋体" w:hAnsi="宋体" w:cs="宋体"/>
                <w:sz w:val="24"/>
                <w:szCs w:val="24"/>
                <w:highlight w:val="none"/>
              </w:rPr>
              <w:t xml:space="preserve">5.绞龙转速：</w:t>
            </w:r>
            <w:r>
              <w:rPr>
                <w:rFonts w:hint="eastAsia" w:ascii="宋体" w:hAnsi="宋体" w:cs="宋体"/>
                <w:sz w:val="24"/>
                <w:szCs w:val="24"/>
                <w:highlight w:val="none"/>
              </w:rPr>
              <w:t xml:space="preserve">290～310</w:t>
            </w:r>
            <w:r>
              <w:rPr>
                <w:rFonts w:ascii="宋体" w:hAnsi="宋体" w:cs="宋体"/>
                <w:sz w:val="24"/>
                <w:szCs w:val="24"/>
                <w:highlight w:val="none"/>
              </w:rPr>
              <w:t xml:space="preserve">r/min；</w:t>
            </w:r>
            <w:r>
              <w:rPr>
                <w:rFonts w:ascii="宋体" w:hAnsi="宋体" w:cs="宋体"/>
                <w:sz w:val="24"/>
                <w:szCs w:val="24"/>
                <w:highlight w:val="none"/>
              </w:rPr>
              <w:br/>
            </w:r>
            <w:r>
              <w:rPr>
                <w:rFonts w:ascii="宋体" w:hAnsi="宋体" w:cs="宋体"/>
                <w:sz w:val="24"/>
                <w:szCs w:val="24"/>
                <w:highlight w:val="none"/>
              </w:rPr>
              <w:t xml:space="preserve">6.额定频率：50Hz；</w:t>
            </w:r>
            <w:r>
              <w:rPr>
                <w:rFonts w:ascii="宋体" w:hAnsi="宋体" w:cs="宋体"/>
                <w:sz w:val="24"/>
                <w:szCs w:val="24"/>
                <w:highlight w:val="none"/>
              </w:rPr>
              <w:br/>
            </w:r>
            <w:r>
              <w:rPr>
                <w:rFonts w:ascii="宋体" w:hAnsi="宋体" w:cs="宋体"/>
                <w:sz w:val="24"/>
                <w:szCs w:val="24"/>
                <w:highlight w:val="none"/>
              </w:rPr>
              <w:t xml:space="preserve">7.防水等级</w:t>
            </w:r>
            <w:r>
              <w:rPr>
                <w:rFonts w:hint="eastAsia" w:ascii="宋体" w:hAnsi="宋体" w:cs="宋体"/>
                <w:sz w:val="24"/>
                <w:szCs w:val="24"/>
                <w:highlight w:val="none"/>
              </w:rPr>
              <w:t xml:space="preserve">不低于</w:t>
            </w:r>
            <w:r>
              <w:rPr>
                <w:rFonts w:ascii="宋体" w:hAnsi="宋体" w:cs="宋体"/>
                <w:sz w:val="24"/>
                <w:szCs w:val="24"/>
                <w:highlight w:val="none"/>
              </w:rPr>
              <w:t xml:space="preserve">IPX1；</w:t>
            </w:r>
            <w:r>
              <w:rPr>
                <w:rFonts w:ascii="宋体" w:hAnsi="宋体" w:cs="宋体"/>
                <w:sz w:val="24"/>
                <w:szCs w:val="24"/>
                <w:highlight w:val="none"/>
              </w:rPr>
              <w:br/>
            </w:r>
            <w:r>
              <w:rPr>
                <w:rFonts w:ascii="宋体" w:hAnsi="宋体" w:cs="宋体"/>
                <w:sz w:val="24"/>
                <w:szCs w:val="24"/>
                <w:highlight w:val="none"/>
              </w:rPr>
              <w:t xml:space="preserve">8.</w:t>
            </w:r>
            <w:r>
              <w:rPr>
                <w:rFonts w:hint="eastAsia" w:ascii="宋体" w:hAnsi="宋体" w:cs="宋体"/>
                <w:sz w:val="24"/>
                <w:szCs w:val="24"/>
                <w:highlight w:val="none"/>
              </w:rPr>
              <w:t xml:space="preserve">配套</w:t>
            </w:r>
            <w:r>
              <w:rPr>
                <w:rFonts w:ascii="宋体" w:hAnsi="宋体" w:cs="宋体"/>
                <w:sz w:val="24"/>
                <w:szCs w:val="24"/>
                <w:highlight w:val="none"/>
              </w:rPr>
              <w:t xml:space="preserve">不锈钢绞龙、孔板及十字刀。</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多功能切菜机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规格：1180*550*1260mm</w:t>
            </w:r>
            <w:r>
              <w:rPr>
                <w:rFonts w:ascii="宋体" w:hAnsi="宋体" w:cs="宋体"/>
                <w:sz w:val="24"/>
                <w:szCs w:val="24"/>
                <w:highlight w:val="none"/>
              </w:rPr>
              <w:br/>
            </w:r>
            <w:r>
              <w:rPr>
                <w:rFonts w:ascii="宋体" w:hAnsi="宋体" w:cs="宋体"/>
                <w:sz w:val="24"/>
                <w:szCs w:val="24"/>
                <w:highlight w:val="none"/>
              </w:rPr>
              <w:t xml:space="preserve">1.</w:t>
            </w:r>
            <w:r>
              <w:rPr>
                <w:rFonts w:hint="eastAsia" w:ascii="宋体" w:hAnsi="宋体" w:cs="宋体"/>
                <w:sz w:val="24"/>
                <w:szCs w:val="24"/>
                <w:highlight w:val="none"/>
              </w:rPr>
              <w:t xml:space="preserve">工作</w:t>
            </w:r>
            <w:r>
              <w:rPr>
                <w:rFonts w:ascii="宋体" w:hAnsi="宋体" w:cs="宋体"/>
                <w:sz w:val="24"/>
                <w:szCs w:val="24"/>
                <w:highlight w:val="none"/>
              </w:rPr>
              <w:t xml:space="preserve">电压</w:t>
            </w:r>
            <w:r>
              <w:rPr>
                <w:rFonts w:hint="eastAsia" w:ascii="宋体" w:hAnsi="宋体" w:cs="宋体"/>
                <w:sz w:val="24"/>
                <w:szCs w:val="24"/>
                <w:highlight w:val="none"/>
              </w:rPr>
              <w:t xml:space="preserve">AC</w:t>
            </w:r>
            <w:r>
              <w:rPr>
                <w:rFonts w:ascii="宋体" w:hAnsi="宋体" w:cs="宋体"/>
                <w:sz w:val="24"/>
                <w:szCs w:val="24"/>
                <w:highlight w:val="none"/>
              </w:rPr>
              <w:t xml:space="preserve">220V</w:t>
            </w:r>
            <w:r>
              <w:rPr>
                <w:rFonts w:hint="eastAsia" w:ascii="宋体" w:hAnsi="宋体" w:cs="宋体"/>
                <w:sz w:val="24"/>
                <w:szCs w:val="24"/>
                <w:highlight w:val="none"/>
              </w:rPr>
              <w:t xml:space="preserve">，</w:t>
            </w:r>
            <w:r>
              <w:rPr>
                <w:rFonts w:ascii="宋体" w:hAnsi="宋体" w:cs="宋体"/>
                <w:sz w:val="24"/>
                <w:szCs w:val="24"/>
                <w:highlight w:val="none"/>
              </w:rPr>
              <w:t xml:space="preserve">功率2kw</w:t>
            </w:r>
            <w:r>
              <w:rPr>
                <w:rFonts w:hint="eastAsia" w:ascii="宋体" w:hAnsi="宋体" w:cs="宋体"/>
                <w:sz w:val="24"/>
                <w:szCs w:val="24"/>
                <w:highlight w:val="none"/>
              </w:rPr>
              <w:t xml:space="preserve">±0.5kw；</w:t>
            </w:r>
            <w:r>
              <w:rPr>
                <w:rFonts w:ascii="宋体" w:hAnsi="宋体" w:cs="宋体"/>
                <w:sz w:val="24"/>
                <w:szCs w:val="24"/>
                <w:highlight w:val="none"/>
              </w:rPr>
              <w:br/>
            </w:r>
            <w:r>
              <w:rPr>
                <w:rFonts w:ascii="宋体" w:hAnsi="宋体" w:cs="宋体"/>
                <w:sz w:val="24"/>
                <w:szCs w:val="24"/>
                <w:highlight w:val="none"/>
              </w:rPr>
              <w:t xml:space="preserve">2.工作效率：≥300-1000kg/h；</w:t>
            </w:r>
            <w:r>
              <w:rPr>
                <w:rFonts w:ascii="宋体" w:hAnsi="宋体" w:cs="宋体"/>
                <w:sz w:val="24"/>
                <w:szCs w:val="24"/>
                <w:highlight w:val="none"/>
              </w:rPr>
              <w:br/>
            </w:r>
            <w:r>
              <w:rPr>
                <w:rFonts w:ascii="宋体" w:hAnsi="宋体" w:cs="宋体"/>
                <w:sz w:val="24"/>
                <w:szCs w:val="24"/>
                <w:highlight w:val="none"/>
              </w:rPr>
              <w:t xml:space="preserve">3.叶菜切制规格：1-60mm；随机刀具至少包含大双刀1组（叶菜）；切片刀盘、切丝刀盘、切丁刀盘各一组；至少配置两个变频器、用于输送部及叶菜部速度调整</w:t>
            </w:r>
            <w:r>
              <w:rPr>
                <w:rFonts w:hint="eastAsia" w:ascii="宋体" w:hAnsi="宋体" w:cs="宋体"/>
                <w:sz w:val="24"/>
                <w:szCs w:val="24"/>
                <w:highlight w:val="none"/>
              </w:rPr>
              <w:t xml:space="preserve">，</w:t>
            </w:r>
            <w:r>
              <w:rPr>
                <w:rFonts w:ascii="宋体" w:hAnsi="宋体" w:cs="宋体"/>
                <w:sz w:val="24"/>
                <w:szCs w:val="24"/>
                <w:highlight w:val="none"/>
              </w:rPr>
              <w:t xml:space="preserve">输送宽度120mm</w:t>
            </w:r>
            <w:r>
              <w:rPr>
                <w:rFonts w:hint="eastAsia" w:ascii="宋体" w:hAnsi="宋体" w:cs="宋体"/>
                <w:sz w:val="24"/>
                <w:szCs w:val="24"/>
                <w:highlight w:val="none"/>
              </w:rPr>
              <w:t xml:space="preserve">±10m；</w:t>
            </w:r>
            <w:r>
              <w:rPr>
                <w:rFonts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4.产品两侧切刀门处需设有安全连锁机构（开门可自动断电停机）、配备热过载继电器（保护电机）及紧急停止按钮（紧急情况下可一键停机）等安全装置保障安全</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w:t>
            </w:r>
            <w:r>
              <w:rPr>
                <w:rFonts w:hint="eastAsia" w:ascii="宋体" w:hAnsi="宋体" w:cs="宋体"/>
                <w:sz w:val="24"/>
                <w:szCs w:val="24"/>
                <w:highlight w:val="none"/>
              </w:rPr>
              <w:t xml:space="preserve">5</w:t>
            </w:r>
            <w:r>
              <w:rPr>
                <w:rFonts w:ascii="宋体" w:hAnsi="宋体" w:cs="宋体"/>
                <w:sz w:val="24"/>
                <w:szCs w:val="24"/>
                <w:highlight w:val="none"/>
              </w:rPr>
              <w:t xml:space="preserve">.所投多功能切菜机依据GB/T17625.2-2007、GB/T4343.2-2020、GB/T17626.2-2018电磁兼容标准完成试验，电压变化、电压波动和闪烁、静电放电抗扰度试验项目检测结果为合格（</w:t>
            </w:r>
            <w:r>
              <w:rPr>
                <w:rFonts w:hint="eastAsia" w:ascii="宋体" w:hAnsi="宋体" w:cs="宋体"/>
                <w:sz w:val="24"/>
                <w:szCs w:val="24"/>
                <w:highlight w:val="none"/>
                <w:lang w:eastAsia="zh-CN"/>
              </w:rPr>
              <w:t xml:space="preserve">签订合同时提供第三方检测报告</w:t>
            </w:r>
            <w:r>
              <w:rPr>
                <w:rFonts w:ascii="宋体" w:hAnsi="宋体" w:cs="宋体"/>
                <w:sz w:val="24"/>
                <w:szCs w:val="24"/>
                <w:highlight w:val="none"/>
              </w:rPr>
              <w:t xml:space="preserve">）</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豆浆机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规格：≥45L</w:t>
            </w:r>
            <w:r>
              <w:rPr>
                <w:rFonts w:ascii="宋体" w:hAnsi="宋体" w:cs="宋体"/>
                <w:sz w:val="24"/>
                <w:szCs w:val="24"/>
                <w:highlight w:val="none"/>
              </w:rPr>
              <w:br/>
            </w:r>
            <w:r>
              <w:rPr>
                <w:rFonts w:ascii="宋体" w:hAnsi="宋体" w:cs="宋体"/>
                <w:sz w:val="24"/>
                <w:szCs w:val="24"/>
                <w:highlight w:val="none"/>
              </w:rPr>
              <w:t xml:space="preserve">1.生产容量：≥30-45L</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2.额定电压：220V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3.加热功率：≥5KW</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4.电机功率：≥1.2kw</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电炸炉</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规格：800*600*950mm</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2.机身厚度1.2mm不锈钢拉丝板；</w:t>
            </w:r>
            <w:r>
              <w:rPr>
                <w:rFonts w:ascii="宋体" w:hAnsi="宋体" w:cs="宋体"/>
                <w:sz w:val="24"/>
                <w:szCs w:val="24"/>
                <w:highlight w:val="none"/>
              </w:rPr>
              <w:br/>
            </w:r>
            <w:r>
              <w:rPr>
                <w:rFonts w:ascii="宋体" w:hAnsi="宋体" w:cs="宋体"/>
                <w:sz w:val="24"/>
                <w:szCs w:val="24"/>
                <w:highlight w:val="none"/>
              </w:rPr>
              <w:t xml:space="preserve">3.电压/功率：380V/9KW</w:t>
            </w:r>
            <w:r>
              <w:rPr>
                <w:rFonts w:hint="eastAsia" w:ascii="宋体" w:hAnsi="宋体" w:cs="宋体"/>
                <w:sz w:val="24"/>
                <w:szCs w:val="24"/>
                <w:highlight w:val="none"/>
              </w:rPr>
              <w:t xml:space="preserve">±0.5KW</w:t>
            </w:r>
            <w:r>
              <w:rPr>
                <w:rFonts w:ascii="宋体" w:hAnsi="宋体" w:cs="宋体"/>
                <w:sz w:val="24"/>
                <w:szCs w:val="24"/>
                <w:highlight w:val="none"/>
              </w:rPr>
              <w:t xml:space="preserve">；</w:t>
            </w:r>
            <w:r>
              <w:rPr>
                <w:rFonts w:ascii="宋体" w:hAnsi="宋体" w:cs="宋体"/>
                <w:sz w:val="24"/>
                <w:szCs w:val="24"/>
                <w:highlight w:val="none"/>
              </w:rPr>
              <w:br/>
            </w:r>
            <w:r>
              <w:rPr>
                <w:rFonts w:hint="eastAsia" w:ascii="宋体" w:hAnsi="宋体" w:cs="宋体"/>
                <w:sz w:val="24"/>
                <w:szCs w:val="24"/>
                <w:highlight w:val="none"/>
                <w:lang w:val="en-US" w:eastAsia="zh-CN"/>
              </w:rPr>
              <w:t xml:space="preserve">4</w:t>
            </w:r>
            <w:r>
              <w:rPr>
                <w:rFonts w:ascii="宋体" w:hAnsi="宋体" w:cs="宋体"/>
                <w:sz w:val="24"/>
                <w:szCs w:val="24"/>
                <w:highlight w:val="none"/>
              </w:rPr>
              <w:t xml:space="preserve">.智能数显温控、超高温保护、漏电保护、启动开关、前置放油把手。</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除湿机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w:t>
            </w:r>
            <w:r>
              <w:rPr>
                <w:rFonts w:ascii="宋体" w:hAnsi="宋体" w:cs="宋体"/>
                <w:sz w:val="24"/>
                <w:szCs w:val="24"/>
                <w:highlight w:val="none"/>
              </w:rPr>
              <w:br/>
            </w:r>
            <w:r>
              <w:rPr>
                <w:rFonts w:ascii="宋体" w:hAnsi="宋体" w:cs="宋体"/>
                <w:sz w:val="24"/>
                <w:szCs w:val="24"/>
                <w:highlight w:val="none"/>
              </w:rPr>
              <w:t xml:space="preserve">1.除湿量</w:t>
            </w:r>
            <w:r>
              <w:rPr>
                <w:rFonts w:hint="eastAsia" w:ascii="宋体" w:hAnsi="宋体" w:cs="宋体"/>
                <w:sz w:val="24"/>
                <w:szCs w:val="24"/>
                <w:highlight w:val="none"/>
              </w:rPr>
              <w:t xml:space="preserve">≥</w:t>
            </w:r>
            <w:r>
              <w:rPr>
                <w:rFonts w:ascii="宋体" w:hAnsi="宋体" w:cs="宋体"/>
                <w:sz w:val="24"/>
                <w:szCs w:val="24"/>
                <w:highlight w:val="none"/>
              </w:rPr>
              <w:t xml:space="preserve">20L/日</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2.适用面积：40-80m²</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3.模式：智能除湿，连续除湿，干衣通风</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4.净化功能：负离子+滤网</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5.额定功率：≥270W，温度可调。</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灭蝇灯</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规格：≥500*120*290mm</w:t>
            </w:r>
            <w:r>
              <w:rPr>
                <w:rFonts w:ascii="宋体" w:hAnsi="宋体" w:cs="宋体"/>
                <w:sz w:val="24"/>
                <w:szCs w:val="24"/>
                <w:highlight w:val="none"/>
              </w:rPr>
              <w:br/>
            </w:r>
            <w:r>
              <w:rPr>
                <w:rFonts w:ascii="宋体" w:hAnsi="宋体" w:cs="宋体"/>
                <w:sz w:val="24"/>
                <w:szCs w:val="24"/>
                <w:highlight w:val="none"/>
              </w:rPr>
              <w:t xml:space="preserve">1.电压：220V</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2.灯管：2*15w灭蝇灯灯管，灯光波长在365nm最有效吸引蚊虫苍蝇。</w:t>
            </w:r>
            <w:r>
              <w:rPr>
                <w:rFonts w:ascii="宋体" w:hAnsi="宋体" w:cs="宋体"/>
                <w:sz w:val="24"/>
                <w:szCs w:val="24"/>
                <w:highlight w:val="none"/>
              </w:rPr>
              <w:br/>
            </w:r>
            <w:r>
              <w:rPr>
                <w:rFonts w:ascii="宋体" w:hAnsi="宋体" w:cs="宋体"/>
                <w:sz w:val="24"/>
                <w:szCs w:val="24"/>
                <w:highlight w:val="none"/>
              </w:rPr>
              <w:t xml:space="preserve">3.覆盖面积≥80㎡</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4.外壳ABS防阻燃材料</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5.双面粘板在使用过程能保持完全敞开，通过粘捕纸粘黏蚊蝇。</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四格保温售卖台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规格：1500*700*800mm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2.面板、水胆厚≥1.2mm不锈钢拉丝板；</w:t>
            </w:r>
            <w:r>
              <w:rPr>
                <w:rFonts w:ascii="宋体" w:hAnsi="宋体" w:cs="宋体"/>
                <w:sz w:val="24"/>
                <w:szCs w:val="24"/>
                <w:highlight w:val="none"/>
              </w:rPr>
              <w:br/>
            </w:r>
            <w:r>
              <w:rPr>
                <w:rFonts w:ascii="宋体" w:hAnsi="宋体" w:cs="宋体"/>
                <w:sz w:val="24"/>
                <w:szCs w:val="24"/>
                <w:highlight w:val="none"/>
              </w:rPr>
              <w:t xml:space="preserve">3.围板采用≥0.8mm不锈钢拉丝板；</w:t>
            </w:r>
            <w:r>
              <w:rPr>
                <w:rFonts w:ascii="宋体" w:hAnsi="宋体" w:cs="宋体"/>
                <w:sz w:val="24"/>
                <w:szCs w:val="24"/>
                <w:highlight w:val="none"/>
              </w:rPr>
              <w:br/>
            </w:r>
            <w:r>
              <w:rPr>
                <w:rFonts w:ascii="宋体" w:hAnsi="宋体" w:cs="宋体"/>
                <w:sz w:val="24"/>
                <w:szCs w:val="24"/>
                <w:highlight w:val="none"/>
              </w:rPr>
              <w:t xml:space="preserve">4.下层拉档：25*38*≥1.2mm不锈钢方管；</w:t>
            </w:r>
            <w:r>
              <w:rPr>
                <w:rFonts w:ascii="宋体" w:hAnsi="宋体" w:cs="宋体"/>
                <w:sz w:val="24"/>
                <w:szCs w:val="24"/>
                <w:highlight w:val="none"/>
              </w:rPr>
              <w:br/>
            </w:r>
            <w:r>
              <w:rPr>
                <w:rFonts w:ascii="宋体" w:hAnsi="宋体" w:cs="宋体"/>
                <w:sz w:val="24"/>
                <w:szCs w:val="24"/>
                <w:highlight w:val="none"/>
              </w:rPr>
              <w:t xml:space="preserve">5.腿采用38*38*≥1.5mm不锈钢方管；</w:t>
            </w:r>
            <w:r>
              <w:rPr>
                <w:rFonts w:ascii="宋体" w:hAnsi="宋体" w:cs="宋体"/>
                <w:sz w:val="24"/>
                <w:szCs w:val="24"/>
                <w:highlight w:val="none"/>
              </w:rPr>
              <w:br/>
            </w:r>
            <w:r>
              <w:rPr>
                <w:rFonts w:ascii="宋体" w:hAnsi="宋体" w:cs="宋体"/>
                <w:sz w:val="24"/>
                <w:szCs w:val="24"/>
                <w:highlight w:val="none"/>
              </w:rPr>
              <w:t xml:space="preserve">6.配不锈钢调节脚；</w:t>
            </w:r>
            <w:r>
              <w:rPr>
                <w:rFonts w:ascii="宋体" w:hAnsi="宋体" w:cs="宋体"/>
                <w:sz w:val="24"/>
                <w:szCs w:val="24"/>
                <w:highlight w:val="none"/>
              </w:rPr>
              <w:br/>
            </w:r>
            <w:r>
              <w:rPr>
                <w:rFonts w:ascii="宋体" w:hAnsi="宋体" w:cs="宋体"/>
                <w:sz w:val="24"/>
                <w:szCs w:val="24"/>
                <w:highlight w:val="none"/>
              </w:rPr>
              <w:t xml:space="preserve">7.电压：220V，功率</w:t>
            </w:r>
            <w:r>
              <w:rPr>
                <w:rFonts w:hint="eastAsia" w:ascii="宋体" w:hAnsi="宋体" w:cs="宋体"/>
                <w:sz w:val="24"/>
                <w:szCs w:val="24"/>
                <w:highlight w:val="none"/>
              </w:rPr>
              <w:t xml:space="preserve">≥</w:t>
            </w:r>
            <w:r>
              <w:rPr>
                <w:rFonts w:ascii="宋体" w:hAnsi="宋体" w:cs="宋体"/>
                <w:sz w:val="24"/>
                <w:szCs w:val="24"/>
                <w:highlight w:val="none"/>
              </w:rPr>
              <w:t xml:space="preserve">3KW；</w:t>
            </w:r>
            <w:r>
              <w:rPr>
                <w:rFonts w:ascii="宋体" w:hAnsi="宋体" w:cs="宋体"/>
                <w:sz w:val="24"/>
                <w:szCs w:val="24"/>
                <w:highlight w:val="none"/>
              </w:rPr>
              <w:br/>
            </w:r>
            <w:r>
              <w:rPr>
                <w:rFonts w:ascii="宋体" w:hAnsi="宋体" w:cs="宋体"/>
                <w:sz w:val="24"/>
                <w:szCs w:val="24"/>
                <w:highlight w:val="none"/>
              </w:rPr>
              <w:t xml:space="preserve">8.配不锈钢菜盆4套。</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不锈钢单移门工作柜</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规格：1800*800*800mm</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2.台面：≥1.5mm不锈钢拉丝板；</w:t>
            </w:r>
            <w:r>
              <w:rPr>
                <w:rFonts w:ascii="宋体" w:hAnsi="宋体" w:cs="宋体"/>
                <w:sz w:val="24"/>
                <w:szCs w:val="24"/>
                <w:highlight w:val="none"/>
              </w:rPr>
              <w:br/>
            </w:r>
            <w:r>
              <w:rPr>
                <w:rFonts w:ascii="宋体" w:hAnsi="宋体" w:cs="宋体"/>
                <w:sz w:val="24"/>
                <w:szCs w:val="24"/>
                <w:highlight w:val="none"/>
              </w:rPr>
              <w:t xml:space="preserve">3.层板：≥1.2mm不锈钢拉丝板；</w:t>
            </w:r>
            <w:r>
              <w:rPr>
                <w:rFonts w:ascii="宋体" w:hAnsi="宋体" w:cs="宋体"/>
                <w:sz w:val="24"/>
                <w:szCs w:val="24"/>
                <w:highlight w:val="none"/>
              </w:rPr>
              <w:br/>
            </w:r>
            <w:r>
              <w:rPr>
                <w:rFonts w:ascii="宋体" w:hAnsi="宋体" w:cs="宋体"/>
                <w:sz w:val="24"/>
                <w:szCs w:val="24"/>
                <w:highlight w:val="none"/>
              </w:rPr>
              <w:t xml:space="preserve">4.其他：≥1.0mm不锈钢拉丝板；</w:t>
            </w:r>
            <w:r>
              <w:rPr>
                <w:rFonts w:ascii="宋体" w:hAnsi="宋体" w:cs="宋体"/>
                <w:sz w:val="24"/>
                <w:szCs w:val="24"/>
                <w:highlight w:val="none"/>
              </w:rPr>
              <w:br/>
            </w:r>
            <w:r>
              <w:rPr>
                <w:rFonts w:ascii="宋体" w:hAnsi="宋体" w:cs="宋体"/>
                <w:sz w:val="24"/>
                <w:szCs w:val="24"/>
                <w:highlight w:val="none"/>
              </w:rPr>
              <w:t xml:space="preserve">5.台脚：≥可调节不锈钢子弹脚。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不锈钢移动工作台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规格：1800*800*800mm</w:t>
            </w:r>
            <w:r>
              <w:rPr>
                <w:rFonts w:ascii="宋体" w:hAnsi="宋体" w:cs="宋体"/>
                <w:sz w:val="24"/>
                <w:szCs w:val="24"/>
                <w:highlight w:val="none"/>
              </w:rPr>
              <w:br/>
            </w:r>
            <w:r>
              <w:rPr>
                <w:rFonts w:ascii="宋体" w:hAnsi="宋体" w:cs="宋体"/>
                <w:sz w:val="24"/>
                <w:szCs w:val="24"/>
                <w:highlight w:val="none"/>
              </w:rPr>
              <w:t xml:space="preserve">1.板材采用SUS304-2B不锈钢拉丝板；</w:t>
            </w:r>
            <w:r>
              <w:rPr>
                <w:rFonts w:ascii="宋体" w:hAnsi="宋体" w:cs="宋体"/>
                <w:sz w:val="24"/>
                <w:szCs w:val="24"/>
                <w:highlight w:val="none"/>
              </w:rPr>
              <w:br/>
            </w:r>
            <w:r>
              <w:rPr>
                <w:rFonts w:ascii="宋体" w:hAnsi="宋体" w:cs="宋体"/>
                <w:sz w:val="24"/>
                <w:szCs w:val="24"/>
                <w:highlight w:val="none"/>
              </w:rPr>
              <w:t xml:space="preserve">2.台面：≥1.5mm不锈钢拉丝板；</w:t>
            </w:r>
            <w:r>
              <w:rPr>
                <w:rFonts w:ascii="宋体" w:hAnsi="宋体" w:cs="宋体"/>
                <w:sz w:val="24"/>
                <w:szCs w:val="24"/>
                <w:highlight w:val="none"/>
              </w:rPr>
              <w:br/>
            </w:r>
            <w:r>
              <w:rPr>
                <w:rFonts w:ascii="宋体" w:hAnsi="宋体" w:cs="宋体"/>
                <w:sz w:val="24"/>
                <w:szCs w:val="24"/>
                <w:highlight w:val="none"/>
              </w:rPr>
              <w:t xml:space="preserve">3.层板：≥1.2mm不锈钢拉丝板；</w:t>
            </w:r>
            <w:r>
              <w:rPr>
                <w:rFonts w:ascii="宋体" w:hAnsi="宋体" w:cs="宋体"/>
                <w:sz w:val="24"/>
                <w:szCs w:val="24"/>
                <w:highlight w:val="none"/>
              </w:rPr>
              <w:br/>
            </w:r>
            <w:r>
              <w:rPr>
                <w:rFonts w:ascii="宋体" w:hAnsi="宋体" w:cs="宋体"/>
                <w:sz w:val="24"/>
                <w:szCs w:val="24"/>
                <w:highlight w:val="none"/>
              </w:rPr>
              <w:t xml:space="preserve">4.其他：≥1.0mm不锈钢拉丝板；</w:t>
            </w:r>
            <w:r>
              <w:rPr>
                <w:rFonts w:ascii="宋体" w:hAnsi="宋体" w:cs="宋体"/>
                <w:sz w:val="24"/>
                <w:szCs w:val="24"/>
                <w:highlight w:val="none"/>
              </w:rPr>
              <w:br/>
            </w:r>
            <w:r>
              <w:rPr>
                <w:rFonts w:ascii="宋体" w:hAnsi="宋体" w:cs="宋体"/>
                <w:sz w:val="24"/>
                <w:szCs w:val="24"/>
                <w:highlight w:val="none"/>
              </w:rPr>
              <w:t xml:space="preserve">5.台脚：≥可调节不锈钢子弹脚。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不锈钢双层工作台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规格：1800*800*800mm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2.台面厚度为：≥1.2mm；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3.加强筋宽度≥50mm，厚度≥1.0mm；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4.台下层板厚度1.0mm不锈钢板；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5.腿采用不锈钢方管38*38*≥1.2mm；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6.脚为全金属外包不锈钢可调式子弹脚。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大单星水池-1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规格：1000*700*800/150mm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2.台面厚度为：≥1.5mm不锈钢拉丝板；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3.星盆、加强筋：≥1.2mm不锈钢拉丝板；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4.星斗：800*500*400，厚度≥1.2mm不锈钢拉丝板；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5.管脚：Φ38mm*≥1.2mm/304不锈钢圆管；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6.承力脚：不锈钢可调式子弹脚。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大单星水池-2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规格：1200*700*800/150mm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1.板材采用SUS304-2B不锈钢拉丝板；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2.台面厚度为：≥1.5mm不锈钢拉丝板；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3.星盆、加强筋：≥1.2mm不锈钢拉丝板；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4.星斗：1000*500*400，厚度≥1.2mm不锈钢拉丝板；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5.管脚：Φ38mm*≥1.2mm/304不锈钢圆管；</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6.承力脚：不锈钢可调式子弹脚。</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规格：500*940*930mm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规格：500*900*900mm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规格：1000*600*900mm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不锈钢双层餐车-4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规格：800*470*850mm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不锈钢双层收碗车</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规格：1060*500*900mm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3.台面下衬30*30*≥1.2mm不锈钢方管加固；</w:t>
            </w:r>
            <w:r>
              <w:rPr>
                <w:rFonts w:ascii="宋体" w:hAnsi="宋体" w:cs="宋体"/>
                <w:sz w:val="24"/>
                <w:szCs w:val="24"/>
                <w:highlight w:val="none"/>
              </w:rPr>
              <w:br/>
            </w:r>
            <w:r>
              <w:rPr>
                <w:rFonts w:ascii="宋体" w:hAnsi="宋体" w:cs="宋体"/>
                <w:sz w:val="24"/>
                <w:szCs w:val="24"/>
                <w:highlight w:val="none"/>
              </w:rPr>
              <w:t xml:space="preserve">4.支架为30*30*≥1.2mm不锈钢方管；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规格：600*900*900mm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规格：550*900*900mm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规格：1120*730*900mm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规格：500*700*900mm</w:t>
            </w:r>
            <w:r>
              <w:rPr>
                <w:rFonts w:ascii="宋体" w:hAnsi="宋体" w:cs="宋体"/>
                <w:sz w:val="24"/>
                <w:szCs w:val="24"/>
                <w:highlight w:val="none"/>
              </w:rPr>
              <w:br/>
            </w:r>
            <w:r>
              <w:rPr>
                <w:rFonts w:ascii="宋体" w:hAnsi="宋体" w:cs="宋体"/>
                <w:sz w:val="24"/>
                <w:szCs w:val="24"/>
                <w:highlight w:val="none"/>
              </w:rPr>
              <w:t xml:space="preserve">1.板材采用SUSU-304不锈钢拉丝板；</w:t>
            </w:r>
            <w:r>
              <w:rPr>
                <w:rFonts w:ascii="宋体" w:hAnsi="宋体" w:cs="宋体"/>
                <w:sz w:val="24"/>
                <w:szCs w:val="24"/>
                <w:highlight w:val="none"/>
              </w:rPr>
              <w:br/>
            </w:r>
            <w:r>
              <w:rPr>
                <w:rFonts w:ascii="宋体" w:hAnsi="宋体" w:cs="宋体"/>
                <w:sz w:val="24"/>
                <w:szCs w:val="24"/>
                <w:highlight w:val="none"/>
              </w:rPr>
              <w:t xml:space="preserve">2.面板厚度≥1.2mm；</w:t>
            </w:r>
            <w:r>
              <w:rPr>
                <w:rFonts w:ascii="宋体" w:hAnsi="宋体" w:cs="宋体"/>
                <w:sz w:val="24"/>
                <w:szCs w:val="24"/>
                <w:highlight w:val="none"/>
              </w:rPr>
              <w:br/>
            </w:r>
            <w:r>
              <w:rPr>
                <w:rFonts w:ascii="宋体" w:hAnsi="宋体" w:cs="宋体"/>
                <w:sz w:val="24"/>
                <w:szCs w:val="24"/>
                <w:highlight w:val="none"/>
              </w:rPr>
              <w:t xml:space="preserve">3.台面下衬38*38*≥1.2mm不锈钢方管加固；</w:t>
            </w:r>
            <w:r>
              <w:rPr>
                <w:rFonts w:ascii="宋体" w:hAnsi="宋体" w:cs="宋体"/>
                <w:sz w:val="24"/>
                <w:szCs w:val="24"/>
                <w:highlight w:val="none"/>
              </w:rPr>
              <w:br/>
            </w:r>
            <w:r>
              <w:rPr>
                <w:rFonts w:ascii="宋体" w:hAnsi="宋体" w:cs="宋体"/>
                <w:sz w:val="24"/>
                <w:szCs w:val="24"/>
                <w:highlight w:val="none"/>
              </w:rPr>
              <w:t xml:space="preserve">4.推把手为38*≥1.2mm不锈钢圆管；</w:t>
            </w:r>
            <w:r>
              <w:rPr>
                <w:rFonts w:ascii="宋体" w:hAnsi="宋体" w:cs="宋体"/>
                <w:sz w:val="24"/>
                <w:szCs w:val="24"/>
                <w:highlight w:val="none"/>
              </w:rPr>
              <w:br/>
            </w:r>
            <w:r>
              <w:rPr>
                <w:rFonts w:ascii="宋体" w:hAnsi="宋体" w:cs="宋体"/>
                <w:sz w:val="24"/>
                <w:szCs w:val="24"/>
                <w:highlight w:val="none"/>
              </w:rPr>
              <w:t xml:space="preserve">5.配承重型静音脚轮，带刹车。</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不锈钢八人餐桌椅</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规格：1900*1400*800mm</w:t>
            </w:r>
            <w:r>
              <w:rPr>
                <w:rFonts w:ascii="宋体" w:hAnsi="宋体" w:cs="宋体"/>
                <w:sz w:val="24"/>
                <w:szCs w:val="24"/>
                <w:highlight w:val="none"/>
              </w:rPr>
              <w:br/>
            </w:r>
            <w:r>
              <w:rPr>
                <w:rFonts w:ascii="宋体" w:hAnsi="宋体" w:cs="宋体"/>
                <w:sz w:val="24"/>
                <w:szCs w:val="24"/>
                <w:highlight w:val="none"/>
              </w:rPr>
              <w:t xml:space="preserve">1.材质：采用SUS304不锈钢板拉丝制作</w:t>
            </w:r>
            <w:r>
              <w:rPr>
                <w:rFonts w:hint="eastAsia" w:ascii="宋体" w:hAnsi="宋体" w:cs="宋体"/>
                <w:sz w:val="24"/>
                <w:szCs w:val="24"/>
                <w:highlight w:val="none"/>
              </w:rPr>
              <w:t xml:space="preserve">，</w:t>
            </w:r>
            <w:r>
              <w:rPr>
                <w:rFonts w:ascii="宋体" w:hAnsi="宋体" w:cs="宋体"/>
                <w:sz w:val="24"/>
                <w:szCs w:val="24"/>
                <w:highlight w:val="none"/>
              </w:rPr>
              <w:t xml:space="preserve">厚度</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1.0mm不锈钢板，面板下采用20*20*</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1.2mm镀锌方管做框架，底衬厚度</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12mmPVC防水板；</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支架采用50*50*</w:t>
            </w:r>
            <w:r>
              <w:rPr>
                <w:rFonts w:hint="eastAsia" w:ascii="仿宋" w:hAnsi="仿宋" w:eastAsia="仿宋" w:cs="宋体"/>
                <w:sz w:val="24"/>
                <w:szCs w:val="24"/>
                <w:highlight w:val="none"/>
              </w:rPr>
              <w:t xml:space="preserve">≥</w:t>
            </w:r>
            <w:r>
              <w:rPr>
                <w:rFonts w:ascii="宋体" w:hAnsi="宋体" w:cs="宋体"/>
                <w:sz w:val="24"/>
                <w:szCs w:val="24"/>
                <w:highlight w:val="none"/>
              </w:rPr>
              <w:t xml:space="preserve">1.2mm不锈钢方管，两头支撑面板设2支立管</w:t>
            </w:r>
            <w:r>
              <w:rPr>
                <w:rFonts w:hint="eastAsia" w:ascii="宋体" w:hAnsi="宋体" w:cs="宋体"/>
                <w:sz w:val="24"/>
                <w:szCs w:val="24"/>
                <w:highlight w:val="none"/>
              </w:rPr>
              <w:t xml:space="preserve">，底部安装有静音脚垫；</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椅面采用橡胶木实木板</w:t>
            </w:r>
            <w:r>
              <w:rPr>
                <w:rFonts w:hint="eastAsia" w:ascii="宋体" w:hAnsi="宋体" w:cs="宋体"/>
                <w:sz w:val="24"/>
                <w:szCs w:val="24"/>
                <w:highlight w:val="none"/>
              </w:rPr>
              <w:t xml:space="preserve">，尺寸</w:t>
            </w:r>
            <w:r>
              <w:rPr>
                <w:rFonts w:ascii="宋体" w:hAnsi="宋体" w:cs="宋体"/>
                <w:sz w:val="24"/>
                <w:szCs w:val="24"/>
                <w:highlight w:val="none"/>
              </w:rPr>
              <w:t xml:space="preserve">1860*240*30mm</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管材切割、弯管规整，焊接饱满无虚焊气孔，焊后精细打磨抛光</w:t>
            </w:r>
            <w:r>
              <w:rPr>
                <w:rFonts w:hint="eastAsia" w:ascii="宋体" w:hAnsi="宋体" w:cs="宋体"/>
                <w:sz w:val="24"/>
                <w:szCs w:val="24"/>
                <w:highlight w:val="none"/>
              </w:rPr>
              <w:t xml:space="preserve">，</w:t>
            </w:r>
            <w:r>
              <w:rPr>
                <w:rFonts w:ascii="宋体" w:hAnsi="宋体" w:cs="宋体"/>
                <w:sz w:val="24"/>
                <w:szCs w:val="24"/>
                <w:highlight w:val="none"/>
              </w:rPr>
              <w:t xml:space="preserve">所有边角做圆角处理，无锐边。</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不锈钢五格带盖餐盒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规格：280*220*40mm</w:t>
            </w:r>
            <w:r>
              <w:rPr>
                <w:rFonts w:ascii="宋体" w:hAnsi="宋体" w:cs="宋体"/>
                <w:sz w:val="24"/>
                <w:szCs w:val="24"/>
                <w:highlight w:val="none"/>
              </w:rPr>
              <w:br/>
            </w:r>
            <w:r>
              <w:rPr>
                <w:rFonts w:ascii="宋体" w:hAnsi="宋体" w:cs="宋体"/>
                <w:sz w:val="24"/>
                <w:szCs w:val="24"/>
                <w:highlight w:val="none"/>
              </w:rPr>
              <w:t xml:space="preserve">1.壁厚：采用≥1.0mm厚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304不锈钢板一体拉伸；</w:t>
            </w:r>
            <w:r>
              <w:rPr>
                <w:rFonts w:ascii="宋体" w:hAnsi="宋体" w:cs="宋体"/>
                <w:sz w:val="24"/>
                <w:szCs w:val="24"/>
                <w:highlight w:val="none"/>
              </w:rPr>
              <w:br/>
            </w:r>
            <w:r>
              <w:rPr>
                <w:rFonts w:ascii="宋体" w:hAnsi="宋体" w:cs="宋体"/>
                <w:sz w:val="24"/>
                <w:szCs w:val="24"/>
                <w:highlight w:val="none"/>
              </w:rPr>
              <w:t xml:space="preserve">2.不锈钢餐盒盖采用</w:t>
            </w:r>
            <w:r>
              <w:rPr>
                <w:rFonts w:hint="eastAsia" w:ascii="宋体" w:hAnsi="宋体" w:cs="宋体"/>
                <w:sz w:val="24"/>
                <w:szCs w:val="24"/>
                <w:highlight w:val="none"/>
              </w:rPr>
              <w:t xml:space="preserve">SUS</w:t>
            </w:r>
            <w:r>
              <w:rPr>
                <w:rFonts w:ascii="宋体" w:hAnsi="宋体" w:cs="宋体"/>
                <w:sz w:val="24"/>
                <w:szCs w:val="24"/>
                <w:highlight w:val="none"/>
              </w:rPr>
              <w:t xml:space="preserve">304拉伸制作，厚≥0.8mm。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不锈钢四格带盖餐盒-1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规格：280*220*40mm</w:t>
            </w:r>
            <w:r>
              <w:rPr>
                <w:rFonts w:ascii="宋体" w:hAnsi="宋体" w:cs="宋体"/>
                <w:sz w:val="24"/>
                <w:szCs w:val="24"/>
                <w:highlight w:val="none"/>
              </w:rPr>
              <w:br/>
            </w:r>
            <w:r>
              <w:rPr>
                <w:rFonts w:ascii="宋体" w:hAnsi="宋体" w:cs="宋体"/>
                <w:sz w:val="24"/>
                <w:szCs w:val="24"/>
                <w:highlight w:val="none"/>
              </w:rPr>
              <w:t xml:space="preserve">1.壁厚：采用≥1.0mm厚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304不锈钢板一体拉伸；</w:t>
            </w:r>
            <w:r>
              <w:rPr>
                <w:rFonts w:ascii="宋体" w:hAnsi="宋体" w:cs="宋体"/>
                <w:sz w:val="24"/>
                <w:szCs w:val="24"/>
                <w:highlight w:val="none"/>
              </w:rPr>
              <w:br/>
            </w:r>
            <w:r>
              <w:rPr>
                <w:rFonts w:ascii="宋体" w:hAnsi="宋体" w:cs="宋体"/>
                <w:sz w:val="24"/>
                <w:szCs w:val="24"/>
                <w:highlight w:val="none"/>
              </w:rPr>
              <w:t xml:space="preserve">2.不锈钢餐盒盖采用</w:t>
            </w:r>
            <w:r>
              <w:rPr>
                <w:rFonts w:hint="eastAsia" w:ascii="宋体" w:hAnsi="宋体" w:cs="宋体"/>
                <w:sz w:val="24"/>
                <w:szCs w:val="24"/>
                <w:highlight w:val="none"/>
              </w:rPr>
              <w:t xml:space="preserve">SUS</w:t>
            </w:r>
            <w:r>
              <w:rPr>
                <w:rFonts w:ascii="宋体" w:hAnsi="宋体" w:cs="宋体"/>
                <w:sz w:val="24"/>
                <w:szCs w:val="24"/>
                <w:highlight w:val="none"/>
              </w:rPr>
              <w:t xml:space="preserve">304拉伸制作，厚≥0.8mm。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不锈钢四格带盖餐盒-2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规格：240*170*42mm</w:t>
            </w:r>
            <w:r>
              <w:rPr>
                <w:rFonts w:ascii="宋体" w:hAnsi="宋体" w:cs="宋体"/>
                <w:sz w:val="24"/>
                <w:szCs w:val="24"/>
                <w:highlight w:val="none"/>
              </w:rPr>
              <w:br/>
            </w:r>
            <w:r>
              <w:rPr>
                <w:rFonts w:ascii="宋体" w:hAnsi="宋体" w:cs="宋体"/>
                <w:sz w:val="24"/>
                <w:szCs w:val="24"/>
                <w:highlight w:val="none"/>
              </w:rPr>
              <w:t xml:space="preserve">1.壁厚：采用≥1.0mm厚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304不锈钢板一体拉伸；</w:t>
            </w:r>
            <w:r>
              <w:rPr>
                <w:rFonts w:ascii="宋体" w:hAnsi="宋体" w:cs="宋体"/>
                <w:sz w:val="24"/>
                <w:szCs w:val="24"/>
                <w:highlight w:val="none"/>
              </w:rPr>
              <w:br/>
            </w:r>
            <w:r>
              <w:rPr>
                <w:rFonts w:ascii="宋体" w:hAnsi="宋体" w:cs="宋体"/>
                <w:sz w:val="24"/>
                <w:szCs w:val="24"/>
                <w:highlight w:val="none"/>
              </w:rPr>
              <w:t xml:space="preserve">2.不锈钢餐盒盖采用</w:t>
            </w:r>
            <w:r>
              <w:rPr>
                <w:rFonts w:hint="eastAsia" w:ascii="宋体" w:hAnsi="宋体" w:cs="宋体"/>
                <w:sz w:val="24"/>
                <w:szCs w:val="24"/>
                <w:highlight w:val="none"/>
              </w:rPr>
              <w:t xml:space="preserve">SUS</w:t>
            </w:r>
            <w:r>
              <w:rPr>
                <w:rFonts w:ascii="宋体" w:hAnsi="宋体" w:cs="宋体"/>
                <w:sz w:val="24"/>
                <w:szCs w:val="24"/>
                <w:highlight w:val="none"/>
              </w:rPr>
              <w:t xml:space="preserve">304拉伸制作，厚≥0.8mm。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六格快餐盘</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规格：360*270*24mm</w:t>
            </w:r>
            <w:r>
              <w:rPr>
                <w:rFonts w:ascii="宋体" w:hAnsi="宋体" w:cs="宋体"/>
                <w:sz w:val="24"/>
                <w:szCs w:val="24"/>
                <w:highlight w:val="none"/>
              </w:rPr>
              <w:br/>
            </w:r>
            <w:r>
              <w:rPr>
                <w:rFonts w:ascii="宋体" w:hAnsi="宋体" w:cs="宋体"/>
                <w:sz w:val="24"/>
                <w:szCs w:val="24"/>
                <w:highlight w:val="none"/>
              </w:rPr>
              <w:t xml:space="preserve">1.重量：≥400克</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2.壁厚：采用≥1.0mm厚</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304不锈钢板材一体拉伸制作</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不锈钢双层汤碗-1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规格：直径120mm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2.内层碗与外层碗焊接应均匀致密，无气孔和裂纹，双层隔热</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不锈钢双层汤碗-2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2.内层碗与外层碗焊接应均匀致密，无气孔和裂纹，双层隔热</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不锈钢双层汤碗-3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规格：≥直径180mm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2.内层碗与外层碗焊接应均匀致密，无气孔和裂纹，双层隔热</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不锈钢汤勺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规格：≥195*42mm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不锈钢餐勺-1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规格：≥180*38mm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不锈钢餐勺-2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规格：≥170*35mm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不锈钢筷子</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规格：≥长230mm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不锈钢蒸饭盘</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规格：≥400*600*50mm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规格：≥48L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规格：≥85L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规格：≥95L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EPP保温箱-4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规格：≥112L</w:t>
            </w:r>
            <w:r>
              <w:rPr>
                <w:rFonts w:ascii="宋体" w:hAnsi="宋体" w:cs="宋体"/>
                <w:sz w:val="24"/>
                <w:szCs w:val="24"/>
                <w:highlight w:val="none"/>
              </w:rPr>
              <w:br/>
            </w:r>
            <w:r>
              <w:rPr>
                <w:rFonts w:ascii="宋体" w:hAnsi="宋体" w:cs="宋体"/>
                <w:sz w:val="24"/>
                <w:szCs w:val="24"/>
                <w:highlight w:val="none"/>
              </w:rPr>
              <w:t xml:space="preserve">把手材质：不锈钢</w:t>
            </w:r>
            <w:r>
              <w:rPr>
                <w:rFonts w:ascii="宋体" w:hAnsi="宋体" w:cs="宋体"/>
                <w:sz w:val="24"/>
                <w:szCs w:val="24"/>
                <w:highlight w:val="none"/>
              </w:rPr>
              <w:br/>
            </w:r>
            <w:r>
              <w:rPr>
                <w:rFonts w:ascii="宋体" w:hAnsi="宋体" w:cs="宋体"/>
                <w:sz w:val="24"/>
                <w:szCs w:val="24"/>
                <w:highlight w:val="none"/>
              </w:rPr>
              <w:t xml:space="preserve">材质:EPP</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PP透明收纳箱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规格：380*490*300mm</w:t>
            </w:r>
            <w:r>
              <w:rPr>
                <w:rFonts w:ascii="宋体" w:hAnsi="宋体" w:cs="宋体"/>
                <w:sz w:val="24"/>
                <w:szCs w:val="24"/>
                <w:highlight w:val="none"/>
              </w:rPr>
              <w:br/>
            </w:r>
            <w:r>
              <w:rPr>
                <w:rFonts w:ascii="宋体" w:hAnsi="宋体" w:cs="宋体"/>
                <w:sz w:val="24"/>
                <w:szCs w:val="24"/>
                <w:highlight w:val="none"/>
              </w:rPr>
              <w:t xml:space="preserve">1.材质：食品级材质PP</w:t>
            </w:r>
            <w:r>
              <w:rPr>
                <w:rFonts w:hint="eastAsia" w:ascii="宋体" w:hAnsi="宋体" w:cs="宋体"/>
                <w:sz w:val="24"/>
                <w:szCs w:val="24"/>
                <w:highlight w:val="none"/>
              </w:rPr>
              <w:t xml:space="preserve">；</w:t>
            </w:r>
            <w:r>
              <w:rPr>
                <w:rFonts w:ascii="宋体" w:hAnsi="宋体" w:cs="宋体"/>
                <w:sz w:val="24"/>
                <w:szCs w:val="24"/>
                <w:highlight w:val="none"/>
              </w:rPr>
              <w:br/>
            </w:r>
            <w:r>
              <w:rPr>
                <w:rFonts w:ascii="宋体" w:hAnsi="宋体" w:cs="宋体"/>
                <w:sz w:val="24"/>
                <w:szCs w:val="24"/>
                <w:highlight w:val="none"/>
              </w:rPr>
              <w:t xml:space="preserve">2.颜色：透明、连盖</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蓝色整理箱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规格：≥160L</w:t>
            </w:r>
            <w:r>
              <w:rPr>
                <w:rFonts w:ascii="宋体" w:hAnsi="宋体" w:cs="宋体"/>
                <w:sz w:val="24"/>
                <w:szCs w:val="24"/>
                <w:highlight w:val="none"/>
              </w:rPr>
              <w:br/>
            </w:r>
            <w:r>
              <w:rPr>
                <w:rFonts w:ascii="宋体" w:hAnsi="宋体" w:cs="宋体"/>
                <w:sz w:val="24"/>
                <w:szCs w:val="24"/>
                <w:highlight w:val="none"/>
              </w:rPr>
              <w:t xml:space="preserve">1.材质：HDPE高密度聚乙烯，一次性成型</w:t>
            </w:r>
            <w:r>
              <w:rPr>
                <w:rFonts w:hint="eastAsia"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规格：≥20L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规格：≥30L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规格：≥36L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不锈钢保温桶-4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规格：≥50L</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保温汤桶（内胆不锈钢）</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规格：≥32L</w:t>
            </w:r>
            <w:r>
              <w:rPr>
                <w:rFonts w:ascii="宋体" w:hAnsi="宋体" w:cs="宋体"/>
                <w:sz w:val="24"/>
                <w:szCs w:val="24"/>
                <w:highlight w:val="none"/>
              </w:rPr>
              <w:br/>
            </w:r>
            <w:r>
              <w:rPr>
                <w:rFonts w:ascii="宋体" w:hAnsi="宋体" w:cs="宋体"/>
                <w:sz w:val="24"/>
                <w:szCs w:val="24"/>
                <w:highlight w:val="none"/>
              </w:rPr>
              <w:t xml:space="preserve">内胆</w:t>
            </w:r>
            <w:r>
              <w:rPr>
                <w:rFonts w:hint="eastAsia" w:ascii="宋体" w:hAnsi="宋体" w:cs="宋体"/>
                <w:sz w:val="24"/>
                <w:szCs w:val="24"/>
                <w:highlight w:val="none"/>
              </w:rPr>
              <w:t xml:space="preserve">SU304</w:t>
            </w:r>
            <w:r>
              <w:rPr>
                <w:rFonts w:ascii="宋体" w:hAnsi="宋体" w:cs="宋体"/>
                <w:sz w:val="24"/>
                <w:szCs w:val="24"/>
                <w:highlight w:val="none"/>
              </w:rPr>
              <w:t xml:space="preserve">不锈钢材质一性次成型，</w:t>
            </w:r>
            <w:r>
              <w:rPr>
                <w:rFonts w:ascii="宋体" w:hAnsi="宋体" w:cs="宋体"/>
                <w:sz w:val="24"/>
                <w:szCs w:val="24"/>
                <w:highlight w:val="none"/>
              </w:rPr>
              <w:br/>
            </w:r>
            <w:r>
              <w:rPr>
                <w:rFonts w:ascii="宋体" w:hAnsi="宋体" w:cs="宋体"/>
                <w:sz w:val="24"/>
                <w:szCs w:val="24"/>
                <w:highlight w:val="none"/>
              </w:rPr>
              <w:t xml:space="preserve">保温层材质：聚氨酯PU。</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塑料洗菜筐-1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规格：665*460*320mm</w:t>
            </w:r>
            <w:r>
              <w:rPr>
                <w:rFonts w:ascii="宋体" w:hAnsi="宋体" w:cs="宋体"/>
                <w:sz w:val="24"/>
                <w:szCs w:val="24"/>
                <w:highlight w:val="none"/>
              </w:rPr>
              <w:br/>
            </w:r>
            <w:r>
              <w:rPr>
                <w:rFonts w:ascii="宋体" w:hAnsi="宋体" w:cs="宋体"/>
                <w:sz w:val="24"/>
                <w:szCs w:val="24"/>
                <w:highlight w:val="none"/>
              </w:rPr>
              <w:t xml:space="preserve">1.材质：塑料，一次性成型</w:t>
            </w:r>
            <w:r>
              <w:rPr>
                <w:rFonts w:ascii="宋体" w:hAnsi="宋体" w:cs="宋体"/>
                <w:sz w:val="24"/>
                <w:szCs w:val="24"/>
                <w:highlight w:val="none"/>
              </w:rPr>
              <w:br/>
            </w:r>
            <w:r>
              <w:rPr>
                <w:rFonts w:ascii="宋体" w:hAnsi="宋体" w:cs="宋体"/>
                <w:sz w:val="24"/>
                <w:szCs w:val="24"/>
                <w:highlight w:val="none"/>
              </w:rPr>
              <w:t xml:space="preserve">2.筐的颜色须与使用方确定后再供货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塑料洗菜筐-2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规格：585*410*300mm</w:t>
            </w:r>
            <w:r>
              <w:rPr>
                <w:rFonts w:ascii="宋体" w:hAnsi="宋体" w:cs="宋体"/>
                <w:sz w:val="24"/>
                <w:szCs w:val="24"/>
                <w:highlight w:val="none"/>
              </w:rPr>
              <w:br/>
            </w:r>
            <w:r>
              <w:rPr>
                <w:rFonts w:ascii="宋体" w:hAnsi="宋体" w:cs="宋体"/>
                <w:sz w:val="24"/>
                <w:szCs w:val="24"/>
                <w:highlight w:val="none"/>
              </w:rPr>
              <w:t xml:space="preserve">1.材质：塑料，一次性成型</w:t>
            </w:r>
            <w:r>
              <w:rPr>
                <w:rFonts w:ascii="宋体" w:hAnsi="宋体" w:cs="宋体"/>
                <w:sz w:val="24"/>
                <w:szCs w:val="24"/>
                <w:highlight w:val="none"/>
              </w:rPr>
              <w:br/>
            </w:r>
            <w:r>
              <w:rPr>
                <w:rFonts w:ascii="宋体" w:hAnsi="宋体" w:cs="宋体"/>
                <w:sz w:val="24"/>
                <w:szCs w:val="24"/>
                <w:highlight w:val="none"/>
              </w:rPr>
              <w:t xml:space="preserve">2.筐的颜色须与使用方确定后再供货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不锈钢装菜盆连盖</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规格：530*325*150mm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电磁灶专用汤桶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304不锈钢，厚度≥2.0mm。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不锈钢盛饭桶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规格：直径≥460mm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600mm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304不锈钢，厚度≥2.0mm。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不锈钢汤桶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规格：直径≥400mm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800mm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304不锈钢，厚度≥2.0mm。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添饭盒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规格：230*320*100mm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留样盒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规格：直径≥80mm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69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加厚大锅</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规格：直径≥900mm</w:t>
            </w:r>
            <w:r>
              <w:rPr>
                <w:rFonts w:ascii="宋体" w:hAnsi="宋体" w:cs="宋体"/>
                <w:sz w:val="24"/>
                <w:szCs w:val="24"/>
                <w:highlight w:val="none"/>
              </w:rPr>
              <w:br/>
            </w:r>
            <w:r>
              <w:rPr>
                <w:rFonts w:ascii="宋体" w:hAnsi="宋体" w:cs="宋体"/>
                <w:sz w:val="24"/>
                <w:szCs w:val="24"/>
                <w:highlight w:val="none"/>
              </w:rPr>
              <w:t xml:space="preserve">1.材质：铁制，包含更换锅边水泥。</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厨片刀</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规格：327*102mm</w:t>
            </w:r>
            <w:r>
              <w:rPr>
                <w:rFonts w:ascii="宋体" w:hAnsi="宋体" w:cs="宋体"/>
                <w:sz w:val="24"/>
                <w:szCs w:val="24"/>
                <w:highlight w:val="none"/>
              </w:rPr>
              <w:br/>
            </w:r>
            <w:r>
              <w:rPr>
                <w:rFonts w:ascii="宋体" w:hAnsi="宋体" w:cs="宋体"/>
                <w:sz w:val="24"/>
                <w:szCs w:val="24"/>
                <w:highlight w:val="none"/>
              </w:rPr>
              <w:t xml:space="preserve">1.材质：钢制</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厨房专用剪刀（大）</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规格：195*90mm</w:t>
            </w:r>
            <w:r>
              <w:rPr>
                <w:rFonts w:ascii="宋体" w:hAnsi="宋体" w:cs="宋体"/>
                <w:sz w:val="24"/>
                <w:szCs w:val="24"/>
                <w:highlight w:val="none"/>
              </w:rPr>
              <w:br/>
            </w:r>
            <w:r>
              <w:rPr>
                <w:rFonts w:ascii="宋体" w:hAnsi="宋体" w:cs="宋体"/>
                <w:sz w:val="24"/>
                <w:szCs w:val="24"/>
                <w:highlight w:val="none"/>
              </w:rPr>
              <w:t xml:space="preserve">1.材质：钢制</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磨刀石</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规格：180*60*27mm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不锈钢淘米箩</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规格：直径≥590mm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规格：直径≥770mm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规格：直径≥680mm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规格：直径≥590mm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不锈钢盆-4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规格：直径≥380mm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不锈钢冲孔洗菜盆</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规格：直径≥630mm</w:t>
            </w:r>
            <w:r>
              <w:rPr>
                <w:rFonts w:hint="eastAsia" w:ascii="宋体" w:hAnsi="宋体" w:cs="宋体"/>
                <w:sz w:val="24"/>
                <w:szCs w:val="24"/>
                <w:highlight w:val="none"/>
              </w:rPr>
              <w:t xml:space="preserve">，深度</w:t>
            </w:r>
            <w:r>
              <w:rPr>
                <w:rFonts w:ascii="宋体" w:hAnsi="宋体" w:cs="宋体"/>
                <w:sz w:val="24"/>
                <w:szCs w:val="24"/>
                <w:highlight w:val="none"/>
              </w:rPr>
              <w:t xml:space="preserve">≥</w:t>
            </w:r>
            <w:r>
              <w:rPr>
                <w:rFonts w:hint="eastAsia" w:ascii="宋体" w:hAnsi="宋体" w:cs="宋体"/>
                <w:sz w:val="24"/>
                <w:szCs w:val="24"/>
                <w:highlight w:val="none"/>
              </w:rPr>
              <w:t xml:space="preserve">200mm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79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长柄炒勺-1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规格：直径≥120mm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600</w:t>
            </w:r>
            <w:r>
              <w:rPr>
                <w:rFonts w:ascii="宋体" w:hAnsi="宋体" w:cs="宋体"/>
                <w:sz w:val="24"/>
                <w:szCs w:val="24"/>
                <w:highlight w:val="none"/>
              </w:rPr>
              <w:t xml:space="preserve">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长柄炒勺-2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规格：直径≥140mm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60</w:t>
            </w:r>
            <w:r>
              <w:rPr>
                <w:rFonts w:ascii="宋体" w:hAnsi="宋体" w:cs="宋体"/>
                <w:sz w:val="24"/>
                <w:szCs w:val="24"/>
                <w:highlight w:val="none"/>
              </w:rPr>
              <w:t xml:space="preserve">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不锈钢笊篱-1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规格：直径≥280mm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35</w:t>
            </w:r>
            <w:r>
              <w:rPr>
                <w:rFonts w:ascii="宋体" w:hAnsi="宋体" w:cs="宋体"/>
                <w:sz w:val="24"/>
                <w:szCs w:val="24"/>
                <w:highlight w:val="none"/>
              </w:rPr>
              <w:t xml:space="preserve">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不锈钢笊篱-2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规格：直径≥320mm</w:t>
            </w:r>
            <w:r>
              <w:rPr>
                <w:rFonts w:hint="eastAsia" w:ascii="宋体" w:hAnsi="宋体" w:cs="宋体"/>
                <w:sz w:val="24"/>
                <w:szCs w:val="24"/>
                <w:highlight w:val="none"/>
              </w:rPr>
              <w:t xml:space="preserve">，</w:t>
            </w:r>
            <w:r>
              <w:rPr>
                <w:rFonts w:ascii="宋体" w:hAnsi="宋体" w:cs="宋体"/>
                <w:sz w:val="24"/>
                <w:szCs w:val="24"/>
                <w:highlight w:val="none"/>
              </w:rPr>
              <w:t xml:space="preserve">柄长≥</w:t>
            </w:r>
            <w:r>
              <w:rPr>
                <w:rFonts w:hint="eastAsia" w:ascii="宋体" w:hAnsi="宋体" w:cs="宋体"/>
                <w:sz w:val="24"/>
                <w:szCs w:val="24"/>
                <w:highlight w:val="none"/>
              </w:rPr>
              <w:t xml:space="preserve">35</w:t>
            </w:r>
            <w:r>
              <w:rPr>
                <w:rFonts w:ascii="宋体" w:hAnsi="宋体" w:cs="宋体"/>
                <w:sz w:val="24"/>
                <w:szCs w:val="24"/>
                <w:highlight w:val="none"/>
              </w:rPr>
              <w:t xml:space="preserve">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不锈钢水舀</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规格：直径≥280mm，柄长≥330mm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不锈钢打汤勺-1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规格：直径≥125mm，柄长≥330mm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不锈钢打汤勺-2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规格：直径≥180mm，柄长≥330mm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不锈钢打菜勺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规格：直径≥80mm，柄长≥330mm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不锈钢加厚油钵</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规格：直径≥350mm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180mm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不锈钢调料缸带盖</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规格：直径≥170mm</w:t>
            </w:r>
            <w:r>
              <w:rPr>
                <w:rFonts w:hint="eastAsia" w:ascii="宋体" w:hAnsi="宋体" w:cs="宋体"/>
                <w:sz w:val="24"/>
                <w:szCs w:val="24"/>
                <w:highlight w:val="none"/>
              </w:rPr>
              <w:t xml:space="preserve">，高度</w:t>
            </w:r>
            <w:r>
              <w:rPr>
                <w:rFonts w:ascii="宋体" w:hAnsi="宋体" w:cs="宋体"/>
                <w:sz w:val="24"/>
                <w:szCs w:val="24"/>
                <w:highlight w:val="none"/>
              </w:rPr>
              <w:t xml:space="preserve">≥</w:t>
            </w:r>
            <w:r>
              <w:rPr>
                <w:rFonts w:hint="eastAsia" w:ascii="宋体" w:hAnsi="宋体" w:cs="宋体"/>
                <w:sz w:val="24"/>
                <w:szCs w:val="24"/>
                <w:highlight w:val="none"/>
              </w:rPr>
              <w:t xml:space="preserve">150mm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SUS</w:t>
            </w:r>
            <w:r>
              <w:rPr>
                <w:rFonts w:ascii="宋体" w:hAnsi="宋体" w:cs="宋体"/>
                <w:sz w:val="24"/>
                <w:szCs w:val="24"/>
                <w:highlight w:val="none"/>
              </w:rPr>
              <w:t xml:space="preserve">304不锈钢，厚度≥1.0mm。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89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PP圆形砧板-1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规格：直径≥400</w:t>
            </w:r>
            <w:r>
              <w:rPr>
                <w:rFonts w:hint="eastAsia" w:ascii="宋体" w:hAnsi="宋体" w:cs="宋体"/>
                <w:sz w:val="24"/>
                <w:szCs w:val="24"/>
                <w:highlight w:val="none"/>
              </w:rPr>
              <w:t xml:space="preserve">，厚度</w:t>
            </w:r>
            <w:r>
              <w:rPr>
                <w:rFonts w:ascii="宋体" w:hAnsi="宋体" w:cs="宋体"/>
                <w:sz w:val="24"/>
                <w:szCs w:val="24"/>
                <w:highlight w:val="none"/>
              </w:rPr>
              <w:t xml:space="preserve">≥70mm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食品级PP材料</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PP圆形砧板-2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规格：直径≥500</w:t>
            </w:r>
            <w:r>
              <w:rPr>
                <w:rFonts w:hint="eastAsia" w:ascii="宋体" w:hAnsi="宋体" w:cs="宋体"/>
                <w:sz w:val="24"/>
                <w:szCs w:val="24"/>
                <w:highlight w:val="none"/>
              </w:rPr>
              <w:t xml:space="preserve">，厚度</w:t>
            </w:r>
            <w:r>
              <w:rPr>
                <w:rFonts w:ascii="宋体" w:hAnsi="宋体" w:cs="宋体"/>
                <w:sz w:val="24"/>
                <w:szCs w:val="24"/>
                <w:highlight w:val="none"/>
              </w:rPr>
              <w:t xml:space="preserve">≥50mm</w:t>
            </w:r>
            <w:r>
              <w:rPr>
                <w:rFonts w:ascii="宋体" w:hAnsi="宋体" w:cs="宋体"/>
                <w:sz w:val="24"/>
                <w:szCs w:val="24"/>
                <w:highlight w:val="none"/>
              </w:rPr>
              <w:br/>
            </w:r>
            <w:r>
              <w:rPr>
                <w:rFonts w:ascii="宋体" w:hAnsi="宋体" w:cs="宋体"/>
                <w:sz w:val="24"/>
                <w:szCs w:val="24"/>
                <w:highlight w:val="none"/>
              </w:rPr>
              <w:t xml:space="preserve">1.材质：</w:t>
            </w:r>
            <w:r>
              <w:rPr>
                <w:rFonts w:hint="eastAsia" w:ascii="宋体" w:hAnsi="宋体" w:cs="宋体"/>
                <w:sz w:val="24"/>
                <w:szCs w:val="24"/>
                <w:highlight w:val="none"/>
              </w:rPr>
              <w:t xml:space="preserve">食品级PP材料</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带盖塑料圆型桶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规格：直径≥500mm</w:t>
            </w:r>
            <w:r>
              <w:rPr>
                <w:rFonts w:ascii="宋体" w:hAnsi="宋体" w:cs="宋体"/>
                <w:sz w:val="24"/>
                <w:szCs w:val="24"/>
                <w:highlight w:val="none"/>
              </w:rPr>
              <w:br/>
            </w:r>
            <w:r>
              <w:rPr>
                <w:rFonts w:ascii="宋体" w:hAnsi="宋体" w:cs="宋体"/>
                <w:sz w:val="24"/>
                <w:szCs w:val="24"/>
                <w:highlight w:val="none"/>
              </w:rPr>
              <w:t xml:space="preserve">1.材质：HPDE高密度聚乙烯，厚度≥1.0mm。</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带盖塑料残余垃圾桶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规格：≥120L</w:t>
            </w:r>
            <w:r>
              <w:rPr>
                <w:rFonts w:ascii="宋体" w:hAnsi="宋体" w:cs="宋体"/>
                <w:sz w:val="24"/>
                <w:szCs w:val="24"/>
                <w:highlight w:val="none"/>
              </w:rPr>
              <w:br/>
            </w:r>
            <w:r>
              <w:rPr>
                <w:rFonts w:ascii="宋体" w:hAnsi="宋体" w:cs="宋体"/>
                <w:sz w:val="24"/>
                <w:szCs w:val="24"/>
                <w:highlight w:val="none"/>
              </w:rPr>
              <w:t xml:space="preserve">1.材质：HPDE高密度聚乙烯</w:t>
            </w:r>
            <w:r>
              <w:rPr>
                <w:rFonts w:ascii="宋体" w:hAnsi="宋体" w:cs="宋体"/>
                <w:sz w:val="24"/>
                <w:szCs w:val="24"/>
                <w:highlight w:val="none"/>
              </w:rPr>
              <w:br/>
            </w:r>
            <w:r>
              <w:rPr>
                <w:rFonts w:ascii="宋体" w:hAnsi="宋体" w:cs="宋体"/>
                <w:sz w:val="24"/>
                <w:szCs w:val="24"/>
                <w:highlight w:val="none"/>
              </w:rPr>
              <w:t xml:space="preserve">2.配置：带盖，带轮。</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落地电子秤</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1.量程≥150kg；</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2.秤台材质：主体采购碳钢喷塑，不锈钢秤盘尺寸≥400*500mm；</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3.护等级IP54；</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4.配有显示屏，内置电池，续航≥8小时；</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5.准确度等级≥Ⅲ级。</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冷热水龙头</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座台式双孔双温，主体黄铜铸造</w:t>
            </w:r>
            <w:r>
              <w:rPr>
                <w:rFonts w:hint="eastAsia" w:ascii="宋体" w:hAnsi="宋体" w:cs="宋体"/>
                <w:sz w:val="24"/>
                <w:szCs w:val="24"/>
                <w:highlight w:val="none"/>
              </w:rPr>
              <w:t xml:space="preserve">，</w:t>
            </w:r>
            <w:r>
              <w:rPr>
                <w:rFonts w:ascii="宋体" w:hAnsi="宋体" w:cs="宋体"/>
                <w:sz w:val="24"/>
                <w:szCs w:val="24"/>
                <w:highlight w:val="none"/>
              </w:rPr>
              <w:t xml:space="preserve">表面抛光镀铬处理</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配1/4转陶瓷阀芯一字型手柄</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十寸高抛水嘴，360度可旋转</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4.配套螺纹水管</w:t>
            </w:r>
            <w:r>
              <w:rPr>
                <w:rFonts w:ascii="宋体" w:hAnsi="宋体" w:cs="宋体"/>
                <w:sz w:val="24"/>
                <w:szCs w:val="24"/>
                <w:highlight w:val="none"/>
              </w:rPr>
              <w:t xml:space="preserve">。</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感应水龙头</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全铜表面抛光镀铬处理，座台式安装</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感应距离可调，AC/DC控制模块，电源可选交流电或1.5V*4直流电源</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三通接口设计，可接冷、热水源，接口4分外螺纹</w:t>
            </w:r>
            <w:r>
              <w:rPr>
                <w:rFonts w:hint="eastAsia" w:ascii="宋体" w:hAnsi="宋体" w:cs="宋体"/>
                <w:sz w:val="24"/>
                <w:szCs w:val="24"/>
                <w:highlight w:val="none"/>
              </w:rPr>
              <w:t xml:space="preserve">；</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4.配套螺纹水管。</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保温售卖台维修</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1.维修配件均为国标合格品，与原设备规格、参数完全匹配，每台设备包括加热管2根、温控开关1只、调节脚4只、工作指示灯等；</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2.整理更换老化线路，线路绝缘完好，接地可靠，整机无漏电；</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3.更换老化密封胶条，检修排水组件，整机内部除垢、清洁、消杀，设备焊接加固。</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highlight w:val="none"/>
              </w:rPr>
            </w:pPr>
            <w:r>
              <w:rPr>
                <w:rFonts w:ascii="宋体" w:hAnsi="宋体" w:cs="宋体"/>
                <w:sz w:val="24"/>
                <w:szCs w:val="24"/>
                <w:highlight w:val="none"/>
              </w:rPr>
              <w:t xml:space="preserve">97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highlight w:val="none"/>
              </w:rPr>
            </w:pPr>
            <w:r>
              <w:rPr>
                <w:rFonts w:ascii="宋体" w:hAnsi="宋体" w:cs="宋体"/>
                <w:sz w:val="24"/>
                <w:szCs w:val="24"/>
                <w:highlight w:val="none"/>
              </w:rPr>
              <w:t xml:space="preserve">平板推车维修</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1.更换平板推车定向轮/万向轮共4只，与原设备规格、参数完全匹配，螺钉安装；</w:t>
            </w:r>
            <w:r/>
          </w:p>
          <w:p>
            <w:pPr>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2.更换缺失、滑丝、锈蚀的螺栓、螺母、垫圈、销轴等紧固件，所有配件拧紧到位，防松措施完好。</w:t>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r>
        <w:trPr>
          <w:trHeight w:val="402"/>
        </w:trPr>
        <w:tc>
          <w:tcPr>
            <w:tcBorders>
              <w:top w:val="none" w:color="000000" w:sz="4" w:space="0"/>
              <w:left w:val="none" w:color="000000" w:sz="4" w:space="0"/>
              <w:bottom w:val="none" w:color="000000" w:sz="4" w:space="0"/>
              <w:right w:val="none" w:color="000000" w:sz="4" w:space="0"/>
            </w:tcBorders>
            <w:tcW w:w="640" w:type="dxa"/>
            <w:vAlign w:val="center"/>
            <w:textDirection w:val="lrTb"/>
            <w:noWrap/>
          </w:tcPr>
          <w:p>
            <w:pPr>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765" w:type="dxa"/>
            <w:vAlign w:val="center"/>
            <w:textDirection w:val="lrTb"/>
            <w:noWrap/>
          </w:tcPr>
          <w:p>
            <w:pPr>
              <w:jc w:val="center"/>
              <w:widowControl/>
              <w:rPr>
                <w:rFonts w:eastAsia="Times New Roman"/>
                <w:sz w:val="20"/>
                <w:szCs w:val="20"/>
                <w:highlight w:val="none"/>
              </w:rPr>
            </w:pPr>
            <w:r>
              <w:rPr>
                <w:rFonts w:eastAsia="Times New Roman"/>
                <w:sz w:val="20"/>
                <w:szCs w:val="20"/>
                <w:highlight w:val="none"/>
              </w:rPr>
            </w:r>
            <w:r/>
          </w:p>
        </w:tc>
        <w:tc>
          <w:tcPr>
            <w:tcBorders>
              <w:top w:val="none" w:color="000000" w:sz="4" w:space="0"/>
              <w:left w:val="none" w:color="000000" w:sz="4" w:space="0"/>
              <w:bottom w:val="none" w:color="000000" w:sz="4" w:space="0"/>
              <w:right w:val="none" w:color="000000" w:sz="4" w:space="0"/>
            </w:tcBorders>
            <w:tcW w:w="7655" w:type="dxa"/>
            <w:vAlign w:val="center"/>
            <w:textDirection w:val="lrTb"/>
            <w:noWrap/>
          </w:tcPr>
          <w:p>
            <w:pPr>
              <w:jc w:val="center"/>
              <w:widowControl/>
              <w:rPr>
                <w:rFonts w:eastAsia="Times New Roman"/>
                <w:sz w:val="20"/>
                <w:szCs w:val="20"/>
                <w:highlight w:val="none"/>
              </w:rPr>
            </w:pPr>
            <w:r>
              <w:rPr>
                <w:rFonts w:eastAsia="Times New Roman"/>
                <w:sz w:val="20"/>
                <w:szCs w:val="20"/>
                <w:highlight w:val="none"/>
              </w:rPr>
            </w:r>
            <w:r/>
          </w:p>
        </w:tc>
        <w:tc>
          <w:tcPr>
            <w:tcW w:w="3556" w:type="dxa"/>
            <w:vAlign w:val="center"/>
            <w:textDirection w:val="lrTb"/>
            <w:noWrap w:val="false"/>
          </w:tcPr>
          <w:p>
            <w:pPr>
              <w:jc w:val="left"/>
              <w:widowControl/>
              <w:rPr>
                <w:rFonts w:eastAsia="Times New Roman"/>
                <w:sz w:val="20"/>
                <w:szCs w:val="20"/>
                <w:highlight w:val="none"/>
              </w:rPr>
            </w:pPr>
            <w:r>
              <w:rPr>
                <w:rFonts w:eastAsia="Times New Roman"/>
                <w:sz w:val="20"/>
                <w:szCs w:val="20"/>
                <w:highlight w:val="none"/>
              </w:rPr>
            </w:r>
            <w:r/>
          </w:p>
        </w:tc>
      </w:tr>
    </w:tbl>
    <w:p>
      <w:pPr>
        <w:rPr>
          <w:highlight w:val="none"/>
        </w:rPr>
      </w:pPr>
      <w:r>
        <w:rPr>
          <w:highlight w:val="none"/>
        </w:rPr>
      </w:r>
      <w:r/>
    </w:p>
    <w:p>
      <w:pPr>
        <w:pStyle w:val="773"/>
        <w:ind w:firstLine="480"/>
        <w:spacing w:before="0" w:after="0" w:line="400" w:lineRule="exact"/>
        <w:rPr>
          <w:rFonts w:hint="eastAsia" w:ascii="宋体" w:hAnsi="宋体"/>
          <w:color w:val="auto"/>
          <w:highlight w:val="none"/>
        </w:rPr>
      </w:pPr>
      <w:r>
        <w:rPr>
          <w:rFonts w:hint="eastAsia" w:ascii="宋体" w:hAnsi="宋体"/>
          <w:color w:val="000000"/>
          <w:highlight w:val="none"/>
        </w:rPr>
        <w:t xml:space="preserve">★</w:t>
      </w:r>
      <w:r>
        <w:rPr>
          <w:rFonts w:ascii="宋体" w:hAnsi="宋体"/>
          <w:color w:val="auto"/>
          <w:highlight w:val="none"/>
        </w:rPr>
        <w:t xml:space="preserve">2.其他技术要求</w:t>
      </w:r>
      <w:r/>
    </w:p>
    <w:p>
      <w:pPr>
        <w:ind w:firstLine="480"/>
        <w:spacing w:line="400" w:lineRule="exact"/>
        <w:rPr>
          <w:sz w:val="24"/>
          <w:szCs w:val="24"/>
          <w:highlight w:val="none"/>
        </w:rPr>
      </w:pPr>
      <w:r/>
      <w:bookmarkStart w:id="241" w:name="OLE_LINK12"/>
      <w:r>
        <w:rPr>
          <w:rFonts w:hint="eastAsia" w:asciiTheme="minorEastAsia" w:hAnsiTheme="minorEastAsia" w:eastAsiaTheme="minorEastAsia"/>
          <w:sz w:val="24"/>
          <w:szCs w:val="24"/>
          <w:highlight w:val="none"/>
        </w:rPr>
        <w:t xml:space="preserve">（1）</w:t>
      </w:r>
      <w:bookmarkEnd w:id="241"/>
      <w:r/>
      <w:bookmarkStart w:id="242" w:name="OLE_LINK13"/>
      <w:r/>
      <w:bookmarkStart w:id="243" w:name="_Toc120614281"/>
      <w:r>
        <w:rPr>
          <w:rFonts w:hint="eastAsia" w:asciiTheme="minorEastAsia" w:hAnsiTheme="minorEastAsia" w:eastAsiaTheme="minorEastAsia"/>
          <w:sz w:val="24"/>
          <w:szCs w:val="24"/>
          <w:highlight w:val="none"/>
        </w:rPr>
        <w:t xml:space="preserve">以下产品：中餐燃气炒菜灶（带熄保）</w:t>
      </w:r>
      <w:r>
        <w:rPr>
          <w:rFonts w:hint="eastAsia" w:asciiTheme="minorEastAsia" w:hAnsiTheme="minorEastAsia" w:eastAsiaTheme="minorEastAsia"/>
          <w:b/>
          <w:bCs/>
          <w:sz w:val="24"/>
          <w:szCs w:val="24"/>
          <w:highlight w:val="none"/>
        </w:rPr>
        <w:t xml:space="preserve">（产品清单1）</w:t>
      </w:r>
      <w:r>
        <w:rPr>
          <w:rFonts w:hint="eastAsia" w:asciiTheme="minorEastAsia" w:hAnsiTheme="minorEastAsia" w:eastAsiaTheme="minorEastAsia"/>
          <w:sz w:val="24"/>
          <w:szCs w:val="24"/>
          <w:highlight w:val="none"/>
        </w:rPr>
        <w:t xml:space="preserve">、炊用燃气大锅灶（带熄保）-1</w:t>
      </w:r>
      <w:r>
        <w:rPr>
          <w:rFonts w:hint="eastAsia" w:asciiTheme="minorEastAsia" w:hAnsiTheme="minorEastAsia" w:eastAsiaTheme="minorEastAsia"/>
          <w:b/>
          <w:bCs/>
          <w:sz w:val="24"/>
          <w:szCs w:val="24"/>
          <w:highlight w:val="none"/>
        </w:rPr>
        <w:t xml:space="preserve">（产品清单2）、</w:t>
      </w:r>
      <w:r>
        <w:rPr>
          <w:rFonts w:hint="eastAsia" w:asciiTheme="minorEastAsia" w:hAnsiTheme="minorEastAsia" w:eastAsiaTheme="minorEastAsia"/>
          <w:sz w:val="24"/>
          <w:szCs w:val="24"/>
          <w:highlight w:val="none"/>
        </w:rPr>
        <w:t xml:space="preserve">炊用燃气大锅灶（带熄保）-2</w:t>
      </w:r>
      <w:r>
        <w:rPr>
          <w:rFonts w:hint="eastAsia" w:asciiTheme="minorEastAsia" w:hAnsiTheme="minorEastAsia" w:eastAsiaTheme="minorEastAsia"/>
          <w:b/>
          <w:bCs/>
          <w:sz w:val="24"/>
          <w:szCs w:val="24"/>
          <w:highlight w:val="none"/>
        </w:rPr>
        <w:t xml:space="preserve">（产品清单3）、</w:t>
      </w:r>
      <w:r>
        <w:rPr>
          <w:rFonts w:hint="eastAsia" w:asciiTheme="minorEastAsia" w:hAnsiTheme="minorEastAsia" w:eastAsiaTheme="minorEastAsia"/>
          <w:sz w:val="24"/>
          <w:szCs w:val="24"/>
          <w:highlight w:val="none"/>
        </w:rPr>
        <w:t xml:space="preserve">双门燃气蒸饭箱</w:t>
      </w:r>
      <w:r>
        <w:rPr>
          <w:rFonts w:hint="eastAsia" w:asciiTheme="minorEastAsia" w:hAnsiTheme="minorEastAsia" w:eastAsiaTheme="minorEastAsia"/>
          <w:b/>
          <w:bCs/>
          <w:sz w:val="24"/>
          <w:szCs w:val="24"/>
          <w:highlight w:val="none"/>
        </w:rPr>
        <w:t xml:space="preserve">（产品清单9）、</w:t>
      </w:r>
      <w:r>
        <w:rPr>
          <w:rFonts w:hint="eastAsia" w:asciiTheme="minorEastAsia" w:hAnsiTheme="minorEastAsia" w:eastAsiaTheme="minorEastAsia"/>
          <w:sz w:val="24"/>
          <w:szCs w:val="24"/>
          <w:highlight w:val="none"/>
        </w:rPr>
        <w:t xml:space="preserve">留样冰箱</w:t>
      </w:r>
      <w:r>
        <w:rPr>
          <w:rFonts w:hint="eastAsia" w:asciiTheme="minorEastAsia" w:hAnsiTheme="minorEastAsia" w:eastAsiaTheme="minorEastAsia"/>
          <w:b/>
          <w:bCs/>
          <w:sz w:val="24"/>
          <w:szCs w:val="24"/>
          <w:highlight w:val="none"/>
        </w:rPr>
        <w:t xml:space="preserve">（产品清单11）、</w:t>
      </w:r>
      <w:r>
        <w:rPr>
          <w:rFonts w:hint="eastAsia" w:asciiTheme="minorEastAsia" w:hAnsiTheme="minorEastAsia" w:eastAsiaTheme="minorEastAsia"/>
          <w:sz w:val="24"/>
          <w:szCs w:val="24"/>
          <w:highlight w:val="none"/>
        </w:rPr>
        <w:t xml:space="preserve">除湿机</w:t>
      </w:r>
      <w:r>
        <w:rPr>
          <w:rFonts w:hint="eastAsia" w:asciiTheme="minorEastAsia" w:hAnsiTheme="minorEastAsia" w:eastAsiaTheme="minorEastAsia"/>
          <w:b/>
          <w:bCs/>
          <w:sz w:val="24"/>
          <w:szCs w:val="24"/>
          <w:highlight w:val="none"/>
        </w:rPr>
        <w:t xml:space="preserve">（产品清单20），</w:t>
      </w:r>
      <w:r>
        <w:rPr>
          <w:rFonts w:asciiTheme="minorEastAsia" w:hAnsiTheme="minorEastAsia" w:eastAsiaTheme="minorEastAsia"/>
          <w:sz w:val="24"/>
          <w:szCs w:val="24"/>
          <w:highlight w:val="none"/>
        </w:rPr>
        <w:t xml:space="preserve">属于国家强制性认证产品，投标人须在投标文件中提供国家确定的认证机构出具的、处于有效期之内的产品3C认证证书，且提供的产品3C认证证书上的型号须与投标人在投标文件中所填写的对应产品型号一致</w:t>
      </w:r>
      <w:r>
        <w:rPr>
          <w:rFonts w:hint="eastAsia"/>
          <w:sz w:val="24"/>
          <w:szCs w:val="24"/>
          <w:highlight w:val="none"/>
        </w:rPr>
        <w:t xml:space="preserve">；</w:t>
      </w:r>
      <w:bookmarkEnd w:id="242"/>
      <w:r/>
      <w:r/>
    </w:p>
    <w:p>
      <w:pPr>
        <w:pStyle w:val="994"/>
        <w:ind w:firstLine="480"/>
        <w:spacing w:line="400" w:lineRule="exact"/>
        <w:rPr>
          <w:rFonts w:hint="eastAsia"/>
          <w:sz w:val="24"/>
          <w:szCs w:val="24"/>
          <w:highlight w:val="none"/>
        </w:rPr>
      </w:pPr>
      <w:r/>
      <w:bookmarkStart w:id="244" w:name="OLE_LINK14"/>
      <w:r>
        <w:rPr>
          <w:rFonts w:hint="eastAsia"/>
          <w:sz w:val="24"/>
          <w:szCs w:val="24"/>
          <w:highlight w:val="none"/>
        </w:rPr>
        <w:t xml:space="preserve">（2）</w:t>
      </w:r>
      <w:bookmarkEnd w:id="244"/>
      <w:r>
        <w:rPr>
          <w:rFonts w:hint="eastAsia"/>
          <w:sz w:val="24"/>
          <w:szCs w:val="24"/>
          <w:highlight w:val="none"/>
        </w:rPr>
        <w:t xml:space="preserve">以下产品：冷热水龙头</w:t>
      </w:r>
      <w:r>
        <w:rPr>
          <w:rFonts w:hint="eastAsia"/>
          <w:b/>
          <w:bCs/>
          <w:sz w:val="24"/>
          <w:szCs w:val="24"/>
          <w:highlight w:val="none"/>
        </w:rPr>
        <w:t xml:space="preserve">（产品清单94）</w:t>
      </w:r>
      <w:r>
        <w:rPr>
          <w:rFonts w:hint="eastAsia"/>
          <w:sz w:val="24"/>
          <w:szCs w:val="24"/>
          <w:highlight w:val="none"/>
        </w:rPr>
        <w:t xml:space="preserve">、感应水龙头</w:t>
      </w:r>
      <w:r>
        <w:rPr>
          <w:rFonts w:hint="eastAsia"/>
          <w:b/>
          <w:bCs/>
          <w:sz w:val="24"/>
          <w:szCs w:val="24"/>
          <w:highlight w:val="none"/>
        </w:rPr>
        <w:t xml:space="preserve">（产品清单95）</w:t>
      </w:r>
      <w:r>
        <w:rPr>
          <w:rFonts w:hint="eastAsia"/>
          <w:sz w:val="24"/>
          <w:szCs w:val="24"/>
          <w:highlight w:val="none"/>
        </w:rPr>
        <w:t xml:space="preserve">，</w:t>
      </w:r>
      <w:r>
        <w:rPr>
          <w:sz w:val="24"/>
          <w:szCs w:val="24"/>
          <w:highlight w:val="none"/>
        </w:rPr>
        <w:t xml:space="preserve">属于国家强制采购节能产品，投标人须在投标文件中提供国家确定的认证机构出具的、处于有效期之内的节能（节水）产品认证证书，且提供的产品认证证书上的型号须与投标人在投标文件中所填写的对应产品型号一致</w:t>
      </w:r>
      <w:r>
        <w:rPr>
          <w:rFonts w:hint="eastAsia"/>
          <w:sz w:val="24"/>
          <w:szCs w:val="24"/>
          <w:highlight w:val="none"/>
        </w:rPr>
        <w:t xml:space="preserve">；</w:t>
      </w:r>
      <w:r/>
    </w:p>
    <w:p>
      <w:pPr>
        <w:pStyle w:val="994"/>
        <w:ind w:firstLine="480"/>
        <w:spacing w:line="400" w:lineRule="exact"/>
        <w:rPr>
          <w:rFonts w:hint="eastAsia"/>
          <w:sz w:val="24"/>
          <w:szCs w:val="24"/>
          <w:highlight w:val="none"/>
        </w:rPr>
      </w:pPr>
      <w:r>
        <w:rPr>
          <w:rFonts w:hint="eastAsia"/>
          <w:sz w:val="24"/>
          <w:szCs w:val="24"/>
          <w:highlight w:val="none"/>
        </w:rPr>
        <w:t xml:space="preserve">（3）</w:t>
      </w:r>
      <w:r>
        <w:rPr>
          <w:rFonts w:hint="eastAsia" w:cs="宋体"/>
          <w:bCs/>
          <w:sz w:val="24"/>
          <w:highlight w:val="none"/>
        </w:rPr>
        <w:t xml:space="preserve">关于“规格”要求，产品外形尺寸允许</w:t>
      </w:r>
      <w:r>
        <w:rPr>
          <w:rFonts w:hint="eastAsia" w:cs="宋体"/>
          <w:sz w:val="24"/>
          <w:szCs w:val="24"/>
          <w:highlight w:val="none"/>
        </w:rPr>
        <w:t xml:space="preserve">±10mm的公差</w:t>
      </w:r>
      <w:r>
        <w:rPr>
          <w:rFonts w:hint="eastAsia"/>
          <w:sz w:val="24"/>
          <w:szCs w:val="24"/>
          <w:highlight w:val="none"/>
        </w:rPr>
        <w:t xml:space="preserve">。</w:t>
      </w:r>
      <w:r/>
    </w:p>
    <w:p>
      <w:pPr>
        <w:ind w:firstLine="480"/>
        <w:spacing w:line="400" w:lineRule="exact"/>
        <w:rPr>
          <w:rFonts w:hint="eastAsia" w:ascii="宋体" w:hAnsi="宋体" w:cs="宋体"/>
          <w:bCs/>
          <w:color w:val="000000"/>
          <w:sz w:val="24"/>
          <w:szCs w:val="24"/>
          <w:highlight w:val="none"/>
        </w:rPr>
        <w:outlineLvl w:val="2"/>
      </w:pPr>
      <w:r/>
      <w:bookmarkStart w:id="245" w:name="_Toc235688495"/>
      <w:r>
        <w:rPr>
          <w:rFonts w:hint="eastAsia" w:ascii="宋体" w:hAnsi="宋体" w:cs="宋体"/>
          <w:bCs/>
          <w:color w:val="000000"/>
          <w:sz w:val="24"/>
          <w:szCs w:val="24"/>
          <w:highlight w:val="none"/>
        </w:rPr>
        <w:t xml:space="preserve">★（二）商务要求</w:t>
      </w:r>
      <w:bookmarkEnd w:id="245"/>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（1）供应商应按照合同约定期内的</w:t>
      </w:r>
      <w:r>
        <w:rPr>
          <w:rFonts w:ascii="宋体" w:hAnsi="宋体" w:cs="宋体"/>
          <w:color w:val="000000"/>
          <w:sz w:val="24"/>
          <w:szCs w:val="24"/>
          <w:highlight w:val="none"/>
        </w:rPr>
        <w:t xml:space="preserve">全生命周期成本进行报价</w:t>
      </w:r>
      <w:r>
        <w:rPr>
          <w:rFonts w:hint="eastAsia" w:ascii="宋体" w:hAnsi="宋体" w:cs="宋体"/>
          <w:color w:val="000000"/>
          <w:sz w:val="24"/>
          <w:szCs w:val="24"/>
          <w:highlight w:val="none"/>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highlight w:val="none"/>
        </w:rPr>
      </w:pPr>
      <w:r/>
      <w:bookmarkStart w:id="246" w:name="OLE_LINK16"/>
      <w:r>
        <w:rPr>
          <w:rFonts w:hint="eastAsia" w:ascii="宋体" w:hAnsi="宋体" w:cs="宋体"/>
          <w:sz w:val="24"/>
          <w:szCs w:val="24"/>
          <w:highlight w:val="none"/>
        </w:rPr>
        <w:t xml:space="preserve">2.实施要求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（1）总体要求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所有变更须由供应商提交书面申请，经</w:t>
      </w:r>
      <w:r>
        <w:rPr>
          <w:rFonts w:hint="eastAsia" w:ascii="宋体" w:hAnsi="宋体" w:cs="宋体"/>
          <w:sz w:val="24"/>
          <w:szCs w:val="24"/>
          <w:highlight w:val="none"/>
        </w:rPr>
        <w:t xml:space="preserve">学校和采购人</w:t>
      </w:r>
      <w:r>
        <w:rPr>
          <w:rFonts w:ascii="宋体" w:hAnsi="宋体" w:cs="宋体"/>
          <w:sz w:val="24"/>
          <w:szCs w:val="24"/>
          <w:highlight w:val="none"/>
        </w:rPr>
        <w:t xml:space="preserve">审批</w:t>
      </w:r>
      <w:r>
        <w:rPr>
          <w:rFonts w:hint="eastAsia" w:ascii="宋体" w:hAnsi="宋体" w:cs="宋体"/>
          <w:sz w:val="24"/>
          <w:szCs w:val="24"/>
          <w:highlight w:val="none"/>
        </w:rPr>
        <w:t xml:space="preserve">确认</w:t>
      </w:r>
      <w:r>
        <w:rPr>
          <w:rFonts w:ascii="宋体" w:hAnsi="宋体" w:cs="宋体"/>
          <w:sz w:val="24"/>
          <w:szCs w:val="24"/>
          <w:highlight w:val="none"/>
        </w:rPr>
        <w:t xml:space="preserve">后执行。变更流程必须符合招标采购的有关制度。</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（2）质量要求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①供应商提供的</w:t>
      </w:r>
      <w:r>
        <w:rPr>
          <w:rFonts w:hint="eastAsia" w:ascii="宋体" w:hAnsi="宋体" w:cs="宋体"/>
          <w:sz w:val="24"/>
          <w:szCs w:val="24"/>
          <w:highlight w:val="none"/>
        </w:rPr>
        <w:t xml:space="preserve">产品</w:t>
      </w:r>
      <w:r>
        <w:rPr>
          <w:rFonts w:ascii="宋体" w:hAnsi="宋体" w:cs="宋体"/>
          <w:sz w:val="24"/>
          <w:szCs w:val="24"/>
          <w:highlight w:val="none"/>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highlight w:val="none"/>
        </w:rPr>
        <w:t xml:space="preserve">产品</w:t>
      </w:r>
      <w:r>
        <w:rPr>
          <w:rFonts w:ascii="宋体" w:hAnsi="宋体" w:cs="宋体"/>
          <w:sz w:val="24"/>
          <w:szCs w:val="24"/>
          <w:highlight w:val="none"/>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（3）安全施工要求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供应商须按照《中华人民共和国劳动法》规范用工，并加强施工人员安全教育，加强施工现场安全保护，杜绝安全事故发生。</w:t>
      </w:r>
      <w:r>
        <w:rPr>
          <w:rFonts w:ascii="宋体" w:hAnsi="宋体" w:cs="宋体"/>
          <w:sz w:val="24"/>
          <w:szCs w:val="24"/>
          <w:highlight w:val="none"/>
        </w:rPr>
        <w:t xml:space="preserve">因本项目施工产生的施工人员和学校师生人身安全问题由供应商承担全部责任</w:t>
      </w:r>
      <w:r>
        <w:rPr>
          <w:rFonts w:hint="eastAsia" w:ascii="宋体" w:hAnsi="宋体" w:cs="宋体"/>
          <w:sz w:val="24"/>
          <w:szCs w:val="24"/>
          <w:highlight w:val="none"/>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（4）验收要求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（5）质保及售后要求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质保期至少3年，质保期自交货验收合格后开始。</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保期内，每年维护保养1次，维护保养及更换损坏件的费用包含在投标总价中。</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质保期外，供应商提供终身服务，在货物的设计使用寿命周期内，供应商能保证采购人更换到</w:t>
      </w:r>
      <w:r>
        <w:rPr>
          <w:rFonts w:hint="eastAsia" w:ascii="宋体" w:hAnsi="宋体" w:cs="宋体"/>
          <w:sz w:val="24"/>
          <w:szCs w:val="24"/>
          <w:highlight w:val="none"/>
        </w:rPr>
        <w:t xml:space="preserve">不高于市场价格的</w:t>
      </w:r>
      <w:r>
        <w:rPr>
          <w:rFonts w:ascii="宋体" w:hAnsi="宋体" w:cs="宋体"/>
          <w:sz w:val="24"/>
          <w:szCs w:val="24"/>
          <w:highlight w:val="none"/>
        </w:rPr>
        <w:t xml:space="preserve">原厂正宗的备件材料，确保产品的正常使用。</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项目管理</w:t>
      </w:r>
      <w:r>
        <w:rPr>
          <w:rFonts w:hint="eastAsia" w:ascii="宋体" w:hAnsi="宋体" w:cs="宋体"/>
          <w:sz w:val="24"/>
          <w:szCs w:val="24"/>
          <w:highlight w:val="none"/>
        </w:rPr>
        <w:t xml:space="preserve">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中标供应商必须接受“南京市教育装备项目管理平台”（平台网址</w:t>
      </w:r>
      <w:r>
        <w:rPr>
          <w:highlight w:val="none"/>
        </w:rPr>
        <w:fldChar w:fldCharType="begin"/>
      </w:r>
      <w:r>
        <w:rPr>
          <w:highlight w:val="none"/>
        </w:rPr>
        <w:instrText xml:space="preserve"> HYPERLINK "http://nj.cneefix.com" </w:instrText>
      </w:r>
      <w:r>
        <w:rPr>
          <w:highlight w:val="none"/>
        </w:rPr>
        <w:fldChar w:fldCharType="separate"/>
      </w:r>
      <w:r>
        <w:rPr>
          <w:rFonts w:hint="eastAsia" w:ascii="宋体" w:hAnsi="宋体"/>
          <w:szCs w:val="24"/>
          <w:highlight w:val="none"/>
        </w:rPr>
        <w:t xml:space="preserve">http://nj.cneefix.com</w:t>
      </w:r>
      <w:r>
        <w:rPr>
          <w:rFonts w:hint="eastAsia" w:ascii="宋体" w:hAnsi="宋体"/>
          <w:szCs w:val="24"/>
          <w:highlight w:val="none"/>
        </w:rPr>
        <w:fldChar w:fldCharType="end"/>
      </w:r>
      <w:r>
        <w:rPr>
          <w:rFonts w:hint="eastAsia" w:ascii="宋体" w:hAnsi="宋体" w:cs="宋体"/>
          <w:sz w:val="24"/>
          <w:szCs w:val="24"/>
          <w:highlight w:val="none"/>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（7）培训要求</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付款条件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（1）合同签订后，甲方支付合同总价款的30%作为预付款。</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（2）供货结束并验收合格后，甲方支付合同总价款的70%。</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（3）满足合同约定支付条件的，甲方收到乙方发票后10个工作日内，将资金支付到合同约定的乙方账户。</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交付时间及地点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（1）交付时间：合同签订后</w:t>
      </w:r>
      <w:r>
        <w:rPr>
          <w:rFonts w:hint="eastAsia" w:ascii="宋体" w:hAnsi="宋体" w:cs="宋体"/>
          <w:bCs/>
          <w:sz w:val="24"/>
          <w:szCs w:val="24"/>
          <w:highlight w:val="none"/>
        </w:rPr>
        <w:t xml:space="preserve">30</w:t>
      </w:r>
      <w:r>
        <w:rPr>
          <w:rFonts w:ascii="宋体" w:hAnsi="宋体" w:cs="宋体"/>
          <w:sz w:val="24"/>
          <w:szCs w:val="24"/>
          <w:highlight w:val="none"/>
        </w:rPr>
        <w:t xml:space="preserve">日历天内完成所有设备供货、安装、调试、培训并通过验收。</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（2）交付地点</w:t>
      </w:r>
      <w:r>
        <w:rPr>
          <w:rFonts w:hint="eastAsia" w:ascii="宋体" w:hAnsi="宋体" w:cs="宋体"/>
          <w:sz w:val="24"/>
          <w:szCs w:val="24"/>
          <w:highlight w:val="none"/>
        </w:rPr>
        <w:t xml:space="preserve">见下表</w:t>
      </w:r>
      <w:r/>
    </w:p>
    <w:tbl>
      <w:tblPr>
        <w:tblStyle w:val="779"/>
        <w:tblW w:w="9760" w:type="dxa"/>
        <w:tblInd w:w="0" w:type="dxa"/>
        <w:tblLayout w:type="autofit"/>
        <w:tblCellMar>
          <w:left w:w="108" w:type="dxa"/>
          <w:top w:w="0" w:type="dxa"/>
          <w:right w:w="108" w:type="dxa"/>
          <w:bottom w:w="0" w:type="dxa"/>
        </w:tblCellMar>
        <w:tblLook w:val="04A0" w:firstRow="1" w:lastRow="0" w:firstColumn="1" w:lastColumn="0" w:noHBand="0" w:noVBand="1"/>
      </w:tblPr>
      <w:tblGrid>
        <w:gridCol w:w="416"/>
        <w:gridCol w:w="1621"/>
        <w:gridCol w:w="616"/>
        <w:gridCol w:w="616"/>
        <w:gridCol w:w="555"/>
        <w:gridCol w:w="555"/>
        <w:gridCol w:w="555"/>
        <w:gridCol w:w="555"/>
        <w:gridCol w:w="616"/>
        <w:gridCol w:w="555"/>
        <w:gridCol w:w="544"/>
        <w:gridCol w:w="544"/>
        <w:gridCol w:w="544"/>
        <w:gridCol w:w="556"/>
        <w:gridCol w:w="456"/>
        <w:gridCol w:w="456"/>
      </w:tblGrid>
      <w:tr>
        <w:trPr>
          <w:trHeight w:val="510"/>
        </w:trPr>
        <w:tc>
          <w:tcPr>
            <w:tcBorders>
              <w:top w:val="single" w:color="auto"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widowControl/>
              <w:rPr>
                <w:rFonts w:hint="eastAsia" w:ascii="宋体" w:hAnsi="宋体" w:cs="宋体"/>
                <w:sz w:val="20"/>
                <w:szCs w:val="20"/>
                <w:highlight w:val="none"/>
              </w:rPr>
            </w:pPr>
            <w:r>
              <w:rPr>
                <w:rFonts w:ascii="宋体" w:hAnsi="宋体" w:cs="宋体"/>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center"/>
              <w:widowControl/>
              <w:rPr>
                <w:rFonts w:hint="eastAsia" w:ascii="宋体" w:hAnsi="宋体" w:cs="宋体"/>
                <w:sz w:val="20"/>
                <w:szCs w:val="20"/>
                <w:highlight w:val="none"/>
              </w:rPr>
            </w:pPr>
            <w:r>
              <w:rPr>
                <w:rFonts w:ascii="宋体" w:hAnsi="宋体" w:cs="宋体"/>
                <w:sz w:val="20"/>
                <w:szCs w:val="20"/>
                <w:highlight w:val="none"/>
              </w:rPr>
              <w:t xml:space="preserve">产品名称</w:t>
            </w:r>
            <w:r/>
          </w:p>
        </w:tc>
        <w:tc>
          <w:tcPr>
            <w:gridSpan w:val="14"/>
            <w:tcBorders>
              <w:top w:val="single" w:color="auto" w:sz="4" w:space="0"/>
              <w:left w:val="none" w:color="000000" w:sz="4" w:space="0"/>
              <w:bottom w:val="single" w:color="auto" w:sz="4" w:space="0"/>
              <w:right w:val="single" w:color="auto" w:sz="4" w:space="0"/>
            </w:tcBorders>
            <w:tcW w:w="7640" w:type="dxa"/>
            <w:vAlign w:val="center"/>
            <w:textDirection w:val="lrTb"/>
            <w:noWrap w:val="false"/>
          </w:tcPr>
          <w:p>
            <w:pPr>
              <w:jc w:val="center"/>
              <w:widowControl/>
              <w:rPr>
                <w:rFonts w:hint="eastAsia" w:ascii="宋体" w:hAnsi="宋体" w:cs="宋体"/>
                <w:sz w:val="20"/>
                <w:szCs w:val="20"/>
                <w:highlight w:val="none"/>
              </w:rPr>
            </w:pPr>
            <w:r>
              <w:rPr>
                <w:rFonts w:ascii="宋体" w:hAnsi="宋体" w:cs="宋体"/>
                <w:sz w:val="20"/>
                <w:szCs w:val="20"/>
                <w:highlight w:val="none"/>
              </w:rPr>
              <w:t xml:space="preserve">交货学校及数量</w:t>
            </w:r>
            <w:r/>
          </w:p>
        </w:tc>
      </w:tr>
      <w:tr>
        <w:trPr>
          <w:trHeight w:val="1530"/>
        </w:trPr>
        <w:tc>
          <w:tcPr>
            <w:tcBorders>
              <w:top w:val="single" w:color="auto" w:sz="4" w:space="0"/>
              <w:left w:val="single" w:color="auto" w:sz="4" w:space="0"/>
              <w:bottom w:val="single" w:color="auto" w:sz="4" w:space="0"/>
              <w:right w:val="single" w:color="auto" w:sz="4" w:space="0"/>
            </w:tcBorders>
            <w:tcW w:w="400" w:type="dxa"/>
            <w:vAlign w:val="center"/>
            <w:vMerge w:val="continue"/>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金陵中学龙湖分校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科利华中学棠城分校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复兴路初级中学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南师大附属六合实验初中</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南师大附属六合实验小学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北京东路小学棠城分校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双语小学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双语雄州分校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方州小学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蒋湾小学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程桥中心小学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龙池初级中学</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东沟小学</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spacing w:line="240" w:lineRule="exact"/>
              <w:widowControl/>
              <w:rPr>
                <w:rFonts w:hint="eastAsia" w:ascii="宋体" w:hAnsi="宋体" w:cs="宋体"/>
                <w:sz w:val="20"/>
                <w:szCs w:val="20"/>
                <w:highlight w:val="none"/>
              </w:rPr>
            </w:pPr>
            <w:r>
              <w:rPr>
                <w:rFonts w:ascii="宋体" w:hAnsi="宋体" w:cs="宋体"/>
                <w:sz w:val="20"/>
                <w:szCs w:val="20"/>
                <w:highlight w:val="none"/>
              </w:rPr>
              <w:t xml:space="preserve">冶山中心小学</w:t>
            </w:r>
            <w:r/>
          </w:p>
        </w:tc>
      </w:tr>
      <w:tr>
        <w:trPr>
          <w:trHeight w:val="510"/>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中餐燃气炒菜灶（带熄保）</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炊用燃气大锅灶（带熄保）-1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炊用燃气大锅灶（带熄保）-2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电磁双头矮汤灶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电磁单头矮汤灶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电磁单头900大炒灶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汽电两用蒸饭箱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双门电蒸饭箱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双门燃气蒸饭箱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双门热风循环消毒柜</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hint="eastAsia"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留样冰箱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洗碗机主洗模块</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洗碗机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土豆脱皮机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开水器连底座</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绞切肉机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多功能切菜机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豆浆机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电炸炉</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除湿机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灭蝇灯</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四格保温售卖台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不锈钢单移门工作柜</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不锈钢移动工作台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不锈钢双层工作台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大单星水池-1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大单星水池-2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不锈钢双层餐车-1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不锈钢双层餐车-2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不锈钢双层餐车-3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不锈钢双层餐车-4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不锈钢双层收碗车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平板推车-1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平板推车-2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平板推车-3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平板推车-4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不锈钢八人餐桌椅</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不锈钢五格带盖餐盒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不锈钢四格带盖餐盒-1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不锈钢四格带盖餐盒-2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六格快餐盘</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不锈钢双层汤碗-1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不锈钢双层汤碗-2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不锈钢双层汤碗-3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不锈钢汤勺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不锈钢餐勺-1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不锈钢餐勺-2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不锈钢筷子</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不锈钢蒸饭盘</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EPP保温箱-1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EPP保温箱-2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EPP保温箱-3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EPP保温箱-4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PP透明收纳箱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蓝色整理箱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不锈钢保温桶-1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不锈钢保温桶-2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不锈钢保温桶-3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不锈钢保温桶-4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保温汤桶（内胆不锈钢）</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塑料洗菜筐-1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塑料洗菜筐-2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不锈钢装菜盆连盖</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电磁灶专用汤桶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不锈钢盛饭桶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不锈钢汤桶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添饭盒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留样盒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加厚大锅</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厨片刀</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厨房专用剪刀（大）</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磨刀石</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不锈钢淘米箩</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不锈钢盆-1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不锈钢盆-2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不锈钢盆-3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不锈钢盆-4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不锈钢冲孔洗菜盆</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79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长柄炒勺-1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长柄炒勺-2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不锈钢笊篱-1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不锈钢笊篱-2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不锈钢水舀</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不锈钢打汤勺-1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不锈钢打汤勺-2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不锈钢打菜勺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不锈钢加厚油钵</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不锈钢调料缸带盖</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PP圆形砧板-1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hint="eastAsia" w:ascii="宋体" w:hAnsi="宋体" w:cs="宋体"/>
                <w:sz w:val="20"/>
                <w:szCs w:val="20"/>
                <w:highlight w:val="none"/>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PP圆形砧板-2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带盖塑料圆形桶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带盖塑料残余垃圾桶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落地电子秤</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冷热水龙头</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感应水龙头</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保温售卖台维修</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97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平板推车维修</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highlight w:val="none"/>
              </w:rPr>
            </w:pPr>
            <w:r>
              <w:rPr>
                <w:rFonts w:ascii="宋体" w:hAnsi="宋体" w:cs="宋体"/>
                <w:sz w:val="20"/>
                <w:szCs w:val="20"/>
                <w:highlight w:val="none"/>
              </w:rPr>
              <w:t xml:space="preserve">　</w:t>
            </w:r>
            <w:r/>
          </w:p>
        </w:tc>
      </w:tr>
    </w:tbl>
    <w:p>
      <w:pPr>
        <w:pStyle w:val="780"/>
        <w:ind w:firstLine="0"/>
        <w:rPr>
          <w:rFonts w:hint="eastAsia"/>
          <w:highlight w:val="none"/>
          <w:lang w:eastAsia="zh-CN"/>
        </w:rPr>
      </w:pPr>
      <w:r>
        <w:rPr>
          <w:rFonts w:hint="eastAsia"/>
          <w:highlight w:val="none"/>
          <w:lang w:eastAsia="zh-CN"/>
        </w:rPr>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5.履约保证金</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以第三章合同文本内容为准。</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6.其他要求</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供应商投标文件中，凡涉及列入《强制性产品认证目录描述与界定表（2023年修订）》的产品</w:t>
      </w:r>
      <w:r>
        <w:rPr>
          <w:rFonts w:hint="eastAsia" w:ascii="宋体" w:hAnsi="宋体" w:cs="宋体"/>
          <w:sz w:val="24"/>
          <w:szCs w:val="24"/>
          <w:highlight w:val="none"/>
        </w:rPr>
        <w:t xml:space="preserve">和</w:t>
      </w:r>
      <w:r>
        <w:rPr>
          <w:rFonts w:ascii="宋体" w:hAnsi="宋体" w:cs="宋体"/>
          <w:sz w:val="24"/>
          <w:szCs w:val="24"/>
          <w:highlight w:val="none"/>
        </w:rPr>
        <w:t xml:space="preserve">列入《节能产品政府采购品目清单》的强制采购节能产品的产品，签订合同时供应商须提供有效的强制性产品认证（CCC）证书</w:t>
      </w:r>
      <w:r>
        <w:rPr>
          <w:rFonts w:hint="eastAsia" w:ascii="宋体" w:hAnsi="宋体" w:cs="宋体"/>
          <w:sz w:val="24"/>
          <w:szCs w:val="24"/>
          <w:highlight w:val="none"/>
        </w:rPr>
        <w:t xml:space="preserve">和</w:t>
      </w:r>
      <w:r>
        <w:rPr>
          <w:rFonts w:ascii="宋体" w:hAnsi="宋体" w:cs="宋体"/>
          <w:sz w:val="24"/>
          <w:szCs w:val="24"/>
          <w:highlight w:val="none"/>
        </w:rPr>
        <w:t xml:space="preserve">有效的节能产品认证证书供采购人核验。供应商未提供或者提供的证</w:t>
      </w:r>
      <w:r>
        <w:rPr>
          <w:rFonts w:hint="eastAsia" w:ascii="宋体" w:hAnsi="宋体" w:cs="宋体"/>
          <w:sz w:val="24"/>
          <w:szCs w:val="24"/>
          <w:highlight w:val="none"/>
        </w:rPr>
        <w:t xml:space="preserve">书</w:t>
      </w:r>
      <w:r>
        <w:rPr>
          <w:rFonts w:ascii="宋体" w:hAnsi="宋体" w:cs="宋体"/>
          <w:sz w:val="24"/>
          <w:szCs w:val="24"/>
          <w:highlight w:val="none"/>
        </w:rPr>
        <w:t xml:space="preserve">不符合要求的，视为提供虚假材料谋取中标，采购人将取消其中标资格。</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246"/>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第五章评标方法与评标标准</w:t>
      </w:r>
      <w:r/>
    </w:p>
    <w:p>
      <w:pPr>
        <w:ind w:firstLine="480"/>
        <w:spacing w:line="3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1.采用综合评分法，评标结果按评审后得分由高到低顺序排列。得分相同的，按投标报价由低到高顺序排列。得分且投标报价相同的，按“四、评标标准中</w:t>
      </w:r>
      <w:r>
        <w:rPr>
          <w:rFonts w:hint="eastAsia" w:ascii="宋体" w:hAnsi="宋体"/>
          <w:color w:val="000000"/>
          <w:sz w:val="24"/>
          <w:szCs w:val="24"/>
          <w:highlight w:val="none"/>
        </w:rPr>
        <w:t xml:space="preserve">2.技术</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sz w:val="24"/>
          <w:szCs w:val="24"/>
          <w:highlight w:val="none"/>
        </w:rPr>
        <w:t xml:space="preserve">3名</w:t>
      </w:r>
      <w:r>
        <w:rPr>
          <w:rFonts w:hint="eastAsia" w:ascii="宋体" w:hAnsi="宋体" w:cs="宋体"/>
          <w:color w:val="000000"/>
          <w:sz w:val="24"/>
          <w:szCs w:val="24"/>
          <w:highlight w:val="none"/>
        </w:rPr>
        <w:t xml:space="preserve">中标候选人。</w:t>
      </w:r>
      <w:r/>
    </w:p>
    <w:p>
      <w:pPr>
        <w:ind w:firstLine="480"/>
        <w:spacing w:line="3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p>
    <w:p>
      <w:pPr>
        <w:ind w:firstLine="480"/>
        <w:spacing w:line="3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highlight w:val="none"/>
        </w:rPr>
      </w:pPr>
      <w:r>
        <w:rPr>
          <w:rFonts w:hint="eastAsia" w:ascii="宋体" w:hAnsi="宋体"/>
          <w:color w:val="000000"/>
          <w:sz w:val="24"/>
          <w:szCs w:val="24"/>
          <w:highlight w:val="none"/>
        </w:rPr>
        <w:t xml:space="preserve">2.</w:t>
      </w:r>
      <w:r>
        <w:rPr>
          <w:rFonts w:hint="eastAsia" w:ascii="宋体" w:hAnsi="宋体"/>
          <w:sz w:val="24"/>
          <w:szCs w:val="24"/>
          <w:highlight w:val="none"/>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000000"/>
          <w:sz w:val="24"/>
          <w:szCs w:val="24"/>
          <w:highlight w:val="none"/>
        </w:rPr>
      </w:pPr>
      <w:r>
        <w:rPr>
          <w:rFonts w:hint="eastAsia" w:ascii="宋体" w:hAnsi="宋体"/>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highlight w:val="none"/>
        </w:rPr>
        <w:t xml:space="preserve">且供应商在投标（响应）文件中对此作出承诺的（按照采购文件要求在《投标分项报价表》中作出承诺），</w:t>
      </w:r>
      <w:r>
        <w:rPr>
          <w:rFonts w:hint="eastAsia" w:ascii="宋体" w:hAnsi="宋体"/>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highlight w:val="none"/>
        </w:rPr>
        <w:t xml:space="preserve">全部产品是指货物或服务采购项目或采购包中包含的全部货物、服务产品。</w:t>
      </w:r>
      <w:r/>
    </w:p>
    <w:p>
      <w:pPr>
        <w:ind w:firstLine="480"/>
        <w:spacing w:line="3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000000"/>
          <w:sz w:val="24"/>
          <w:szCs w:val="24"/>
          <w:highlight w:val="none"/>
        </w:rPr>
      </w:pPr>
      <w:r>
        <w:rPr>
          <w:rFonts w:hint="eastAsia" w:ascii="宋体" w:hAnsi="宋体"/>
          <w:sz w:val="24"/>
          <w:szCs w:val="24"/>
          <w:highlight w:val="none"/>
        </w:rPr>
        <w:t xml:space="preserve">4.</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p>
    <w:p>
      <w:pPr>
        <w:ind w:firstLine="480"/>
        <w:spacing w:line="340" w:lineRule="exact"/>
        <w:rPr>
          <w:rFonts w:hint="eastAsia" w:ascii="宋体" w:hAnsi="宋体"/>
          <w:sz w:val="24"/>
          <w:szCs w:val="24"/>
          <w:highlight w:val="none"/>
        </w:rPr>
      </w:pPr>
      <w:r>
        <w:rPr>
          <w:rFonts w:hint="eastAsia" w:ascii="宋体" w:hAnsi="宋体"/>
          <w:sz w:val="24"/>
          <w:szCs w:val="24"/>
          <w:highlight w:val="none"/>
        </w:rPr>
        <w:t xml:space="preserve">1.本项目全部货物制造商为小微企业的，对报价给予15%的扣除，用扣除后的价格参与评审。</w:t>
      </w:r>
      <w:r/>
    </w:p>
    <w:p>
      <w:pPr>
        <w:ind w:firstLine="480"/>
        <w:spacing w:line="340" w:lineRule="exact"/>
        <w:rPr>
          <w:rFonts w:hint="eastAsia" w:ascii="宋体" w:hAnsi="宋体"/>
          <w:sz w:val="24"/>
          <w:szCs w:val="24"/>
          <w:highlight w:val="none"/>
        </w:rPr>
      </w:pPr>
      <w:r>
        <w:rPr>
          <w:rFonts w:hint="eastAsia" w:ascii="宋体" w:hAnsi="宋体"/>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color w:val="000000"/>
          <w:sz w:val="24"/>
          <w:szCs w:val="24"/>
          <w:highlight w:val="none"/>
        </w:rPr>
      </w:pPr>
      <w:r>
        <w:rPr>
          <w:rFonts w:hint="eastAsia" w:ascii="黑体" w:hAnsi="黑体" w:eastAsia="黑体" w:cs="黑体"/>
          <w:color w:val="000000"/>
          <w:sz w:val="24"/>
          <w:szCs w:val="24"/>
          <w:highlight w:val="none"/>
        </w:rPr>
        <w:t xml:space="preserve">四、评标标准</w:t>
      </w:r>
      <w:r/>
    </w:p>
    <w:tbl>
      <w:tblPr>
        <w:tblStyle w:val="779"/>
        <w:tblW w:w="10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1418"/>
        <w:gridCol w:w="6305"/>
        <w:gridCol w:w="682"/>
        <w:gridCol w:w="1173"/>
      </w:tblGrid>
      <w:tr>
        <w:trPr>
          <w:jc w:val="center"/>
          <w:trHeight w:val="134"/>
        </w:trPr>
        <w:tc>
          <w:tcPr>
            <w:tcW w:w="879" w:type="dxa"/>
            <w:vAlign w:val="center"/>
            <w:textDirection w:val="lrTb"/>
            <w:noWrap/>
          </w:tcPr>
          <w:p>
            <w:pPr>
              <w:jc w:val="center"/>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编号</w:t>
            </w:r>
            <w:r/>
          </w:p>
        </w:tc>
        <w:tc>
          <w:tcPr>
            <w:tcW w:w="1418" w:type="dxa"/>
            <w:vAlign w:val="center"/>
            <w:textDirection w:val="lrTb"/>
            <w:noWrap/>
          </w:tcPr>
          <w:p>
            <w:pPr>
              <w:jc w:val="center"/>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评分因素</w:t>
            </w:r>
            <w:r/>
          </w:p>
        </w:tc>
        <w:tc>
          <w:tcPr>
            <w:tcW w:w="6305" w:type="dxa"/>
            <w:vAlign w:val="center"/>
            <w:textDirection w:val="lrTb"/>
            <w:noWrap/>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val="zh-CN" w:bidi="zh-CN"/>
              </w:rPr>
              <w:t xml:space="preserve">评审</w:t>
            </w:r>
            <w:r>
              <w:rPr>
                <w:rFonts w:hint="eastAsia" w:ascii="宋体" w:hAnsi="宋体" w:cs="宋体"/>
                <w:color w:val="000000"/>
                <w:szCs w:val="21"/>
                <w:highlight w:val="none"/>
                <w:lang w:bidi="zh-CN"/>
              </w:rPr>
              <w:t xml:space="preserve">细则</w:t>
            </w:r>
            <w:r/>
          </w:p>
        </w:tc>
        <w:tc>
          <w:tcPr>
            <w:tcW w:w="682" w:type="dxa"/>
            <w:vAlign w:val="center"/>
            <w:textDirection w:val="lrTb"/>
            <w:noWrap/>
          </w:tcPr>
          <w:p>
            <w:pPr>
              <w:jc w:val="center"/>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分值</w:t>
            </w:r>
            <w:r/>
          </w:p>
        </w:tc>
        <w:tc>
          <w:tcPr>
            <w:tcW w:w="1173" w:type="dxa"/>
            <w:vAlign w:val="center"/>
            <w:textDirection w:val="lrTb"/>
            <w:noWrap/>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分值类型</w:t>
            </w:r>
            <w:r/>
          </w:p>
        </w:tc>
      </w:tr>
      <w:tr>
        <w:trPr>
          <w:jc w:val="center"/>
          <w:trHeight w:val="412"/>
        </w:trPr>
        <w:tc>
          <w:tcPr>
            <w:gridSpan w:val="5"/>
            <w:tcW w:w="10457" w:type="dxa"/>
            <w:vAlign w:val="center"/>
            <w:textDirection w:val="lrTb"/>
            <w:noWrap/>
          </w:tcPr>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ar"/>
              </w:rPr>
              <w:t xml:space="preserve">1.价格</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1.1</w:t>
            </w:r>
            <w:r/>
          </w:p>
        </w:tc>
        <w:tc>
          <w:tcPr>
            <w:tcW w:w="1418"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价格分</w:t>
            </w:r>
            <w:r/>
          </w:p>
        </w:tc>
        <w:tc>
          <w:tcPr>
            <w:tcW w:w="6305" w:type="dxa"/>
            <w:vAlign w:val="center"/>
            <w:textDirection w:val="lrTb"/>
            <w:noWrap w:val="false"/>
          </w:tcPr>
          <w:p>
            <w:pPr>
              <w:jc w:val="left"/>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szCs w:val="21"/>
                <w:highlight w:val="none"/>
                <w:lang w:bidi="zh-CN"/>
              </w:rPr>
              <w:t xml:space="preserve">30</w:t>
            </w:r>
            <w:r>
              <w:rPr>
                <w:rFonts w:hint="eastAsia" w:ascii="宋体" w:hAnsi="宋体" w:cs="宋体"/>
                <w:color w:val="000000"/>
                <w:szCs w:val="21"/>
                <w:highlight w:val="none"/>
                <w:lang w:val="zh-CN" w:bidi="zh-CN"/>
              </w:rPr>
              <w:t xml:space="preserve">（小数点保留两位）</w:t>
            </w:r>
            <w:r/>
          </w:p>
        </w:tc>
        <w:tc>
          <w:tcPr>
            <w:tcW w:w="682"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30</w:t>
            </w:r>
            <w:r/>
          </w:p>
        </w:tc>
        <w:tc>
          <w:tcPr>
            <w:tcW w:w="1173"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自动计算</w:t>
            </w:r>
            <w:r/>
          </w:p>
        </w:tc>
      </w:tr>
      <w:tr>
        <w:trPr>
          <w:jc w:val="center"/>
          <w:trHeight w:val="395"/>
        </w:trPr>
        <w:tc>
          <w:tcPr>
            <w:gridSpan w:val="5"/>
            <w:tcW w:w="10457" w:type="dxa"/>
            <w:vAlign w:val="center"/>
            <w:textDirection w:val="lrTb"/>
            <w:noWrap w:val="false"/>
          </w:tcPr>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ar"/>
              </w:rPr>
              <w:t xml:space="preserve">2.技术</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2.1</w:t>
            </w:r>
            <w:r/>
          </w:p>
        </w:tc>
        <w:tc>
          <w:tcPr>
            <w:tcW w:w="1418"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产品功能、性能、配置要求</w:t>
            </w:r>
            <w:r/>
          </w:p>
        </w:tc>
        <w:tc>
          <w:tcPr>
            <w:tcW w:w="6305" w:type="dxa"/>
            <w:vAlign w:val="center"/>
            <w:textDirection w:val="lrTb"/>
            <w:noWrap w:val="false"/>
          </w:tcPr>
          <w:p>
            <w:pP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bidi="zh-CN"/>
              </w:rPr>
              <w:t xml:space="preserve">产品技术参数全部满足招标要求的得满分</w:t>
            </w:r>
            <w:r>
              <w:rPr>
                <w:rFonts w:hint="eastAsia" w:ascii="宋体" w:hAnsi="宋体" w:cs="宋体"/>
                <w:color w:val="000000"/>
                <w:szCs w:val="21"/>
                <w:highlight w:val="none"/>
                <w:lang w:bidi="zh-CN"/>
              </w:rPr>
              <w:t xml:space="preserve">30</w:t>
            </w:r>
            <w:r>
              <w:rPr>
                <w:rFonts w:hint="eastAsia" w:ascii="宋体" w:hAnsi="宋体" w:cs="宋体"/>
                <w:color w:val="000000"/>
                <w:szCs w:val="21"/>
                <w:highlight w:val="none"/>
                <w:lang w:val="zh-CN" w:bidi="zh-CN"/>
              </w:rPr>
              <w:t xml:space="preserve">分，</w:t>
            </w:r>
            <w:r>
              <w:rPr>
                <w:rFonts w:hint="eastAsia" w:ascii="宋体" w:hAnsi="宋体" w:cs="宋体"/>
                <w:color w:val="000000"/>
                <w:szCs w:val="21"/>
                <w:highlight w:val="none"/>
                <w:lang w:bidi="zh-CN"/>
              </w:rPr>
              <w:t xml:space="preserve">打▲指标（5项）为重要指标，有1项负偏离扣1分；其余指标有1项负偏离扣0.0625分，扣完为止。如有严重负偏离且影响产品性能的，经半数以上评委认定，本项不得分。</w:t>
            </w:r>
            <w:r/>
          </w:p>
        </w:tc>
        <w:tc>
          <w:tcPr>
            <w:tcW w:w="682"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30</w:t>
            </w:r>
            <w:r/>
          </w:p>
        </w:tc>
        <w:tc>
          <w:tcPr>
            <w:tcW w:w="1173"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客观分</w:t>
            </w:r>
            <w:r/>
          </w:p>
        </w:tc>
      </w:tr>
      <w:tr>
        <w:trPr>
          <w:jc w:val="center"/>
          <w:trHeight w:val="292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2.2</w:t>
            </w:r>
            <w:r/>
          </w:p>
        </w:tc>
        <w:tc>
          <w:tcPr>
            <w:tcW w:w="1418"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szCs w:val="21"/>
                <w:highlight w:val="none"/>
              </w:rPr>
              <w:t xml:space="preserve">产品检测报告</w:t>
            </w:r>
            <w:r/>
          </w:p>
        </w:tc>
        <w:tc>
          <w:tcPr>
            <w:tcW w:w="6305" w:type="dxa"/>
            <w:vAlign w:val="center"/>
            <w:textDirection w:val="lrTb"/>
            <w:noWrap w:val="false"/>
          </w:tcPr>
          <w:p>
            <w:pPr>
              <w:jc w:val="left"/>
              <w:widowControl/>
              <w:rPr>
                <w:rFonts w:hint="eastAsia" w:ascii="宋体" w:hAnsi="宋体" w:cs="宋体"/>
                <w:szCs w:val="21"/>
                <w:highlight w:val="none"/>
                <w:lang w:bidi="ar"/>
              </w:rPr>
            </w:pPr>
            <w:r/>
            <w:bookmarkStart w:id="247" w:name="OLE_LINK5"/>
            <w:r>
              <w:rPr>
                <w:rFonts w:hint="eastAsia" w:ascii="宋体" w:hAnsi="宋体" w:cs="宋体"/>
                <w:color w:val="000000"/>
                <w:szCs w:val="21"/>
                <w:highlight w:val="none"/>
                <w:lang w:bidi="ar"/>
              </w:rPr>
              <w:t xml:space="preserve">评委</w:t>
            </w:r>
            <w:r>
              <w:rPr>
                <w:rFonts w:hint="eastAsia" w:ascii="宋体" w:hAnsi="宋体" w:cs="宋体"/>
                <w:szCs w:val="21"/>
                <w:highlight w:val="none"/>
                <w:lang w:bidi="ar"/>
              </w:rPr>
              <w:t xml:space="preserve">根据投标人提供的第三方合法检测机构出具的有效产品检测报告进行客观打分，每提供一项完全满足下述对应功能及检测标准的有效检测报告得1分，本项最高得3分。</w:t>
            </w:r>
            <w:bookmarkEnd w:id="247"/>
            <w:r/>
            <w:r/>
          </w:p>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val="zh-CN" w:bidi="zh-CN"/>
              </w:rPr>
              <w:t xml:space="preserve">1.</w:t>
            </w:r>
            <w:r>
              <w:rPr>
                <w:rFonts w:ascii="宋体" w:hAnsi="宋体" w:cs="宋体"/>
                <w:color w:val="000000"/>
                <w:szCs w:val="21"/>
                <w:highlight w:val="none"/>
                <w:lang w:val="zh-CN" w:bidi="zh-CN"/>
              </w:rPr>
              <w:t xml:space="preserve">投标人所投</w:t>
            </w:r>
            <w:r>
              <w:rPr>
                <w:rFonts w:hint="eastAsia" w:ascii="宋体" w:hAnsi="宋体" w:cs="宋体"/>
                <w:color w:val="000000"/>
                <w:szCs w:val="21"/>
                <w:highlight w:val="none"/>
                <w:lang w:val="zh-CN" w:bidi="zh-CN"/>
              </w:rPr>
              <w:t xml:space="preserve">“</w:t>
            </w:r>
            <w:r>
              <w:rPr>
                <w:rFonts w:ascii="宋体" w:hAnsi="宋体" w:cs="宋体"/>
                <w:b/>
                <w:bCs/>
                <w:color w:val="000000"/>
                <w:szCs w:val="21"/>
                <w:highlight w:val="none"/>
                <w:lang w:val="zh-CN" w:bidi="zh-CN"/>
              </w:rPr>
              <w:t xml:space="preserve">电磁单头900大炒灶</w:t>
            </w:r>
            <w:r>
              <w:rPr>
                <w:rFonts w:hint="eastAsia" w:ascii="宋体" w:hAnsi="宋体" w:cs="宋体"/>
                <w:b/>
                <w:bCs/>
                <w:color w:val="000000"/>
                <w:szCs w:val="21"/>
                <w:highlight w:val="none"/>
                <w:lang w:val="zh-CN" w:bidi="zh-CN"/>
              </w:rPr>
              <w:t xml:space="preserve">”</w:t>
            </w:r>
            <w:r>
              <w:rPr>
                <w:rFonts w:ascii="宋体" w:hAnsi="宋体" w:cs="宋体"/>
                <w:color w:val="000000"/>
                <w:szCs w:val="21"/>
                <w:highlight w:val="none"/>
                <w:lang w:val="zh-CN" w:bidi="zh-CN"/>
              </w:rPr>
              <w:t xml:space="preserve">的电磁炉机芯电路板，按GB/T 4207-2022《固体绝缘材料耐电痕化指数和相比电痕化指数的测定方法》进行检测，相比电痕化指数 (CTI)≥175V</w:t>
            </w:r>
            <w:r>
              <w:rPr>
                <w:rFonts w:hint="eastAsia" w:ascii="宋体" w:hAnsi="宋体" w:cs="宋体"/>
                <w:color w:val="000000"/>
                <w:szCs w:val="21"/>
                <w:highlight w:val="none"/>
                <w:lang w:val="zh-CN" w:bidi="zh-CN"/>
              </w:rPr>
              <w:t xml:space="preserve">；</w:t>
            </w:r>
            <w:r/>
          </w:p>
          <w:p>
            <w:pPr>
              <w:jc w:val="left"/>
              <w:widowControl/>
              <w:rPr>
                <w:rFonts w:hint="eastAsia" w:ascii="宋体" w:hAnsi="宋体" w:cs="宋体"/>
                <w:color w:val="000000"/>
                <w:szCs w:val="21"/>
                <w:highlight w:val="none"/>
                <w:lang w:val="zh-CN" w:bidi="zh-CN"/>
              </w:rPr>
            </w:pPr>
            <w:r>
              <w:rPr>
                <w:rFonts w:hint="eastAsia" w:ascii="宋体" w:hAnsi="宋体" w:cs="宋体"/>
                <w:color w:val="000000"/>
                <w:szCs w:val="21"/>
                <w:highlight w:val="none"/>
                <w:lang w:bidi="zh-CN"/>
              </w:rPr>
              <w:t xml:space="preserve">2.</w:t>
            </w:r>
            <w:r>
              <w:rPr>
                <w:rFonts w:hint="eastAsia" w:ascii="宋体" w:hAnsi="宋体"/>
                <w:szCs w:val="21"/>
                <w:highlight w:val="none"/>
              </w:rPr>
              <w:t xml:space="preserve"> </w:t>
            </w:r>
            <w:r>
              <w:rPr>
                <w:rFonts w:hint="eastAsia" w:ascii="宋体" w:hAnsi="宋体" w:cs="宋体"/>
                <w:color w:val="000000"/>
                <w:szCs w:val="21"/>
                <w:highlight w:val="none"/>
                <w:lang w:val="zh-CN" w:bidi="zh-CN"/>
              </w:rPr>
              <w:t xml:space="preserve">投标人所投</w:t>
            </w:r>
            <w:r>
              <w:rPr>
                <w:rFonts w:hint="eastAsia" w:ascii="宋体" w:hAnsi="宋体" w:cs="宋体"/>
                <w:b/>
                <w:bCs/>
                <w:color w:val="000000"/>
                <w:szCs w:val="21"/>
                <w:highlight w:val="none"/>
                <w:lang w:val="zh-CN" w:bidi="zh-CN"/>
              </w:rPr>
              <w:t xml:space="preserve">“电磁单头900大炒灶”</w:t>
            </w:r>
            <w:r>
              <w:rPr>
                <w:rFonts w:hint="eastAsia" w:ascii="宋体" w:hAnsi="宋体" w:cs="宋体"/>
                <w:color w:val="000000"/>
                <w:szCs w:val="21"/>
                <w:highlight w:val="none"/>
                <w:lang w:val="zh-CN" w:bidi="zh-CN"/>
              </w:rPr>
              <w:t xml:space="preserve">的电磁炉线盘电缆线，按GB/T 18380.12-2022《电缆和光缆在火焰条件下的燃烧试验 第12部分：单根绝缘电线电缆火焰垂直蔓延试验1kW预混合型火焰试验方法》进行试验，试验结果须同时满足以下两项指标：① 上支架下缘与炭化部分上起始点距离＞50mm；② 燃烧向下延伸至距离上支架下缘≤540mm。</w:t>
            </w:r>
            <w:r/>
          </w:p>
          <w:p>
            <w:pPr>
              <w:jc w:val="left"/>
              <w:widowControl/>
              <w:rPr>
                <w:rFonts w:hint="eastAsia" w:ascii="宋体" w:hAnsi="宋体" w:cs="宋体"/>
                <w:color w:val="000000"/>
                <w:szCs w:val="21"/>
                <w:highlight w:val="none"/>
                <w:lang w:val="zh-CN" w:bidi="zh-CN"/>
              </w:rPr>
            </w:pPr>
            <w:r>
              <w:rPr>
                <w:rFonts w:hint="eastAsia" w:ascii="宋体" w:hAnsi="宋体" w:cs="宋体"/>
                <w:b/>
                <w:bCs/>
                <w:color w:val="000000"/>
                <w:szCs w:val="21"/>
                <w:highlight w:val="none"/>
                <w:lang w:bidi="ar"/>
              </w:rPr>
              <w:t xml:space="preserve">备注：</w:t>
            </w:r>
            <w:r>
              <w:rPr>
                <w:rFonts w:hint="eastAsia" w:ascii="宋体" w:hAnsi="宋体" w:cs="宋体"/>
                <w:color w:val="000000"/>
                <w:szCs w:val="21"/>
                <w:highlight w:val="none"/>
                <w:lang w:bidi="ar"/>
              </w:rPr>
              <w:t xml:space="preserve">检测报告须由具备合法资质的第三方检测机构出具，报告内容完整、清晰可辨，可完整对应所投设备型号、功能参数及对应执行标准，否则视为无效报告，不予计分；报告内容仅部分满足、参数缺失、标准不符、型号不匹配、涂改变造、复印件模糊不清的，对应评审项不予计分；未提供对应检测报告、仅提供厂家自检报告、截图、说明书、承诺书等非第三方有效检测文件的，本项对应内容不得分。</w:t>
            </w:r>
            <w:r/>
          </w:p>
        </w:tc>
        <w:tc>
          <w:tcPr>
            <w:tcW w:w="682"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3</w:t>
            </w:r>
            <w:r/>
          </w:p>
        </w:tc>
        <w:tc>
          <w:tcPr>
            <w:tcW w:w="1173"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2.3</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产品证书</w:t>
            </w:r>
            <w:r/>
          </w:p>
        </w:tc>
        <w:tc>
          <w:tcPr>
            <w:tcW w:w="6305" w:type="dxa"/>
            <w:vAlign w:val="center"/>
            <w:textDirection w:val="lrTb"/>
            <w:noWrap w:val="false"/>
          </w:tcPr>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val="zh-CN" w:bidi="zh-CN"/>
              </w:rPr>
              <w:t xml:space="preserve">投标人</w:t>
            </w:r>
            <w:r>
              <w:rPr>
                <w:rFonts w:hint="eastAsia" w:ascii="宋体" w:hAnsi="宋体" w:cs="宋体"/>
                <w:color w:val="000000"/>
                <w:szCs w:val="21"/>
                <w:highlight w:val="none"/>
                <w:lang w:bidi="zh-CN"/>
              </w:rPr>
              <w:t xml:space="preserve">所投产品“热风循环消毒柜”、“双门电蒸饭箱”、“双门燃气蒸饭箱”产品具有《食品接触安全认证证书》，每提供一个得2分，本项最高得6分。</w:t>
            </w:r>
            <w:r/>
          </w:p>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备注：所提供认证证书中“认证产品”名称与评标标准给定名称不同时，应提供符合上述要求的内容（功能）说明及关键信息，否则不予认可。为方便评委评审，功能参数可用箭头、标红或下划线等进行明显标注。</w:t>
            </w:r>
            <w:r/>
          </w:p>
        </w:tc>
        <w:tc>
          <w:tcPr>
            <w:tcW w:w="682"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6</w:t>
            </w:r>
            <w:r/>
          </w:p>
        </w:tc>
        <w:tc>
          <w:tcPr>
            <w:tcW w:w="1173"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2.4</w:t>
            </w:r>
            <w:r/>
          </w:p>
        </w:tc>
        <w:tc>
          <w:tcPr>
            <w:tcW w:w="1418" w:type="dxa"/>
            <w:vAlign w:val="center"/>
            <w:textDirection w:val="lrTb"/>
            <w:noWrap w:val="false"/>
          </w:tcPr>
          <w:p>
            <w:pPr>
              <w:jc w:val="center"/>
              <w:rPr>
                <w:rFonts w:hint="eastAsia" w:ascii="宋体" w:hAnsi="宋体" w:cs="宋体"/>
                <w:szCs w:val="21"/>
                <w:highlight w:val="none"/>
              </w:rPr>
            </w:pPr>
            <w:r>
              <w:rPr>
                <w:rFonts w:hint="eastAsia" w:ascii="宋体" w:hAnsi="宋体" w:cs="宋体"/>
                <w:color w:val="000000"/>
                <w:szCs w:val="21"/>
                <w:highlight w:val="none"/>
                <w:lang w:bidi="zh-CN"/>
              </w:rPr>
              <w:t xml:space="preserve">项目实施方案</w:t>
            </w:r>
            <w:r/>
          </w:p>
        </w:tc>
        <w:tc>
          <w:tcPr>
            <w:tcW w:w="6305" w:type="dxa"/>
            <w:vAlign w:val="center"/>
            <w:textDirection w:val="lrTb"/>
            <w:noWrap w:val="false"/>
          </w:tcPr>
          <w:p>
            <w:pPr>
              <w:jc w:val="left"/>
              <w:widowControl/>
              <w:rPr>
                <w:rFonts w:hint="eastAsia" w:ascii="宋体" w:hAnsi="宋体" w:cs="宋体"/>
                <w:color w:val="000000"/>
                <w:szCs w:val="21"/>
                <w:highlight w:val="none"/>
                <w:lang w:val="zh-CN" w:bidi="ar"/>
              </w:rPr>
            </w:pPr>
            <w:r>
              <w:rPr>
                <w:rFonts w:hint="eastAsia" w:ascii="宋体" w:hAnsi="宋体" w:cs="宋体"/>
                <w:color w:val="000000"/>
                <w:szCs w:val="21"/>
                <w:highlight w:val="none"/>
                <w:lang w:val="zh-CN" w:bidi="ar"/>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w:t>
            </w:r>
            <w:r/>
          </w:p>
          <w:p>
            <w:pPr>
              <w:jc w:val="left"/>
              <w:widowControl/>
              <w:rPr>
                <w:rFonts w:hint="eastAsia" w:ascii="宋体" w:hAnsi="宋体" w:cs="宋体"/>
                <w:color w:val="000000"/>
                <w:szCs w:val="21"/>
                <w:highlight w:val="none"/>
                <w:lang w:val="zh-CN" w:bidi="ar"/>
              </w:rPr>
            </w:pPr>
            <w:r>
              <w:rPr>
                <w:rFonts w:hint="eastAsia" w:ascii="宋体" w:hAnsi="宋体" w:cs="宋体"/>
                <w:color w:val="000000"/>
                <w:szCs w:val="21"/>
                <w:highlight w:val="none"/>
                <w:lang w:val="zh-CN" w:bidi="ar"/>
              </w:rPr>
              <w:t xml:space="preserve">以上每项内容逐项评分：方案内容完整、论述深入、可行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ar"/>
              </w:rPr>
              <w:t xml:space="preserve">上述每项内容符合得2分；部分符合得1分；不符合或不提供不得分。</w:t>
            </w:r>
            <w:r/>
          </w:p>
        </w:tc>
        <w:tc>
          <w:tcPr>
            <w:tcW w:w="682"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rPr>
              <w:t xml:space="preserve">8</w:t>
            </w:r>
            <w:r/>
          </w:p>
        </w:tc>
        <w:tc>
          <w:tcPr>
            <w:tcW w:w="1173" w:type="dxa"/>
            <w:vAlign w:val="center"/>
            <w:textDirection w:val="lrTb"/>
            <w:noWrap w:val="false"/>
          </w:tcPr>
          <w:p>
            <w:pPr>
              <w:jc w:val="center"/>
              <w:rPr>
                <w:rFonts w:hint="eastAsia" w:ascii="宋体" w:hAnsi="宋体" w:cs="宋体"/>
                <w:szCs w:val="21"/>
                <w:highlight w:val="none"/>
                <w:lang w:bidi="zh-CN"/>
              </w:rPr>
            </w:pPr>
            <w:r>
              <w:rPr>
                <w:rFonts w:ascii="宋体" w:hAnsi="宋体" w:cs="宋体"/>
                <w:spacing w:val="-6"/>
                <w:szCs w:val="21"/>
                <w:highlight w:val="none"/>
              </w:rPr>
              <w:t xml:space="preserve">主观分</w:t>
            </w:r>
            <w:r/>
          </w:p>
        </w:tc>
      </w:tr>
      <w:tr>
        <w:trPr>
          <w:jc w:val="center"/>
          <w:trHeight w:val="378"/>
        </w:trPr>
        <w:tc>
          <w:tcPr>
            <w:gridSpan w:val="5"/>
            <w:tcW w:w="10457" w:type="dxa"/>
            <w:vAlign w:val="center"/>
            <w:textDirection w:val="lrTb"/>
            <w:noWrap w:val="false"/>
          </w:tcPr>
          <w:p>
            <w:pPr>
              <w:jc w:val="left"/>
              <w:widowControl/>
              <w:rPr>
                <w:rFonts w:hint="eastAsia" w:ascii="宋体" w:hAnsi="宋体" w:cs="宋体"/>
                <w:szCs w:val="21"/>
                <w:highlight w:val="none"/>
                <w:lang w:bidi="zh-CN"/>
              </w:rPr>
            </w:pPr>
            <w:r>
              <w:rPr>
                <w:rFonts w:hint="eastAsia" w:ascii="宋体" w:hAnsi="宋体" w:cs="宋体"/>
                <w:color w:val="000000"/>
                <w:szCs w:val="21"/>
                <w:highlight w:val="none"/>
                <w:lang w:bidi="ar"/>
              </w:rPr>
              <w:t xml:space="preserve">3.服务</w:t>
            </w:r>
            <w:r/>
          </w:p>
        </w:tc>
      </w:tr>
      <w:tr>
        <w:trPr>
          <w:jc w:val="center"/>
          <w:trHeight w:val="368"/>
        </w:trPr>
        <w:tc>
          <w:tcPr>
            <w:tcBorders>
              <w:bottom w:val="single" w:color="auto" w:sz="4" w:space="0"/>
            </w:tcBorders>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3.1</w:t>
            </w:r>
            <w:r/>
          </w:p>
        </w:tc>
        <w:tc>
          <w:tcPr>
            <w:tcBorders>
              <w:bottom w:val="single" w:color="auto" w:sz="4" w:space="0"/>
            </w:tcBorders>
            <w:tcW w:w="1418"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延保服务</w:t>
            </w:r>
            <w:r/>
          </w:p>
        </w:tc>
        <w:tc>
          <w:tcPr>
            <w:tcBorders>
              <w:bottom w:val="single" w:color="auto" w:sz="4" w:space="0"/>
            </w:tcBorders>
            <w:tcW w:w="6305" w:type="dxa"/>
            <w:vAlign w:val="center"/>
            <w:textDirection w:val="lrTb"/>
            <w:noWrap w:val="false"/>
          </w:tcPr>
          <w:p>
            <w:pPr>
              <w:jc w:val="left"/>
              <w:widowControl/>
              <w:rPr>
                <w:rFonts w:hint="eastAsia" w:ascii="宋体" w:hAnsi="宋体" w:cs="宋体"/>
                <w:color w:val="000000"/>
                <w:szCs w:val="21"/>
                <w:highlight w:val="none"/>
                <w:lang w:val="zh-CN" w:bidi="ar"/>
              </w:rPr>
            </w:pPr>
            <w:r>
              <w:rPr>
                <w:rFonts w:ascii="宋体" w:hAnsi="宋体" w:cs="宋体"/>
                <w:color w:val="000000"/>
                <w:szCs w:val="21"/>
                <w:highlight w:val="none"/>
                <w:lang w:bidi="ar"/>
              </w:rPr>
              <w:t xml:space="preserve">投标人承诺所投产品质量保修期在三年基础上，每延长一年质保期得2分，最多得6分。（质保期从系统验收合格起算，出具承诺书）</w:t>
            </w:r>
            <w:r>
              <w:rPr>
                <w:rFonts w:hint="eastAsia" w:ascii="宋体" w:hAnsi="宋体" w:cs="宋体"/>
                <w:color w:val="000000"/>
                <w:szCs w:val="21"/>
                <w:highlight w:val="none"/>
                <w:lang w:bidi="ar"/>
              </w:rPr>
              <w:t xml:space="preserve"> </w:t>
            </w:r>
            <w:r/>
          </w:p>
        </w:tc>
        <w:tc>
          <w:tcPr>
            <w:tcBorders>
              <w:bottom w:val="single" w:color="auto" w:sz="4" w:space="0"/>
            </w:tcBorders>
            <w:tcW w:w="682"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rPr>
              <w:t xml:space="preserve">6</w:t>
            </w:r>
            <w:r/>
          </w:p>
        </w:tc>
        <w:tc>
          <w:tcPr>
            <w:tcBorders>
              <w:bottom w:val="single" w:color="auto" w:sz="4" w:space="0"/>
            </w:tcBorders>
            <w:tcW w:w="1173" w:type="dxa"/>
            <w:vAlign w:val="center"/>
            <w:textDirection w:val="lrTb"/>
            <w:noWrap w:val="false"/>
          </w:tcPr>
          <w:p>
            <w:pPr>
              <w:jc w:val="center"/>
              <w:rPr>
                <w:rFonts w:hint="eastAsia" w:ascii="宋体" w:hAnsi="宋体" w:cs="宋体"/>
                <w:szCs w:val="21"/>
                <w:highlight w:val="none"/>
                <w:lang w:bidi="zh-CN"/>
              </w:rPr>
            </w:pPr>
            <w:r>
              <w:rPr>
                <w:rFonts w:hint="eastAsia" w:ascii="宋体" w:hAnsi="宋体" w:cs="宋体"/>
                <w:szCs w:val="21"/>
                <w:highlight w:val="none"/>
                <w:lang w:bidi="zh-CN"/>
              </w:rPr>
              <w:t xml:space="preserve">客观分</w:t>
            </w:r>
            <w:r/>
          </w:p>
        </w:tc>
      </w:tr>
      <w:tr>
        <w:trPr>
          <w:jc w:val="center"/>
          <w:trHeight w:val="368"/>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3.2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szCs w:val="21"/>
                <w:highlight w:val="none"/>
              </w:rPr>
              <w:t xml:space="preserve">本地化服务</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cs="宋体"/>
                <w:color w:val="000000"/>
                <w:szCs w:val="21"/>
                <w:highlight w:val="none"/>
                <w:lang w:val="zh-CN" w:bidi="ar"/>
              </w:rPr>
            </w:pPr>
            <w:r>
              <w:rPr>
                <w:rFonts w:hint="eastAsia" w:ascii="宋体" w:hAnsi="宋体"/>
                <w:color w:val="000000"/>
                <w:szCs w:val="21"/>
                <w:highlight w:val="none"/>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rPr>
                <w:rFonts w:hint="eastAsia" w:ascii="宋体" w:hAnsi="宋体" w:cs="宋体"/>
                <w:szCs w:val="21"/>
                <w:highlight w:val="none"/>
                <w:lang w:bidi="zh-CN"/>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highlight w:val="none"/>
                <w:lang w:bidi="zh-CN"/>
              </w:rPr>
            </w:pPr>
            <w:r>
              <w:rPr>
                <w:rFonts w:hint="eastAsia" w:ascii="宋体" w:hAnsi="宋体"/>
                <w:szCs w:val="21"/>
                <w:highlight w:val="none"/>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3.3</w:t>
            </w:r>
            <w:r/>
          </w:p>
        </w:tc>
        <w:tc>
          <w:tcPr>
            <w:tcW w:w="1418" w:type="dxa"/>
            <w:vAlign w:val="center"/>
            <w:textDirection w:val="lrTb"/>
            <w:noWrap w:val="false"/>
          </w:tcPr>
          <w:p>
            <w:pPr>
              <w:jc w:val="left"/>
              <w:spacing w:before="68" w:line="288" w:lineRule="auto"/>
              <w:rPr>
                <w:rFonts w:hint="eastAsia" w:ascii="宋体" w:hAnsi="宋体" w:cs="宋体"/>
                <w:color w:val="000000"/>
                <w:szCs w:val="21"/>
                <w:highlight w:val="none"/>
                <w:lang w:bidi="zh-CN"/>
              </w:rPr>
            </w:pPr>
            <w:r>
              <w:rPr>
                <w:rFonts w:hint="eastAsia" w:ascii="宋体" w:hAnsi="宋体" w:cs="宋体"/>
                <w:color w:val="000000"/>
                <w:szCs w:val="21"/>
                <w:highlight w:val="none"/>
              </w:rPr>
              <w:t xml:space="preserve">售后服务方案</w:t>
            </w:r>
            <w:r/>
          </w:p>
        </w:tc>
        <w:tc>
          <w:tcPr>
            <w:tcW w:w="6305"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包括但不限于备品备件清单、价格）。</w:t>
            </w:r>
            <w:r/>
          </w:p>
          <w:p>
            <w:pPr>
              <w:jc w:val="left"/>
              <w:widowControl/>
              <w:rPr>
                <w:rFonts w:hint="eastAsia" w:ascii="宋体" w:hAnsi="宋体" w:cs="宋体"/>
                <w:color w:val="000000"/>
                <w:szCs w:val="21"/>
                <w:highlight w:val="none"/>
                <w:lang w:bidi="ar"/>
              </w:rPr>
            </w:pPr>
            <w:r>
              <w:rPr>
                <w:rFonts w:ascii="宋体" w:hAnsi="宋体" w:cs="宋体"/>
                <w:color w:val="000000"/>
                <w:szCs w:val="21"/>
                <w:highlight w:val="none"/>
                <w:lang w:bidi="ar"/>
              </w:rPr>
              <w:t xml:space="preserve">以上每项内容逐项评分：</w:t>
            </w:r>
            <w:r>
              <w:rPr>
                <w:rFonts w:hint="eastAsia" w:ascii="宋体" w:hAnsi="宋体" w:cs="宋体"/>
                <w:color w:val="000000"/>
                <w:szCs w:val="21"/>
                <w:highlight w:val="none"/>
                <w:lang w:bidi="ar"/>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上述每项内容符合得2分；部分符合得1分；不符合或不提供不得分。</w:t>
            </w:r>
            <w:r/>
          </w:p>
        </w:tc>
        <w:tc>
          <w:tcPr>
            <w:tcW w:w="682" w:type="dxa"/>
            <w:vAlign w:val="center"/>
            <w:textDirection w:val="lrTb"/>
            <w:noWrap w:val="false"/>
          </w:tcPr>
          <w:p>
            <w:pPr>
              <w:jc w:val="center"/>
              <w:spacing w:before="68" w:line="288" w:lineRule="auto"/>
              <w:rPr>
                <w:rFonts w:hint="eastAsia" w:ascii="宋体" w:hAnsi="宋体" w:cs="宋体"/>
                <w:color w:val="000000"/>
                <w:szCs w:val="21"/>
                <w:highlight w:val="none"/>
                <w:lang w:bidi="ar"/>
              </w:rPr>
            </w:pPr>
            <w:r>
              <w:rPr>
                <w:rFonts w:hint="eastAsia" w:ascii="宋体" w:hAnsi="宋体" w:cs="宋体"/>
                <w:szCs w:val="21"/>
                <w:highlight w:val="none"/>
              </w:rPr>
              <w:t xml:space="preserve">4</w:t>
            </w:r>
            <w:r/>
          </w:p>
        </w:tc>
        <w:tc>
          <w:tcPr>
            <w:tcW w:w="1173" w:type="dxa"/>
            <w:vAlign w:val="center"/>
            <w:textDirection w:val="lrTb"/>
            <w:noWrap w:val="false"/>
          </w:tcPr>
          <w:p>
            <w:pPr>
              <w:jc w:val="center"/>
              <w:spacing w:before="68" w:line="288" w:lineRule="auto"/>
              <w:rPr>
                <w:rFonts w:hint="eastAsia" w:ascii="宋体" w:hAnsi="宋体" w:cs="宋体"/>
                <w:szCs w:val="21"/>
                <w:highlight w:val="none"/>
                <w:lang w:bidi="zh-CN"/>
              </w:rPr>
            </w:pPr>
            <w:r>
              <w:rPr>
                <w:rFonts w:ascii="宋体" w:hAnsi="宋体" w:cs="宋体"/>
                <w:spacing w:val="-6"/>
                <w:szCs w:val="21"/>
                <w:highlight w:val="none"/>
              </w:rPr>
              <w:t xml:space="preserve">主观分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3.4</w:t>
            </w:r>
            <w:r/>
          </w:p>
        </w:tc>
        <w:tc>
          <w:tcPr>
            <w:tcW w:w="1418" w:type="dxa"/>
            <w:vAlign w:val="center"/>
            <w:textDirection w:val="lrTb"/>
            <w:noWrap w:val="false"/>
          </w:tcPr>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ar"/>
              </w:rPr>
              <w:t xml:space="preserve">培训方案</w:t>
            </w:r>
            <w:r/>
          </w:p>
        </w:tc>
        <w:tc>
          <w:tcPr>
            <w:tcW w:w="6305" w:type="dxa"/>
            <w:vAlign w:val="center"/>
            <w:textDirection w:val="lrTb"/>
            <w:noWrap w:val="false"/>
          </w:tcPr>
          <w:p>
            <w:pPr>
              <w:jc w:val="left"/>
              <w:widowControl/>
              <w:rPr>
                <w:rFonts w:hint="eastAsia" w:ascii="宋体" w:hAnsi="宋体" w:cs="宋体"/>
                <w:color w:val="000000"/>
                <w:szCs w:val="21"/>
                <w:highlight w:val="none"/>
                <w:lang w:val="zh-CN" w:bidi="ar"/>
              </w:rPr>
            </w:pPr>
            <w:r>
              <w:rPr>
                <w:rFonts w:hint="eastAsia" w:ascii="宋体" w:hAnsi="宋体" w:cs="宋体"/>
                <w:color w:val="000000"/>
                <w:szCs w:val="21"/>
                <w:highlight w:val="none"/>
                <w:lang w:val="zh-CN" w:bidi="ar"/>
              </w:rPr>
              <w:t xml:space="preserve">根据本项目采购需求及相关要求编制培训方案，内容包括：1.培训整体实施方案，内容包含培训对象、培训目标、培训方式、培训周期、培训师资、培训课程体系等相关内容；2.实操教学与考核验收方案，内容包含设备实操教学、安全规范教学、常见故障处理教学、培训考核方式、参训人员能力达标要求等相关内容；3.后续长效辅导培训方案，内容包含后期答疑指导、技术更新同步培训、常态化咨询服务等相关内容。</w:t>
            </w:r>
            <w:r/>
          </w:p>
          <w:p>
            <w:pPr>
              <w:jc w:val="left"/>
              <w:widowControl/>
              <w:rPr>
                <w:rFonts w:hint="eastAsia" w:ascii="宋体" w:hAnsi="宋体" w:cs="宋体"/>
                <w:color w:val="000000"/>
                <w:szCs w:val="21"/>
                <w:highlight w:val="none"/>
                <w:lang w:val="zh-CN" w:bidi="ar"/>
              </w:rPr>
            </w:pPr>
            <w:r>
              <w:rPr>
                <w:rFonts w:ascii="宋体" w:hAnsi="宋体" w:cs="宋体"/>
                <w:color w:val="000000"/>
                <w:szCs w:val="21"/>
                <w:highlight w:val="none"/>
                <w:lang w:val="zh-CN" w:bidi="ar"/>
              </w:rPr>
              <w:t xml:space="preserve">以上每项内容逐项评分：</w:t>
            </w:r>
            <w:r>
              <w:rPr>
                <w:rFonts w:hint="eastAsia" w:ascii="宋体" w:hAnsi="宋体" w:cs="宋体"/>
                <w:color w:val="000000"/>
                <w:szCs w:val="21"/>
                <w:highlight w:val="none"/>
                <w:lang w:val="zh-CN" w:bidi="ar"/>
              </w:rPr>
              <w:t xml:space="preserve">方案内容完整、合理性、操作性强，且专门针对本项目设备及使用场景，完全契合采购需求视为符合；方案内容属于通用类，非专门针对本项目，部分契合采购需求视为部分符合；方案内容非专门针对本项目，脱离采购需求及设备实际使用场景视为不符合。</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val="zh-CN" w:bidi="ar"/>
              </w:rPr>
              <w:t xml:space="preserve">上述每项内容符合得1分；部分符合得0.5分；不符合或不提供不得分，总分3分。</w:t>
            </w:r>
            <w:r/>
          </w:p>
        </w:tc>
        <w:tc>
          <w:tcPr>
            <w:tcW w:w="682" w:type="dxa"/>
            <w:vAlign w:val="center"/>
            <w:textDirection w:val="lrTb"/>
            <w:noWrap w:val="false"/>
          </w:tcPr>
          <w:p>
            <w:pPr>
              <w:jc w:val="center"/>
              <w:spacing w:before="68" w:line="288" w:lineRule="auto"/>
              <w:rPr>
                <w:rFonts w:hint="eastAsia" w:ascii="宋体" w:hAnsi="宋体" w:cs="宋体"/>
                <w:szCs w:val="21"/>
                <w:highlight w:val="none"/>
              </w:rPr>
            </w:pPr>
            <w:r>
              <w:rPr>
                <w:rFonts w:hint="eastAsia" w:ascii="宋体" w:hAnsi="宋体" w:cs="宋体"/>
                <w:szCs w:val="21"/>
                <w:highlight w:val="none"/>
                <w:lang w:bidi="zh-CN"/>
              </w:rPr>
              <w:t xml:space="preserve">3</w:t>
            </w:r>
            <w:r/>
          </w:p>
        </w:tc>
        <w:tc>
          <w:tcPr>
            <w:tcW w:w="1173" w:type="dxa"/>
            <w:vAlign w:val="center"/>
            <w:textDirection w:val="lrTb"/>
            <w:noWrap w:val="false"/>
          </w:tcPr>
          <w:p>
            <w:pPr>
              <w:jc w:val="center"/>
              <w:spacing w:before="68" w:line="288" w:lineRule="auto"/>
              <w:rPr>
                <w:rFonts w:hint="eastAsia" w:ascii="宋体" w:hAnsi="宋体" w:cs="宋体"/>
                <w:spacing w:val="-6"/>
                <w:szCs w:val="21"/>
                <w:highlight w:val="none"/>
              </w:rPr>
            </w:pPr>
            <w:r>
              <w:rPr>
                <w:rFonts w:hint="eastAsia" w:ascii="宋体" w:hAnsi="宋体" w:cs="宋体"/>
                <w:szCs w:val="21"/>
                <w:highlight w:val="none"/>
                <w:lang w:bidi="zh-CN"/>
              </w:rPr>
              <w:t xml:space="preserve">主观分</w:t>
            </w:r>
            <w:r/>
          </w:p>
        </w:tc>
      </w:tr>
      <w:tr>
        <w:trPr>
          <w:jc w:val="center"/>
          <w:trHeight w:val="395"/>
        </w:trPr>
        <w:tc>
          <w:tcPr>
            <w:gridSpan w:val="5"/>
            <w:tcBorders>
              <w:top w:val="single" w:color="auto" w:sz="4" w:space="0"/>
            </w:tcBorders>
            <w:tcW w:w="10457" w:type="dxa"/>
            <w:vAlign w:val="center"/>
            <w:textDirection w:val="lrTb"/>
            <w:noWrap w:val="false"/>
          </w:tcPr>
          <w:p>
            <w:pPr>
              <w:jc w:val="left"/>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ar"/>
              </w:rPr>
              <w:t xml:space="preserve">4.业绩</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4.1</w:t>
            </w:r>
            <w:r/>
          </w:p>
        </w:tc>
        <w:tc>
          <w:tcPr>
            <w:tcW w:w="1418" w:type="dxa"/>
            <w:vAlign w:val="center"/>
            <w:textDirection w:val="lrTb"/>
            <w:noWrap w:val="false"/>
          </w:tcPr>
          <w:p>
            <w:pPr>
              <w:jc w:val="center"/>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ar"/>
              </w:rPr>
              <w:t xml:space="preserve">投标人业绩</w:t>
            </w:r>
            <w:r/>
          </w:p>
        </w:tc>
        <w:tc>
          <w:tcPr>
            <w:tcW w:w="6305"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投标人提供2023年1月1日（含）</w:t>
            </w:r>
            <w:r>
              <w:rPr>
                <w:rFonts w:hint="eastAsia" w:ascii="宋体" w:hAnsi="宋体" w:cs="宋体"/>
                <w:color w:val="000000"/>
                <w:szCs w:val="21"/>
                <w:highlight w:val="none"/>
                <w:lang w:bidi="ar"/>
              </w:rPr>
              <w:t xml:space="preserve">以来食堂厨具</w:t>
            </w:r>
            <w:r>
              <w:rPr>
                <w:rFonts w:hint="eastAsia" w:ascii="宋体" w:hAnsi="宋体" w:cs="宋体"/>
                <w:color w:val="000000"/>
                <w:szCs w:val="21"/>
                <w:highlight w:val="none"/>
                <w:lang w:bidi="ar"/>
              </w:rPr>
              <w:t xml:space="preserve">项目</w:t>
            </w:r>
            <w:r>
              <w:rPr>
                <w:rFonts w:hint="eastAsia" w:ascii="宋体" w:hAnsi="宋体" w:cs="宋体"/>
                <w:color w:val="000000"/>
                <w:szCs w:val="21"/>
                <w:highlight w:val="none"/>
                <w:lang w:val="en-US" w:eastAsia="zh-CN" w:bidi="ar"/>
              </w:rPr>
              <w:t xml:space="preserve">类似</w:t>
            </w:r>
            <w:r>
              <w:rPr>
                <w:rFonts w:hint="eastAsia" w:ascii="宋体" w:hAnsi="宋体" w:cs="宋体"/>
                <w:color w:val="000000"/>
                <w:szCs w:val="21"/>
                <w:highlight w:val="none"/>
                <w:lang w:bidi="ar"/>
              </w:rPr>
              <w:t xml:space="preserve">成功案例，每提供一个业绩得2分，最高得6分。（时间以合同签订时间为准，提供合同、供货清单、发票和验收材料，未提供或提供材料不全不得分。）</w:t>
            </w:r>
            <w:r/>
          </w:p>
        </w:tc>
        <w:tc>
          <w:tcPr>
            <w:tcW w:w="682" w:type="dxa"/>
            <w:vAlign w:val="center"/>
            <w:textDirection w:val="lrTb"/>
            <w:noWrap w:val="false"/>
          </w:tcPr>
          <w:p>
            <w:pPr>
              <w:jc w:val="center"/>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6</w:t>
            </w:r>
            <w:r/>
          </w:p>
        </w:tc>
        <w:tc>
          <w:tcPr>
            <w:tcW w:w="1173"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szCs w:val="21"/>
                <w:highlight w:val="none"/>
                <w:lang w:bidi="zh-CN"/>
              </w:rPr>
              <w:t xml:space="preserve">客观分</w:t>
            </w:r>
            <w:r/>
          </w:p>
        </w:tc>
      </w:tr>
      <w:tr>
        <w:trPr>
          <w:jc w:val="center"/>
          <w:trHeight w:val="416"/>
        </w:trPr>
        <w:tc>
          <w:tcPr>
            <w:gridSpan w:val="5"/>
            <w:tcW w:w="10457" w:type="dxa"/>
            <w:vAlign w:val="center"/>
            <w:textDirection w:val="lrTb"/>
            <w:noWrap w:val="false"/>
          </w:tcPr>
          <w:p>
            <w:pPr>
              <w:jc w:val="left"/>
              <w:widowControl/>
              <w:rPr>
                <w:rFonts w:hint="eastAsia" w:ascii="宋体" w:hAnsi="宋体" w:cs="宋体"/>
                <w:szCs w:val="21"/>
                <w:highlight w:val="none"/>
                <w:lang w:bidi="zh-CN"/>
              </w:rPr>
            </w:pPr>
            <w:r>
              <w:rPr>
                <w:rFonts w:hint="eastAsia" w:ascii="宋体" w:hAnsi="宋体" w:cs="宋体"/>
                <w:b/>
                <w:bCs/>
                <w:szCs w:val="21"/>
                <w:highlight w:val="none"/>
                <w:lang w:bidi="zh-CN"/>
              </w:rPr>
              <w:t xml:space="preserve">5.</w:t>
            </w:r>
            <w:r>
              <w:rPr>
                <w:rFonts w:ascii="宋体" w:hAnsi="宋体" w:cs="宋体"/>
                <w:b/>
                <w:bCs/>
                <w:szCs w:val="21"/>
                <w:highlight w:val="none"/>
                <w:lang w:bidi="zh-CN"/>
              </w:rPr>
              <w:t xml:space="preserve">节能环保</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5.1</w:t>
            </w:r>
            <w:r/>
          </w:p>
        </w:tc>
        <w:tc>
          <w:tcPr>
            <w:tcW w:w="1418"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节能认证</w:t>
            </w:r>
            <w:r/>
          </w:p>
        </w:tc>
        <w:tc>
          <w:tcPr>
            <w:tcW w:w="6305" w:type="dxa"/>
            <w:vAlign w:val="center"/>
            <w:textDirection w:val="lrTb"/>
            <w:noWrap w:val="false"/>
          </w:tcPr>
          <w:p>
            <w:pPr>
              <w:jc w:val="left"/>
              <w:widowControl/>
              <w:rPr>
                <w:rFonts w:hint="eastAsia" w:ascii="宋体" w:hAnsi="宋体" w:cs="宋体"/>
                <w:color w:val="000000"/>
                <w:szCs w:val="21"/>
                <w:highlight w:val="none"/>
                <w:lang w:bidi="ar"/>
              </w:rPr>
            </w:pPr>
            <w:r>
              <w:rPr>
                <w:rFonts w:ascii="宋体" w:hAnsi="宋体" w:cs="宋体"/>
                <w:color w:val="000000"/>
                <w:szCs w:val="21"/>
                <w:highlight w:val="none"/>
                <w:lang w:bidi="ar"/>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tc>
        <w:tc>
          <w:tcPr>
            <w:tcW w:w="682" w:type="dxa"/>
            <w:vAlign w:val="center"/>
            <w:textDirection w:val="lrTb"/>
            <w:noWrap w:val="false"/>
          </w:tcPr>
          <w:p>
            <w:pPr>
              <w:jc w:val="center"/>
              <w:widowControl/>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 xml:space="preserve">1</w:t>
            </w:r>
            <w:r/>
          </w:p>
        </w:tc>
        <w:tc>
          <w:tcPr>
            <w:tcW w:w="1173" w:type="dxa"/>
            <w:vAlign w:val="center"/>
            <w:textDirection w:val="lrTb"/>
            <w:noWrap w:val="false"/>
          </w:tcPr>
          <w:p>
            <w:pPr>
              <w:jc w:val="center"/>
              <w:widowControl/>
              <w:rPr>
                <w:rFonts w:hint="eastAsia" w:ascii="宋体" w:hAnsi="宋体" w:cs="宋体"/>
                <w:szCs w:val="21"/>
                <w:highlight w:val="none"/>
                <w:lang w:bidi="zh-CN"/>
              </w:rPr>
            </w:pPr>
            <w:r>
              <w:rPr>
                <w:rFonts w:hint="eastAsia" w:ascii="宋体" w:hAnsi="宋体" w:cs="宋体"/>
                <w:szCs w:val="21"/>
                <w:highlight w:val="none"/>
                <w:lang w:bidi="zh-CN"/>
              </w:rPr>
              <w:t xml:space="preserve">客观分</w:t>
            </w:r>
            <w:r/>
          </w:p>
        </w:tc>
      </w:tr>
    </w:tbl>
    <w:p>
      <w:pPr>
        <w:rPr>
          <w:highlight w:val="none"/>
        </w:rPr>
      </w:pPr>
      <w:r>
        <w:rPr>
          <w:highlight w:val="none"/>
        </w:rPr>
      </w:r>
      <w:r/>
    </w:p>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第六章投标</w:t>
      </w:r>
      <w:bookmarkEnd w:id="233"/>
      <w:r/>
      <w:bookmarkEnd w:id="234"/>
      <w:r/>
      <w:bookmarkEnd w:id="243"/>
      <w:r>
        <w:rPr>
          <w:rFonts w:hint="eastAsia" w:ascii="方正小标宋简体" w:hAnsi="方正小标宋简体" w:eastAsia="方正小标宋简体" w:cs="方正小标宋简体"/>
          <w:color w:val="000000"/>
          <w:sz w:val="36"/>
          <w:szCs w:val="36"/>
          <w:highlight w:val="none"/>
        </w:rPr>
        <w:t xml:space="preserve">文件格式</w:t>
      </w:r>
      <w:r/>
    </w:p>
    <w:p>
      <w:pPr>
        <w:jc w:val="center"/>
        <w:rPr>
          <w:rFonts w:hint="eastAsia" w:ascii="宋体" w:hAnsi="宋体"/>
          <w:b/>
          <w:color w:val="000000"/>
          <w:sz w:val="72"/>
          <w:szCs w:val="21"/>
          <w:highlight w:val="none"/>
        </w:rPr>
      </w:pPr>
      <w:r/>
      <w:bookmarkStart w:id="248" w:name="_Hlt26955039"/>
      <w:r/>
      <w:bookmarkEnd w:id="248"/>
      <w:r/>
      <w:bookmarkStart w:id="249" w:name="_Hlt26671244"/>
      <w:r/>
      <w:bookmarkEnd w:id="249"/>
      <w:r/>
      <w:bookmarkStart w:id="250" w:name="_Toc26554094"/>
      <w:r/>
      <w:bookmarkStart w:id="251" w:name="_Toc49090576"/>
      <w:r/>
      <w:bookmarkStart w:id="252"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投标文件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2530"/>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p>
    <w:p>
      <w:pPr>
        <w:ind w:firstLine="2530"/>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p>
    <w:p>
      <w:pPr>
        <w:ind w:firstLine="2530"/>
        <w:jc w:val="left"/>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投标人名称：</w:t>
      </w:r>
      <w:r>
        <w:rPr>
          <w:rFonts w:hint="eastAsia" w:ascii="宋体" w:hAnsi="宋体"/>
          <w:b/>
          <w:color w:val="000000"/>
          <w:sz w:val="36"/>
          <w:szCs w:val="21"/>
          <w:highlight w:val="none"/>
          <w:u w:val="single"/>
        </w:rPr>
        <w:t xml:space="preserve">（加盖电子公章）</w:t>
      </w:r>
      <w:r/>
    </w:p>
    <w:p>
      <w:pPr>
        <w:ind w:firstLine="2530"/>
        <w:jc w:val="left"/>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日期：</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hint="eastAsia" w:ascii="宋体" w:hAnsi="宋体"/>
          <w:color w:val="000000"/>
          <w:szCs w:val="21"/>
          <w:highlight w:val="none"/>
        </w:rPr>
      </w:pPr>
      <w:r>
        <w:rPr>
          <w:rFonts w:hint="eastAsia" w:ascii="宋体" w:hAnsi="宋体"/>
          <w:color w:val="000000"/>
          <w:szCs w:val="21"/>
          <w:highlight w:val="none"/>
        </w:rPr>
      </w:r>
      <w:r/>
    </w:p>
    <w:p>
      <w:pPr>
        <w:jc w:val="center"/>
        <w:rPr>
          <w:rFonts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212"/>
      <w:r/>
      <w:bookmarkEnd w:id="213"/>
      <w:r/>
      <w:bookmarkEnd w:id="250"/>
      <w:r/>
      <w:bookmarkEnd w:id="251"/>
      <w:r/>
      <w:bookmarkEnd w:id="252"/>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color w:val="000000"/>
          <w:sz w:val="28"/>
          <w:szCs w:val="28"/>
          <w:highlight w:val="none"/>
        </w:rPr>
      </w:pPr>
      <w:r/>
      <w:bookmarkStart w:id="253" w:name="_Toc120614284"/>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059"/>
        <w:rPr>
          <w:rFonts w:hint="eastAsia"/>
          <w:color w:val="000000"/>
          <w:sz w:val="24"/>
          <w:highlight w:val="none"/>
        </w:rPr>
      </w:pPr>
      <w:r>
        <w:rPr>
          <w:rFonts w:hint="eastAsia"/>
          <w:color w:val="000000"/>
          <w:sz w:val="24"/>
          <w:highlight w:val="none"/>
        </w:rPr>
      </w:r>
      <w:r/>
    </w:p>
    <w:p>
      <w:pPr>
        <w:pStyle w:val="1059"/>
        <w:rPr>
          <w:rFonts w:hint="eastAsia"/>
          <w:color w:val="000000"/>
          <w:sz w:val="24"/>
          <w:highlight w:val="none"/>
        </w:rPr>
      </w:pPr>
      <w:r>
        <w:rPr>
          <w:rFonts w:hint="eastAsia"/>
          <w:color w:val="000000"/>
          <w:sz w:val="24"/>
          <w:highlight w:val="none"/>
        </w:rPr>
      </w:r>
      <w:r/>
    </w:p>
    <w:p>
      <w:pPr>
        <w:pStyle w:val="1059"/>
        <w:rPr>
          <w:rFonts w:hint="eastAsia"/>
          <w:color w:val="000000"/>
          <w:sz w:val="24"/>
          <w:highlight w:val="none"/>
        </w:rPr>
      </w:pPr>
      <w:r>
        <w:rPr>
          <w:rFonts w:hint="eastAsia"/>
          <w:color w:val="000000"/>
          <w:sz w:val="24"/>
          <w:highlight w:val="none"/>
        </w:rPr>
      </w:r>
      <w:r/>
    </w:p>
    <w:p>
      <w:pPr>
        <w:pStyle w:val="1059"/>
        <w:rPr>
          <w:rFonts w:hint="eastAsia"/>
          <w:color w:val="000000"/>
          <w:sz w:val="24"/>
          <w:highlight w:val="none"/>
        </w:rPr>
      </w:pPr>
      <w:r>
        <w:rPr>
          <w:rFonts w:hint="eastAsia"/>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bookmarkStart w:id="254" w:name="_Toc235688498"/>
      <w:r>
        <w:rPr>
          <w:rFonts w:hint="eastAsia" w:ascii="方正小标宋简体" w:hAnsi="方正小标宋简体" w:eastAsia="方正小标宋简体" w:cs="方正小标宋简体"/>
          <w:color w:val="000000"/>
          <w:sz w:val="32"/>
          <w:szCs w:val="32"/>
          <w:highlight w:val="none"/>
        </w:rPr>
        <w:t xml:space="preserve">供应商信用承诺函</w:t>
      </w:r>
      <w:bookmarkEnd w:id="254"/>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南京市六合区教育局：</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60"/>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1031"/>
        <w:ind w:firstLine="480"/>
        <w:rPr>
          <w:color w:val="000000"/>
          <w:sz w:val="24"/>
          <w:szCs w:val="24"/>
          <w:highlight w:val="none"/>
        </w:rPr>
      </w:pPr>
      <w:r>
        <w:rPr>
          <w:rFonts w:hint="eastAsia"/>
          <w:color w:val="000000"/>
          <w:sz w:val="24"/>
          <w:szCs w:val="24"/>
          <w:highlight w:val="none"/>
        </w:rPr>
        <w:t xml:space="preserve">本项目申请人的特定资格要求中要求提供的材料。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61"/>
        <w:rPr>
          <w:color w:val="000000"/>
          <w:highlight w:val="none"/>
          <w:lang w:eastAsia="zh-CN"/>
        </w:rPr>
      </w:pPr>
      <w:r>
        <w:rPr>
          <w:color w:val="000000"/>
          <w:highlight w:val="none"/>
          <w:lang w:eastAsia="zh-CN"/>
        </w:rPr>
      </w:r>
      <w:r/>
    </w:p>
    <w:p>
      <w:pPr>
        <w:rPr>
          <w:color w:val="000000"/>
          <w:highlight w:val="none"/>
        </w:rPr>
      </w:pPr>
      <w:r>
        <w:rPr>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bookmarkStart w:id="255" w:name="_Toc235688499"/>
      <w:r>
        <w:rPr>
          <w:rFonts w:hint="eastAsia" w:ascii="方正小标宋简体" w:hAnsi="方正小标宋简体" w:eastAsia="方正小标宋简体" w:cs="方正小标宋简体"/>
          <w:color w:val="000000"/>
          <w:sz w:val="32"/>
          <w:szCs w:val="32"/>
          <w:highlight w:val="none"/>
        </w:rPr>
        <w:t xml:space="preserve">法人授权书</w:t>
      </w:r>
      <w:bookmarkEnd w:id="255"/>
      <w:r/>
      <w:r/>
    </w:p>
    <w:p>
      <w:pPr>
        <w:pStyle w:val="1031"/>
        <w:ind w:firstLine="480"/>
        <w:spacing w:line="420" w:lineRule="exact"/>
        <w:rPr>
          <w:color w:val="000000"/>
          <w:sz w:val="24"/>
          <w:szCs w:val="24"/>
          <w:highlight w:val="none"/>
        </w:rPr>
      </w:pPr>
      <w:r>
        <w:rPr>
          <w:color w:val="000000"/>
          <w:sz w:val="24"/>
          <w:szCs w:val="24"/>
          <w:highlight w:val="none"/>
        </w:rPr>
      </w:r>
      <w:r/>
    </w:p>
    <w:p>
      <w:pPr>
        <w:pStyle w:val="1031"/>
        <w:ind w:firstLine="480"/>
        <w:spacing w:line="480" w:lineRule="exact"/>
        <w:rPr>
          <w:color w:val="000000"/>
          <w:sz w:val="24"/>
          <w:szCs w:val="24"/>
          <w:highlight w:val="none"/>
        </w:rPr>
      </w:pPr>
      <w:r>
        <w:rPr>
          <w:rFonts w:hint="eastAsia"/>
          <w:color w:val="000000"/>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1031"/>
        <w:ind w:firstLine="480"/>
        <w:spacing w:line="480" w:lineRule="exact"/>
        <w:rPr>
          <w:color w:val="000000"/>
          <w:sz w:val="24"/>
          <w:szCs w:val="24"/>
          <w:highlight w:val="none"/>
        </w:rPr>
      </w:pPr>
      <w:r>
        <w:rPr>
          <w:rFonts w:hint="eastAsia"/>
          <w:color w:val="000000"/>
          <w:sz w:val="24"/>
          <w:szCs w:val="24"/>
          <w:highlight w:val="none"/>
        </w:rPr>
        <w:t xml:space="preserve">本授权书自______年____月____日起生效，特此声明。</w:t>
      </w:r>
      <w:r/>
    </w:p>
    <w:p>
      <w:pPr>
        <w:pStyle w:val="1031"/>
        <w:ind w:firstLine="480"/>
        <w:spacing w:line="480" w:lineRule="exact"/>
        <w:rPr>
          <w:color w:val="000000"/>
          <w:sz w:val="24"/>
          <w:szCs w:val="24"/>
          <w:highlight w:val="none"/>
        </w:rPr>
      </w:pPr>
      <w:r>
        <w:rPr>
          <w:rFonts w:hint="eastAsia"/>
          <w:color w:val="000000"/>
          <w:sz w:val="24"/>
          <w:szCs w:val="24"/>
          <w:highlight w:val="none"/>
        </w:rPr>
        <w:t xml:space="preserve">被授权人身份证号码：</w:t>
      </w:r>
      <w:r/>
    </w:p>
    <w:p>
      <w:pPr>
        <w:pStyle w:val="1031"/>
        <w:ind w:firstLine="480"/>
        <w:spacing w:line="480" w:lineRule="exact"/>
        <w:rPr>
          <w:color w:val="000000"/>
          <w:sz w:val="24"/>
          <w:szCs w:val="24"/>
          <w:highlight w:val="none"/>
          <w:u w:val="single"/>
        </w:rPr>
      </w:pPr>
      <w:r>
        <w:rPr>
          <w:rFonts w:hint="eastAsia"/>
          <w:color w:val="000000"/>
          <w:sz w:val="24"/>
          <w:szCs w:val="24"/>
          <w:highlight w:val="none"/>
        </w:rPr>
        <w:t xml:space="preserve">被授权人联系电话：（手机）</w:t>
      </w:r>
      <w:r/>
    </w:p>
    <w:p>
      <w:pPr>
        <w:pStyle w:val="1031"/>
        <w:spacing w:line="480" w:lineRule="exact"/>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p>
    <w:p>
      <w:pPr>
        <w:pStyle w:val="1031"/>
        <w:ind w:firstLine="480"/>
        <w:spacing w:line="480" w:lineRule="exact"/>
        <w:rPr>
          <w:color w:val="000000"/>
          <w:sz w:val="24"/>
          <w:szCs w:val="24"/>
          <w:highlight w:val="none"/>
          <w:u w:val="single"/>
        </w:rPr>
      </w:pPr>
      <w:r>
        <w:rPr>
          <w:rFonts w:hint="eastAsia"/>
          <w:color w:val="000000"/>
          <w:sz w:val="24"/>
          <w:szCs w:val="24"/>
          <w:highlight w:val="none"/>
        </w:rPr>
        <w:t xml:space="preserve">单位地址：</w:t>
      </w:r>
      <w:r/>
    </w:p>
    <w:p>
      <w:pPr>
        <w:pStyle w:val="1031"/>
        <w:ind w:firstLine="480"/>
        <w:spacing w:line="480" w:lineRule="exact"/>
        <w:rPr>
          <w:color w:val="000000"/>
          <w:sz w:val="24"/>
          <w:szCs w:val="24"/>
          <w:highlight w:val="none"/>
        </w:rPr>
      </w:pPr>
      <w:r>
        <w:rPr>
          <w:rFonts w:hint="eastAsia"/>
          <w:color w:val="000000"/>
          <w:sz w:val="24"/>
          <w:szCs w:val="24"/>
          <w:highlight w:val="none"/>
        </w:rPr>
        <w:t xml:space="preserve">日期：</w:t>
      </w:r>
      <w:bookmarkStart w:id="256" w:name="_Hlt26671380"/>
      <w:r/>
      <w:bookmarkEnd w:id="256"/>
      <w:r/>
      <w:bookmarkStart w:id="257" w:name="_Hlt26955070"/>
      <w:r/>
      <w:bookmarkEnd w:id="257"/>
      <w:r/>
      <w:bookmarkStart w:id="258" w:name="_格式3__银行出具的资信证明"/>
      <w:r/>
      <w:bookmarkEnd w:id="258"/>
      <w:r/>
      <w:r/>
    </w:p>
    <w:p>
      <w:pPr>
        <w:pStyle w:val="785"/>
        <w:rPr>
          <w:i/>
          <w:color w:val="000000"/>
          <w:sz w:val="24"/>
          <w:szCs w:val="24"/>
          <w:highlight w:val="none"/>
          <w:u w:val="single"/>
        </w:rPr>
      </w:pPr>
      <w:r>
        <w:rPr>
          <w:i/>
          <w:color w:val="000000"/>
          <w:sz w:val="24"/>
          <w:szCs w:val="24"/>
          <w:highlight w:val="none"/>
          <w:u w:val="single"/>
        </w:rPr>
      </w:r>
      <w:r/>
    </w:p>
    <w:p>
      <w:pPr>
        <w:pStyle w:val="785"/>
        <w:ind w:firstLine="0"/>
        <w:rPr>
          <w:color w:val="000000"/>
          <w:highlight w:val="none"/>
        </w:rPr>
      </w:pPr>
      <w:r>
        <w:rPr>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59"/>
        <w:rPr>
          <w:rFonts w:hint="eastAsia"/>
          <w:bCs/>
          <w:color w:val="000000"/>
          <w:sz w:val="24"/>
          <w:highlight w:val="none"/>
        </w:rPr>
      </w:pPr>
      <w:r>
        <w:rPr>
          <w:rFonts w:hint="eastAsia"/>
          <w:bCs/>
          <w:color w:val="000000"/>
          <w:sz w:val="24"/>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bookmarkStart w:id="259" w:name="_Toc235688500"/>
      <w:r>
        <w:rPr>
          <w:rFonts w:hint="eastAsia" w:ascii="方正小标宋简体" w:hAnsi="方正小标宋简体" w:eastAsia="方正小标宋简体" w:cs="方正小标宋简体"/>
          <w:color w:val="000000"/>
          <w:sz w:val="32"/>
          <w:szCs w:val="32"/>
          <w:highlight w:val="none"/>
        </w:rPr>
        <w:t xml:space="preserve">投标函</w:t>
      </w:r>
      <w:bookmarkEnd w:id="259"/>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致：南京市六合区教育局</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103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103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地址：</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邮编：</w:t>
      </w:r>
      <w:r/>
    </w:p>
    <w:p>
      <w:pPr>
        <w:pStyle w:val="103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电话：</w:t>
      </w:r>
      <w:r/>
    </w:p>
    <w:p>
      <w:pPr>
        <w:pStyle w:val="103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传真：</w:t>
      </w:r>
      <w:r/>
    </w:p>
    <w:p>
      <w:pPr>
        <w:pStyle w:val="103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103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账号：</w:t>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103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bookmarkStart w:id="260" w:name="_Toc235688501"/>
      <w:r>
        <w:rPr>
          <w:rFonts w:hint="eastAsia" w:ascii="方正小标宋简体" w:hAnsi="方正小标宋简体" w:eastAsia="方正小标宋简体" w:cs="方正小标宋简体"/>
          <w:color w:val="000000"/>
          <w:sz w:val="32"/>
          <w:szCs w:val="32"/>
          <w:highlight w:val="none"/>
        </w:rPr>
        <w:t xml:space="preserve">开标一览表</w:t>
      </w:r>
      <w:bookmarkEnd w:id="260"/>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项目编号：采购包号：</w:t>
      </w:r>
      <w:r/>
    </w:p>
    <w:tbl>
      <w:tblPr>
        <w:tblStyle w:val="77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1033"/>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w:t>
            </w:r>
            <w:r/>
          </w:p>
        </w:tc>
      </w:tr>
    </w:tbl>
    <w:p>
      <w:pPr>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日期：</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94"/>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94"/>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bookmarkStart w:id="261" w:name="_Toc235688502"/>
      <w:r>
        <w:rPr>
          <w:rFonts w:hint="eastAsia" w:ascii="方正小标宋简体" w:hAnsi="方正小标宋简体" w:eastAsia="方正小标宋简体" w:cs="方正小标宋简体"/>
          <w:color w:val="000000"/>
          <w:sz w:val="32"/>
          <w:szCs w:val="32"/>
          <w:highlight w:val="none"/>
        </w:rPr>
        <w:t xml:space="preserve">核心产品品牌一览表</w:t>
      </w:r>
      <w:bookmarkEnd w:id="261"/>
      <w:r/>
      <w:r/>
    </w:p>
    <w:tbl>
      <w:tblPr>
        <w:tblStyle w:val="779"/>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ascii="宋体" w:hAnsi="宋体" w:cs="宋体"/>
                <w:color w:val="000000"/>
                <w:szCs w:val="21"/>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158" w:type="dxa"/>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601" w:type="dxa"/>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r>
    </w:tbl>
    <w:p>
      <w:pPr>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投标分项报价表</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w:t>
      </w:r>
      <w:r/>
    </w:p>
    <w:tbl>
      <w:tblPr>
        <w:tblStyle w:val="779"/>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highlight w:val="none"/>
              </w:rPr>
              <w:outlineLvl w:val="2"/>
            </w:pPr>
            <w:r/>
            <w:bookmarkStart w:id="262" w:name="_Toc235688503"/>
            <w:r>
              <w:rPr>
                <w:rFonts w:hint="eastAsia" w:ascii="宋体" w:hAnsi="宋体"/>
                <w:color w:val="000000"/>
                <w:sz w:val="24"/>
                <w:szCs w:val="24"/>
                <w:highlight w:val="none"/>
              </w:rPr>
              <w:t xml:space="preserve">序号</w:t>
            </w:r>
            <w:bookmarkEnd w:id="262"/>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b/>
                <w:bCs/>
                <w:sz w:val="24"/>
                <w:szCs w:val="24"/>
                <w:highlight w:val="none"/>
              </w:rPr>
              <w:t xml:space="preserve">本采购包中本公司（单位）提供的符合本国产品标准的产品成本之和</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是</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否</w:t>
            </w:r>
            <w:r>
              <w:rPr>
                <w:rFonts w:hint="eastAsia" w:ascii="宋体" w:hAnsi="宋体"/>
                <w:b/>
                <w:bCs/>
                <w:sz w:val="24"/>
                <w:szCs w:val="24"/>
                <w:highlight w:val="none"/>
              </w:rPr>
              <w:t xml:space="preserve">达到提供的全部产品成本之和的80%以上。</w:t>
            </w:r>
            <w:r/>
          </w:p>
        </w:tc>
      </w:tr>
    </w:tbl>
    <w:p>
      <w:pPr>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813"/>
        <w:ind w:firstLine="480"/>
        <w:jc w:val="both"/>
        <w:spacing w:before="0" w:beforeAutospacing="0" w:after="0" w:afterAutospacing="0" w:line="360" w:lineRule="auto"/>
        <w:rPr>
          <w:rFonts w:hint="eastAsia"/>
          <w:color w:val="000000"/>
          <w:highlight w:val="none"/>
        </w:rPr>
      </w:pPr>
      <w:r>
        <w:rPr>
          <w:color w:val="000000"/>
          <w:highlight w:val="none"/>
        </w:rPr>
        <w:t xml:space="preserve">备注：</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w:t>
      </w:r>
      <w:r>
        <w:rPr>
          <w:rFonts w:hint="eastAsia"/>
          <w:highlight w:val="none"/>
        </w:rPr>
        <w:t xml:space="preserve">“项目清单”中分项仅为一项的，此表无需提供。</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4.行数不够，可自行添加。</w:t>
      </w:r>
      <w:r/>
    </w:p>
    <w:p>
      <w:pPr>
        <w:pStyle w:val="813"/>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八、技术要求响应及偏离表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bookmarkStart w:id="263" w:name="_Toc235688504"/>
      <w:r>
        <w:rPr>
          <w:rFonts w:hint="eastAsia" w:ascii="方正小标宋简体" w:hAnsi="方正小标宋简体" w:eastAsia="方正小标宋简体" w:cs="方正小标宋简体"/>
          <w:color w:val="000000"/>
          <w:sz w:val="32"/>
          <w:szCs w:val="32"/>
          <w:highlight w:val="none"/>
        </w:rPr>
        <w:t xml:space="preserve">技术要求响应及偏离表</w:t>
      </w:r>
      <w:bookmarkEnd w:id="263"/>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813"/>
        <w:ind w:firstLine="480"/>
        <w:jc w:val="both"/>
        <w:spacing w:before="0" w:beforeAutospacing="0" w:after="0" w:afterAutospacing="0"/>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r>
      <w:r/>
    </w:p>
    <w:p>
      <w:pPr>
        <w:pStyle w:val="813"/>
        <w:ind w:firstLine="480"/>
        <w:jc w:val="both"/>
        <w:spacing w:before="0" w:beforeAutospacing="0" w:after="0" w:afterAutospacing="0" w:line="360" w:lineRule="auto"/>
        <w:rPr>
          <w:rFonts w:hint="eastAsia"/>
          <w:color w:val="000000"/>
          <w:highlight w:val="none"/>
        </w:rPr>
      </w:pPr>
      <w:r>
        <w:rPr>
          <w:color w:val="000000"/>
          <w:highlight w:val="none"/>
        </w:rPr>
        <w:t xml:space="preserve">备注：</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color w:val="000000"/>
          <w:highlight w:val="none"/>
        </w:rPr>
      </w:pPr>
      <w:r>
        <w:rPr>
          <w:color w:val="000000"/>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bookmarkStart w:id="264" w:name="_Toc235688505"/>
      <w:r>
        <w:rPr>
          <w:rFonts w:hint="eastAsia" w:ascii="方正小标宋简体" w:hAnsi="方正小标宋简体" w:eastAsia="方正小标宋简体" w:cs="方正小标宋简体"/>
          <w:color w:val="000000"/>
          <w:sz w:val="32"/>
          <w:szCs w:val="32"/>
          <w:highlight w:val="none"/>
        </w:rPr>
        <w:t xml:space="preserve">商务要求响应及偏离表</w:t>
      </w:r>
      <w:bookmarkEnd w:id="264"/>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p>
    <w:p>
      <w:pPr>
        <w:pStyle w:val="813"/>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2"/>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color w:val="000000"/>
          <w:highlight w:val="none"/>
        </w:rPr>
      </w:pPr>
      <w:r>
        <w:rPr>
          <w:color w:val="000000"/>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bookmarkStart w:id="265" w:name="_Toc235688506"/>
      <w:r>
        <w:rPr>
          <w:rFonts w:hint="eastAsia" w:ascii="方正小标宋简体" w:hAnsi="方正小标宋简体" w:eastAsia="方正小标宋简体" w:cs="方正小标宋简体"/>
          <w:color w:val="000000"/>
          <w:sz w:val="32"/>
          <w:szCs w:val="32"/>
          <w:highlight w:val="none"/>
        </w:rPr>
        <w:t xml:space="preserve">中小企业声明函（货物）</w:t>
      </w:r>
      <w:bookmarkEnd w:id="265"/>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1.（标的名称）属于行业（招标文件中明确的所属行业）；制造商为（企业名称），从业人员人，营业收入为万元，资产总额为万元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2.（标的名称）属于行业（招标文件中明确的所属行业）；制造商为（企业名称），从业人员人，营业收入为万元，资产总额为万元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1022"/>
        <w:spacing w:line="336" w:lineRule="auto"/>
        <w:rPr>
          <w:rFonts w:ascii="宋体" w:hAnsi="宋体"/>
          <w:color w:val="000000"/>
          <w:sz w:val="24"/>
          <w:szCs w:val="24"/>
          <w:highlight w:val="none"/>
        </w:rPr>
      </w:pPr>
      <w:r>
        <w:rPr>
          <w:rFonts w:ascii="宋体" w:hAnsi="宋体"/>
          <w:color w:val="000000"/>
          <w:sz w:val="24"/>
          <w:szCs w:val="24"/>
          <w:highlight w:val="none"/>
        </w:rPr>
      </w:r>
      <w:r/>
    </w:p>
    <w:p>
      <w:pPr>
        <w:spacing w:line="336" w:lineRule="auto"/>
        <w:rPr>
          <w:color w:val="000000"/>
          <w:highlight w:val="none"/>
        </w:rPr>
      </w:pPr>
      <w:r>
        <w:rPr>
          <w:color w:val="000000"/>
          <w:highlight w:val="none"/>
        </w:rPr>
      </w:r>
      <w:r/>
    </w:p>
    <w:p>
      <w:pPr>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企业名称：（加盖电子公章）</w:t>
      </w:r>
      <w:r/>
    </w:p>
    <w:p>
      <w:pPr>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日期：</w:t>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rPr>
          <w:rFonts w:hint="eastAsia" w:ascii="宋体" w:hAnsi="宋体"/>
          <w:color w:val="000000"/>
          <w:sz w:val="24"/>
          <w:szCs w:val="24"/>
          <w:highlight w:val="none"/>
        </w:rPr>
        <w:t xml:space="preserve">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本单位郑重声明，根据《财政部民政部中国残疾人联合会关于促进残疾人就业政府采购政策的通知》（财库〔2017〕141号）的规定，本单位为符合条件的残疾人福利性单位，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1022"/>
        <w:rPr>
          <w:rFonts w:ascii="宋体" w:hAnsi="宋体"/>
          <w:color w:val="000000"/>
          <w:sz w:val="24"/>
          <w:szCs w:val="24"/>
          <w:highlight w:val="none"/>
        </w:rPr>
      </w:pPr>
      <w:r>
        <w:rPr>
          <w:rFonts w:ascii="宋体" w:hAnsi="宋体"/>
          <w:color w:val="000000"/>
          <w:sz w:val="24"/>
          <w:szCs w:val="24"/>
          <w:highlight w:val="none"/>
        </w:rPr>
      </w:r>
      <w:r/>
    </w:p>
    <w:p>
      <w:pPr>
        <w:rPr>
          <w:color w:val="000000"/>
          <w:highlight w:val="none"/>
        </w:rPr>
      </w:pPr>
      <w:r>
        <w:rPr>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59"/>
        <w:rPr>
          <w:rFonts w:hint="eastAsia"/>
          <w:color w:val="000000"/>
          <w:highlight w:val="none"/>
        </w:rPr>
      </w:pPr>
      <w:r>
        <w:rPr>
          <w:rFonts w:hint="eastAsia"/>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widowControl/>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81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22"/>
          <w:rFonts w:hint="eastAsia"/>
          <w:i w:val="0"/>
          <w:highlight w:val="none"/>
          <w:u w:val="single"/>
          <w:shd w:val="clear" w:color="auto" w:fill="ffffff"/>
        </w:rPr>
        <w:t xml:space="preserve">（产品名称1）</w:t>
      </w:r>
      <w:r>
        <w:rPr>
          <w:rStyle w:val="822"/>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22"/>
          <w:rFonts w:hint="eastAsia"/>
          <w:i w:val="0"/>
          <w:highlight w:val="none"/>
          <w:u w:val="single"/>
          <w:shd w:val="clear" w:color="auto" w:fill="ffffff"/>
        </w:rPr>
        <w:t xml:space="preserve">（厂名）</w:t>
      </w:r>
      <w:r>
        <w:rPr>
          <w:rStyle w:val="82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2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22"/>
          <w:rFonts w:hint="eastAsia"/>
          <w:highlight w:val="none"/>
          <w:u w:val="single"/>
          <w:shd w:val="clear" w:color="auto" w:fill="ffffff"/>
        </w:rPr>
        <w:t xml:space="preserve">（产品名称1）</w:t>
      </w:r>
      <w:r>
        <w:rPr>
          <w:rFonts w:hint="eastAsia"/>
          <w:highlight w:val="none"/>
          <w:shd w:val="clear" w:color="auto" w:fill="ffffff"/>
        </w:rPr>
        <w:t xml:space="preserve">的中国境内生产的组件成本占比≥</w:t>
      </w:r>
      <w:r>
        <w:rPr>
          <w:rStyle w:val="822"/>
          <w:rFonts w:hint="eastAsia"/>
          <w:highlight w:val="none"/>
          <w:u w:val="single"/>
          <w:shd w:val="clear" w:color="auto" w:fill="ffffff"/>
        </w:rPr>
        <w:t xml:space="preserve">（规定比例）</w:t>
      </w:r>
      <w:r>
        <w:rPr>
          <w:rStyle w:val="822"/>
          <w:rFonts w:hint="eastAsia"/>
          <w:i w:val="0"/>
          <w:highlight w:val="none"/>
          <w:shd w:val="clear" w:color="auto" w:fill="ffffff"/>
          <w:vertAlign w:val="superscript"/>
        </w:rPr>
        <w:t xml:space="preserve">3</w:t>
      </w:r>
      <w:r>
        <w:rPr>
          <w:rFonts w:hint="eastAsia"/>
          <w:highlight w:val="none"/>
          <w:shd w:val="clear" w:color="auto" w:fill="ffffff"/>
        </w:rPr>
        <w:t xml:space="preserve">。</w:t>
      </w:r>
      <w:r>
        <w:rPr>
          <w:rStyle w:val="822"/>
          <w:rFonts w:hint="eastAsia"/>
          <w:highlight w:val="none"/>
          <w:u w:val="single"/>
          <w:shd w:val="clear" w:color="auto" w:fill="ffffff"/>
        </w:rPr>
        <w:t xml:space="preserve">（产品名称1）</w:t>
      </w:r>
      <w:r>
        <w:rPr>
          <w:rFonts w:hint="eastAsia"/>
          <w:highlight w:val="none"/>
          <w:shd w:val="clear" w:color="auto" w:fill="ffffff"/>
        </w:rPr>
        <w:t xml:space="preserve">的</w:t>
      </w:r>
      <w:r>
        <w:rPr>
          <w:rStyle w:val="822"/>
          <w:rFonts w:hint="eastAsia"/>
          <w:highlight w:val="none"/>
          <w:u w:val="single"/>
          <w:shd w:val="clear" w:color="auto" w:fill="ffffff"/>
        </w:rPr>
        <w:t xml:space="preserve">（关键组件）</w:t>
      </w:r>
      <w:r>
        <w:rPr>
          <w:rStyle w:val="822"/>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822"/>
          <w:rFonts w:hint="eastAsia"/>
          <w:highlight w:val="none"/>
          <w:u w:val="single"/>
          <w:shd w:val="clear" w:color="auto" w:fill="ffffff"/>
        </w:rPr>
        <w:t xml:space="preserve">（产品名称1）</w:t>
      </w:r>
      <w:r>
        <w:rPr>
          <w:rFonts w:hint="eastAsia"/>
          <w:highlight w:val="none"/>
          <w:shd w:val="clear" w:color="auto" w:fill="ffffff"/>
        </w:rPr>
        <w:t xml:space="preserve">的</w:t>
      </w:r>
      <w:r>
        <w:rPr>
          <w:rStyle w:val="822"/>
          <w:rFonts w:hint="eastAsia"/>
          <w:highlight w:val="none"/>
          <w:u w:val="single"/>
          <w:shd w:val="clear" w:color="auto" w:fill="ffffff"/>
        </w:rPr>
        <w:t xml:space="preserve">（关键工序）</w:t>
      </w:r>
      <w:r>
        <w:rPr>
          <w:rStyle w:val="822"/>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813"/>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2.</w:t>
      </w:r>
      <w:r>
        <w:rPr>
          <w:rStyle w:val="82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2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2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22"/>
          <w:rFonts w:hint="eastAsia"/>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822"/>
          <w:rFonts w:hint="eastAsia"/>
          <w:highlight w:val="none"/>
          <w:u w:val="single"/>
          <w:shd w:val="clear" w:color="auto" w:fill="ffffff"/>
        </w:rPr>
        <w:t xml:space="preserve">（规定比例）</w:t>
      </w:r>
      <w:r>
        <w:rPr>
          <w:rFonts w:hint="eastAsia"/>
          <w:highlight w:val="none"/>
          <w:shd w:val="clear" w:color="auto" w:fill="ffffff"/>
        </w:rPr>
        <w:t xml:space="preserve">。</w:t>
      </w:r>
      <w:r>
        <w:rPr>
          <w:rStyle w:val="822"/>
          <w:rFonts w:hint="eastAsia"/>
          <w:highlight w:val="none"/>
          <w:u w:val="single"/>
          <w:shd w:val="clear" w:color="auto" w:fill="ffffff"/>
        </w:rPr>
        <w:t xml:space="preserve">（产品名称2）</w:t>
      </w:r>
      <w:r>
        <w:rPr>
          <w:rFonts w:hint="eastAsia"/>
          <w:highlight w:val="none"/>
          <w:shd w:val="clear" w:color="auto" w:fill="ffffff"/>
        </w:rPr>
        <w:t xml:space="preserve">的</w:t>
      </w:r>
      <w:r>
        <w:rPr>
          <w:rStyle w:val="822"/>
          <w:rFonts w:hint="eastAsia"/>
          <w:highlight w:val="none"/>
          <w:u w:val="single"/>
          <w:shd w:val="clear" w:color="auto" w:fill="ffffff"/>
        </w:rPr>
        <w:t xml:space="preserve">（关键组件）</w:t>
      </w:r>
      <w:r>
        <w:rPr>
          <w:rFonts w:hint="eastAsia"/>
          <w:highlight w:val="none"/>
          <w:shd w:val="clear" w:color="auto" w:fill="ffffff"/>
        </w:rPr>
        <w:t xml:space="preserve">在中国境内生产。</w:t>
      </w:r>
      <w:r>
        <w:rPr>
          <w:rStyle w:val="822"/>
          <w:rFonts w:hint="eastAsia"/>
          <w:highlight w:val="none"/>
          <w:u w:val="single"/>
          <w:shd w:val="clear" w:color="auto" w:fill="ffffff"/>
        </w:rPr>
        <w:t xml:space="preserve">（产品名称2）</w:t>
      </w:r>
      <w:r>
        <w:rPr>
          <w:rFonts w:hint="eastAsia"/>
          <w:highlight w:val="none"/>
          <w:shd w:val="clear" w:color="auto" w:fill="ffffff"/>
        </w:rPr>
        <w:t xml:space="preserve">的</w:t>
      </w:r>
      <w:r>
        <w:rPr>
          <w:rStyle w:val="822"/>
          <w:rFonts w:hint="eastAsia"/>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813"/>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13"/>
        <w:ind w:firstLine="420"/>
        <w:spacing w:before="24" w:beforeAutospacing="0" w:after="24" w:afterAutospacing="0" w:line="360" w:lineRule="auto"/>
        <w:shd w:val="clear" w:color="auto" w:fill="ffffff"/>
        <w:rPr>
          <w:rFonts w:hint="eastAsia"/>
          <w:highlight w:val="none"/>
        </w:rPr>
      </w:pPr>
      <w:r/>
      <w:bookmarkStart w:id="266" w:name="OLE_LINK6"/>
      <w:r>
        <w:rPr>
          <w:rFonts w:hint="eastAsia"/>
          <w:highlight w:val="none"/>
          <w:shd w:val="clear" w:color="auto" w:fill="ffffff"/>
        </w:rPr>
        <w:t xml:space="preserve">本公司（单位）</w:t>
      </w:r>
      <w:bookmarkEnd w:id="266"/>
      <w:r>
        <w:rPr>
          <w:rFonts w:hint="eastAsia"/>
          <w:highlight w:val="none"/>
          <w:shd w:val="clear" w:color="auto" w:fill="ffffff"/>
        </w:rPr>
        <w:t xml:space="preserve">对上述声明内容的真实性负责。如有虚假，愿承担相应法律责任。</w:t>
      </w:r>
      <w:r/>
    </w:p>
    <w:p>
      <w:pPr>
        <w:pStyle w:val="813"/>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13"/>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13"/>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1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1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13"/>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3.该产品的中国境内生产的组件成本占比相关要求实施前，“规定比例”栏可不填。</w:t>
      </w:r>
      <w:r/>
    </w:p>
    <w:p>
      <w:pPr>
        <w:pStyle w:val="813"/>
        <w:ind w:firstLine="420"/>
        <w:spacing w:before="24" w:beforeAutospacing="0" w:after="24"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4.该产品的关键组件要求实施前，“关键组件”栏可不填。</w:t>
      </w:r>
      <w:r/>
    </w:p>
    <w:p>
      <w:pPr>
        <w:pStyle w:val="813"/>
        <w:ind w:firstLine="420"/>
        <w:spacing w:before="24" w:beforeAutospacing="0" w:after="24" w:afterAutospacing="0" w:line="360" w:lineRule="auto"/>
        <w:shd w:val="clear" w:color="auto" w:fill="ffffff"/>
        <w:rPr>
          <w:rFonts w:hint="eastAsia"/>
          <w:b/>
          <w:bCs/>
          <w:sz w:val="21"/>
          <w:szCs w:val="21"/>
          <w:highlight w:val="none"/>
          <w:shd w:val="clear" w:color="auto" w:fill="ffffff"/>
        </w:rPr>
      </w:pPr>
      <w:r>
        <w:rPr>
          <w:rFonts w:hint="eastAsia"/>
          <w:sz w:val="21"/>
          <w:szCs w:val="21"/>
          <w:highlight w:val="none"/>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253"/>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u w:val="single"/>
        </w:rPr>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签字(签章)：公章：</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p>
    <w:p>
      <w:pPr>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rPr>
          <w:highlight w:val="none"/>
        </w:rPr>
      </w:pPr>
      <w:r>
        <w:rPr>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00"/>
                            <w:tabs>
                              <w:tab w:val="clear" w:pos="4153" w:leader="none"/>
                              <w:tab w:val="clear" w:pos="8306" w:leader="none"/>
                            </w:tabs>
                            <w:rPr>
                              <w:rStyle w:val="820"/>
                              <w:rFonts w:hint="eastAsia" w:ascii="宋体" w:hAnsi="宋体"/>
                            </w:rPr>
                          </w:pPr>
                          <w:r>
                            <w:rPr>
                              <w:rFonts w:ascii="宋体" w:hAnsi="宋体"/>
                            </w:rPr>
                            <w:fldChar w:fldCharType="begin"/>
                          </w:r>
                          <w:r>
                            <w:rPr>
                              <w:rStyle w:val="820"/>
                              <w:rFonts w:ascii="宋体" w:hAnsi="宋体"/>
                            </w:rPr>
                            <w:instrText xml:space="preserve">PAGE  </w:instrText>
                          </w:r>
                          <w:r>
                            <w:rPr>
                              <w:rFonts w:ascii="宋体" w:hAnsi="宋体"/>
                            </w:rPr>
                            <w:fldChar w:fldCharType="separate"/>
                          </w:r>
                          <w:r>
                            <w:rPr>
                              <w:rStyle w:val="820"/>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00"/>
                      <w:tabs>
                        <w:tab w:val="clear" w:pos="4153" w:leader="none"/>
                        <w:tab w:val="clear" w:pos="8306" w:leader="none"/>
                      </w:tabs>
                      <w:rPr>
                        <w:rStyle w:val="820"/>
                        <w:rFonts w:hint="eastAsia" w:ascii="宋体" w:hAnsi="宋体"/>
                      </w:rPr>
                    </w:pPr>
                    <w:r>
                      <w:rPr>
                        <w:rFonts w:ascii="宋体" w:hAnsi="宋体"/>
                      </w:rPr>
                      <w:fldChar w:fldCharType="begin"/>
                    </w:r>
                    <w:r>
                      <w:rPr>
                        <w:rStyle w:val="820"/>
                        <w:rFonts w:ascii="宋体" w:hAnsi="宋体"/>
                      </w:rPr>
                      <w:instrText xml:space="preserve">PAGE  </w:instrText>
                    </w:r>
                    <w:r>
                      <w:rPr>
                        <w:rFonts w:ascii="宋体" w:hAnsi="宋体"/>
                      </w:rPr>
                      <w:fldChar w:fldCharType="separate"/>
                    </w:r>
                    <w:r>
                      <w:rPr>
                        <w:rStyle w:val="820"/>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0"/>
      </w:rPr>
      <w:framePr w:wrap="around" w:vAnchor="text" w:hAnchor="margin" w:xAlign="center" w:y="1"/>
    </w:pPr>
    <w:r>
      <w:fldChar w:fldCharType="begin"/>
    </w:r>
    <w:r>
      <w:rPr>
        <w:rStyle w:val="820"/>
      </w:rPr>
      <w:instrText xml:space="preserve">PAGE  </w:instrText>
    </w:r>
    <w:r>
      <w:fldChar w:fldCharType="separate"/>
    </w:r>
    <w:r>
      <w:rPr>
        <w:rStyle w:val="820"/>
      </w:rPr>
      <w:t xml:space="preserve">1</w:t>
    </w:r>
    <w:r>
      <w:fldChar w:fldCharType="end"/>
    </w:r>
    <w:r/>
  </w:p>
  <w:p>
    <w:pPr>
      <w:pStyle w:val="8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default="1">
    <w:name w:val="Normal"/>
    <w:next w:val="780"/>
    <w:uiPriority w:val="0"/>
    <w:qFormat/>
    <w:pPr>
      <w:jc w:val="both"/>
      <w:widowControl w:val="off"/>
    </w:pPr>
    <w:rPr>
      <w:rFonts w:ascii="Times New Roman" w:hAnsi="Times New Roman" w:eastAsia="宋体" w:cs="Times New Roman"/>
      <w:sz w:val="21"/>
      <w:szCs w:val="22"/>
      <w:lang w:val="en-US" w:eastAsia="zh-CN" w:bidi="ar-SA"/>
    </w:rPr>
  </w:style>
  <w:style w:type="paragraph" w:styleId="769">
    <w:name w:val="Heading 1"/>
    <w:basedOn w:val="768"/>
    <w:next w:val="768"/>
    <w:link w:val="852"/>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70">
    <w:name w:val="Heading 2"/>
    <w:basedOn w:val="768"/>
    <w:next w:val="768"/>
    <w:link w:val="853"/>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71">
    <w:name w:val="Heading 3"/>
    <w:basedOn w:val="768"/>
    <w:next w:val="768"/>
    <w:link w:val="854"/>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72">
    <w:name w:val="Heading 4"/>
    <w:basedOn w:val="768"/>
    <w:next w:val="768"/>
    <w:link w:val="855"/>
    <w:uiPriority w:val="0"/>
    <w:unhideWhenUsed/>
    <w:qFormat/>
    <w:pPr>
      <w:keepLines/>
      <w:keepNext/>
      <w:spacing w:before="80" w:after="40"/>
      <w:outlineLvl w:val="3"/>
    </w:pPr>
    <w:rPr>
      <w:rFonts w:cstheme="majorBidi"/>
      <w:color w:val="104862" w:themeColor="accent1" w:themeShade="BF"/>
      <w:sz w:val="28"/>
      <w:szCs w:val="28"/>
    </w:rPr>
  </w:style>
  <w:style w:type="paragraph" w:styleId="773">
    <w:name w:val="Heading 5"/>
    <w:basedOn w:val="768"/>
    <w:next w:val="768"/>
    <w:link w:val="856"/>
    <w:uiPriority w:val="0"/>
    <w:unhideWhenUsed/>
    <w:qFormat/>
    <w:pPr>
      <w:keepLines/>
      <w:keepNext/>
      <w:spacing w:before="80" w:after="40"/>
      <w:outlineLvl w:val="4"/>
    </w:pPr>
    <w:rPr>
      <w:rFonts w:cstheme="majorBidi"/>
      <w:color w:val="104862" w:themeColor="accent1" w:themeShade="BF"/>
      <w:sz w:val="24"/>
      <w:szCs w:val="24"/>
    </w:rPr>
  </w:style>
  <w:style w:type="paragraph" w:styleId="774">
    <w:name w:val="Heading 6"/>
    <w:basedOn w:val="768"/>
    <w:next w:val="768"/>
    <w:link w:val="857"/>
    <w:uiPriority w:val="0"/>
    <w:unhideWhenUsed/>
    <w:qFormat/>
    <w:pPr>
      <w:keepLines/>
      <w:keepNext/>
      <w:spacing w:before="40"/>
      <w:outlineLvl w:val="5"/>
    </w:pPr>
    <w:rPr>
      <w:rFonts w:cstheme="majorBidi"/>
      <w:b/>
      <w:bCs/>
      <w:color w:val="104862" w:themeColor="accent1" w:themeShade="BF"/>
    </w:rPr>
  </w:style>
  <w:style w:type="paragraph" w:styleId="775">
    <w:name w:val="Heading 7"/>
    <w:basedOn w:val="768"/>
    <w:next w:val="768"/>
    <w:link w:val="858"/>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76">
    <w:name w:val="Heading 8"/>
    <w:basedOn w:val="768"/>
    <w:next w:val="768"/>
    <w:link w:val="859"/>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77">
    <w:name w:val="Heading 9"/>
    <w:basedOn w:val="768"/>
    <w:next w:val="768"/>
    <w:link w:val="860"/>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78" w:default="1">
    <w:name w:val="Default Paragraph Font"/>
    <w:uiPriority w:val="1"/>
    <w:semiHidden/>
    <w:unhideWhenUsed/>
  </w:style>
  <w:style w:type="table" w:styleId="779" w:default="1">
    <w:name w:val="Normal Table"/>
    <w:uiPriority w:val="99"/>
    <w:semiHidden/>
    <w:unhideWhenUsed/>
    <w:tblPr>
      <w:tblCellMar>
        <w:left w:w="108" w:type="dxa"/>
        <w:top w:w="0" w:type="dxa"/>
        <w:right w:w="108" w:type="dxa"/>
        <w:bottom w:w="0" w:type="dxa"/>
      </w:tblCellMar>
    </w:tblPr>
  </w:style>
  <w:style w:type="paragraph" w:styleId="780">
    <w:name w:val="Body Text First Indent 2"/>
    <w:basedOn w:val="781"/>
    <w:next w:val="768"/>
    <w:link w:val="1066"/>
    <w:uiPriority w:val="99"/>
    <w:qFormat/>
    <w:pPr>
      <w:ind w:left="0" w:firstLine="420"/>
      <w:spacing w:after="0" w:line="360" w:lineRule="auto"/>
    </w:pPr>
    <w:rPr>
      <w:rFonts w:ascii="宋体" w:hAnsi="宋体"/>
      <w:sz w:val="20"/>
      <w:szCs w:val="20"/>
      <w:lang w:eastAsia="en-US"/>
    </w:rPr>
  </w:style>
  <w:style w:type="paragraph" w:styleId="781">
    <w:name w:val="Body Text Indent"/>
    <w:basedOn w:val="768"/>
    <w:next w:val="782"/>
    <w:link w:val="995"/>
    <w:uiPriority w:val="99"/>
    <w:unhideWhenUsed/>
    <w:qFormat/>
    <w:pPr>
      <w:ind w:left="420"/>
      <w:spacing w:after="120"/>
    </w:pPr>
  </w:style>
  <w:style w:type="paragraph" w:styleId="782">
    <w:name w:val="envelope return"/>
    <w:basedOn w:val="768"/>
    <w:uiPriority w:val="0"/>
    <w:qFormat/>
    <w:rPr>
      <w:rFonts w:ascii="Arial" w:hAnsi="Arial" w:cs="宋体"/>
    </w:rPr>
  </w:style>
  <w:style w:type="paragraph" w:styleId="783">
    <w:name w:val="List 3"/>
    <w:basedOn w:val="768"/>
    <w:uiPriority w:val="0"/>
    <w:pPr>
      <w:ind w:left="100" w:hanging="200"/>
    </w:pPr>
    <w:rPr>
      <w:szCs w:val="21"/>
    </w:rPr>
  </w:style>
  <w:style w:type="paragraph" w:styleId="784">
    <w:name w:val="toc 7"/>
    <w:basedOn w:val="768"/>
    <w:next w:val="768"/>
    <w:uiPriority w:val="39"/>
    <w:unhideWhenUsed/>
    <w:qFormat/>
    <w:pPr>
      <w:ind w:left="1701"/>
      <w:spacing w:after="57"/>
    </w:pPr>
  </w:style>
  <w:style w:type="paragraph" w:styleId="785">
    <w:name w:val="Normal Indent"/>
    <w:basedOn w:val="768"/>
    <w:link w:val="997"/>
    <w:uiPriority w:val="0"/>
    <w:qFormat/>
    <w:pPr>
      <w:ind w:firstLine="420"/>
    </w:pPr>
    <w:rPr>
      <w:szCs w:val="21"/>
    </w:rPr>
  </w:style>
  <w:style w:type="paragraph" w:styleId="786">
    <w:name w:val="Caption"/>
    <w:basedOn w:val="768"/>
    <w:next w:val="768"/>
    <w:uiPriority w:val="35"/>
    <w:semiHidden/>
    <w:unhideWhenUsed/>
    <w:qFormat/>
    <w:pPr>
      <w:spacing w:line="276" w:lineRule="auto"/>
    </w:pPr>
    <w:rPr>
      <w:b/>
      <w:bCs/>
      <w:color w:val="4f81bd"/>
      <w:sz w:val="18"/>
      <w:szCs w:val="18"/>
    </w:rPr>
  </w:style>
  <w:style w:type="paragraph" w:styleId="787">
    <w:name w:val="Document Map"/>
    <w:basedOn w:val="768"/>
    <w:link w:val="999"/>
    <w:uiPriority w:val="0"/>
    <w:semiHidden/>
    <w:qFormat/>
    <w:pPr>
      <w:shd w:val="clear" w:color="auto" w:fill="000080"/>
    </w:pPr>
    <w:rPr>
      <w:szCs w:val="21"/>
    </w:rPr>
  </w:style>
  <w:style w:type="paragraph" w:styleId="788">
    <w:name w:val="annotation text"/>
    <w:basedOn w:val="768"/>
    <w:link w:val="1001"/>
    <w:uiPriority w:val="0"/>
    <w:unhideWhenUsed/>
    <w:qFormat/>
    <w:pPr>
      <w:jc w:val="left"/>
    </w:pPr>
    <w:rPr>
      <w:rFonts w:ascii="Calibri" w:hAnsi="Calibri"/>
      <w:szCs w:val="24"/>
    </w:rPr>
  </w:style>
  <w:style w:type="paragraph" w:styleId="789">
    <w:name w:val="Body Text 3"/>
    <w:basedOn w:val="768"/>
    <w:link w:val="1002"/>
    <w:uiPriority w:val="0"/>
    <w:qFormat/>
    <w:rPr>
      <w:rFonts w:ascii="仿宋_GB2312" w:hAnsi="Arial" w:eastAsia="仿宋_GB2312"/>
      <w:sz w:val="32"/>
      <w:szCs w:val="32"/>
    </w:rPr>
  </w:style>
  <w:style w:type="paragraph" w:styleId="790">
    <w:name w:val="Body Text"/>
    <w:basedOn w:val="768"/>
    <w:link w:val="1003"/>
    <w:uiPriority w:val="0"/>
    <w:qFormat/>
    <w:rPr>
      <w:rFonts w:ascii="楷体_GB2312" w:hAnsi="Arial" w:eastAsia="楷体_GB2312"/>
      <w:sz w:val="28"/>
      <w:szCs w:val="28"/>
    </w:rPr>
  </w:style>
  <w:style w:type="paragraph" w:styleId="791">
    <w:name w:val="List 2"/>
    <w:basedOn w:val="768"/>
    <w:uiPriority w:val="0"/>
    <w:qFormat/>
    <w:pPr>
      <w:ind w:left="100" w:hanging="200"/>
    </w:pPr>
    <w:rPr>
      <w:szCs w:val="21"/>
    </w:rPr>
  </w:style>
  <w:style w:type="paragraph" w:styleId="792">
    <w:name w:val="toc 5"/>
    <w:basedOn w:val="768"/>
    <w:next w:val="768"/>
    <w:uiPriority w:val="39"/>
    <w:unhideWhenUsed/>
    <w:qFormat/>
    <w:pPr>
      <w:ind w:left="1134"/>
      <w:spacing w:after="57"/>
    </w:pPr>
  </w:style>
  <w:style w:type="paragraph" w:styleId="793">
    <w:name w:val="toc 3"/>
    <w:basedOn w:val="768"/>
    <w:next w:val="768"/>
    <w:uiPriority w:val="39"/>
    <w:unhideWhenUsed/>
    <w:qFormat/>
    <w:pPr>
      <w:ind w:left="567"/>
      <w:spacing w:after="57"/>
    </w:pPr>
  </w:style>
  <w:style w:type="paragraph" w:styleId="794">
    <w:name w:val="Plain Text"/>
    <w:basedOn w:val="768"/>
    <w:link w:val="1006"/>
    <w:uiPriority w:val="0"/>
    <w:qFormat/>
    <w:rPr>
      <w:rFonts w:ascii="宋体" w:hAnsi="Courier New" w:cs="Courier New"/>
      <w:szCs w:val="21"/>
    </w:rPr>
  </w:style>
  <w:style w:type="paragraph" w:styleId="795">
    <w:name w:val="toc 8"/>
    <w:basedOn w:val="768"/>
    <w:next w:val="768"/>
    <w:uiPriority w:val="39"/>
    <w:unhideWhenUsed/>
    <w:qFormat/>
    <w:pPr>
      <w:ind w:left="1984"/>
      <w:spacing w:after="57"/>
    </w:pPr>
  </w:style>
  <w:style w:type="paragraph" w:styleId="796">
    <w:name w:val="Date"/>
    <w:basedOn w:val="768"/>
    <w:next w:val="768"/>
    <w:link w:val="1008"/>
    <w:uiPriority w:val="0"/>
    <w:qFormat/>
    <w:rPr>
      <w:sz w:val="24"/>
      <w:szCs w:val="24"/>
    </w:rPr>
  </w:style>
  <w:style w:type="paragraph" w:styleId="797">
    <w:name w:val="Body Text Indent 2"/>
    <w:basedOn w:val="768"/>
    <w:link w:val="1009"/>
    <w:uiPriority w:val="0"/>
    <w:qFormat/>
    <w:pPr>
      <w:ind w:left="630" w:firstLine="645"/>
    </w:pPr>
    <w:rPr>
      <w:rFonts w:ascii="Arial" w:hAnsi="Arial" w:eastAsia="仿宋_GB2312" w:cs="Arial"/>
      <w:sz w:val="32"/>
      <w:szCs w:val="32"/>
    </w:rPr>
  </w:style>
  <w:style w:type="paragraph" w:styleId="798">
    <w:name w:val="endnote text"/>
    <w:basedOn w:val="768"/>
    <w:link w:val="992"/>
    <w:uiPriority w:val="99"/>
    <w:semiHidden/>
    <w:unhideWhenUsed/>
    <w:qFormat/>
    <w:rPr>
      <w:sz w:val="20"/>
    </w:rPr>
  </w:style>
  <w:style w:type="paragraph" w:styleId="799">
    <w:name w:val="Balloon Text"/>
    <w:basedOn w:val="768"/>
    <w:link w:val="1010"/>
    <w:uiPriority w:val="0"/>
    <w:semiHidden/>
    <w:qFormat/>
    <w:rPr>
      <w:sz w:val="18"/>
      <w:szCs w:val="18"/>
    </w:rPr>
  </w:style>
  <w:style w:type="paragraph" w:styleId="800">
    <w:name w:val="Footer"/>
    <w:basedOn w:val="768"/>
    <w:link w:val="882"/>
    <w:uiPriority w:val="0"/>
    <w:qFormat/>
    <w:pPr>
      <w:jc w:val="left"/>
      <w:tabs>
        <w:tab w:val="center" w:pos="4153" w:leader="none"/>
        <w:tab w:val="right" w:pos="8306" w:leader="none"/>
      </w:tabs>
    </w:pPr>
    <w:rPr>
      <w:sz w:val="18"/>
      <w:szCs w:val="18"/>
    </w:rPr>
  </w:style>
  <w:style w:type="paragraph" w:styleId="801">
    <w:name w:val="Header"/>
    <w:basedOn w:val="768"/>
    <w:link w:val="880"/>
    <w:uiPriority w:val="0"/>
    <w:qFormat/>
    <w:pPr>
      <w:jc w:val="center"/>
      <w:tabs>
        <w:tab w:val="center" w:pos="4153" w:leader="none"/>
        <w:tab w:val="right" w:pos="8306" w:leader="none"/>
      </w:tabs>
      <w:pBdr>
        <w:bottom w:val="single" w:color="000000" w:sz="6" w:space="1"/>
      </w:pBdr>
    </w:pPr>
    <w:rPr>
      <w:sz w:val="18"/>
      <w:szCs w:val="18"/>
    </w:rPr>
  </w:style>
  <w:style w:type="paragraph" w:styleId="802">
    <w:name w:val="toc 1"/>
    <w:basedOn w:val="768"/>
    <w:next w:val="768"/>
    <w:uiPriority w:val="39"/>
    <w:unhideWhenUsed/>
    <w:qFormat/>
    <w:pPr>
      <w:spacing w:after="57"/>
    </w:pPr>
  </w:style>
  <w:style w:type="paragraph" w:styleId="803">
    <w:name w:val="toc 4"/>
    <w:basedOn w:val="768"/>
    <w:next w:val="768"/>
    <w:uiPriority w:val="39"/>
    <w:unhideWhenUsed/>
    <w:qFormat/>
    <w:pPr>
      <w:ind w:left="850"/>
      <w:spacing w:after="57"/>
    </w:pPr>
  </w:style>
  <w:style w:type="paragraph" w:styleId="804">
    <w:name w:val="Subtitle"/>
    <w:basedOn w:val="768"/>
    <w:next w:val="768"/>
    <w:link w:val="862"/>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05">
    <w:name w:val="List"/>
    <w:basedOn w:val="768"/>
    <w:uiPriority w:val="0"/>
    <w:qFormat/>
    <w:pPr>
      <w:ind w:left="200" w:hanging="200"/>
    </w:pPr>
    <w:rPr>
      <w:szCs w:val="21"/>
    </w:rPr>
  </w:style>
  <w:style w:type="paragraph" w:styleId="806">
    <w:name w:val="footnote text"/>
    <w:basedOn w:val="768"/>
    <w:link w:val="991"/>
    <w:uiPriority w:val="99"/>
    <w:semiHidden/>
    <w:unhideWhenUsed/>
    <w:qFormat/>
    <w:pPr>
      <w:spacing w:after="40"/>
    </w:pPr>
    <w:rPr>
      <w:sz w:val="18"/>
    </w:rPr>
  </w:style>
  <w:style w:type="paragraph" w:styleId="807">
    <w:name w:val="toc 6"/>
    <w:basedOn w:val="768"/>
    <w:next w:val="768"/>
    <w:uiPriority w:val="39"/>
    <w:unhideWhenUsed/>
    <w:qFormat/>
    <w:pPr>
      <w:ind w:left="1417"/>
      <w:spacing w:after="57"/>
    </w:pPr>
  </w:style>
  <w:style w:type="paragraph" w:styleId="808">
    <w:name w:val="Body Text Indent 3"/>
    <w:basedOn w:val="768"/>
    <w:link w:val="1014"/>
    <w:uiPriority w:val="0"/>
    <w:qFormat/>
    <w:pPr>
      <w:ind w:left="645" w:firstLine="645"/>
    </w:pPr>
    <w:rPr>
      <w:rFonts w:ascii="Arial" w:hAnsi="Arial" w:eastAsia="仿宋_GB2312" w:cs="Arial"/>
      <w:color w:val="ffff00"/>
      <w:sz w:val="32"/>
      <w:szCs w:val="32"/>
    </w:rPr>
  </w:style>
  <w:style w:type="paragraph" w:styleId="809">
    <w:name w:val="table of figures"/>
    <w:basedOn w:val="768"/>
    <w:next w:val="768"/>
    <w:uiPriority w:val="0"/>
    <w:semiHidden/>
    <w:qFormat/>
    <w:pPr>
      <w:ind w:left="840" w:hanging="420"/>
    </w:pPr>
    <w:rPr>
      <w:szCs w:val="21"/>
    </w:rPr>
  </w:style>
  <w:style w:type="paragraph" w:styleId="810">
    <w:name w:val="toc 2"/>
    <w:basedOn w:val="768"/>
    <w:next w:val="768"/>
    <w:uiPriority w:val="39"/>
    <w:unhideWhenUsed/>
    <w:qFormat/>
    <w:pPr>
      <w:ind w:left="283"/>
      <w:spacing w:after="57"/>
    </w:pPr>
  </w:style>
  <w:style w:type="paragraph" w:styleId="811">
    <w:name w:val="toc 9"/>
    <w:basedOn w:val="768"/>
    <w:next w:val="768"/>
    <w:uiPriority w:val="39"/>
    <w:unhideWhenUsed/>
    <w:qFormat/>
    <w:pPr>
      <w:ind w:left="2268"/>
      <w:spacing w:after="57"/>
    </w:pPr>
  </w:style>
  <w:style w:type="paragraph" w:styleId="812">
    <w:name w:val="Body Text 2"/>
    <w:basedOn w:val="768"/>
    <w:link w:val="1017"/>
    <w:uiPriority w:val="0"/>
    <w:qFormat/>
    <w:pPr>
      <w:jc w:val="center"/>
      <w:widowControl/>
    </w:pPr>
    <w:rPr>
      <w:rFonts w:ascii="楷体_GB2312" w:eastAsia="楷体_GB2312"/>
      <w:sz w:val="28"/>
      <w:szCs w:val="28"/>
    </w:rPr>
  </w:style>
  <w:style w:type="paragraph" w:styleId="813">
    <w:name w:val="Normal (Web)"/>
    <w:basedOn w:val="768"/>
    <w:uiPriority w:val="99"/>
    <w:qFormat/>
    <w:pPr>
      <w:jc w:val="left"/>
      <w:spacing w:before="100" w:beforeAutospacing="1" w:after="100" w:afterAutospacing="1"/>
      <w:widowControl/>
    </w:pPr>
    <w:rPr>
      <w:rFonts w:ascii="宋体" w:hAnsi="宋体" w:cs="宋体"/>
      <w:sz w:val="24"/>
      <w:szCs w:val="24"/>
    </w:rPr>
  </w:style>
  <w:style w:type="paragraph" w:styleId="814">
    <w:name w:val="index 1"/>
    <w:basedOn w:val="768"/>
    <w:next w:val="768"/>
    <w:uiPriority w:val="0"/>
    <w:semiHidden/>
    <w:qFormat/>
    <w:pPr>
      <w:spacing w:line="240" w:lineRule="atLeast"/>
    </w:pPr>
    <w:rPr>
      <w:b/>
      <w:bCs/>
      <w:szCs w:val="21"/>
    </w:rPr>
  </w:style>
  <w:style w:type="paragraph" w:styleId="815">
    <w:name w:val="Title"/>
    <w:basedOn w:val="768"/>
    <w:next w:val="768"/>
    <w:link w:val="861"/>
    <w:uiPriority w:val="10"/>
    <w:qFormat/>
    <w:pPr>
      <w:contextualSpacing/>
      <w:jc w:val="center"/>
      <w:spacing w:after="80"/>
    </w:pPr>
    <w:rPr>
      <w:rFonts w:asciiTheme="majorHAnsi" w:hAnsiTheme="majorHAnsi" w:eastAsiaTheme="majorEastAsia" w:cstheme="majorBidi"/>
      <w:spacing w:val="-10"/>
      <w:sz w:val="56"/>
      <w:szCs w:val="56"/>
    </w:rPr>
  </w:style>
  <w:style w:type="paragraph" w:styleId="816">
    <w:name w:val="annotation subject"/>
    <w:basedOn w:val="788"/>
    <w:next w:val="788"/>
    <w:link w:val="1018"/>
    <w:uiPriority w:val="0"/>
    <w:semiHidden/>
    <w:qFormat/>
    <w:rPr>
      <w:rFonts w:ascii="Times New Roman" w:hAnsi="Times New Roman"/>
      <w:b/>
      <w:bCs/>
      <w:szCs w:val="21"/>
    </w:rPr>
  </w:style>
  <w:style w:type="table" w:styleId="817">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22"/>
    <w:qFormat/>
    <w:rPr>
      <w:b/>
      <w:bCs/>
    </w:rPr>
  </w:style>
  <w:style w:type="character" w:styleId="819">
    <w:name w:val="endnote reference"/>
    <w:uiPriority w:val="99"/>
    <w:semiHidden/>
    <w:unhideWhenUsed/>
    <w:qFormat/>
    <w:rPr>
      <w:vertAlign w:val="superscript"/>
    </w:rPr>
  </w:style>
  <w:style w:type="character" w:styleId="820">
    <w:name w:val="page number"/>
    <w:uiPriority w:val="0"/>
    <w:qFormat/>
  </w:style>
  <w:style w:type="character" w:styleId="821">
    <w:name w:val="FollowedHyperlink"/>
    <w:basedOn w:val="778"/>
    <w:uiPriority w:val="99"/>
    <w:semiHidden/>
    <w:unhideWhenUsed/>
    <w:rPr>
      <w:color w:val="954f72"/>
      <w:u w:val="single"/>
    </w:rPr>
  </w:style>
  <w:style w:type="character" w:styleId="822">
    <w:name w:val="Emphasis"/>
    <w:uiPriority w:val="0"/>
    <w:qFormat/>
    <w:rPr>
      <w:i/>
    </w:rPr>
  </w:style>
  <w:style w:type="character" w:styleId="823">
    <w:name w:val="Hyperlink"/>
    <w:uiPriority w:val="99"/>
    <w:qFormat/>
    <w:rPr>
      <w:color w:val="0000ff"/>
      <w:u w:val="single"/>
    </w:rPr>
  </w:style>
  <w:style w:type="character" w:styleId="824">
    <w:name w:val="annotation reference"/>
    <w:uiPriority w:val="0"/>
    <w:semiHidden/>
    <w:qFormat/>
    <w:rPr>
      <w:sz w:val="21"/>
      <w:szCs w:val="21"/>
    </w:rPr>
  </w:style>
  <w:style w:type="character" w:styleId="825">
    <w:name w:val="footnote reference"/>
    <w:uiPriority w:val="99"/>
    <w:unhideWhenUsed/>
    <w:qFormat/>
    <w:rPr>
      <w:vertAlign w:val="superscript"/>
    </w:rPr>
  </w:style>
  <w:style w:type="character" w:styleId="826" w:customStyle="1">
    <w:name w:val="Title Char"/>
    <w:basedOn w:val="778"/>
    <w:uiPriority w:val="10"/>
    <w:qFormat/>
    <w:rPr>
      <w:sz w:val="48"/>
      <w:szCs w:val="48"/>
    </w:rPr>
  </w:style>
  <w:style w:type="character" w:styleId="827" w:customStyle="1">
    <w:name w:val="Subtitle Char"/>
    <w:basedOn w:val="778"/>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无格式表格 11"/>
    <w:basedOn w:val="77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7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7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7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网格表 31"/>
    <w:basedOn w:val="77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7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网格表 5 深色1"/>
    <w:basedOn w:val="77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网格表 6 彩色1"/>
    <w:basedOn w:val="77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网格表 7 彩色1"/>
    <w:basedOn w:val="77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清单表 1 浅色1"/>
    <w:basedOn w:val="77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清单表 21"/>
    <w:basedOn w:val="77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清单表 31"/>
    <w:basedOn w:val="77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41"/>
    <w:basedOn w:val="77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5 深色1"/>
    <w:basedOn w:val="77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basedOn w:val="77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清单表 7 彩色1"/>
    <w:basedOn w:val="77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标题1"/>
    <w:uiPriority w:val="39"/>
    <w:unhideWhenUsed/>
    <w:qFormat/>
    <w:rPr>
      <w:rFonts w:ascii="Times New Roman" w:hAnsi="Times New Roman" w:eastAsia="宋体" w:cs="Times New Roman"/>
      <w:lang w:val="en-US" w:eastAsia="zh-CN" w:bidi="ar-SA"/>
    </w:rPr>
  </w:style>
  <w:style w:type="character" w:styleId="852" w:customStyle="1">
    <w:name w:val="标题 1 字符"/>
    <w:basedOn w:val="778"/>
    <w:link w:val="769"/>
    <w:uiPriority w:val="0"/>
    <w:qFormat/>
    <w:rPr>
      <w:rFonts w:asciiTheme="majorHAnsi" w:hAnsiTheme="majorHAnsi" w:eastAsiaTheme="majorEastAsia" w:cstheme="majorBidi"/>
      <w:color w:val="104862" w:themeColor="accent1" w:themeShade="BF"/>
      <w:sz w:val="48"/>
      <w:szCs w:val="48"/>
    </w:rPr>
  </w:style>
  <w:style w:type="character" w:styleId="853" w:customStyle="1">
    <w:name w:val="标题 2 字符"/>
    <w:basedOn w:val="778"/>
    <w:link w:val="770"/>
    <w:uiPriority w:val="0"/>
    <w:qFormat/>
    <w:rPr>
      <w:rFonts w:asciiTheme="majorHAnsi" w:hAnsiTheme="majorHAnsi" w:eastAsiaTheme="majorEastAsia" w:cstheme="majorBidi"/>
      <w:color w:val="104862" w:themeColor="accent1" w:themeShade="BF"/>
      <w:sz w:val="40"/>
      <w:szCs w:val="40"/>
    </w:rPr>
  </w:style>
  <w:style w:type="character" w:styleId="854" w:customStyle="1">
    <w:name w:val="标题 3 字符"/>
    <w:basedOn w:val="778"/>
    <w:link w:val="771"/>
    <w:uiPriority w:val="0"/>
    <w:qFormat/>
    <w:rPr>
      <w:rFonts w:asciiTheme="majorHAnsi" w:hAnsiTheme="majorHAnsi" w:eastAsiaTheme="majorEastAsia" w:cstheme="majorBidi"/>
      <w:color w:val="104862" w:themeColor="accent1" w:themeShade="BF"/>
      <w:sz w:val="32"/>
      <w:szCs w:val="32"/>
    </w:rPr>
  </w:style>
  <w:style w:type="character" w:styleId="855" w:customStyle="1">
    <w:name w:val="标题 4 字符"/>
    <w:basedOn w:val="778"/>
    <w:link w:val="772"/>
    <w:uiPriority w:val="0"/>
    <w:qFormat/>
    <w:rPr>
      <w:rFonts w:cstheme="majorBidi"/>
      <w:color w:val="104862" w:themeColor="accent1" w:themeShade="BF"/>
      <w:sz w:val="28"/>
      <w:szCs w:val="28"/>
    </w:rPr>
  </w:style>
  <w:style w:type="character" w:styleId="856" w:customStyle="1">
    <w:name w:val="标题 5 字符"/>
    <w:basedOn w:val="778"/>
    <w:link w:val="773"/>
    <w:uiPriority w:val="0"/>
    <w:qFormat/>
    <w:rPr>
      <w:rFonts w:cstheme="majorBidi"/>
      <w:color w:val="104862" w:themeColor="accent1" w:themeShade="BF"/>
      <w:sz w:val="24"/>
      <w:szCs w:val="24"/>
    </w:rPr>
  </w:style>
  <w:style w:type="character" w:styleId="857" w:customStyle="1">
    <w:name w:val="标题 6 字符"/>
    <w:basedOn w:val="778"/>
    <w:link w:val="774"/>
    <w:uiPriority w:val="0"/>
    <w:qFormat/>
    <w:rPr>
      <w:rFonts w:cstheme="majorBidi"/>
      <w:b/>
      <w:bCs/>
      <w:color w:val="104862" w:themeColor="accent1" w:themeShade="BF"/>
    </w:rPr>
  </w:style>
  <w:style w:type="character" w:styleId="858" w:customStyle="1">
    <w:name w:val="标题 7 字符"/>
    <w:basedOn w:val="778"/>
    <w:link w:val="775"/>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59" w:customStyle="1">
    <w:name w:val="标题 8 字符"/>
    <w:basedOn w:val="778"/>
    <w:link w:val="776"/>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60" w:customStyle="1">
    <w:name w:val="标题 9 字符"/>
    <w:basedOn w:val="778"/>
    <w:link w:val="777"/>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61" w:customStyle="1">
    <w:name w:val="标题 字符"/>
    <w:basedOn w:val="778"/>
    <w:link w:val="815"/>
    <w:uiPriority w:val="10"/>
    <w:qFormat/>
    <w:rPr>
      <w:rFonts w:asciiTheme="majorHAnsi" w:hAnsiTheme="majorHAnsi" w:eastAsiaTheme="majorEastAsia" w:cstheme="majorBidi"/>
      <w:spacing w:val="-10"/>
      <w:sz w:val="56"/>
      <w:szCs w:val="56"/>
    </w:rPr>
  </w:style>
  <w:style w:type="character" w:styleId="862" w:customStyle="1">
    <w:name w:val="副标题 字符"/>
    <w:basedOn w:val="778"/>
    <w:link w:val="804"/>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63">
    <w:name w:val="Quote"/>
    <w:basedOn w:val="768"/>
    <w:next w:val="768"/>
    <w:link w:val="864"/>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64" w:customStyle="1">
    <w:name w:val="引用 字符"/>
    <w:basedOn w:val="778"/>
    <w:link w:val="863"/>
    <w:uiPriority w:val="29"/>
    <w:qFormat/>
    <w:rPr>
      <w:i/>
      <w:iCs/>
      <w:color w:val="404040" w:themeColor="text1" w:themeTint="BF"/>
      <w14:textFill>
        <w14:solidFill>
          <w14:schemeClr w14:val="tx1">
            <w14:lumMod w14:val="75000"/>
            <w14:lumOff w14:val="25000"/>
          </w14:schemeClr>
        </w14:solidFill>
      </w14:textFill>
    </w:rPr>
  </w:style>
  <w:style w:type="paragraph" w:styleId="865">
    <w:name w:val="List Paragraph"/>
    <w:basedOn w:val="768"/>
    <w:uiPriority w:val="34"/>
    <w:qFormat/>
    <w:pPr>
      <w:contextualSpacing/>
      <w:ind w:left="720"/>
    </w:pPr>
  </w:style>
  <w:style w:type="character" w:styleId="866" w:customStyle="1">
    <w:name w:val="明显强调1"/>
    <w:basedOn w:val="778"/>
    <w:uiPriority w:val="21"/>
    <w:qFormat/>
    <w:rPr>
      <w:i/>
      <w:iCs/>
      <w:color w:val="104862" w:themeColor="accent1" w:themeShade="BF"/>
    </w:rPr>
  </w:style>
  <w:style w:type="paragraph" w:styleId="867">
    <w:name w:val="Intense Quote"/>
    <w:basedOn w:val="768"/>
    <w:next w:val="768"/>
    <w:link w:val="868"/>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68" w:customStyle="1">
    <w:name w:val="明显引用 字符"/>
    <w:basedOn w:val="778"/>
    <w:link w:val="867"/>
    <w:uiPriority w:val="30"/>
    <w:qFormat/>
    <w:rPr>
      <w:i/>
      <w:iCs/>
      <w:color w:val="104862" w:themeColor="accent1" w:themeShade="BF"/>
    </w:rPr>
  </w:style>
  <w:style w:type="character" w:styleId="869" w:customStyle="1">
    <w:name w:val="明显参考1"/>
    <w:basedOn w:val="778"/>
    <w:uiPriority w:val="32"/>
    <w:qFormat/>
    <w:rPr>
      <w:b/>
      <w:bCs/>
      <w:smallCaps/>
      <w:color w:val="104862" w:themeColor="accent1" w:themeShade="BF"/>
      <w:spacing w:val="5"/>
    </w:rPr>
  </w:style>
  <w:style w:type="character" w:styleId="870" w:customStyle="1">
    <w:name w:val="Heading 1 Char"/>
    <w:uiPriority w:val="9"/>
    <w:qFormat/>
    <w:rPr>
      <w:rFonts w:ascii="Arial" w:hAnsi="Arial" w:eastAsia="Arial" w:cs="Arial"/>
      <w:sz w:val="40"/>
      <w:szCs w:val="40"/>
    </w:rPr>
  </w:style>
  <w:style w:type="character" w:styleId="871" w:customStyle="1">
    <w:name w:val="Heading 2 Char"/>
    <w:uiPriority w:val="9"/>
    <w:qFormat/>
    <w:rPr>
      <w:rFonts w:ascii="Arial" w:hAnsi="Arial" w:eastAsia="Arial" w:cs="Arial"/>
      <w:sz w:val="34"/>
    </w:rPr>
  </w:style>
  <w:style w:type="character" w:styleId="872" w:customStyle="1">
    <w:name w:val="Heading 3 Char"/>
    <w:uiPriority w:val="9"/>
    <w:qFormat/>
    <w:rPr>
      <w:rFonts w:ascii="Arial" w:hAnsi="Arial" w:eastAsia="Arial" w:cs="Arial"/>
      <w:sz w:val="30"/>
      <w:szCs w:val="30"/>
    </w:rPr>
  </w:style>
  <w:style w:type="character" w:styleId="873" w:customStyle="1">
    <w:name w:val="Heading 4 Char"/>
    <w:uiPriority w:val="9"/>
    <w:qFormat/>
    <w:rPr>
      <w:rFonts w:ascii="Arial" w:hAnsi="Arial" w:eastAsia="Arial" w:cs="Arial"/>
      <w:b/>
      <w:bCs/>
      <w:sz w:val="26"/>
      <w:szCs w:val="26"/>
    </w:rPr>
  </w:style>
  <w:style w:type="character" w:styleId="874" w:customStyle="1">
    <w:name w:val="Heading 5 Char"/>
    <w:uiPriority w:val="9"/>
    <w:qFormat/>
    <w:rPr>
      <w:rFonts w:ascii="Arial" w:hAnsi="Arial" w:eastAsia="Arial" w:cs="Arial"/>
      <w:b/>
      <w:bCs/>
      <w:sz w:val="24"/>
      <w:szCs w:val="24"/>
    </w:rPr>
  </w:style>
  <w:style w:type="character" w:styleId="875" w:customStyle="1">
    <w:name w:val="Heading 6 Char"/>
    <w:uiPriority w:val="9"/>
    <w:qFormat/>
    <w:rPr>
      <w:rFonts w:ascii="Arial" w:hAnsi="Arial" w:eastAsia="Arial" w:cs="Arial"/>
      <w:b/>
      <w:bCs/>
      <w:sz w:val="22"/>
      <w:szCs w:val="22"/>
    </w:rPr>
  </w:style>
  <w:style w:type="character" w:styleId="876" w:customStyle="1">
    <w:name w:val="Heading 7 Char"/>
    <w:uiPriority w:val="9"/>
    <w:qFormat/>
    <w:rPr>
      <w:rFonts w:ascii="Arial" w:hAnsi="Arial" w:eastAsia="Arial" w:cs="Arial"/>
      <w:b/>
      <w:bCs/>
      <w:i/>
      <w:iCs/>
      <w:sz w:val="22"/>
      <w:szCs w:val="22"/>
    </w:rPr>
  </w:style>
  <w:style w:type="character" w:styleId="877" w:customStyle="1">
    <w:name w:val="Heading 8 Char"/>
    <w:uiPriority w:val="9"/>
    <w:qFormat/>
    <w:rPr>
      <w:rFonts w:ascii="Arial" w:hAnsi="Arial" w:eastAsia="Arial" w:cs="Arial"/>
      <w:i/>
      <w:iCs/>
      <w:sz w:val="22"/>
      <w:szCs w:val="22"/>
    </w:rPr>
  </w:style>
  <w:style w:type="character" w:styleId="878" w:customStyle="1">
    <w:name w:val="Heading 9 Char"/>
    <w:uiPriority w:val="9"/>
    <w:qFormat/>
    <w:rPr>
      <w:rFonts w:ascii="Arial" w:hAnsi="Arial" w:eastAsia="Arial" w:cs="Arial"/>
      <w:i/>
      <w:iCs/>
      <w:sz w:val="21"/>
      <w:szCs w:val="21"/>
    </w:rPr>
  </w:style>
  <w:style w:type="paragraph" w:styleId="879">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80" w:customStyle="1">
    <w:name w:val="页眉 字符"/>
    <w:basedOn w:val="778"/>
    <w:link w:val="801"/>
    <w:uiPriority w:val="0"/>
    <w:qFormat/>
    <w:rPr>
      <w:rFonts w:ascii="Times New Roman" w:hAnsi="Times New Roman" w:eastAsia="宋体" w:cs="Times New Roman"/>
      <w:sz w:val="18"/>
      <w:szCs w:val="18"/>
      <w14:ligatures w14:val="none"/>
    </w:rPr>
  </w:style>
  <w:style w:type="character" w:styleId="881" w:customStyle="1">
    <w:name w:val="Header Char"/>
    <w:uiPriority w:val="99"/>
    <w:qFormat/>
  </w:style>
  <w:style w:type="character" w:styleId="882" w:customStyle="1">
    <w:name w:val="页脚 字符"/>
    <w:basedOn w:val="778"/>
    <w:link w:val="800"/>
    <w:uiPriority w:val="0"/>
    <w:qFormat/>
    <w:rPr>
      <w:rFonts w:ascii="Times New Roman" w:hAnsi="Times New Roman" w:eastAsia="宋体" w:cs="Times New Roman"/>
      <w:sz w:val="18"/>
      <w:szCs w:val="18"/>
      <w14:ligatures w14:val="none"/>
    </w:rPr>
  </w:style>
  <w:style w:type="character" w:styleId="883" w:customStyle="1">
    <w:name w:val="Footer Char"/>
    <w:uiPriority w:val="99"/>
    <w:qFormat/>
  </w:style>
  <w:style w:type="character" w:styleId="884" w:customStyle="1">
    <w:name w:val="Caption Char"/>
    <w:uiPriority w:val="99"/>
    <w:qFormat/>
  </w:style>
  <w:style w:type="table" w:styleId="8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List Table 1 Light - Accent 1"/>
    <w:uiPriority w:val="99"/>
    <w:qFormat/>
    <w:tblPr>
      <w:tblCellMar>
        <w:left w:w="0" w:type="dxa"/>
        <w:top w:w="0" w:type="dxa"/>
        <w:right w:w="0" w:type="dxa"/>
        <w:bottom w:w="0" w:type="dxa"/>
      </w:tblCellMar>
    </w:tblPr>
  </w:style>
  <w:style w:type="table" w:styleId="929" w:customStyle="1">
    <w:name w:val="List Table 1 Light - Accent 2"/>
    <w:uiPriority w:val="99"/>
    <w:qFormat/>
    <w:tblPr>
      <w:tblCellMar>
        <w:left w:w="0" w:type="dxa"/>
        <w:top w:w="0" w:type="dxa"/>
        <w:right w:w="0" w:type="dxa"/>
        <w:bottom w:w="0" w:type="dxa"/>
      </w:tblCellMar>
    </w:tblPr>
  </w:style>
  <w:style w:type="table" w:styleId="930" w:customStyle="1">
    <w:name w:val="List Table 1 Light - Accent 3"/>
    <w:uiPriority w:val="99"/>
    <w:qFormat/>
    <w:tblPr>
      <w:tblCellMar>
        <w:left w:w="0" w:type="dxa"/>
        <w:top w:w="0" w:type="dxa"/>
        <w:right w:w="0" w:type="dxa"/>
        <w:bottom w:w="0" w:type="dxa"/>
      </w:tblCellMar>
    </w:tblPr>
  </w:style>
  <w:style w:type="table" w:styleId="931" w:customStyle="1">
    <w:name w:val="List Table 1 Light - Accent 4"/>
    <w:uiPriority w:val="99"/>
    <w:qFormat/>
    <w:tblPr>
      <w:tblCellMar>
        <w:left w:w="0" w:type="dxa"/>
        <w:top w:w="0" w:type="dxa"/>
        <w:right w:w="0" w:type="dxa"/>
        <w:bottom w:w="0" w:type="dxa"/>
      </w:tblCellMar>
    </w:tblPr>
  </w:style>
  <w:style w:type="table" w:styleId="932" w:customStyle="1">
    <w:name w:val="List Table 1 Light - Accent 5"/>
    <w:uiPriority w:val="99"/>
    <w:qFormat/>
    <w:tblPr>
      <w:tblCellMar>
        <w:left w:w="0" w:type="dxa"/>
        <w:top w:w="0" w:type="dxa"/>
        <w:right w:w="0" w:type="dxa"/>
        <w:bottom w:w="0" w:type="dxa"/>
      </w:tblCellMar>
    </w:tblPr>
  </w:style>
  <w:style w:type="table" w:styleId="933" w:customStyle="1">
    <w:name w:val="List Table 1 Light - Accent 6"/>
    <w:uiPriority w:val="99"/>
    <w:qFormat/>
    <w:tblPr>
      <w:tblCellMar>
        <w:left w:w="0" w:type="dxa"/>
        <w:top w:w="0" w:type="dxa"/>
        <w:right w:w="0" w:type="dxa"/>
        <w:bottom w:w="0" w:type="dxa"/>
      </w:tblCellMar>
    </w:tbl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1" w:customStyle="1">
    <w:name w:val="脚注文本 字符"/>
    <w:basedOn w:val="778"/>
    <w:link w:val="806"/>
    <w:uiPriority w:val="99"/>
    <w:semiHidden/>
    <w:qFormat/>
    <w:rPr>
      <w:rFonts w:ascii="Times New Roman" w:hAnsi="Times New Roman" w:eastAsia="宋体" w:cs="Times New Roman"/>
      <w:sz w:val="18"/>
      <w14:ligatures w14:val="none"/>
    </w:rPr>
  </w:style>
  <w:style w:type="character" w:styleId="992" w:customStyle="1">
    <w:name w:val="尾注文本 字符"/>
    <w:basedOn w:val="778"/>
    <w:link w:val="798"/>
    <w:uiPriority w:val="99"/>
    <w:semiHidden/>
    <w:qFormat/>
    <w:rPr>
      <w:rFonts w:ascii="Times New Roman" w:hAnsi="Times New Roman" w:eastAsia="宋体" w:cs="Times New Roman"/>
      <w:sz w:val="20"/>
      <w14:ligatures w14:val="none"/>
    </w:rPr>
  </w:style>
  <w:style w:type="paragraph" w:styleId="993" w:customStyle="1">
    <w:name w:val="TOC 标题11"/>
    <w:uiPriority w:val="39"/>
    <w:unhideWhenUsed/>
    <w:qFormat/>
    <w:rPr>
      <w:rFonts w:ascii="Times New Roman" w:hAnsi="Times New Roman" w:eastAsia="宋体" w:cs="Times New Roman"/>
      <w:lang w:val="en-US" w:eastAsia="zh-CN" w:bidi="ar-SA"/>
    </w:rPr>
  </w:style>
  <w:style w:type="paragraph" w:styleId="994" w:customStyle="1">
    <w:name w:val="正文首行缩进 211"/>
    <w:basedOn w:val="781"/>
    <w:next w:val="768"/>
    <w:link w:val="996"/>
    <w:uiPriority w:val="0"/>
    <w:qFormat/>
    <w:pPr>
      <w:ind w:left="0" w:firstLine="420"/>
      <w:spacing w:after="0" w:line="360" w:lineRule="auto"/>
    </w:pPr>
    <w:rPr>
      <w:rFonts w:ascii="宋体" w:hAnsi="宋体"/>
      <w:szCs w:val="20"/>
    </w:rPr>
  </w:style>
  <w:style w:type="character" w:styleId="995" w:customStyle="1">
    <w:name w:val="正文文本缩进 字符"/>
    <w:basedOn w:val="778"/>
    <w:link w:val="781"/>
    <w:uiPriority w:val="99"/>
    <w:qFormat/>
    <w:rPr>
      <w:rFonts w:ascii="Times New Roman" w:hAnsi="Times New Roman" w:eastAsia="宋体" w:cs="Times New Roman"/>
      <w14:ligatures w14:val="none"/>
    </w:rPr>
  </w:style>
  <w:style w:type="character" w:styleId="996" w:customStyle="1">
    <w:name w:val="正文首行缩进 2 Char"/>
    <w:link w:val="994"/>
    <w:uiPriority w:val="0"/>
    <w:qFormat/>
    <w:rPr>
      <w:rFonts w:ascii="宋体" w:hAnsi="宋体" w:eastAsia="宋体" w:cs="Times New Roman"/>
      <w:szCs w:val="20"/>
      <w14:ligatures w14:val="none"/>
    </w:rPr>
  </w:style>
  <w:style w:type="character" w:styleId="997" w:customStyle="1">
    <w:name w:val="正文缩进 字符"/>
    <w:link w:val="785"/>
    <w:uiPriority w:val="0"/>
    <w:qFormat/>
    <w:rPr>
      <w:rFonts w:ascii="Times New Roman" w:hAnsi="Times New Roman" w:eastAsia="宋体" w:cs="Times New Roman"/>
      <w:szCs w:val="21"/>
      <w14:ligatures w14:val="none"/>
    </w:rPr>
  </w:style>
  <w:style w:type="paragraph" w:styleId="998" w:customStyle="1">
    <w:name w:val="目录 71"/>
    <w:basedOn w:val="768"/>
    <w:next w:val="768"/>
    <w:uiPriority w:val="0"/>
    <w:semiHidden/>
    <w:qFormat/>
    <w:pPr>
      <w:ind w:left="1260"/>
      <w:jc w:val="left"/>
    </w:pPr>
    <w:rPr>
      <w:szCs w:val="21"/>
    </w:rPr>
  </w:style>
  <w:style w:type="character" w:styleId="999" w:customStyle="1">
    <w:name w:val="文档结构图 字符"/>
    <w:basedOn w:val="778"/>
    <w:link w:val="787"/>
    <w:uiPriority w:val="0"/>
    <w:semiHidden/>
    <w:qFormat/>
    <w:rPr>
      <w:rFonts w:ascii="Times New Roman" w:hAnsi="Times New Roman" w:eastAsia="宋体" w:cs="Times New Roman"/>
      <w:szCs w:val="21"/>
      <w:shd w:val="clear" w:color="auto" w:fill="000080"/>
      <w14:ligatures w14:val="none"/>
    </w:rPr>
  </w:style>
  <w:style w:type="character" w:styleId="1000" w:customStyle="1">
    <w:name w:val="批注文字 字符"/>
    <w:basedOn w:val="778"/>
    <w:uiPriority w:val="0"/>
    <w:qFormat/>
    <w:rPr>
      <w:rFonts w:ascii="Times New Roman" w:hAnsi="Times New Roman" w:eastAsia="宋体" w:cs="Times New Roman"/>
      <w14:ligatures w14:val="none"/>
    </w:rPr>
  </w:style>
  <w:style w:type="character" w:styleId="1001" w:customStyle="1">
    <w:name w:val="批注文字 字符1"/>
    <w:basedOn w:val="778"/>
    <w:link w:val="788"/>
    <w:uiPriority w:val="0"/>
    <w:qFormat/>
    <w:rPr>
      <w:rFonts w:ascii="Calibri" w:hAnsi="Calibri" w:eastAsia="宋体" w:cs="Times New Roman"/>
      <w:szCs w:val="24"/>
      <w14:ligatures w14:val="none"/>
    </w:rPr>
  </w:style>
  <w:style w:type="character" w:styleId="1002" w:customStyle="1">
    <w:name w:val="正文文本 3 字符"/>
    <w:basedOn w:val="778"/>
    <w:link w:val="789"/>
    <w:uiPriority w:val="0"/>
    <w:qFormat/>
    <w:rPr>
      <w:rFonts w:ascii="仿宋_GB2312" w:hAnsi="Arial" w:eastAsia="仿宋_GB2312" w:cs="Times New Roman"/>
      <w:sz w:val="32"/>
      <w:szCs w:val="32"/>
      <w14:ligatures w14:val="none"/>
    </w:rPr>
  </w:style>
  <w:style w:type="character" w:styleId="1003" w:customStyle="1">
    <w:name w:val="正文文本 字符"/>
    <w:basedOn w:val="778"/>
    <w:link w:val="790"/>
    <w:uiPriority w:val="0"/>
    <w:qFormat/>
    <w:rPr>
      <w:rFonts w:ascii="楷体_GB2312" w:hAnsi="Arial" w:eastAsia="楷体_GB2312" w:cs="Times New Roman"/>
      <w:sz w:val="28"/>
      <w:szCs w:val="28"/>
      <w14:ligatures w14:val="none"/>
    </w:rPr>
  </w:style>
  <w:style w:type="paragraph" w:styleId="1004" w:customStyle="1">
    <w:name w:val="目录 51"/>
    <w:basedOn w:val="768"/>
    <w:next w:val="768"/>
    <w:uiPriority w:val="0"/>
    <w:semiHidden/>
    <w:qFormat/>
    <w:pPr>
      <w:ind w:left="840"/>
      <w:jc w:val="left"/>
    </w:pPr>
    <w:rPr>
      <w:szCs w:val="21"/>
    </w:rPr>
  </w:style>
  <w:style w:type="paragraph" w:styleId="1005" w:customStyle="1">
    <w:name w:val="目录 31"/>
    <w:basedOn w:val="768"/>
    <w:next w:val="768"/>
    <w:uiPriority w:val="0"/>
    <w:semiHidden/>
    <w:qFormat/>
    <w:pPr>
      <w:ind w:left="420"/>
      <w:jc w:val="left"/>
    </w:pPr>
    <w:rPr>
      <w:i/>
      <w:iCs/>
      <w:szCs w:val="24"/>
    </w:rPr>
  </w:style>
  <w:style w:type="character" w:styleId="1006" w:customStyle="1">
    <w:name w:val="纯文本 字符"/>
    <w:basedOn w:val="778"/>
    <w:link w:val="794"/>
    <w:uiPriority w:val="0"/>
    <w:qFormat/>
    <w:rPr>
      <w:rFonts w:ascii="宋体" w:hAnsi="Courier New" w:eastAsia="宋体" w:cs="Courier New"/>
      <w:szCs w:val="21"/>
      <w14:ligatures w14:val="none"/>
    </w:rPr>
  </w:style>
  <w:style w:type="paragraph" w:styleId="1007" w:customStyle="1">
    <w:name w:val="目录 81"/>
    <w:basedOn w:val="768"/>
    <w:next w:val="768"/>
    <w:uiPriority w:val="0"/>
    <w:semiHidden/>
    <w:qFormat/>
    <w:pPr>
      <w:ind w:left="1470"/>
      <w:jc w:val="left"/>
    </w:pPr>
    <w:rPr>
      <w:szCs w:val="21"/>
    </w:rPr>
  </w:style>
  <w:style w:type="character" w:styleId="1008" w:customStyle="1">
    <w:name w:val="日期 字符"/>
    <w:basedOn w:val="778"/>
    <w:link w:val="796"/>
    <w:uiPriority w:val="0"/>
    <w:qFormat/>
    <w:rPr>
      <w:rFonts w:ascii="Times New Roman" w:hAnsi="Times New Roman" w:eastAsia="宋体" w:cs="Times New Roman"/>
      <w:sz w:val="24"/>
      <w:szCs w:val="24"/>
      <w14:ligatures w14:val="none"/>
    </w:rPr>
  </w:style>
  <w:style w:type="character" w:styleId="1009" w:customStyle="1">
    <w:name w:val="正文文本缩进 2 字符"/>
    <w:basedOn w:val="778"/>
    <w:link w:val="797"/>
    <w:uiPriority w:val="0"/>
    <w:qFormat/>
    <w:rPr>
      <w:rFonts w:ascii="Arial" w:hAnsi="Arial" w:eastAsia="仿宋_GB2312" w:cs="Arial"/>
      <w:sz w:val="32"/>
      <w:szCs w:val="32"/>
      <w14:ligatures w14:val="none"/>
    </w:rPr>
  </w:style>
  <w:style w:type="character" w:styleId="1010" w:customStyle="1">
    <w:name w:val="批注框文本 字符"/>
    <w:basedOn w:val="778"/>
    <w:link w:val="799"/>
    <w:uiPriority w:val="0"/>
    <w:semiHidden/>
    <w:qFormat/>
    <w:rPr>
      <w:rFonts w:ascii="Times New Roman" w:hAnsi="Times New Roman" w:eastAsia="宋体" w:cs="Times New Roman"/>
      <w:sz w:val="18"/>
      <w:szCs w:val="18"/>
      <w14:ligatures w14:val="none"/>
    </w:rPr>
  </w:style>
  <w:style w:type="paragraph" w:styleId="1011" w:customStyle="1">
    <w:name w:val="目录 11"/>
    <w:basedOn w:val="768"/>
    <w:next w:val="768"/>
    <w:uiPriority w:val="0"/>
    <w:semiHidden/>
    <w:qFormat/>
    <w:pPr>
      <w:jc w:val="left"/>
      <w:spacing w:before="120" w:after="120" w:line="400" w:lineRule="exact"/>
      <w:tabs>
        <w:tab w:val="right" w:pos="8720" w:leader="dot"/>
      </w:tabs>
    </w:pPr>
    <w:rPr>
      <w:rFonts w:ascii="宋体" w:hAnsi="宋体"/>
      <w:caps/>
      <w:sz w:val="24"/>
      <w:szCs w:val="24"/>
    </w:rPr>
  </w:style>
  <w:style w:type="paragraph" w:styleId="1012" w:customStyle="1">
    <w:name w:val="目录 41"/>
    <w:basedOn w:val="768"/>
    <w:next w:val="768"/>
    <w:uiPriority w:val="0"/>
    <w:semiHidden/>
    <w:qFormat/>
    <w:pPr>
      <w:ind w:left="630"/>
      <w:jc w:val="left"/>
    </w:pPr>
    <w:rPr>
      <w:szCs w:val="21"/>
    </w:rPr>
  </w:style>
  <w:style w:type="paragraph" w:styleId="1013" w:customStyle="1">
    <w:name w:val="目录 61"/>
    <w:basedOn w:val="768"/>
    <w:next w:val="768"/>
    <w:uiPriority w:val="0"/>
    <w:semiHidden/>
    <w:qFormat/>
    <w:pPr>
      <w:ind w:left="1050"/>
      <w:jc w:val="left"/>
    </w:pPr>
    <w:rPr>
      <w:szCs w:val="21"/>
    </w:rPr>
  </w:style>
  <w:style w:type="character" w:styleId="1014" w:customStyle="1">
    <w:name w:val="正文文本缩进 3 字符"/>
    <w:basedOn w:val="778"/>
    <w:link w:val="808"/>
    <w:uiPriority w:val="0"/>
    <w:qFormat/>
    <w:rPr>
      <w:rFonts w:ascii="Arial" w:hAnsi="Arial" w:eastAsia="仿宋_GB2312" w:cs="Arial"/>
      <w:color w:val="ffff00"/>
      <w:sz w:val="32"/>
      <w:szCs w:val="32"/>
      <w14:ligatures w14:val="none"/>
    </w:rPr>
  </w:style>
  <w:style w:type="paragraph" w:styleId="1015" w:customStyle="1">
    <w:name w:val="目录 21"/>
    <w:basedOn w:val="768"/>
    <w:next w:val="768"/>
    <w:uiPriority w:val="0"/>
    <w:semiHidden/>
    <w:qFormat/>
    <w:pPr>
      <w:ind w:left="210"/>
      <w:jc w:val="left"/>
    </w:pPr>
    <w:rPr>
      <w:smallCaps/>
      <w:szCs w:val="24"/>
    </w:rPr>
  </w:style>
  <w:style w:type="paragraph" w:styleId="1016" w:customStyle="1">
    <w:name w:val="目录 91"/>
    <w:basedOn w:val="768"/>
    <w:next w:val="768"/>
    <w:uiPriority w:val="0"/>
    <w:semiHidden/>
    <w:qFormat/>
    <w:pPr>
      <w:ind w:left="1680"/>
      <w:jc w:val="left"/>
    </w:pPr>
    <w:rPr>
      <w:szCs w:val="21"/>
    </w:rPr>
  </w:style>
  <w:style w:type="character" w:styleId="1017" w:customStyle="1">
    <w:name w:val="正文文本 2 字符"/>
    <w:basedOn w:val="778"/>
    <w:link w:val="812"/>
    <w:uiPriority w:val="0"/>
    <w:qFormat/>
    <w:rPr>
      <w:rFonts w:ascii="楷体_GB2312" w:hAnsi="Times New Roman" w:eastAsia="楷体_GB2312" w:cs="Times New Roman"/>
      <w:sz w:val="28"/>
      <w:szCs w:val="28"/>
      <w14:ligatures w14:val="none"/>
    </w:rPr>
  </w:style>
  <w:style w:type="character" w:styleId="1018" w:customStyle="1">
    <w:name w:val="批注主题 字符"/>
    <w:basedOn w:val="1000"/>
    <w:link w:val="816"/>
    <w:uiPriority w:val="0"/>
    <w:semiHidden/>
    <w:qFormat/>
    <w:rPr>
      <w:rFonts w:ascii="Times New Roman" w:hAnsi="Times New Roman" w:eastAsia="宋体" w:cs="Times New Roman"/>
      <w:b/>
      <w:bCs/>
      <w:szCs w:val="21"/>
      <w14:ligatures w14:val="none"/>
    </w:rPr>
  </w:style>
  <w:style w:type="paragraph" w:styleId="1019" w:customStyle="1">
    <w:name w:val="正文首行缩进1"/>
    <w:basedOn w:val="768"/>
    <w:link w:val="1020"/>
    <w:uiPriority w:val="0"/>
    <w:qFormat/>
    <w:pPr>
      <w:ind w:firstLine="200"/>
      <w:spacing w:line="360" w:lineRule="auto"/>
    </w:pPr>
    <w:rPr>
      <w:rFonts w:ascii="仿宋_GB2312" w:eastAsia="仿宋_GB2312"/>
      <w:sz w:val="30"/>
      <w:szCs w:val="30"/>
    </w:rPr>
  </w:style>
  <w:style w:type="character" w:styleId="1020" w:customStyle="1">
    <w:name w:val="正文首行缩进 Char"/>
    <w:link w:val="1019"/>
    <w:uiPriority w:val="0"/>
    <w:qFormat/>
    <w:rPr>
      <w:rFonts w:ascii="仿宋_GB2312" w:hAnsi="Times New Roman" w:eastAsia="仿宋_GB2312" w:cs="Times New Roman"/>
      <w:sz w:val="30"/>
      <w:szCs w:val="30"/>
      <w14:ligatures w14:val="none"/>
    </w:rPr>
  </w:style>
  <w:style w:type="character" w:styleId="1021" w:customStyle="1">
    <w:name w:val="已访问的超链接1"/>
    <w:uiPriority w:val="0"/>
    <w:qFormat/>
    <w:rPr>
      <w:color w:val="800080"/>
      <w:u w:val="single"/>
    </w:rPr>
  </w:style>
  <w:style w:type="paragraph" w:styleId="1022" w:customStyle="1">
    <w:name w:val="索引 41"/>
    <w:basedOn w:val="768"/>
    <w:next w:val="768"/>
    <w:uiPriority w:val="0"/>
    <w:semiHidden/>
    <w:qFormat/>
    <w:pPr>
      <w:ind w:left="1260"/>
    </w:pPr>
    <w:rPr>
      <w:rFonts w:ascii="Calibri" w:hAnsi="Calibri" w:eastAsia="Calibri" w:cs="宋体"/>
      <w:sz w:val="20"/>
      <w:lang w:val="zh-CN"/>
    </w:rPr>
  </w:style>
  <w:style w:type="character" w:styleId="1023" w:customStyle="1">
    <w:name w:val="font5 Char"/>
    <w:uiPriority w:val="0"/>
    <w:qFormat/>
    <w:rPr>
      <w:rFonts w:ascii="宋体" w:hAnsi="宋体" w:eastAsia="宋体"/>
      <w:sz w:val="28"/>
      <w:szCs w:val="28"/>
      <w:lang w:val="en-US" w:eastAsia="zh-CN" w:bidi="ar-SA"/>
    </w:rPr>
  </w:style>
  <w:style w:type="character" w:styleId="1024" w:customStyle="1">
    <w:name w:val="二级目录 Char"/>
    <w:link w:val="1025"/>
    <w:uiPriority w:val="0"/>
    <w:qFormat/>
    <w:rPr>
      <w:b/>
      <w:sz w:val="30"/>
      <w:szCs w:val="28"/>
    </w:rPr>
  </w:style>
  <w:style w:type="paragraph" w:styleId="1025" w:customStyle="1">
    <w:name w:val="二级目录"/>
    <w:next w:val="768"/>
    <w:link w:val="1024"/>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768"/>
    <w:link w:val="1026"/>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8" w:customStyle="1">
    <w:name w:val="Body Text(ch)"/>
    <w:basedOn w:val="768"/>
    <w:next w:val="790"/>
    <w:uiPriority w:val="0"/>
    <w:qFormat/>
    <w:pPr>
      <w:spacing w:after="120"/>
    </w:pPr>
    <w:rPr>
      <w:rFonts w:ascii="宋体" w:hAnsi="Arial"/>
      <w:bCs/>
      <w:iCs/>
      <w:szCs w:val="24"/>
    </w:rPr>
  </w:style>
  <w:style w:type="paragraph" w:styleId="1029"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Char"/>
    <w:basedOn w:val="768"/>
    <w:uiPriority w:val="0"/>
    <w:qFormat/>
    <w:pPr>
      <w:ind w:firstLine="200"/>
      <w:tabs>
        <w:tab w:val="left" w:pos="360" w:leader="none"/>
      </w:tabs>
    </w:pPr>
    <w:rPr>
      <w:sz w:val="28"/>
      <w:szCs w:val="30"/>
    </w:rPr>
  </w:style>
  <w:style w:type="paragraph" w:styleId="1032" w:customStyle="1">
    <w:name w:val="Char1"/>
    <w:basedOn w:val="787"/>
    <w:uiPriority w:val="0"/>
    <w:qFormat/>
    <w:rPr>
      <w:rFonts w:ascii="Tahoma" w:hAnsi="Tahoma"/>
      <w:sz w:val="24"/>
      <w:szCs w:val="24"/>
    </w:rPr>
  </w:style>
  <w:style w:type="paragraph" w:styleId="1033"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34" w:customStyle="1">
    <w:name w:val="table_lines"/>
    <w:basedOn w:val="768"/>
    <w:uiPriority w:val="0"/>
    <w:qFormat/>
    <w:pPr>
      <w:jc w:val="left"/>
      <w:widowControl/>
    </w:pPr>
    <w:rPr>
      <w:sz w:val="20"/>
      <w:szCs w:val="20"/>
      <w:lang w:val="de-DE" w:eastAsia="de-DE"/>
    </w:rPr>
  </w:style>
  <w:style w:type="paragraph" w:styleId="103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6"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Char Char Char Char"/>
    <w:basedOn w:val="787"/>
    <w:uiPriority w:val="0"/>
    <w:qFormat/>
    <w:pPr>
      <w:spacing w:line="360" w:lineRule="auto"/>
    </w:pPr>
    <w:rPr>
      <w:rFonts w:ascii="Tahoma" w:hAnsi="Tahoma"/>
      <w:sz w:val="24"/>
      <w:szCs w:val="24"/>
    </w:rPr>
  </w:style>
  <w:style w:type="paragraph" w:styleId="1038" w:customStyle="1">
    <w:name w:val="列出段落"/>
    <w:basedOn w:val="768"/>
    <w:uiPriority w:val="0"/>
    <w:qFormat/>
    <w:pPr>
      <w:contextualSpacing/>
      <w:ind w:left="720"/>
      <w:jc w:val="left"/>
      <w:widowControl/>
    </w:pPr>
    <w:rPr>
      <w:rFonts w:ascii="Calibri" w:hAnsi="Calibri"/>
      <w:sz w:val="24"/>
      <w:szCs w:val="24"/>
      <w:lang w:eastAsia="en-US" w:bidi="en-US"/>
    </w:rPr>
  </w:style>
  <w:style w:type="paragraph" w:styleId="1039" w:customStyle="1">
    <w:name w:val="4"/>
    <w:basedOn w:val="768"/>
    <w:next w:val="808"/>
    <w:uiPriority w:val="0"/>
    <w:qFormat/>
    <w:pPr>
      <w:ind w:firstLine="420"/>
      <w:spacing w:line="360" w:lineRule="auto"/>
    </w:pPr>
    <w:rPr>
      <w:color w:val="ff0000"/>
      <w:sz w:val="24"/>
      <w:szCs w:val="24"/>
    </w:rPr>
  </w:style>
  <w:style w:type="paragraph" w:styleId="1040"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68"/>
    <w:uiPriority w:val="0"/>
    <w:qFormat/>
    <w:pPr>
      <w:spacing w:line="360" w:lineRule="auto"/>
    </w:pPr>
    <w:rPr>
      <w:sz w:val="24"/>
      <w:szCs w:val="20"/>
    </w:rPr>
  </w:style>
  <w:style w:type="paragraph" w:styleId="1042" w:customStyle="1">
    <w:name w:val="样式1"/>
    <w:basedOn w:val="768"/>
    <w:uiPriority w:val="0"/>
    <w:qFormat/>
    <w:pPr>
      <w:numPr>
        <w:ilvl w:val="0"/>
        <w:numId w:val="2"/>
      </w:numPr>
    </w:pPr>
    <w:rPr>
      <w:rFonts w:ascii="宋体" w:hAnsi="宋体"/>
      <w:szCs w:val="21"/>
    </w:rPr>
  </w:style>
  <w:style w:type="paragraph" w:styleId="1043"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47"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50"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1" w:customStyle="1">
    <w:name w:val="Char Char Char Char Char Char Char Char1"/>
    <w:basedOn w:val="768"/>
    <w:uiPriority w:val="0"/>
    <w:qFormat/>
    <w:pPr>
      <w:jc w:val="left"/>
      <w:spacing w:after="160" w:line="240" w:lineRule="exact"/>
      <w:widowControl/>
    </w:pPr>
    <w:rPr>
      <w:rFonts w:ascii="Verdana" w:hAnsi="Verdana"/>
      <w:sz w:val="20"/>
      <w:szCs w:val="20"/>
      <w:lang w:eastAsia="en-US"/>
    </w:rPr>
  </w:style>
  <w:style w:type="paragraph" w:styleId="1052"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787"/>
    <w:uiPriority w:val="0"/>
    <w:qFormat/>
    <w:pPr>
      <w:spacing w:line="360" w:lineRule="auto"/>
    </w:pPr>
    <w:rPr>
      <w:rFonts w:ascii="Tahoma" w:hAnsi="Tahoma"/>
      <w:sz w:val="24"/>
      <w:szCs w:val="24"/>
    </w:rPr>
  </w:style>
  <w:style w:type="paragraph" w:styleId="1054" w:customStyle="1">
    <w:name w:val="table_1stline"/>
    <w:basedOn w:val="768"/>
    <w:uiPriority w:val="0"/>
    <w:qFormat/>
    <w:pPr>
      <w:jc w:val="left"/>
      <w:spacing w:before="120"/>
      <w:widowControl/>
    </w:pPr>
    <w:rPr>
      <w:bCs/>
      <w:sz w:val="20"/>
      <w:szCs w:val="20"/>
      <w:lang w:val="de-DE" w:eastAsia="de-DE"/>
    </w:rPr>
  </w:style>
  <w:style w:type="paragraph" w:styleId="1055"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99"/>
    <w:semiHidden/>
    <w:qFormat/>
    <w:rPr>
      <w:rFonts w:ascii="Times New Roman" w:hAnsi="Times New Roman" w:eastAsia="宋体" w:cs="Times New Roman"/>
      <w:sz w:val="21"/>
      <w:szCs w:val="21"/>
      <w:lang w:val="en-US" w:eastAsia="zh-CN" w:bidi="ar-SA"/>
    </w:rPr>
  </w:style>
  <w:style w:type="table" w:styleId="1058" w:customStyle="1">
    <w:name w:val="Table Normal"/>
    <w:uiPriority w:val="2"/>
    <w:qFormat/>
    <w:tblPr>
      <w:tblCellMar>
        <w:left w:w="0" w:type="dxa"/>
        <w:top w:w="0" w:type="dxa"/>
        <w:right w:w="0" w:type="dxa"/>
        <w:bottom w:w="0" w:type="dxa"/>
      </w:tblCellMar>
    </w:tblPr>
  </w:style>
  <w:style w:type="paragraph" w:styleId="1059" w:customStyle="1">
    <w:name w:val="正文文本12"/>
    <w:basedOn w:val="768"/>
    <w:uiPriority w:val="1"/>
    <w:qFormat/>
    <w:pPr>
      <w:ind w:left="120"/>
    </w:pPr>
    <w:rPr>
      <w:rFonts w:ascii="宋体" w:hAnsi="宋体" w:cs="宋体"/>
      <w:szCs w:val="21"/>
      <w:lang w:val="zh-CN" w:bidi="zh-CN"/>
    </w:rPr>
  </w:style>
  <w:style w:type="paragraph" w:styleId="1060" w:customStyle="1">
    <w:name w:val="正文文本 211"/>
    <w:basedOn w:val="768"/>
    <w:uiPriority w:val="99"/>
    <w:qFormat/>
    <w:pPr>
      <w:jc w:val="center"/>
    </w:pPr>
    <w:rPr>
      <w:b/>
      <w:bCs/>
      <w:sz w:val="20"/>
      <w:szCs w:val="20"/>
    </w:rPr>
  </w:style>
  <w:style w:type="paragraph" w:styleId="1061" w:customStyle="1">
    <w:name w:val="正文文本1"/>
    <w:basedOn w:val="768"/>
    <w:next w:val="768"/>
    <w:uiPriority w:val="0"/>
    <w:semiHidden/>
    <w:qFormat/>
    <w:rPr>
      <w:rFonts w:ascii="Arial" w:hAnsi="Arial" w:eastAsia="Arial" w:cs="Arial"/>
      <w:szCs w:val="21"/>
      <w:lang w:eastAsia="en-US"/>
    </w:rPr>
  </w:style>
  <w:style w:type="paragraph" w:styleId="1062" w:customStyle="1">
    <w:name w:val="Table Paragraph"/>
    <w:basedOn w:val="768"/>
    <w:uiPriority w:val="1"/>
    <w:qFormat/>
    <w:pPr>
      <w:jc w:val="left"/>
    </w:pPr>
    <w:rPr>
      <w:rFonts w:ascii="宋体" w:hAnsi="宋体" w:cs="宋体"/>
      <w:sz w:val="22"/>
      <w:lang w:val="zh-CN" w:bidi="zh-CN"/>
    </w:rPr>
  </w:style>
  <w:style w:type="table" w:styleId="1063" w:customStyle="1">
    <w:name w:val="网格型1"/>
    <w:basedOn w:val="1064"/>
    <w:uiPriority w:val="0"/>
    <w:qFormat/>
    <w:pPr>
      <w:jc w:val="both"/>
      <w:widowControl w:val="off"/>
    </w:pPr>
    <w:tblPr/>
  </w:style>
  <w:style w:type="table" w:styleId="1064" w:customStyle="1">
    <w:name w:val="普通表格1"/>
    <w:uiPriority w:val="99"/>
    <w:unhideWhenUsed/>
    <w:qFormat/>
    <w:tblPr>
      <w:tblCellMar>
        <w:left w:w="0" w:type="dxa"/>
        <w:top w:w="0" w:type="dxa"/>
        <w:right w:w="0" w:type="dxa"/>
        <w:bottom w:w="0" w:type="dxa"/>
      </w:tblCellMar>
    </w:tblPr>
  </w:style>
  <w:style w:type="paragraph" w:styleId="1065" w:customStyle="1">
    <w:name w:val="正文文本缩进1"/>
    <w:basedOn w:val="768"/>
    <w:next w:val="780"/>
    <w:uiPriority w:val="0"/>
    <w:unhideWhenUsed/>
    <w:qFormat/>
    <w:pPr>
      <w:ind w:left="420"/>
      <w:spacing w:after="120"/>
    </w:pPr>
  </w:style>
  <w:style w:type="character" w:styleId="1066" w:customStyle="1">
    <w:name w:val="正文文本首行缩进 2 字符"/>
    <w:basedOn w:val="995"/>
    <w:link w:val="780"/>
    <w:uiPriority w:val="99"/>
    <w:qFormat/>
    <w:rPr>
      <w:rFonts w:ascii="宋体" w:hAnsi="宋体" w:eastAsia="宋体" w:cs="Times New Roman"/>
      <w:sz w:val="20"/>
      <w:szCs w:val="20"/>
      <w:lang w:eastAsia="en-US"/>
      <w14:ligatures w14:val="none"/>
    </w:rPr>
  </w:style>
  <w:style w:type="table" w:styleId="1067" w:customStyle="1">
    <w:name w:val="Table Normal_0"/>
    <w:uiPriority w:val="0"/>
    <w:qFormat/>
    <w:tblPr>
      <w:tblCellMar>
        <w:left w:w="0" w:type="dxa"/>
        <w:top w:w="0" w:type="dxa"/>
        <w:right w:w="0" w:type="dxa"/>
        <w:bottom w:w="0" w:type="dxa"/>
      </w:tblCellMar>
    </w:tblPr>
  </w:style>
  <w:style w:type="paragraph" w:styleId="1068" w:customStyle="1">
    <w:name w:val="纯文本1"/>
    <w:basedOn w:val="768"/>
    <w:uiPriority w:val="0"/>
    <w:qFormat/>
    <w:rPr>
      <w:rFonts w:ascii="宋体" w:hAnsi="Courier New" w:cs="Courier New"/>
      <w:szCs w:val="21"/>
    </w:rPr>
  </w:style>
  <w:style w:type="paragraph" w:styleId="1069" w:customStyle="1">
    <w:name w:val="正文首行缩进 21"/>
    <w:basedOn w:val="1070"/>
    <w:next w:val="768"/>
    <w:uiPriority w:val="0"/>
    <w:qFormat/>
    <w:pPr>
      <w:ind w:left="0" w:firstLine="420"/>
      <w:spacing w:after="0" w:line="360" w:lineRule="auto"/>
    </w:pPr>
    <w:rPr>
      <w:rFonts w:ascii="宋体" w:hAnsi="宋体"/>
      <w:szCs w:val="20"/>
    </w:rPr>
  </w:style>
  <w:style w:type="paragraph" w:styleId="1070" w:customStyle="1">
    <w:name w:val="正文文本缩进11"/>
    <w:basedOn w:val="768"/>
    <w:next w:val="1071"/>
    <w:uiPriority w:val="0"/>
    <w:unhideWhenUsed/>
    <w:qFormat/>
    <w:pPr>
      <w:ind w:left="420"/>
      <w:spacing w:after="120"/>
    </w:pPr>
  </w:style>
  <w:style w:type="paragraph" w:styleId="1071" w:customStyle="1">
    <w:name w:val="寄信人地址1"/>
    <w:basedOn w:val="768"/>
    <w:uiPriority w:val="0"/>
    <w:qFormat/>
    <w:rPr>
      <w:rFonts w:ascii="Arial" w:hAnsi="Arial" w:cs="宋体"/>
    </w:rPr>
  </w:style>
  <w:style w:type="character" w:styleId="1072" w:customStyle="1">
    <w:name w:val="font31"/>
    <w:uiPriority w:val="0"/>
    <w:qFormat/>
    <w:rPr>
      <w:rFonts w:hint="eastAsia" w:ascii="宋体" w:hAnsi="宋体" w:eastAsia="宋体" w:cs="宋体"/>
      <w:color w:val="000000"/>
      <w:sz w:val="22"/>
      <w:szCs w:val="22"/>
      <w:u w:val="none"/>
    </w:rPr>
  </w:style>
  <w:style w:type="paragraph" w:styleId="1073" w:customStyle="1">
    <w:name w:val="msonormal"/>
    <w:basedOn w:val="768"/>
    <w:uiPriority w:val="0"/>
    <w:pPr>
      <w:jc w:val="left"/>
      <w:spacing w:before="100" w:beforeAutospacing="1" w:after="100" w:afterAutospacing="1"/>
      <w:widowControl/>
    </w:pPr>
    <w:rPr>
      <w:rFonts w:ascii="宋体" w:hAnsi="宋体" w:cs="宋体"/>
      <w:sz w:val="24"/>
      <w:szCs w:val="24"/>
    </w:rPr>
  </w:style>
  <w:style w:type="paragraph" w:styleId="1074" w:customStyle="1">
    <w:name w:val="xl64"/>
    <w:basedOn w:val="768"/>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5" w:customStyle="1">
    <w:name w:val="xl65"/>
    <w:basedOn w:val="768"/>
    <w:uiPriority w:val="0"/>
    <w:pPr>
      <w:jc w:val="center"/>
      <w:spacing w:before="100" w:beforeAutospacing="1" w:after="100" w:afterAutospacing="1"/>
      <w:widowControl/>
    </w:pPr>
    <w:rPr>
      <w:rFonts w:ascii="宋体" w:hAnsi="宋体" w:cs="宋体"/>
      <w:sz w:val="24"/>
      <w:szCs w:val="24"/>
    </w:rPr>
  </w:style>
  <w:style w:type="paragraph" w:styleId="1076" w:customStyle="1">
    <w:name w:val="xl66"/>
    <w:basedOn w:val="768"/>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77" w:customStyle="1">
    <w:name w:val="xl67"/>
    <w:basedOn w:val="768"/>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8" w:customStyle="1">
    <w:name w:val="xl68"/>
    <w:basedOn w:val="768"/>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9" w:customStyle="1">
    <w:name w:val="xl69"/>
    <w:basedOn w:val="768"/>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0" w:customStyle="1">
    <w:name w:val="xl70"/>
    <w:basedOn w:val="768"/>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81" w:customStyle="1">
    <w:name w:val="xl71"/>
    <w:basedOn w:val="768"/>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2" w:customStyle="1">
    <w:name w:val="xl72"/>
    <w:basedOn w:val="768"/>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3" w:customStyle="1">
    <w:name w:val="xl73"/>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84" w:customStyle="1">
    <w:name w:val="xl74"/>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5" w:customStyle="1">
    <w:name w:val="xl75"/>
    <w:basedOn w:val="7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76"/>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7" w:customStyle="1">
    <w:name w:val="xl77"/>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88" w:customStyle="1">
    <w:name w:val="TOC Heading"/>
    <w:basedOn w:val="769"/>
    <w:next w:val="768"/>
    <w:uiPriority w:val="39"/>
    <w:unhideWhenUsed/>
    <w:qFormat/>
    <w:pPr>
      <w:jc w:val="left"/>
      <w:spacing w:before="240" w:after="0" w:line="259" w:lineRule="auto"/>
      <w:widowControl/>
      <w:outlineLvl w:val="9"/>
    </w:pPr>
    <w:rPr>
      <w:sz w:val="32"/>
      <w:szCs w:val="32"/>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E53D5E-2A3B-431C-9998-1C7B5D28FAC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厉薇</cp:lastModifiedBy>
  <cp:revision>42</cp:revision>
  <dcterms:created xsi:type="dcterms:W3CDTF">2026-06-18T01:28:00Z</dcterms:created>
  <dcterms:modified xsi:type="dcterms:W3CDTF">2026-07-29T06:19:54Z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2052-12.1.0.26895</vt:lpwstr>
  </property>
  <property fmtid="{D5CDD505-2E9C-101B-9397-08002B2CF9AE}" pid="4" name="ICV">
    <vt:lpwstr>FA8C25F0F42D4C8088365E7EFA8F33B2_12</vt:lpwstr>
  </property>
</Properties>
</file>