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spacing w:line="360" w:lineRule="auto"/>
        <w:rPr>
          <w:rFonts w:hAnsi="宋体" w:eastAsia="宋体" w:cs="宋体"/>
          <w:color w:val="auto"/>
          <w:highlight w:val="none"/>
        </w:rPr>
      </w:pPr>
      <w:r>
        <w:rPr>
          <w:rFonts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rPr>
          <w:rFonts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29"/>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29"/>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960"/>
        <w:spacing w:line="360" w:lineRule="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项目编号：</w:t>
      </w:r>
      <w:r>
        <w:rPr>
          <w:rFonts w:hint="eastAsia" w:ascii="宋体" w:hAnsi="宋体" w:eastAsia="宋体" w:cs="宋体"/>
          <w:color w:val="auto"/>
          <w:sz w:val="32"/>
          <w:szCs w:val="32"/>
          <w:highlight w:val="none"/>
          <w:lang w:eastAsia="zh-CN"/>
        </w:rPr>
        <w:t xml:space="preserve">JSZC-320500-SZZJ-G2026-0024</w:t>
      </w:r>
      <w:r/>
    </w:p>
    <w:p>
      <w:pPr>
        <w:ind w:firstLine="960"/>
        <w:spacing w:line="360" w:lineRule="auto"/>
        <w:tabs>
          <w:tab w:val="left" w:pos="1744" w:leader="none"/>
        </w:tabs>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采 购 人：</w:t>
      </w:r>
      <w:r>
        <w:rPr>
          <w:rFonts w:hint="eastAsia" w:ascii="宋体" w:hAnsi="宋体" w:eastAsia="宋体" w:cs="宋体"/>
          <w:bCs/>
          <w:color w:val="auto"/>
          <w:sz w:val="32"/>
          <w:highlight w:val="none"/>
          <w:lang w:eastAsia="zh-CN"/>
        </w:rPr>
        <w:t xml:space="preserve">苏州丝绸博物馆</w:t>
      </w:r>
      <w:r/>
    </w:p>
    <w:p>
      <w:pPr>
        <w:ind w:firstLine="960"/>
        <w:jc w:val="both"/>
        <w:spacing w:line="360" w:lineRule="auto"/>
        <w:rPr>
          <w:rFonts w:hint="default" w:ascii="宋体" w:hAnsi="宋体" w:eastAsia="宋体" w:cs="宋体"/>
          <w:bCs/>
          <w:color w:val="auto"/>
          <w:sz w:val="32"/>
          <w:highlight w:val="none"/>
          <w:lang w:val="en-US" w:eastAsia="zh-CN"/>
        </w:rPr>
      </w:pPr>
      <w:r>
        <w:rPr>
          <w:rFonts w:hint="eastAsia" w:ascii="宋体" w:hAnsi="宋体" w:eastAsia="宋体" w:cs="宋体"/>
          <w:bCs/>
          <w:color w:val="auto"/>
          <w:sz w:val="32"/>
          <w:highlight w:val="none"/>
        </w:rPr>
        <w:t xml:space="preserve">项目名称：</w:t>
      </w:r>
      <w:r>
        <w:rPr>
          <w:rFonts w:hint="eastAsia" w:ascii="宋体" w:hAnsi="宋体" w:eastAsia="宋体" w:cs="宋体"/>
          <w:bCs/>
          <w:color w:val="auto"/>
          <w:sz w:val="32"/>
          <w:highlight w:val="none"/>
          <w:lang w:eastAsia="zh-CN"/>
        </w:rPr>
        <w:t xml:space="preserve">苏州丝绸博物馆可移动文物预防性保护项目</w:t>
      </w:r>
      <w:r/>
    </w:p>
    <w:p>
      <w:pPr>
        <w:ind w:firstLine="960"/>
        <w:jc w:val="left"/>
        <w:spacing w:line="360" w:lineRule="auto"/>
        <w:rPr>
          <w:rFonts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项目类别：服务类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29"/>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rPr>
          <w:rFonts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32"/>
          <w:highlight w:val="none"/>
        </w:rPr>
        <w:t xml:space="preserve">二○二六年</w:t>
      </w:r>
      <w:r>
        <w:rPr>
          <w:rFonts w:hint="eastAsia" w:ascii="宋体" w:hAnsi="宋体" w:eastAsia="宋体" w:cs="宋体"/>
          <w:color w:val="auto"/>
          <w:sz w:val="32"/>
          <w:highlight w:val="none"/>
        </w:rPr>
        <w:t xml:space="preserve">七月</w:t>
      </w:r>
      <w:r/>
    </w:p>
    <w:p>
      <w:pPr>
        <w:pStyle w:val="921"/>
        <w:ind w:firstLine="0"/>
        <w:jc w:val="center"/>
        <w:spacing w:line="360" w:lineRule="auto"/>
        <w:rPr>
          <w:rFonts w:ascii="宋体" w:hAnsi="宋体" w:eastAsia="宋体" w:cs="宋体"/>
          <w:color w:val="auto"/>
          <w:sz w:val="52"/>
          <w:highlight w:val="none"/>
        </w:rPr>
      </w:pPr>
      <w:r>
        <w:rPr>
          <w:rFonts w:ascii="宋体" w:hAnsi="宋体" w:eastAsia="宋体" w:cs="宋体"/>
          <w:color w:val="auto"/>
          <w:sz w:val="52"/>
          <w:highlight w:val="none"/>
        </w:rPr>
      </w:r>
      <w:r/>
    </w:p>
    <w:p>
      <w:pPr>
        <w:pStyle w:val="921"/>
        <w:ind w:firstLine="0"/>
        <w:jc w:val="center"/>
        <w:spacing w:line="360" w:lineRule="auto"/>
        <w:rPr>
          <w:rFonts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21"/>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921"/>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投标邀请函........................................</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采购需求..........................................</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合同主要条款......................................</w:t>
      </w:r>
      <w:r/>
    </w:p>
    <w:p>
      <w:pPr>
        <w:spacing w:line="360" w:lineRule="auto"/>
        <w:widowControl/>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评分方法和评分标准................................</w:t>
      </w:r>
      <w:r/>
    </w:p>
    <w:p>
      <w:pPr>
        <w:pStyle w:val="921"/>
        <w:ind w:firstLine="0"/>
        <w:jc w:val="center"/>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0"/>
          <w:szCs w:val="30"/>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color w:val="auto"/>
          <w:sz w:val="30"/>
          <w:szCs w:val="30"/>
          <w:highlight w:val="none"/>
        </w:rPr>
      </w:r>
      <w:r/>
    </w:p>
    <w:p>
      <w:pPr>
        <w:jc w:val="center"/>
        <w:spacing w:line="360" w:lineRule="auto"/>
        <w:widowControl/>
        <w:rPr>
          <w:rFonts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苏州丝绸博物馆</w:t>
      </w:r>
      <w:r>
        <w:rPr>
          <w:rFonts w:hint="eastAsia" w:ascii="宋体" w:hAnsi="宋体" w:eastAsia="宋体" w:cs="宋体"/>
          <w:color w:val="auto"/>
          <w:sz w:val="24"/>
          <w:szCs w:val="24"/>
          <w:highlight w:val="none"/>
        </w:rPr>
        <w:t xml:space="preserve">的委托，就其所需的</w:t>
      </w:r>
      <w:r>
        <w:rPr>
          <w:rFonts w:hint="eastAsia" w:ascii="宋体" w:hAnsi="宋体" w:eastAsia="宋体" w:cs="宋体"/>
          <w:color w:val="auto"/>
          <w:sz w:val="24"/>
          <w:szCs w:val="24"/>
          <w:highlight w:val="none"/>
          <w:lang w:eastAsia="zh-CN"/>
        </w:rPr>
        <w:t xml:space="preserve">苏州丝绸博物馆可移动文物预防性保护</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进行公开招标，欢迎符合资格条件和具备履约能力的供应商单位前来参与。</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JSZC-320500-SZZJ-G2026-0024</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苏州丝绸博物馆可移动文物预防性保护</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2490000</w:t>
      </w:r>
      <w:r>
        <w:rPr>
          <w:rFonts w:hint="eastAsia" w:ascii="宋体" w:hAnsi="宋体" w:eastAsia="宋体" w:cs="宋体"/>
          <w:color w:val="auto"/>
          <w:sz w:val="24"/>
          <w:szCs w:val="24"/>
          <w:highlight w:val="none"/>
        </w:rPr>
        <w:t xml:space="preserve">.00元。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lang w:val="en-US" w:eastAsia="zh-CN"/>
        </w:rPr>
        <w:t xml:space="preserve">2490000</w:t>
      </w:r>
      <w:r>
        <w:rPr>
          <w:rFonts w:hint="eastAsia" w:ascii="宋体" w:hAnsi="宋体" w:eastAsia="宋体" w:cs="宋体"/>
          <w:color w:val="auto"/>
          <w:sz w:val="24"/>
          <w:szCs w:val="24"/>
          <w:highlight w:val="none"/>
        </w:rPr>
        <w:t xml:space="preserve">.00元。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w:t>
      </w:r>
      <w:r>
        <w:rPr>
          <w:rFonts w:hint="eastAsia" w:ascii="宋体" w:hAnsi="宋体" w:eastAsia="宋体" w:cs="宋体"/>
          <w:color w:val="auto"/>
          <w:sz w:val="24"/>
          <w:szCs w:val="24"/>
          <w:highlight w:val="none"/>
          <w:lang w:eastAsia="zh-CN"/>
        </w:rPr>
        <w:t xml:space="preserve">苏州丝绸博物馆可移动文物预防性保护</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2、数量：1项。</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本项目主要以提升和改善博物馆古代厅、民国街展厅文物展示和藏展环境质量为目的，通过提升文物展示设备，配置主动环境调控设备等多种调控手段进行文物保存环境调控工作，建立馆藏文物保存环境调控系统，使文物保存微环境达到比较“稳定、洁净”的状态，提升该馆馆藏文物的预防性保护的能力。</w:t>
      </w:r>
      <w:r>
        <w:rPr>
          <w:rFonts w:hint="eastAsia" w:ascii="宋体" w:hAnsi="宋体" w:eastAsia="宋体" w:cs="宋体"/>
          <w:bCs/>
          <w:color w:val="auto"/>
          <w:sz w:val="24"/>
          <w:szCs w:val="24"/>
          <w:highlight w:val="none"/>
        </w:rPr>
        <w:t xml:space="preserve">具体详见采购文件采购需求。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4、合同履行期限：</w:t>
      </w:r>
      <w:r>
        <w:rPr>
          <w:rFonts w:hint="eastAsia" w:ascii="宋体" w:hAnsi="宋体" w:eastAsia="宋体" w:cs="宋体"/>
          <w:color w:val="auto"/>
          <w:sz w:val="24"/>
          <w:szCs w:val="28"/>
          <w:highlight w:val="none"/>
          <w:lang w:eastAsia="zh-CN"/>
        </w:rPr>
        <w:t xml:space="preserve">在2026年</w:t>
      </w:r>
      <w:r>
        <w:rPr>
          <w:rFonts w:hint="eastAsia" w:ascii="宋体" w:hAnsi="宋体" w:eastAsia="宋体" w:cs="宋体"/>
          <w:color w:val="auto"/>
          <w:sz w:val="24"/>
          <w:szCs w:val="28"/>
          <w:highlight w:val="none"/>
          <w:u w:val="none"/>
          <w:lang w:val="en-US" w:eastAsia="zh-CN"/>
        </w:rPr>
        <w:t xml:space="preserve">9</w:t>
      </w:r>
      <w:r>
        <w:rPr>
          <w:rFonts w:hint="eastAsia" w:ascii="宋体" w:hAnsi="宋体" w:eastAsia="宋体" w:cs="宋体"/>
          <w:color w:val="auto"/>
          <w:sz w:val="24"/>
          <w:szCs w:val="28"/>
          <w:highlight w:val="none"/>
          <w:lang w:eastAsia="zh-CN"/>
        </w:rPr>
        <w:t xml:space="preserve">月</w:t>
      </w:r>
      <w:r>
        <w:rPr>
          <w:rFonts w:hint="eastAsia" w:ascii="宋体" w:hAnsi="宋体" w:eastAsia="宋体" w:cs="宋体"/>
          <w:color w:val="auto"/>
          <w:sz w:val="24"/>
          <w:szCs w:val="28"/>
          <w:highlight w:val="none"/>
          <w:u w:val="none"/>
          <w:lang w:val="en-US" w:eastAsia="zh-CN"/>
        </w:rPr>
        <w:t xml:space="preserve">11</w:t>
      </w:r>
      <w:r>
        <w:rPr>
          <w:rFonts w:hint="eastAsia" w:ascii="宋体" w:hAnsi="宋体" w:eastAsia="宋体" w:cs="宋体"/>
          <w:color w:val="auto"/>
          <w:sz w:val="24"/>
          <w:szCs w:val="28"/>
          <w:highlight w:val="none"/>
          <w:lang w:eastAsia="zh-CN"/>
        </w:rPr>
        <w:t xml:space="preserve">日前完成全部采购内容</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1、合格供应商的一般条件：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根据《政府采购促进中小企业发展管理办法》的相关规定，本项目专门面向中小企业，所属行业为其他未列明行业，投标人应为中小微企业、监狱企业、残疾人福利性单位。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2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2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1、时间：2026年7</w:t>
      </w:r>
      <w:r>
        <w:rPr>
          <w:rFonts w:hint="eastAsia" w:ascii="宋体" w:hAnsi="宋体" w:eastAsia="宋体" w:cs="宋体"/>
          <w:color w:val="auto"/>
          <w:sz w:val="24"/>
          <w:szCs w:val="24"/>
          <w:highlight w:val="none"/>
        </w:rPr>
        <w:t xml:space="preserve">月22</w:t>
      </w:r>
      <w:r>
        <w:rPr>
          <w:rFonts w:hint="eastAsia" w:ascii="宋体" w:hAnsi="宋体" w:eastAsia="宋体" w:cs="宋体"/>
          <w:color w:val="auto"/>
          <w:sz w:val="24"/>
          <w:szCs w:val="24"/>
          <w:highlight w:val="none"/>
        </w:rPr>
        <w:t xml:space="preserve">日13点30分（北京时间）。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color w:val="auto"/>
          <w:highlight w:val="none"/>
        </w:rPr>
        <w:fldChar w:fldCharType="begin"/>
      </w:r>
      <w:r>
        <w:rPr>
          <w:color w:val="auto"/>
          <w:highlight w:val="none"/>
        </w:rPr>
        <w:instrText xml:space="preserve"> HYPERLINK "http://jszfcg.jsczt.cn/）“开标大厅”。" </w:instrText>
      </w:r>
      <w:r>
        <w:rPr>
          <w:color w:val="auto"/>
          <w:highlight w:val="none"/>
        </w:rPr>
        <w:fldChar w:fldCharType="separate"/>
      </w:r>
      <w:r>
        <w:rPr>
          <w:rStyle w:val="971"/>
          <w:rFonts w:hint="eastAsia" w:ascii="宋体" w:hAnsi="宋体" w:eastAsia="宋体" w:cs="宋体"/>
          <w:color w:val="auto"/>
          <w:sz w:val="24"/>
          <w:szCs w:val="24"/>
          <w:highlight w:val="none"/>
        </w:rPr>
        <w:t xml:space="preserve">http：//jszfcg.jsczt.cn/）。</w:t>
      </w:r>
      <w:r>
        <w:rPr>
          <w:rStyle w:val="971"/>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3、方式：投标文件网上递交</w:t>
      </w:r>
      <w:bookmarkStart w:id="0" w:name="_Hlk90650305"/>
      <w:r/>
      <w:bookmarkEnd w:id="0"/>
      <w:r/>
      <w:bookmarkStart w:id="1" w:name="_Hlk90650417"/>
      <w:r>
        <w:rPr>
          <w:rFonts w:hint="eastAsia" w:ascii="宋体" w:hAnsi="宋体" w:eastAsia="宋体" w:cs="宋体"/>
          <w:color w:val="auto"/>
          <w:sz w:val="24"/>
          <w:szCs w:val="24"/>
          <w:highlight w:val="none"/>
        </w:rPr>
        <w:t xml:space="preserve"> ，不需要现场参加采购活动。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线上参加开标（开启）会方式：供应商登录“苏采云”系统，点击“开标大厅”，选择对应项目，点击进入不见面开标系统。 </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请供应商确保电脑、系统及其他设备（视频输入输出设备等）无误，且开启直至项目结束始终保持系统在线状态。 </w:t>
      </w:r>
      <w:bookmarkEnd w:id="1"/>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3、如不同供应商使用同一台电脑制作的电子响应文件的，双方“文件制作机器码”一致的，则其投标文件将被认定为无效响应。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5、政府采购监督电话：0512-68616651。</w:t>
      </w:r>
      <w:r/>
    </w:p>
    <w:p>
      <w:p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七、对本次招标提出询问，请按以下方式联系：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苏州丝绸博物馆</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Times New Roman"/>
          <w:color w:val="auto"/>
          <w:sz w:val="24"/>
          <w:szCs w:val="24"/>
          <w:highlight w:val="none"/>
        </w:rPr>
        <w:t xml:space="preserve">苏州市人民路2001号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w:t>
      </w:r>
      <w:r>
        <w:rPr>
          <w:rFonts w:hint="eastAsia" w:ascii="宋体" w:hAnsi="宋体" w:eastAsia="宋体" w:cs="Times New Roman"/>
          <w:color w:val="auto"/>
          <w:sz w:val="24"/>
          <w:szCs w:val="24"/>
          <w:highlight w:val="none"/>
          <w:lang w:eastAsia="zh-CN"/>
        </w:rPr>
        <w:t xml:space="preserve">0512-68132309</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Times New Roman"/>
          <w:color w:val="auto"/>
          <w:sz w:val="24"/>
          <w:szCs w:val="24"/>
          <w:highlight w:val="none"/>
        </w:rPr>
        <w:t xml:space="preserve">冯老师</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名称：苏州正杰招投标咨询服务有限公司。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联系方式：电话0512-62826523。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项目联系人：沈鹰、陈晓梦、徐杰、刘木兰。</w:t>
      </w:r>
      <w:r/>
    </w:p>
    <w:p>
      <w:pPr>
        <w:jc w:val="center"/>
        <w:spacing w:before="120" w:line="360" w:lineRule="auto"/>
        <w:rPr>
          <w:rFonts w:ascii="宋体" w:hAnsi="宋体" w:eastAsia="宋体" w:cs="宋体"/>
          <w:b/>
          <w:color w:val="auto"/>
          <w:sz w:val="24"/>
          <w:szCs w:val="24"/>
          <w:highlight w:val="none"/>
        </w:rPr>
        <w:outlineLvl w:val="0"/>
      </w:pPr>
      <w:r>
        <w:rPr>
          <w:rFonts w:hint="eastAsia" w:ascii="宋体" w:hAnsi="宋体" w:eastAsia="宋体" w:cs="宋体"/>
          <w:color w:val="auto"/>
          <w:sz w:val="24"/>
          <w:highlight w:val="none"/>
        </w:rPr>
        <w:br w:type="page" w:clear="all"/>
      </w:r>
      <w:r/>
    </w:p>
    <w:p>
      <w:pPr>
        <w:jc w:val="center"/>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1.1.1详见第一章投标邀请函中“二、申请人的资格要求”。</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26"/>
        <w:spacing w:line="360" w:lineRule="auto"/>
        <w:tabs>
          <w:tab w:val="left" w:pos="540"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numPr>
          <w:ilvl w:val="2"/>
          <w:numId w:val="0"/>
        </w:num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Cs/>
          <w:color w:val="auto"/>
          <w:sz w:val="24"/>
          <w:szCs w:val="24"/>
          <w:highlight w:val="none"/>
        </w:rPr>
        <w:t xml:space="preserve">第一章投标邀请函规定接受联合体投标的，联合体除应符合上述资格要求外，还应遵守以下规定：</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（1）联合体各方应当向采购人提交联合体协议书，载明联合体各方承担的工作和义务，否则投标无效。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（2）本项目接受联合体投标，但一个联合体最多接受两个单位进行联合投标。</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（3）联合体中有同类资质的供应商按照联合体分工承担相同工作的，应当按照资质等级较低的供应商确定资质等级。</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（4）联合体各方不得再单独参加或者与其他供应商另外组成联合体参加同一合同项下的政府采购活动，否则各相关投标均无效。</w:t>
      </w:r>
      <w:r/>
    </w:p>
    <w:p>
      <w:pPr>
        <w:ind w:firstLine="484"/>
        <w:spacing w:line="360" w:lineRule="auto"/>
        <w:tabs>
          <w:tab w:val="left" w:pos="851"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（5）联合体各方应当共同与采购人签订采购合同，就采购合同约定的事项对采购人承担连带责任。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2.1招标文件的获取见第一章投标邀请函。</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供应商在收到招标文件后，若有问题需要询问，应于下载招标文件后，可通过投标邀请函中的联系方式及时提出，采购人或采购代理机构将予以解答。</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2.3.2为保证投标人有足够时间修正投标文件，或出于其他合理原因，采购人或采购代理机构可依法顺延投标截止时间和开标时间。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2.3.4招标文件的澄清、修改、补充等内容均以苏州市政府采购网上发布的内容为准。</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3.1投标保证金：无。</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3.2投标文件的组成</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3.2.3公开分项报价表（如有，格式见第三章）；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（2）具有良好的商业信誉和健全的财务会计制度的材料：包括但不限于法人提供2025年度经审计的财务报告或基本开户银行在本年度内出具的资信证明复印件；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3.2.4.2其他有关资格证明的文件（若有）。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3.2.5符合性审查投标文件：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3.2.5.1投标函（格式见第三章）；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3.2.5.7其他有关符合性证明的文件（若有）。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3.2.6综合评审投标文件（见第六章）；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3.2.6.1采购需求、评审方法及评审标准中所涉及到的其他材料、证明等；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3.2.6.2《关于符合本国产品标准的声明函》。</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以上3.2.2-3.2.3项为供应商报价的依据，投标供应商必须提供并加盖电子公章，否则，投标文件将被认定为未实质性响应。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以上3.2.4.1-3.2.4.2项为资格审查提供的资料，是作为对供应商资格审查、质疑身份认定的依据，响应供应商必须提供并加盖电子公章，否则，投标文件将被认定为不符合资格审查要求。</w:t>
      </w:r>
      <w:r/>
    </w:p>
    <w:p>
      <w:pPr>
        <w:ind w:firstLine="482"/>
        <w:spacing w:line="360" w:lineRule="auto"/>
        <w:tabs>
          <w:tab w:val="left" w:pos="0" w:leader="none"/>
          <w:tab w:val="left" w:pos="600" w:leader="none"/>
        </w:tabs>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以上3.2.5.1-3.2.5.4为符合性审查必须提供的资料，投标供应商必须提供并加盖电子公章，否则，投标将被认定为未实质性响应。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制作电子投标文件时需与投标文件制作软件目录一一对应，将相关资料上传至相应模块。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供应商应保证上传的投标文件完整、清晰可辨认，若因上传资料过小或模糊不清等无法辨认的都视为该资料未提供。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如供应商投标文件中某些条款不响应招标文件提出的全部服务内容与要求，须在投标文件中逐条列出，未列出的视同响应。</w:t>
      </w:r>
      <w:r/>
    </w:p>
    <w:p>
      <w:pPr>
        <w:ind w:firstLine="482"/>
        <w:spacing w:line="360" w:lineRule="auto"/>
        <w:tabs>
          <w:tab w:val="left" w:pos="142" w:leader="none"/>
          <w:tab w:val="left" w:pos="600" w:leader="none"/>
        </w:tabs>
        <w:rPr>
          <w:rFonts w:ascii="宋体" w:hAnsi="宋体" w:eastAsia="宋体" w:cs="宋体"/>
          <w:color w:val="auto"/>
          <w:highlight w:val="none"/>
        </w:rPr>
      </w:pPr>
      <w:r>
        <w:rPr>
          <w:rFonts w:hint="eastAsia" w:ascii="宋体" w:hAnsi="宋体" w:eastAsia="宋体" w:cs="宋体"/>
          <w:b/>
          <w:color w:val="auto"/>
          <w:sz w:val="24"/>
          <w:szCs w:val="24"/>
          <w:highlight w:val="none"/>
        </w:rPr>
        <w:t xml:space="preserve">如不同供应商使用同一台电脑制作的电子</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文件的，双方“文件制作机器码”一致的，则其</w:t>
      </w:r>
      <w:r>
        <w:rPr>
          <w:rFonts w:hint="eastAsia" w:ascii="宋体" w:hAnsi="宋体" w:eastAsia="宋体" w:cs="宋体"/>
          <w:b/>
          <w:bCs/>
          <w:color w:val="auto"/>
          <w:sz w:val="24"/>
          <w:szCs w:val="24"/>
          <w:highlight w:val="none"/>
        </w:rPr>
        <w:t xml:space="preserve">投标</w:t>
      </w:r>
      <w:r>
        <w:rPr>
          <w:rFonts w:hint="eastAsia" w:ascii="宋体" w:hAnsi="宋体" w:eastAsia="宋体" w:cs="宋体"/>
          <w:b/>
          <w:color w:val="auto"/>
          <w:sz w:val="24"/>
          <w:szCs w:val="24"/>
          <w:highlight w:val="none"/>
        </w:rPr>
        <w:t xml:space="preserve">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3.3投标报价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3.2.5一项投标内容只允许一个报价，任何有选择性投标报价的，其投标无效。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3.3.6投标文件报价中的单价和总价全部采用人民币表示，除非另有规定。</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bookmarkStart w:id="2" w:name="_Hlk154589874"/>
      <w:r>
        <w:rPr>
          <w:rFonts w:hint="eastAsia" w:ascii="宋体" w:hAnsi="宋体" w:eastAsia="宋体" w:cs="宋体"/>
          <w:color w:val="auto"/>
          <w:sz w:val="24"/>
          <w:szCs w:val="24"/>
          <w:highlight w:val="none"/>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3.4.3投标文件未按照招标文件要求加盖CA电子公章的，响应无效。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3.5投标文件的开启（解密）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3.5.3供应商在苏采云系统规定的时间内未成功解密电子投标文件的，投标无效。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bookmarkEnd w:id="2"/>
      <w:r>
        <w:rPr>
          <w:rFonts w:hint="eastAsia" w:ascii="宋体" w:hAnsi="宋体" w:eastAsia="宋体" w:cs="宋体"/>
          <w:color w:val="auto"/>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 </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1007"/>
        <w:ind w:firstLine="480"/>
        <w:spacing w:line="360" w:lineRule="auto"/>
        <w:rPr>
          <w:rFonts w:cs="宋体"/>
          <w:color w:val="auto"/>
          <w:highlight w:val="none"/>
        </w:rPr>
      </w:pPr>
      <w:r>
        <w:rPr>
          <w:rFonts w:hint="eastAsia" w:cs="宋体"/>
          <w:color w:val="auto"/>
          <w:highlight w:val="none"/>
        </w:rPr>
        <w:t xml:space="preserve">3.6.1供应商在提交投标文件截止时间前，可以对所递交的投标文件进行补充、修改或者撤回，具体操作方法见《操作手册》。提交投标文件截止时间后供应商不得撤回投标文件。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4、开标和评标：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996"/>
        <w:spacing w:line="360" w:lineRule="auto"/>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开标时，由采购代理机构</w:t>
      </w:r>
      <w:r>
        <w:rPr>
          <w:rFonts w:hint="eastAsia" w:ascii="宋体" w:hAnsi="宋体" w:eastAsia="宋体" w:cs="宋体"/>
          <w:color w:val="auto"/>
          <w:sz w:val="24"/>
          <w:szCs w:val="24"/>
          <w:highlight w:val="none"/>
        </w:rPr>
        <w:t xml:space="preserve">通过“苏采云”系统在线</w:t>
      </w:r>
      <w:r>
        <w:rPr>
          <w:rFonts w:hint="eastAsia" w:ascii="宋体" w:hAnsi="宋体" w:eastAsia="宋体" w:cs="宋体"/>
          <w:color w:val="auto"/>
          <w:sz w:val="24"/>
          <w:szCs w:val="24"/>
          <w:highlight w:val="none"/>
          <w:lang w:val="zh-CN"/>
        </w:rPr>
        <w:t xml:space="preserve">宣布投标人名称、投标价格和招标文件规定的需要宣布的其他内容。</w:t>
      </w:r>
      <w:r>
        <w:rPr>
          <w:rFonts w:hint="eastAsia" w:ascii="宋体" w:hAnsi="宋体" w:eastAsia="宋体" w:cs="宋体"/>
          <w:color w:val="auto"/>
          <w:sz w:val="24"/>
          <w:szCs w:val="24"/>
          <w:highlight w:val="none"/>
        </w:rPr>
        <w:t xml:space="preserve">投标人在不见面开标系统中确认投标价格，如</w:t>
      </w:r>
      <w:r>
        <w:rPr>
          <w:rFonts w:hint="eastAsia" w:ascii="宋体" w:hAnsi="宋体" w:eastAsia="宋体" w:cs="宋体"/>
          <w:color w:val="auto"/>
          <w:sz w:val="24"/>
          <w:szCs w:val="24"/>
          <w:highlight w:val="none"/>
          <w:lang w:val="zh-CN"/>
        </w:rPr>
        <w:t xml:space="preserve">投标人未</w:t>
      </w:r>
      <w:r>
        <w:rPr>
          <w:rFonts w:hint="eastAsia" w:ascii="宋体" w:hAnsi="宋体" w:eastAsia="宋体" w:cs="宋体"/>
          <w:color w:val="auto"/>
          <w:sz w:val="24"/>
          <w:szCs w:val="24"/>
          <w:highlight w:val="none"/>
        </w:rPr>
        <w:t xml:space="preserve">在线</w:t>
      </w:r>
      <w:r>
        <w:rPr>
          <w:rFonts w:hint="eastAsia" w:ascii="宋体" w:hAnsi="宋体" w:eastAsia="宋体" w:cs="宋体"/>
          <w:color w:val="auto"/>
          <w:sz w:val="24"/>
          <w:szCs w:val="24"/>
          <w:highlight w:val="none"/>
          <w:lang w:val="zh-CN"/>
        </w:rPr>
        <w:t xml:space="preserve">参加开标</w:t>
      </w:r>
      <w:r>
        <w:rPr>
          <w:rFonts w:hint="eastAsia" w:ascii="宋体" w:hAnsi="宋体" w:eastAsia="宋体" w:cs="宋体"/>
          <w:color w:val="auto"/>
          <w:sz w:val="24"/>
          <w:szCs w:val="24"/>
          <w:highlight w:val="none"/>
        </w:rPr>
        <w:t xml:space="preserve">或未在规定时间内确认价格</w:t>
      </w:r>
      <w:r>
        <w:rPr>
          <w:rFonts w:hint="eastAsia" w:ascii="宋体" w:hAnsi="宋体" w:eastAsia="宋体" w:cs="宋体"/>
          <w:color w:val="auto"/>
          <w:sz w:val="24"/>
          <w:szCs w:val="24"/>
          <w:highlight w:val="none"/>
          <w:lang w:val="zh-CN"/>
        </w:rPr>
        <w:t xml:space="preserve">的，视同认可开标结果。</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4.2.1公开招标采购项目开标结束后，采购人应当依法对投标人的资格进行审查，未通过资格审查的视为无效投标。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4.2.2.1查询时间：投标文件提交截止时间。</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4.2.2.2查询渠道：通过“信用中国”及“中国政府采购网” 上的信用信息查询供应商的信用记录。 </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4.3评标委员会</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4.3.4评标委员会成员应当按照客观、公正、审慎的原则，根据招标文件规定的评审程序、评审方法和评审标准进行独立评审。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4.4评标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w:t>
      </w:r>
      <w:r>
        <w:rPr>
          <w:rFonts w:ascii="宋体" w:hAnsi="宋体" w:eastAsia="宋体" w:cs="宋体"/>
          <w:color w:val="auto"/>
          <w:sz w:val="24"/>
          <w:szCs w:val="24"/>
          <w:highlight w:val="none"/>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4.4.2.5启动异常低价投标审查后，</w:t>
      </w:r>
      <w:bookmarkStart w:id="3" w:name="OLE_LINK2"/>
      <w:r/>
      <w:bookmarkStart w:id="4" w:name="OLE_LINK1"/>
      <w:r>
        <w:rPr>
          <w:rFonts w:hint="eastAsia" w:ascii="宋体" w:hAnsi="宋体" w:eastAsia="宋体" w:cs="宋体"/>
          <w:color w:val="auto"/>
          <w:sz w:val="24"/>
          <w:szCs w:val="24"/>
          <w:highlight w:val="none"/>
        </w:rPr>
        <w:t xml:space="preserve">评标委员会</w:t>
      </w:r>
      <w:bookmarkEnd w:id="3"/>
      <w:r/>
      <w:bookmarkEnd w:id="4"/>
      <w:r>
        <w:rPr>
          <w:rFonts w:hint="eastAsia" w:ascii="宋体" w:hAnsi="宋体" w:eastAsia="宋体" w:cs="宋体"/>
          <w:color w:val="auto"/>
          <w:sz w:val="24"/>
          <w:szCs w:val="24"/>
          <w:highlight w:val="none"/>
        </w:rPr>
        <w:t xml:space="preserve">应当要求相关供应商在评标现场合理的时间内对投标价格作出解释，提供项目具体成本测算等与报价合理性相关的书面说明及相关证明材料</w:t>
      </w:r>
      <w:bookmarkStart w:id="5" w:name="OLE_LINK10"/>
      <w:r/>
      <w:bookmarkStart w:id="6" w:name="OLE_LINK9"/>
      <w:r>
        <w:rPr>
          <w:rFonts w:hint="eastAsia" w:ascii="宋体" w:hAnsi="宋体" w:eastAsia="宋体" w:cs="宋体"/>
          <w:color w:val="auto"/>
          <w:sz w:val="24"/>
          <w:szCs w:val="24"/>
          <w:highlight w:val="none"/>
        </w:rPr>
        <w:t xml:space="preserve">，</w:t>
      </w:r>
      <w:bookmarkEnd w:id="5"/>
      <w:r/>
      <w:bookmarkEnd w:id="6"/>
      <w:r>
        <w:rPr>
          <w:rFonts w:hint="eastAsia" w:ascii="宋体" w:hAnsi="宋体" w:eastAsia="宋体" w:cs="宋体"/>
          <w:color w:val="auto"/>
          <w:sz w:val="24"/>
          <w:szCs w:val="24"/>
          <w:highlight w:val="none"/>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4.4.2.6评标委员会成员对需要共同认定的事项存在争议的，应当按照少数服从多数的原则作出结论。持不同意见的评标委员会成员应当在评标报告上签署不同意见及理由，否则视为同意评标报告。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4.4.3.2本项目采用线上澄清。</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4.4.3.4接到评审小组澄清、说明和更正要求的供应商如未按规定做出澄清、说明和更正，其风险由供应商自行承担。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6、中标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6.1本项目评标方法采用综合评分法，即指投标文件满足招标文件全部实质性要求，且按照评审因素的量化指标评审得分最高的投标人为中标候选人的评标方法。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6.2评标结果按评审后得分由高到低顺序排列。得分相同的，按投标报价由低到高顺序排列。得分且投标报价相同的，则由评标委员会组织抽签确定中标候选人顺序。</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6.5采购人或采购代理机构根据相关规定发布中标公告，中标公告发出的同时应当向中标供应商发出《中标通知书》</w:t>
      </w:r>
      <w:bookmarkStart w:id="7" w:name="_Hlk132385599"/>
      <w:r/>
      <w:bookmarkStart w:id="8" w:name="_Hlk132385577"/>
      <w:r/>
      <w:bookmarkStart w:id="9" w:name="_Hlk132389804"/>
      <w:r>
        <w:rPr>
          <w:rFonts w:hint="eastAsia" w:ascii="宋体" w:hAnsi="宋体" w:eastAsia="宋体" w:cs="宋体"/>
          <w:color w:val="auto"/>
          <w:sz w:val="24"/>
          <w:szCs w:val="24"/>
          <w:highlight w:val="none"/>
        </w:rPr>
        <w:t xml:space="preserve">。请中标供应商在中标结果公告届满之日起30日内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使用CA数字证书登录苏采云系统及时下载成交通知书。因系统存储空间有限，自中标结果公告届满之日起30日后，苏采云系统不再保证提供下载成交通知书服务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bookmarkEnd w:id="7"/>
      <w:r/>
      <w:bookmarkEnd w:id="8"/>
      <w:r/>
      <w:bookmarkEnd w:id="9"/>
      <w:r>
        <w:rPr>
          <w:rFonts w:hint="eastAsia" w:ascii="宋体" w:hAnsi="宋体" w:eastAsia="宋体" w:cs="宋体"/>
          <w:color w:val="auto"/>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07"/>
        <w:ind w:firstLine="480"/>
        <w:spacing w:line="360" w:lineRule="auto"/>
        <w:rPr>
          <w:rFonts w:cs="宋体"/>
          <w:color w:val="auto"/>
          <w:highlight w:val="none"/>
        </w:rPr>
      </w:pPr>
      <w:r>
        <w:rPr>
          <w:rFonts w:hint="eastAsia" w:cs="宋体"/>
          <w:color w:val="auto"/>
          <w:highlight w:val="none"/>
        </w:rPr>
        <w:t xml:space="preserve">见第五章合同文本履约保证金条款。</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8.1采购人应当自中标通知书发出之日起15日内（最迟30日内</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8.5中标供应商无正当理由不得放弃中标。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9.4对招标文件内容质疑时，</w:t>
      </w:r>
      <w:r>
        <w:rPr>
          <w:rFonts w:hint="eastAsia" w:ascii="宋体" w:hAnsi="宋体" w:eastAsia="宋体" w:cs="宋体"/>
          <w:b/>
          <w:color w:val="auto"/>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向采购人、采购代理机构提出质疑，联系人、联系电话和通讯地址等信息以招标公告中</w:t>
      </w:r>
      <w:r>
        <w:rPr>
          <w:rFonts w:hint="eastAsia" w:ascii="宋体" w:hAnsi="宋体" w:eastAsia="宋体" w:cs="宋体"/>
          <w:color w:val="auto"/>
          <w:sz w:val="24"/>
          <w:szCs w:val="24"/>
          <w:highlight w:val="none"/>
        </w:rPr>
        <w:t xml:space="preserve">对本次招标提出询问，请按以下方式联系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10.1投标文件的有效期自提交投标文件的截止之日起九十天，投标文件应保持有效。投标文件的有效期不明确或短于上述规定期限的，投标文件无效。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11、代理服务费：按照最新江苏省财政厅《关于进一步规范政府采购活动相关费用管理的通知》（苏财规〔2026〕1号），本项目政府采购代理费由采购单位支付。</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11.2本项目代理服务费（人民币）：</w:t>
      </w:r>
      <w:r>
        <w:rPr>
          <w:rFonts w:hint="eastAsia" w:ascii="宋体" w:hAnsi="宋体" w:eastAsia="宋体" w:cs="宋体"/>
          <w:bCs/>
          <w:color w:val="auto"/>
          <w:sz w:val="24"/>
          <w:szCs w:val="24"/>
          <w:highlight w:val="none"/>
          <w:u w:val="none"/>
          <w:lang w:val="en-US" w:eastAsia="zh-CN"/>
        </w:rPr>
        <w:t xml:space="preserve">31390.</w:t>
      </w:r>
      <w:r>
        <w:rPr>
          <w:rFonts w:hint="eastAsia" w:ascii="宋体" w:hAnsi="宋体" w:eastAsia="宋体" w:cs="宋体"/>
          <w:bCs/>
          <w:color w:val="auto"/>
          <w:sz w:val="24"/>
          <w:szCs w:val="24"/>
          <w:highlight w:val="none"/>
        </w:rPr>
        <w:t xml:space="preserve">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11.3采购单位如果未按上述规定缴纳中标服务费，采购代理机构将保留诉讼的权利。</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12、其他事项</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12.1未尽事宜按《中华人民共和国政府采购法》及其他有关法律法规文件的规定执行。</w:t>
      </w:r>
      <w:r/>
    </w:p>
    <w:p>
      <w:pPr>
        <w:pStyle w:val="921"/>
        <w:ind w:firstLine="502"/>
        <w:jc w:val="both"/>
        <w:spacing w:line="360" w:lineRule="auto"/>
        <w:rPr>
          <w:rFonts w:ascii="宋体" w:hAnsi="宋体" w:eastAsia="宋体" w:cs="宋体"/>
          <w:b/>
          <w:bCs/>
          <w:color w:val="auto"/>
          <w:highlight w:val="none"/>
        </w:rPr>
      </w:pPr>
      <w:r>
        <w:rPr>
          <w:rFonts w:hint="eastAsia" w:ascii="宋体" w:hAnsi="宋体" w:eastAsia="宋体" w:cs="宋体"/>
          <w:color w:val="auto"/>
          <w:szCs w:val="24"/>
          <w:highlight w:val="none"/>
        </w:rPr>
        <w:br w:type="page" w:clear="all"/>
      </w:r>
      <w:r/>
    </w:p>
    <w:p>
      <w:pPr>
        <w:pStyle w:val="921"/>
        <w:ind w:firstLine="482"/>
        <w:jc w:val="cente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1、投标函</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Cs w:val="24"/>
          <w:highlight w:val="none"/>
        </w:rPr>
        <w:t xml:space="preserve">________</w:t>
      </w:r>
      <w:r>
        <w:rPr>
          <w:rFonts w:hint="eastAsia" w:hAnsi="宋体" w:eastAsia="宋体" w:cs="宋体"/>
          <w:color w:val="auto"/>
          <w:sz w:val="24"/>
          <w:szCs w:val="24"/>
          <w:highlight w:val="none"/>
        </w:rPr>
        <w:t xml:space="preserve">号招标文件，经仔细阅读和研究，我们决定参加采购活动。</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完成该项目的全部内容，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2、如果我们的投标被接受，我们将严格履行招标文件中规定的每一项要求，严格履行合同的责任和义务，保证按期、按质履行合同，完成合同内容所规定的全部工作。</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3、我们同意按招标文件规定，本投标书的有效期限自提交投标文件的截止之日起</w:t>
      </w:r>
      <w:r>
        <w:rPr>
          <w:rFonts w:hint="eastAsia" w:hAnsi="宋体" w:eastAsia="宋体" w:cs="宋体"/>
          <w:color w:val="auto"/>
          <w:szCs w:val="24"/>
          <w:highlight w:val="none"/>
        </w:rPr>
        <w:t xml:space="preserve">___</w:t>
      </w:r>
      <w:r>
        <w:rPr>
          <w:rFonts w:hint="eastAsia" w:hAnsi="宋体" w:eastAsia="宋体" w:cs="宋体"/>
          <w:color w:val="auto"/>
          <w:sz w:val="24"/>
          <w:szCs w:val="24"/>
          <w:highlight w:val="none"/>
        </w:rPr>
        <w:t xml:space="preserve">天。如果我们在开标后规定的投标有效期内撤回投标，我们愿承担由此造成的一切后果。</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4、我们愿意提供招标文件中要求的所有资料，也同意向贵方提供贵方可能另外要求的与其投标有关的任何证据或资料，并保证所提供的资料全部是真实的、有效的，若有虚假，我们愿承担由此造成的一切后果。</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5、我们认为你们有权决定中标单位，还认为你们有权接受或拒绝投标人。</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6、我们愿意遵守招标公告及招标文件中所列的收费标准。</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7、我们承诺本项投标文件在开标后的全过程中保持有效。我们同意中标后若不履行投标文件的内容要求和各项承诺及义务的即被视为违约，我们愿承担由此造成的一切后果。</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8、与本次招标有关的通讯地址：</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                       </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2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（姓名）为我公司代理人，并以本公司的名义在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号（项目编号）采购项目的开标、评标和合同签订过程中所签署的一切文件和处理与这有关的一切事务，我公司均予以承认。</w:t>
      </w:r>
      <w:r/>
    </w:p>
    <w:p>
      <w:pPr>
        <w:pStyle w:val="92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代理人在授权委托书有效期内签署的所有文件不因授权委托的撤销而失效，除非有撤销授权委托的书面通知，本授权委托书有效期自投标文件提交开始至合同履行完毕止。</w:t>
      </w:r>
      <w:r/>
    </w:p>
    <w:p>
      <w:pPr>
        <w:pStyle w:val="92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代理人无转委托权。特此委托。</w:t>
      </w:r>
      <w:r/>
    </w:p>
    <w:p>
      <w:pPr>
        <w:pStyle w:val="997"/>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投标人（单位盖章）：</w:t>
      </w:r>
      <w:r/>
    </w:p>
    <w:p>
      <w:pPr>
        <w:pStyle w:val="92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法定代表人：（签字或盖章）</w:t>
      </w:r>
      <w:r/>
    </w:p>
    <w:p>
      <w:pPr>
        <w:pStyle w:val="92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代理人：（签字或盖章）</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pStyle w:val="921"/>
        <w:ind w:firstLine="482"/>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921"/>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56"/>
        <w:ind w:firstLine="480"/>
        <w:jc w:val="both"/>
        <w:spacing w:line="360" w:lineRule="auto"/>
        <w:rPr>
          <w:rFonts w:hint="default" w:cs="宋体"/>
          <w:color w:val="auto"/>
          <w:highlight w:val="none"/>
        </w:rPr>
      </w:pPr>
      <w:r>
        <w:rPr>
          <w:rFonts w:hint="default" w:cs="宋体"/>
          <w:color w:val="auto"/>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firstLine="0"/>
        <w:jc w:val="center"/>
        <w:spacing w:line="360" w:lineRule="auto"/>
        <w:rPr>
          <w:rFonts w:ascii="宋体" w:hAnsi="宋体" w:eastAsia="宋体" w:cs="宋体"/>
          <w:color w:val="auto"/>
          <w:szCs w:val="24"/>
          <w:highlight w:val="none"/>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苏州正杰招投标咨询服务有限公司：</w:t>
      </w:r>
      <w:r/>
    </w:p>
    <w:p>
      <w:pPr>
        <w:pStyle w:val="997"/>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本公司愿就由贵公司组织实施的项目编号为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p>
    <w:p>
      <w:pPr>
        <w:pStyle w:val="997"/>
        <w:spacing w:line="36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1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1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1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1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2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序号</w:t>
            </w:r>
            <w:r/>
          </w:p>
        </w:tc>
        <w:tc>
          <w:tcPr>
            <w:tcW w:w="3061"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项目名称</w:t>
            </w:r>
            <w:r/>
          </w:p>
        </w:tc>
        <w:tc>
          <w:tcPr>
            <w:tcW w:w="2293"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投标总价（元）</w:t>
            </w:r>
            <w:r/>
          </w:p>
        </w:tc>
        <w:tc>
          <w:tcPr>
            <w:tcW w:w="1801"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合同履行期限</w:t>
            </w:r>
            <w:r/>
          </w:p>
        </w:tc>
        <w:tc>
          <w:tcPr>
            <w:tcW w:w="1331" w:type="dxa"/>
            <w:vAlign w:val="center"/>
            <w:textDirection w:val="lrTb"/>
            <w:noWrap w:val="false"/>
          </w:tcPr>
          <w:p>
            <w:pPr>
              <w:pStyle w:val="934"/>
              <w:jc w:val="center"/>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293" w:type="dxa"/>
            <w:vAlign w:val="center"/>
            <w:textDirection w:val="lrTb"/>
            <w:noWrap w:val="false"/>
          </w:tcPr>
          <w:p>
            <w:pPr>
              <w:pStyle w:val="934"/>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801" w:type="dxa"/>
            <w:vAlign w:val="center"/>
            <w:textDirection w:val="lrTb"/>
            <w:noWrap w:val="false"/>
          </w:tcPr>
          <w:p>
            <w:pPr>
              <w:pStyle w:val="934"/>
              <w:jc w:val="center"/>
              <w:spacing w:line="360" w:lineRule="auto"/>
              <w:rPr>
                <w:rFonts w:hAnsi="宋体" w:eastAsia="宋体" w:cs="宋体"/>
                <w:color w:val="auto"/>
                <w:sz w:val="24"/>
                <w:highlight w:val="none"/>
              </w:rPr>
            </w:pPr>
            <w:r>
              <w:rPr>
                <w:rFonts w:hAnsi="宋体" w:eastAsia="宋体" w:cs="宋体"/>
                <w:color w:val="auto"/>
                <w:sz w:val="24"/>
                <w:highlight w:val="none"/>
              </w:rPr>
            </w:r>
            <w:r/>
          </w:p>
        </w:tc>
        <w:tc>
          <w:tcPr>
            <w:tcW w:w="1331" w:type="dxa"/>
            <w:vAlign w:val="center"/>
            <w:textDirection w:val="lrTb"/>
            <w:noWrap w:val="false"/>
          </w:tcPr>
          <w:p>
            <w:pPr>
              <w:pStyle w:val="934"/>
              <w:jc w:val="center"/>
              <w:spacing w:line="360" w:lineRule="auto"/>
              <w:rPr>
                <w:rFonts w:hAnsi="宋体" w:eastAsia="宋体" w:cs="宋体"/>
                <w:color w:val="auto"/>
                <w:sz w:val="24"/>
                <w:highlight w:val="none"/>
              </w:rPr>
            </w:pPr>
            <w:r>
              <w:rPr>
                <w:rFonts w:hAnsi="宋体" w:eastAsia="宋体" w:cs="宋体"/>
                <w:color w:val="auto"/>
                <w:sz w:val="24"/>
                <w:highlight w:val="none"/>
              </w:rPr>
            </w:r>
            <w:r/>
          </w:p>
        </w:tc>
      </w:tr>
    </w:tbl>
    <w:p>
      <w:pPr>
        <w:pStyle w:val="93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bookmarkStart w:id="10" w:name="_Toc142194269"/>
      <w:r>
        <w:rPr>
          <w:rFonts w:hint="eastAsia" w:ascii="宋体" w:hAnsi="宋体" w:eastAsia="宋体" w:cs="宋体"/>
          <w:color w:val="auto"/>
          <w:szCs w:val="24"/>
          <w:highlight w:val="none"/>
        </w:rPr>
        <w:br/>
      </w:r>
      <w:r>
        <w:rPr>
          <w:rFonts w:hint="eastAsia" w:ascii="宋体" w:hAnsi="宋体" w:eastAsia="宋体" w:cs="宋体"/>
          <w:color w:val="auto"/>
          <w:szCs w:val="24"/>
          <w:highlight w:val="none"/>
        </w:rPr>
        <w:t xml:space="preserve">5、公开分项报价表</w:t>
      </w:r>
      <w:bookmarkEnd w:id="10"/>
      <w:r/>
      <w:r/>
    </w:p>
    <w:tbl>
      <w:tblPr>
        <w:tblStyle w:val="920"/>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jc w:val="center"/>
          <w:trHeight w:val="567"/>
        </w:trPr>
        <w:tc>
          <w:tcPr>
            <w:tcW w:w="109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309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费用条目</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90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总价</w:t>
            </w:r>
            <w:r/>
          </w:p>
        </w:tc>
        <w:tc>
          <w:tcPr>
            <w:tcW w:w="1846" w:type="dxa"/>
            <w:vAlign w:val="center"/>
            <w:textDirection w:val="lrTb"/>
            <w:noWrap w:val="false"/>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（品牌型号）</w:t>
            </w:r>
            <w:r/>
          </w:p>
        </w:tc>
      </w:tr>
      <w:tr>
        <w:trPr>
          <w:jc w:val="center"/>
          <w:trHeight w:val="567"/>
        </w:trPr>
        <w:tc>
          <w:tcPr>
            <w:tcW w:w="1093" w:type="dxa"/>
            <w:vAlign w:val="center"/>
            <w:textDirection w:val="lrTb"/>
            <w:noWrap w:val="false"/>
          </w:tcPr>
          <w:p>
            <w:pPr>
              <w:pStyle w:val="921"/>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3091" w:type="dxa"/>
            <w:vAlign w:val="center"/>
            <w:textDirection w:val="lrTb"/>
            <w:noWrap w:val="false"/>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1"/>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3091" w:type="dxa"/>
            <w:vAlign w:val="center"/>
            <w:textDirection w:val="lrTb"/>
            <w:noWrap w:val="false"/>
          </w:tcPr>
          <w:p>
            <w:pPr>
              <w:spacing w:line="360" w:lineRule="auto"/>
              <w:rPr>
                <w:rStyle w:val="964"/>
                <w:rFonts w:ascii="宋体" w:hAnsi="宋体" w:eastAsia="宋体" w:cs="宋体"/>
                <w:color w:val="auto"/>
                <w:highlight w:val="none"/>
              </w:rPr>
            </w:pPr>
            <w:r>
              <w:rPr>
                <w:rFonts w:ascii="宋体" w:hAnsi="宋体" w:eastAsia="宋体" w:cs="宋体"/>
                <w:color w:val="auto"/>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1"/>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3091" w:type="dxa"/>
            <w:vAlign w:val="center"/>
            <w:textDirection w:val="lrTb"/>
            <w:noWrap w:val="false"/>
          </w:tcPr>
          <w:p>
            <w:pPr>
              <w:spacing w:line="360" w:lineRule="auto"/>
              <w:rPr>
                <w:rStyle w:val="964"/>
                <w:rFonts w:ascii="宋体" w:hAnsi="宋体" w:eastAsia="宋体" w:cs="宋体"/>
                <w:color w:val="auto"/>
                <w:highlight w:val="none"/>
              </w:rPr>
            </w:pPr>
            <w:r>
              <w:rPr>
                <w:rFonts w:ascii="宋体" w:hAnsi="宋体" w:eastAsia="宋体" w:cs="宋体"/>
                <w:color w:val="auto"/>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1"/>
              <w:ind w:right="21"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3091" w:type="dxa"/>
            <w:vAlign w:val="center"/>
            <w:textDirection w:val="lrTb"/>
            <w:noWrap w:val="false"/>
          </w:tcPr>
          <w:p>
            <w:pPr>
              <w:spacing w:line="360" w:lineRule="auto"/>
              <w:rPr>
                <w:rStyle w:val="964"/>
                <w:rFonts w:ascii="宋体" w:hAnsi="宋体" w:eastAsia="宋体" w:cs="宋体"/>
                <w:color w:val="auto"/>
                <w:highlight w:val="none"/>
              </w:rPr>
            </w:pPr>
            <w:r>
              <w:rPr>
                <w:rFonts w:ascii="宋体" w:hAnsi="宋体" w:eastAsia="宋体" w:cs="宋体"/>
                <w:color w:val="auto"/>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1"/>
              <w:ind w:right="-94"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3091"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gridSpan w:val="2"/>
            <w:tcW w:w="4184"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合计金额</w:t>
            </w:r>
            <w:r/>
          </w:p>
        </w:tc>
        <w:tc>
          <w:tcPr>
            <w:gridSpan w:val="5"/>
            <w:tcW w:w="5470"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人民币（大写）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元（¥（小写）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w:t>
            </w:r>
            <w:r/>
          </w:p>
        </w:tc>
      </w:tr>
      <w:tr>
        <w:trPr>
          <w:jc w:val="center"/>
          <w:trHeight w:val="567"/>
        </w:trPr>
        <w:tc>
          <w:tcPr>
            <w:gridSpan w:val="7"/>
            <w:tcW w:w="9654" w:type="dxa"/>
            <w:vAlign w:val="center"/>
            <w:textDirection w:val="lrTb"/>
            <w:noWrap w:val="false"/>
          </w:tcPr>
          <w:p>
            <w:pPr>
              <w:pStyle w:val="921"/>
              <w:ind w:right="420" w:firstLine="0"/>
              <w:spacing w:line="360" w:lineRule="auto"/>
              <w:rPr>
                <w:rFonts w:ascii="宋体" w:hAnsi="宋体" w:eastAsia="宋体" w:cs="宋体"/>
                <w:color w:val="auto"/>
                <w:szCs w:val="24"/>
                <w:highlight w:val="none"/>
              </w:rPr>
            </w:pPr>
            <w:r>
              <w:rPr>
                <w:rFonts w:hint="eastAsia" w:ascii="宋体" w:hAnsi="宋体" w:eastAsia="宋体" w:cs="宋体"/>
                <w:bCs/>
                <w:color w:val="auto"/>
                <w:szCs w:val="21"/>
                <w:highlight w:val="none"/>
              </w:rPr>
              <w:t xml:space="preserve">本采购包中提供的符合本国产品标准的产品成本之和占该采购包提供的全部产品成本之和的比例为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tc>
      </w:tr>
    </w:tbl>
    <w:p>
      <w:pPr>
        <w:pStyle w:val="921"/>
        <w:ind w:right="420"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1、各投标人应根据此表格式按项目分别填写报价详细清单，如表格内容不够，可自行添加。</w:t>
      </w:r>
      <w:r/>
    </w:p>
    <w:p>
      <w:pPr>
        <w:pStyle w:val="92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2、投标人须对全部采购内容进行报价。如未按照本表规定提供或本表中合计金额与“开标一览表”投标总价不一致的按无效投标报价的投标文件处理。</w:t>
      </w:r>
      <w:r/>
    </w:p>
    <w:p>
      <w:pPr>
        <w:pStyle w:val="921"/>
        <w:ind w:right="420" w:firstLine="482"/>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3、本采购包中含有多种产品时，供应商未填写本采购包中提供的符合本国产品标准的产品成本之和占该采购包提供的全部产品成本之和的比例数值的，或比例数值未达到80</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4"/>
          <w:highlight w:val="none"/>
        </w:rPr>
        <w:t xml:space="preserve">的，将不享受本国产品价格评审优惠。</w:t>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投标人</w:t>
      </w:r>
      <w:r>
        <w:rPr>
          <w:rFonts w:hint="eastAsia" w:hAnsi="宋体" w:eastAsia="宋体" w:cs="宋体"/>
          <w:color w:val="auto"/>
          <w:sz w:val="24"/>
          <w:szCs w:val="24"/>
          <w:highlight w:val="none"/>
        </w:rPr>
        <w:t xml:space="preserve">（单位盖章）</w:t>
      </w:r>
      <w:r>
        <w:rPr>
          <w:rFonts w:hint="eastAsia" w:hAnsi="宋体" w:eastAsia="宋体" w:cs="宋体"/>
          <w:bCs/>
          <w:color w:val="auto"/>
          <w:sz w:val="24"/>
          <w:szCs w:val="24"/>
          <w:highlight w:val="none"/>
        </w:rPr>
        <w:t xml:space="preserve">：</w:t>
      </w:r>
      <w:r/>
    </w:p>
    <w:p>
      <w:pPr>
        <w:pStyle w:val="997"/>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法定代表人或代理人</w:t>
      </w:r>
      <w:r>
        <w:rPr>
          <w:rFonts w:hint="eastAsia" w:hAnsi="宋体" w:eastAsia="宋体" w:cs="宋体"/>
          <w:color w:val="auto"/>
          <w:sz w:val="24"/>
          <w:szCs w:val="24"/>
          <w:highlight w:val="none"/>
        </w:rPr>
        <w:t xml:space="preserve">（签字或盖章）</w:t>
      </w:r>
      <w:r>
        <w:rPr>
          <w:rFonts w:hint="eastAsia" w:hAnsi="宋体" w:eastAsia="宋体" w:cs="宋体"/>
          <w:bCs/>
          <w:color w:val="auto"/>
          <w:sz w:val="24"/>
          <w:szCs w:val="24"/>
          <w:highlight w:val="none"/>
        </w:rPr>
        <w:t xml:space="preserve">：</w:t>
      </w:r>
      <w:r/>
    </w:p>
    <w:p>
      <w:pPr>
        <w:pStyle w:val="997"/>
        <w:ind w:firstLine="480"/>
        <w:spacing w:line="36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日期：     年     月     日</w:t>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2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97"/>
        <w:spacing w:line="360" w:lineRule="auto"/>
        <w:rPr>
          <w:rFonts w:hAnsi="宋体" w:eastAsia="宋体" w:cs="宋体"/>
          <w:b/>
          <w:color w:val="auto"/>
          <w:sz w:val="24"/>
          <w:szCs w:val="24"/>
          <w:highlight w:val="none"/>
          <w:lang w:val="zh-CN"/>
        </w:rPr>
      </w:pPr>
      <w:r>
        <w:rPr>
          <w:rFonts w:hint="eastAsia" w:hAnsi="宋体" w:eastAsia="宋体" w:cs="宋体"/>
          <w:color w:val="auto"/>
          <w:sz w:val="24"/>
          <w:szCs w:val="24"/>
          <w:highlight w:val="none"/>
        </w:rPr>
        <w:t xml:space="preserve">6、中小企业声明函</w:t>
      </w:r>
      <w:r/>
    </w:p>
    <w:p>
      <w:pPr>
        <w:pStyle w:val="928"/>
        <w:ind w:right="130"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郑重声明，根据《政府采购促进中小企业发展管理办法》（财库﹝2020﹞46 号）的规定，本公司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万元（注），属于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keepNext w:val="0"/>
        <w:pageBreakBefore w:val="0"/>
        <w:spacing w:line="440" w:lineRule="exact"/>
        <w:widowControl w:val="off"/>
        <w:rPr>
          <w:rFonts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rPr>
        <w:t xml:space="preserve">5、中标供应商为中小企业的，《中小企业声明函》将随中标结果同时公告。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7、残疾人福利性单位声明函</w:t>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outlineLvl w:val="0"/>
      </w:pPr>
      <w:r>
        <w:rPr>
          <w:rFonts w:ascii="宋体" w:hAnsi="宋体" w:eastAsia="宋体" w:cs="宋体"/>
          <w:color w:val="auto"/>
          <w:sz w:val="24"/>
          <w:szCs w:val="24"/>
          <w:highlight w:val="none"/>
        </w:rPr>
      </w:r>
      <w:r/>
    </w:p>
    <w:p>
      <w:pPr>
        <w:spacing w:line="360" w:lineRule="auto"/>
        <w:rPr>
          <w:rFonts w:ascii="宋体" w:hAnsi="宋体" w:eastAsia="宋体" w:cs="宋体"/>
          <w:b/>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ascii="宋体" w:hAnsi="宋体" w:eastAsia="宋体" w:cs="宋体"/>
          <w:b/>
          <w:bCs/>
          <w:color w:val="auto"/>
          <w:sz w:val="24"/>
          <w:szCs w:val="24"/>
          <w:highlight w:val="none"/>
        </w:rPr>
      </w:r>
      <w:r/>
    </w:p>
    <w:p>
      <w:pPr>
        <w:spacing w:line="360" w:lineRule="auto"/>
        <w:rPr>
          <w:rFonts w:ascii="方正魏碑_GBK" w:hAnsi="方正魏碑_GBK"/>
          <w:color w:val="auto"/>
          <w:sz w:val="24"/>
          <w:szCs w:val="24"/>
          <w:highlight w:val="none"/>
        </w:rPr>
        <w:outlineLvl w:val="0"/>
      </w:pPr>
      <w:r>
        <w:rPr>
          <w:rFonts w:hint="eastAsia" w:ascii="宋体" w:hAnsi="宋体" w:eastAsia="宋体" w:cs="宋体"/>
          <w:color w:val="auto"/>
          <w:sz w:val="24"/>
          <w:szCs w:val="24"/>
          <w:highlight w:val="none"/>
        </w:rPr>
        <w:t xml:space="preserve">8、关于符合本国产品标准的声明函（采购包号：**）</w:t>
      </w:r>
      <w:r>
        <w:rPr>
          <w:rFonts w:ascii="方正魏碑_GBK" w:hAnsi="方正魏碑_GBK"/>
          <w:color w:val="auto"/>
          <w:sz w:val="24"/>
          <w:szCs w:val="24"/>
          <w:highlight w:val="none"/>
        </w:rPr>
        <w:t xml:space="preserve"> </w:t>
      </w:r>
      <w:r/>
    </w:p>
    <w:p>
      <w:pPr>
        <w:pStyle w:val="956"/>
        <w:ind w:firstLine="420"/>
        <w:spacing w:before="0" w:after="0" w:line="360" w:lineRule="auto"/>
        <w:rPr>
          <w:rFonts w:hint="default" w:cs="宋体"/>
          <w:color w:val="auto"/>
          <w:highlight w:val="none"/>
        </w:rPr>
      </w:pPr>
      <w:r>
        <w:rPr>
          <w:rFonts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6"/>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1457325</wp:posOffset>
                </wp:positionH>
                <wp:positionV relativeFrom="paragraph">
                  <wp:posOffset>472440</wp:posOffset>
                </wp:positionV>
                <wp:extent cx="728345" cy="247650"/>
                <wp:effectExtent l="0" t="0" r="14604" b="0"/>
                <wp:wrapNone/>
                <wp:docPr id="4"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14604" b="0"/>
                <wp:wrapNone/>
                <wp:docPr id="5" name="图片 3"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4004945</wp:posOffset>
                </wp:positionH>
                <wp:positionV relativeFrom="paragraph">
                  <wp:posOffset>253365</wp:posOffset>
                </wp:positionV>
                <wp:extent cx="728345" cy="247650"/>
                <wp:effectExtent l="0" t="0" r="14604" b="0"/>
                <wp:wrapNone/>
                <wp:docPr id="6"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253365</wp:posOffset>
                </wp:positionV>
                <wp:extent cx="728345" cy="247650"/>
                <wp:effectExtent l="0" t="0" r="14604" b="0"/>
                <wp:wrapNone/>
                <wp:docPr id="7"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1821180</wp:posOffset>
                </wp:positionH>
                <wp:positionV relativeFrom="paragraph">
                  <wp:posOffset>253365</wp:posOffset>
                </wp:positionV>
                <wp:extent cx="728345" cy="247650"/>
                <wp:effectExtent l="0" t="0" r="14604" b="0"/>
                <wp:wrapNone/>
                <wp:docPr id="8"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4"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shd w:val="clear" w:color="auto" w:fill="ffffff"/>
        </w:rPr>
        <w:t xml:space="preserve">1.</w:t>
      </w:r>
      <w:r>
        <w:rPr>
          <w:rStyle w:val="1050"/>
          <w:rFonts w:hint="eastAsia" w:ascii="宋体" w:hAnsi="宋体" w:cs="宋体"/>
          <w:i w:val="0"/>
          <w:color w:val="auto"/>
          <w:highlight w:val="none"/>
          <w:u w:val="single"/>
          <w:shd w:val="clear" w:color="auto" w:fill="ffffff"/>
        </w:rPr>
        <w:t xml:space="preserve">（产品名称1）</w:t>
      </w:r>
      <w:r>
        <w:rPr>
          <w:rStyle w:val="1050"/>
          <w:rFonts w:hint="eastAsia" w:ascii="宋体" w:hAnsi="宋体" w:cs="宋体"/>
          <w:i w:val="0"/>
          <w:color w:val="auto"/>
          <w:highlight w:val="none"/>
          <w:shd w:val="clear" w:color="auto" w:fill="ffffff"/>
          <w:vertAlign w:val="superscript"/>
        </w:rPr>
        <w:t xml:space="preserve">1</w:t>
      </w:r>
      <w:r>
        <w:rPr>
          <w:rFonts w:cs="宋体"/>
          <w:color w:val="auto"/>
          <w:highlight w:val="none"/>
          <w:shd w:val="clear" w:color="auto" w:fill="ffffff"/>
        </w:rPr>
        <w:t xml:space="preserve">，生产厂为</w:t>
      </w:r>
      <w:r>
        <w:rPr>
          <w:rStyle w:val="1050"/>
          <w:rFonts w:hint="eastAsia" w:ascii="宋体" w:hAnsi="宋体" w:cs="宋体"/>
          <w:i w:val="0"/>
          <w:color w:val="auto"/>
          <w:highlight w:val="none"/>
          <w:u w:val="single"/>
          <w:shd w:val="clear" w:color="auto" w:fill="ffffff"/>
        </w:rPr>
        <w:t xml:space="preserve">（厂名）</w:t>
      </w:r>
      <w:r>
        <w:rPr>
          <w:rStyle w:val="1050"/>
          <w:rFonts w:hint="eastAsia" w:ascii="宋体" w:hAnsi="宋体" w:cs="宋体"/>
          <w:i w:val="0"/>
          <w:color w:val="auto"/>
          <w:highlight w:val="none"/>
          <w:shd w:val="clear" w:color="auto" w:fill="ffffff"/>
          <w:vertAlign w:val="superscript"/>
        </w:rPr>
        <w:t xml:space="preserve">2</w:t>
      </w:r>
      <w:r>
        <w:rPr>
          <w:rFonts w:cs="宋体"/>
          <w:color w:val="auto"/>
          <w:highlight w:val="none"/>
          <w:shd w:val="clear" w:color="auto" w:fill="ffffff"/>
        </w:rPr>
        <w:t xml:space="preserve">，厂址为</w:t>
      </w:r>
      <w:r>
        <w:rPr>
          <w:rStyle w:val="1050"/>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Fonts w:cs="宋体"/>
          <w:color w:val="auto"/>
          <w:highlight w:val="none"/>
          <w:u w:val="single"/>
          <w:shd w:val="clear" w:color="auto" w:fill="ffffff"/>
        </w:rPr>
        <w:t xml:space="preserve"> </w:t>
      </w:r>
      <w:r>
        <w:rPr>
          <w:rStyle w:val="1050"/>
          <w:rFonts w:hint="eastAsia" w:ascii="宋体" w:hAnsi="宋体" w:cs="宋体"/>
          <w:i w:val="0"/>
          <w:color w:val="auto"/>
          <w:highlight w:val="none"/>
          <w:u w:val="single"/>
          <w:shd w:val="clear" w:color="auto" w:fill="ffffff"/>
        </w:rPr>
        <w:t xml:space="preserve">（产品名称1） </w:t>
      </w:r>
      <w:r>
        <w:rPr>
          <w:rFonts w:cs="宋体"/>
          <w:color w:val="auto"/>
          <w:highlight w:val="none"/>
          <w:shd w:val="clear" w:color="auto" w:fill="ffffff"/>
        </w:rPr>
        <w:t xml:space="preserve">的中国境内生产的组件成本占比≥</w:t>
      </w:r>
      <w:r>
        <w:rPr>
          <w:rStyle w:val="1050"/>
          <w:rFonts w:hint="eastAsia" w:ascii="宋体" w:hAnsi="宋体" w:cs="宋体"/>
          <w:i w:val="0"/>
          <w:color w:val="auto"/>
          <w:highlight w:val="none"/>
          <w:u w:val="single"/>
          <w:shd w:val="clear" w:color="auto" w:fill="ffffff"/>
        </w:rPr>
        <w:t xml:space="preserve">（规定比例）</w:t>
      </w:r>
      <w:r>
        <w:rPr>
          <w:rStyle w:val="1050"/>
          <w:rFonts w:hint="eastAsia" w:ascii="宋体" w:hAnsi="宋体" w:cs="宋体"/>
          <w:i w:val="0"/>
          <w:color w:val="auto"/>
          <w:highlight w:val="none"/>
          <w:shd w:val="clear" w:color="auto" w:fill="ffffff"/>
          <w:vertAlign w:val="superscript"/>
        </w:rPr>
        <w:t xml:space="preserve">3</w:t>
      </w:r>
      <w:r>
        <w:rPr>
          <w:rFonts w:cs="宋体"/>
          <w:color w:val="auto"/>
          <w:highlight w:val="none"/>
          <w:shd w:val="clear" w:color="auto" w:fill="ffffff"/>
        </w:rPr>
        <w:t xml:space="preserve">。</w:t>
      </w:r>
      <w:r>
        <w:rPr>
          <w:rStyle w:val="1050"/>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50"/>
          <w:rFonts w:hint="eastAsia" w:ascii="宋体" w:hAnsi="宋体" w:cs="宋体"/>
          <w:i w:val="0"/>
          <w:color w:val="auto"/>
          <w:highlight w:val="none"/>
          <w:u w:val="single"/>
          <w:shd w:val="clear" w:color="auto" w:fill="ffffff"/>
        </w:rPr>
        <w:t xml:space="preserve">（关键组件）</w:t>
      </w:r>
      <w:r>
        <w:rPr>
          <w:rStyle w:val="1050"/>
          <w:rFonts w:hint="eastAsia" w:ascii="宋体" w:hAnsi="宋体" w:cs="宋体"/>
          <w:i w:val="0"/>
          <w:color w:val="auto"/>
          <w:highlight w:val="none"/>
          <w:shd w:val="clear" w:color="auto" w:fill="ffffff"/>
          <w:vertAlign w:val="superscript"/>
        </w:rPr>
        <w:t xml:space="preserve">4</w:t>
      </w:r>
      <w:r>
        <w:rPr>
          <w:rFonts w:cs="宋体"/>
          <w:color w:val="auto"/>
          <w:highlight w:val="none"/>
          <w:shd w:val="clear" w:color="auto" w:fill="ffffff"/>
        </w:rPr>
        <w:t xml:space="preserve">在中国境内生产。</w:t>
      </w:r>
      <w:r>
        <w:rPr>
          <w:rStyle w:val="1050"/>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50"/>
          <w:rFonts w:hint="eastAsia" w:ascii="宋体" w:hAnsi="宋体" w:cs="宋体"/>
          <w:i w:val="0"/>
          <w:color w:val="auto"/>
          <w:highlight w:val="none"/>
          <w:u w:val="single"/>
          <w:shd w:val="clear" w:color="auto" w:fill="ffffff"/>
        </w:rPr>
        <w:t xml:space="preserve">（关键工序）</w:t>
      </w:r>
      <w:r>
        <w:rPr>
          <w:rStyle w:val="1050"/>
          <w:rFonts w:hint="eastAsia" w:ascii="宋体" w:hAnsi="宋体" w:cs="宋体"/>
          <w:i w:val="0"/>
          <w:color w:val="auto"/>
          <w:highlight w:val="none"/>
          <w:shd w:val="clear" w:color="auto" w:fill="ffffff"/>
          <w:vertAlign w:val="superscript"/>
        </w:rPr>
        <w:t xml:space="preserve">5</w:t>
      </w:r>
      <w:r>
        <w:rPr>
          <w:rFonts w:cs="宋体"/>
          <w:color w:val="auto"/>
          <w:highlight w:val="none"/>
          <w:shd w:val="clear" w:color="auto" w:fill="ffffff"/>
        </w:rPr>
        <w:t xml:space="preserve">在中国境内完成。</w:t>
      </w:r>
      <w:r/>
    </w:p>
    <w:p>
      <w:pPr>
        <w:pStyle w:val="956"/>
        <w:ind w:firstLine="420"/>
        <w:spacing w:before="0" w:after="30" w:line="360" w:lineRule="auto"/>
        <w:rPr>
          <w:rFonts w:hint="default" w:cs="宋体"/>
          <w:color w:val="auto"/>
          <w:highlight w:val="none"/>
        </w:rPr>
      </w:pP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728980</wp:posOffset>
                </wp:positionH>
                <wp:positionV relativeFrom="paragraph">
                  <wp:posOffset>495300</wp:posOffset>
                </wp:positionV>
                <wp:extent cx="728345" cy="247650"/>
                <wp:effectExtent l="0" t="0" r="14604" b="0"/>
                <wp:wrapNone/>
                <wp:docPr id="10"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-130810</wp:posOffset>
                </wp:positionH>
                <wp:positionV relativeFrom="paragraph">
                  <wp:posOffset>495300</wp:posOffset>
                </wp:positionV>
                <wp:extent cx="728345" cy="247650"/>
                <wp:effectExtent l="0" t="0" r="14604" b="0"/>
                <wp:wrapNone/>
                <wp:docPr id="11"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3733800</wp:posOffset>
                </wp:positionH>
                <wp:positionV relativeFrom="paragraph">
                  <wp:posOffset>247650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2616835</wp:posOffset>
                </wp:positionH>
                <wp:positionV relativeFrom="paragraph">
                  <wp:posOffset>247650</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1457325</wp:posOffset>
                </wp:positionH>
                <wp:positionV relativeFrom="paragraph">
                  <wp:posOffset>247650</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descr="C:\Users\Administrator\AppData\Local\Temp\ksohtml13132\wps25.png"/>
                        <pic:cNvPicPr>
                          <a:picLocks noChangeAspect="1"/>
                        </pic:cNvPicPr>
                        <pic:nvPr/>
                      </pic:nvPicPr>
                      <pic:blipFill>
                        <a:blip r:embed="rId18"/>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8" o:title=""/>
              </v:shape>
            </w:pict>
          </mc:Fallback>
        </mc:AlternateContent>
      </w:r>
      <w:r>
        <w:rPr>
          <w:rFonts w:cs="宋体"/>
          <w:color w:val="auto"/>
          <w:highlight w:val="none"/>
          <w:shd w:val="clear" w:color="auto" w:fill="ffffff"/>
        </w:rPr>
        <w:t xml:space="preserve">2.</w:t>
      </w:r>
      <w:r>
        <w:rPr>
          <w:rStyle w:val="1050"/>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，生产厂为</w:t>
      </w:r>
      <w:r>
        <w:rPr>
          <w:rStyle w:val="1050"/>
          <w:rFonts w:hint="eastAsia" w:ascii="宋体" w:hAnsi="宋体" w:cs="宋体"/>
          <w:i w:val="0"/>
          <w:color w:val="auto"/>
          <w:highlight w:val="none"/>
          <w:u w:val="single"/>
          <w:shd w:val="clear" w:color="auto" w:fill="ffffff"/>
        </w:rPr>
        <w:t xml:space="preserve">（厂名）</w:t>
      </w:r>
      <w:r>
        <w:rPr>
          <w:rFonts w:cs="宋体"/>
          <w:color w:val="auto"/>
          <w:highlight w:val="none"/>
          <w:shd w:val="clear" w:color="auto" w:fill="ffffff"/>
        </w:rPr>
        <w:t xml:space="preserve">，厂址为</w:t>
      </w:r>
      <w:r>
        <w:rPr>
          <w:rStyle w:val="1050"/>
          <w:rFonts w:hint="eastAsia" w:ascii="宋体" w:hAnsi="宋体" w:cs="宋体"/>
          <w:i w:val="0"/>
          <w:color w:val="auto"/>
          <w:highlight w:val="none"/>
          <w:u w:val="single"/>
          <w:shd w:val="clear" w:color="auto" w:fill="ffffff"/>
        </w:rPr>
        <w:t xml:space="preserve">（生产厂址）</w:t>
      </w:r>
      <w:r>
        <w:rPr>
          <w:rFonts w:cs="宋体"/>
          <w:color w:val="auto"/>
          <w:highlight w:val="none"/>
          <w:shd w:val="clear" w:color="auto" w:fill="ffffff"/>
        </w:rPr>
        <w:t xml:space="preserve">。</w:t>
      </w:r>
      <w:r>
        <w:rPr>
          <w:rStyle w:val="1050"/>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的中国境内生产的组件成本占比≥</w:t>
      </w:r>
      <w:r>
        <w:rPr>
          <w:rStyle w:val="1050"/>
          <w:rFonts w:hint="eastAsia" w:ascii="宋体" w:hAnsi="宋体" w:cs="宋体"/>
          <w:i w:val="0"/>
          <w:color w:val="auto"/>
          <w:highlight w:val="none"/>
          <w:u w:val="single"/>
          <w:shd w:val="clear" w:color="auto" w:fill="ffffff"/>
        </w:rPr>
        <w:t xml:space="preserve">（规定比例）</w:t>
      </w:r>
      <w:r>
        <w:rPr>
          <w:rFonts w:cs="宋体"/>
          <w:color w:val="auto"/>
          <w:highlight w:val="none"/>
          <w:shd w:val="clear" w:color="auto" w:fill="ffffff"/>
        </w:rPr>
        <w:t xml:space="preserve">。</w:t>
      </w:r>
      <w:r>
        <w:rPr>
          <w:rStyle w:val="1050"/>
          <w:rFonts w:hint="eastAsia" w:ascii="宋体" w:hAnsi="宋体" w:cs="宋体"/>
          <w:i w:val="0"/>
          <w:color w:val="auto"/>
          <w:highlight w:val="none"/>
          <w:u w:val="single"/>
          <w:shd w:val="clear" w:color="auto" w:fill="ffffff"/>
        </w:rPr>
        <w:t xml:space="preserve">（产品名称2）</w:t>
      </w:r>
      <w:r>
        <w:rPr>
          <w:rFonts w:cs="宋体"/>
          <w:color w:val="auto"/>
          <w:highlight w:val="none"/>
          <w:shd w:val="clear" w:color="auto" w:fill="ffffff"/>
        </w:rPr>
        <w:t xml:space="preserve">的</w:t>
      </w:r>
      <w:r>
        <w:rPr>
          <w:rStyle w:val="1050"/>
          <w:rFonts w:hint="eastAsia" w:ascii="宋体" w:hAnsi="宋体" w:cs="宋体"/>
          <w:i w:val="0"/>
          <w:color w:val="auto"/>
          <w:highlight w:val="none"/>
          <w:u w:val="single"/>
          <w:shd w:val="clear" w:color="auto" w:fill="ffffff"/>
        </w:rPr>
        <w:t xml:space="preserve">（关键组件）</w:t>
      </w:r>
      <w:r>
        <w:rPr>
          <w:rFonts w:cs="宋体"/>
          <w:color w:val="auto"/>
          <w:highlight w:val="none"/>
          <w:shd w:val="clear" w:color="auto" w:fill="ffffff"/>
        </w:rPr>
        <w:t xml:space="preserve">在中国境内生产。</w:t>
      </w:r>
      <w:r>
        <w:rPr>
          <w:rStyle w:val="1050"/>
          <w:rFonts w:hint="eastAsia" w:ascii="宋体" w:hAnsi="宋体" w:cs="宋体"/>
          <w:i w:val="0"/>
          <w:color w:val="auto"/>
          <w:highlight w:val="none"/>
          <w:u w:val="single"/>
          <w:shd w:val="clear" w:color="auto" w:fill="ffffff"/>
        </w:rPr>
        <w:t xml:space="preserve">（产品名称1）</w:t>
      </w:r>
      <w:r>
        <w:rPr>
          <w:rFonts w:cs="宋体"/>
          <w:color w:val="auto"/>
          <w:highlight w:val="none"/>
          <w:shd w:val="clear" w:color="auto" w:fill="ffffff"/>
        </w:rPr>
        <w:t xml:space="preserve">的</w:t>
      </w:r>
      <w:r>
        <w:rPr>
          <w:rStyle w:val="1050"/>
          <w:rFonts w:hint="eastAsia" w:ascii="宋体" w:hAnsi="宋体" w:cs="宋体"/>
          <w:i w:val="0"/>
          <w:color w:val="auto"/>
          <w:highlight w:val="none"/>
          <w:u w:val="single"/>
          <w:shd w:val="clear" w:color="auto" w:fill="ffffff"/>
        </w:rPr>
        <w:t xml:space="preserve">（关键工序）</w:t>
      </w:r>
      <w:r>
        <w:rPr>
          <w:rFonts w:cs="宋体"/>
          <w:color w:val="auto"/>
          <w:highlight w:val="none"/>
          <w:shd w:val="clear" w:color="auto" w:fill="ffffff"/>
        </w:rPr>
        <w:t xml:space="preserve">在中国境内完成。</w:t>
      </w:r>
      <w:r/>
    </w:p>
    <w:p>
      <w:pPr>
        <w:pStyle w:val="956"/>
        <w:ind w:firstLine="420"/>
        <w:spacing w:before="30" w:after="30" w:line="360" w:lineRule="auto"/>
        <w:rPr>
          <w:rFonts w:hint="default" w:cs="宋体"/>
          <w:color w:val="auto"/>
          <w:highlight w:val="none"/>
        </w:rPr>
      </w:pPr>
      <w:r>
        <w:rPr>
          <w:rFonts w:cs="宋体"/>
          <w:color w:val="auto"/>
          <w:highlight w:val="none"/>
          <w:shd w:val="clear" w:color="auto" w:fill="ffffff"/>
        </w:rPr>
        <w:t xml:space="preserve">……</w:t>
      </w:r>
      <w:r/>
    </w:p>
    <w:p>
      <w:pPr>
        <w:pStyle w:val="956"/>
        <w:ind w:firstLine="420"/>
        <w:spacing w:before="30" w:after="30" w:line="360" w:lineRule="auto"/>
        <w:rPr>
          <w:rFonts w:hint="default" w:cs="宋体"/>
          <w:color w:val="auto"/>
          <w:highlight w:val="none"/>
        </w:rPr>
      </w:pPr>
      <w:r>
        <w:rPr>
          <w:rFonts w:cs="宋体"/>
          <w:color w:val="auto"/>
          <w:highlight w:val="none"/>
          <w:shd w:val="clear" w:color="auto" w:fill="ffffff"/>
        </w:rPr>
        <w:t xml:space="preserve">本公司（单位）对上述声明内容的真实性负责。如有虚假，愿承担相应法律责任。</w:t>
      </w:r>
      <w:r/>
    </w:p>
    <w:p>
      <w:pPr>
        <w:pStyle w:val="956"/>
        <w:jc w:val="right"/>
        <w:spacing w:before="30" w:after="30" w:line="360" w:lineRule="auto"/>
        <w:rPr>
          <w:rFonts w:hint="default" w:cs="宋体"/>
          <w:color w:val="auto"/>
          <w:highlight w:val="none"/>
        </w:rPr>
      </w:pPr>
      <w:r>
        <w:rPr>
          <w:rFonts w:cs="宋体"/>
          <w:color w:val="auto"/>
          <w:highlight w:val="none"/>
          <w:shd w:val="clear" w:color="auto" w:fill="ffffff"/>
        </w:rPr>
        <w:t xml:space="preserve">公司（单位）名称（盖章）：         </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日期：    年   月   日    </w:t>
      </w:r>
      <w:r/>
    </w:p>
    <w:p>
      <w:pPr>
        <w:ind w:firstLine="480"/>
        <w:spacing w:line="360" w:lineRule="auto"/>
        <w:rPr>
          <w:rFonts w:ascii="宋体" w:hAnsi="宋体" w:eastAsia="宋体"/>
          <w:bCs/>
          <w:color w:val="auto"/>
          <w:sz w:val="24"/>
          <w:szCs w:val="24"/>
          <w:highlight w:val="none"/>
        </w:rPr>
      </w:pPr>
      <w:r>
        <w:rPr>
          <w:rFonts w:hint="eastAsia" w:ascii="宋体" w:hAnsi="宋体" w:eastAsia="宋体" w:cs="宋体"/>
          <w:color w:val="auto"/>
          <w:sz w:val="24"/>
          <w:szCs w:val="24"/>
          <w:highlight w:val="none"/>
          <w:shd w:val="clear" w:color="auto" w:fill="ffffff"/>
        </w:rPr>
        <w:t xml:space="preserve">_</w:t>
      </w:r>
      <w:r>
        <w:rPr>
          <w:rFonts w:hint="eastAsia" w:ascii="宋体" w:hAnsi="宋体" w:eastAsia="宋体"/>
          <w:bCs/>
          <w:color w:val="auto"/>
          <w:sz w:val="24"/>
          <w:szCs w:val="24"/>
          <w:highlight w:val="none"/>
        </w:rPr>
        <w:t xml:space="preserve">_________________</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1.产品如有型号，请在“产品名称”栏一并填写。</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2.生产厂名与厂址应与生产厂营业执照载明的相关信息保持一致。</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3.该产品的中国境内生产的组件成本占比相关要求实施前，“规定比例”栏可不填，下同。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4.该产品的关键组件要求实施前，“关键组件”栏可不填，下同。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5.该产品的关键工序要求实施前，“关键工序”栏可不填，下同。</w:t>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6.用斜线划除的地方无需填写。</w:t>
      </w:r>
      <w:r/>
    </w:p>
    <w:p>
      <w:pPr>
        <w:spacing w:line="360" w:lineRule="auto"/>
        <w:rPr>
          <w:rFonts w:ascii="宋体" w:hAnsi="宋体" w:eastAsia="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宋体"/>
          <w:color w:val="auto"/>
          <w:sz w:val="24"/>
          <w:szCs w:val="24"/>
          <w:highlight w:val="none"/>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11" w:name="_Toc13642116"/>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苏州丝绸博物馆</w:t>
      </w:r>
      <w:r>
        <w:rPr>
          <w:rFonts w:hint="eastAsia" w:ascii="宋体" w:hAnsi="宋体" w:eastAsia="宋体" w:cs="宋体"/>
          <w:color w:val="auto"/>
          <w:sz w:val="24"/>
          <w:szCs w:val="24"/>
          <w:highlight w:val="none"/>
        </w:rPr>
        <w:t xml:space="preserve">的委托，就其所需的</w:t>
      </w:r>
      <w:r>
        <w:rPr>
          <w:rFonts w:hint="eastAsia" w:ascii="宋体" w:hAnsi="宋体" w:eastAsia="宋体" w:cs="宋体"/>
          <w:color w:val="auto"/>
          <w:sz w:val="24"/>
          <w:szCs w:val="24"/>
          <w:highlight w:val="none"/>
          <w:lang w:eastAsia="zh-CN"/>
        </w:rPr>
        <w:t xml:space="preserve">苏州丝绸博物馆可移动文物预防性保护</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的采购进行公开招标，欢迎有资格的供应商前来参加投标。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一、项目编号：</w:t>
      </w:r>
      <w:r>
        <w:rPr>
          <w:rFonts w:hint="eastAsia" w:ascii="宋体" w:hAnsi="宋体" w:eastAsia="宋体" w:cs="宋体"/>
          <w:color w:val="auto"/>
          <w:sz w:val="24"/>
          <w:szCs w:val="24"/>
          <w:highlight w:val="none"/>
          <w:lang w:eastAsia="zh-CN"/>
        </w:rPr>
        <w:t xml:space="preserve">JSZC-320500-SZZJ-G2026-0024</w:t>
      </w:r>
      <w:r>
        <w:rPr>
          <w:rFonts w:hint="eastAsia" w:ascii="宋体" w:hAnsi="宋体" w:eastAsia="宋体" w:cs="宋体"/>
          <w:color w:val="auto"/>
          <w:sz w:val="24"/>
          <w:szCs w:val="24"/>
          <w:highlight w:val="none"/>
        </w:rPr>
        <w:t xml:space="preserve">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End w:id="11"/>
      <w:r/>
      <w:bookmarkStart w:id="12" w:name="_Toc13543213"/>
      <w:r>
        <w:rPr>
          <w:rFonts w:hint="eastAsia" w:ascii="宋体" w:hAnsi="宋体" w:eastAsia="宋体" w:cs="宋体"/>
          <w:color w:val="auto"/>
          <w:sz w:val="24"/>
          <w:szCs w:val="24"/>
          <w:highlight w:val="none"/>
        </w:rPr>
        <w:t xml:space="preserve">采购需求：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主要以提升和改善博物馆古代厅、民国街展厅文物展示和藏展环境质量为目的，通过提升文物展示设备，配置主动环境调控设备等多种调控手段进行文物保存环境调控工作，建立馆藏文物保存环境调控系统，使文物保存微环境达到比较“稳定、洁净”的状态，提升该馆馆藏文物的预防性保护的能力。</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项目目标和采购内容</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1、项目设计：包括展陈文物保存设施定制、照明等本项目所涉及的所有内容的图纸设计、各类专项设计、非标准设备设计和施工图、竣工图编制等工作，以及各类专项审核、审查、各类论证等相关工作。</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2、定制设备设施：对符合项目设计要求的所有定制设备设施的采购、安装及保修期内的保修、缺陷修复等相关服务工作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柜内保护与展示设备由中标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承担，实施前需制定专项方案由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确认。</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防性保护管理服务：包括各项工作、各个专业、人员之间就可移动文物预防性保护方面的管理和协调工作，项目前、中、后期对相关展陈文物保存设施的密封性和恒湿性等的定期监测及相关手续办理、资料整理存档，配合各类专项验收及备案、项目移交，做好后续管理服务工作。</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（三）项目现状：</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本次苏州丝绸博物馆可移动文物预防性保护项目的目标展厅是古代厅</w:t>
      </w:r>
      <w:r>
        <w:rPr>
          <w:rFonts w:hint="eastAsia" w:ascii="宋体" w:hAnsi="宋体" w:eastAsia="宋体" w:cs="宋体"/>
          <w:color w:val="auto"/>
          <w:sz w:val="24"/>
          <w:szCs w:val="24"/>
          <w:highlight w:val="none"/>
          <w:lang w:val="en-US" w:eastAsia="zh-CN"/>
        </w:rPr>
        <w:t xml:space="preserve">和民国街</w:t>
      </w:r>
      <w:r>
        <w:rPr>
          <w:rFonts w:hint="eastAsia" w:ascii="宋体" w:hAnsi="宋体" w:eastAsia="宋体" w:cs="宋体"/>
          <w:color w:val="auto"/>
          <w:sz w:val="24"/>
          <w:szCs w:val="24"/>
          <w:highlight w:val="none"/>
        </w:rPr>
        <w:t xml:space="preserve">，现就具体情况说明如下：</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苏州丝绸博物馆古代厅、民国街的现有展柜由于前期设计</w:t>
      </w:r>
      <w:r>
        <w:rPr>
          <w:rFonts w:hint="eastAsia" w:ascii="宋体" w:hAnsi="宋体" w:eastAsia="宋体" w:cs="宋体"/>
          <w:color w:val="auto"/>
          <w:sz w:val="24"/>
          <w:szCs w:val="24"/>
          <w:highlight w:val="none"/>
          <w:lang w:val="en-US" w:eastAsia="zh-CN"/>
        </w:rPr>
        <w:t xml:space="preserve">缺陷</w:t>
      </w:r>
      <w:r>
        <w:rPr>
          <w:rFonts w:hint="eastAsia" w:ascii="宋体" w:hAnsi="宋体" w:eastAsia="宋体" w:cs="宋体"/>
          <w:color w:val="auto"/>
          <w:sz w:val="24"/>
          <w:szCs w:val="24"/>
          <w:highlight w:val="none"/>
          <w:lang w:eastAsia="zh-CN"/>
        </w:rPr>
        <w:t xml:space="preserve">，柜体下部结构空间局促，缺乏足够的预留位置，导致微环境调控设备无法安装与存放，使得展柜内温湿度等关键环境参数的调控工作受到极大限制，严重影响文物保存的稳定性。</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外，这些展柜因使用年限较长，密封条已经老化脱落，现有展柜密封性较差，柜体存在较大缝隙，导致展柜内微环境直接与展厅小环境相连通，容易引入外部温湿度波动、灰尘及污染物，从而威胁展陈文物的长期安全。</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在照明方面，柜内均只采用泛光照明，无法实现针对文物的重点聚焦照明，展示效果平淡；同时，通柜内现有照明光源照度过高、</w:t>
      </w:r>
      <w:r>
        <w:rPr>
          <w:rFonts w:hint="eastAsia" w:ascii="宋体" w:hAnsi="宋体" w:eastAsia="宋体" w:cs="宋体"/>
          <w:color w:val="auto"/>
          <w:sz w:val="24"/>
          <w:szCs w:val="24"/>
          <w:highlight w:val="none"/>
          <w:lang w:val="en-US" w:eastAsia="zh-CN"/>
        </w:rPr>
        <w:t xml:space="preserve">展柜本体进深过窄以及玻璃反光严重等导致柜内光照无法</w:t>
      </w:r>
      <w:r>
        <w:rPr>
          <w:rFonts w:hint="eastAsia" w:ascii="宋体" w:hAnsi="宋体" w:eastAsia="宋体" w:cs="宋体"/>
          <w:color w:val="auto"/>
          <w:sz w:val="24"/>
          <w:szCs w:val="24"/>
          <w:highlight w:val="none"/>
          <w:lang w:eastAsia="zh-CN"/>
        </w:rPr>
        <w:t xml:space="preserve">调节，</w:t>
      </w:r>
      <w:r>
        <w:rPr>
          <w:rFonts w:hint="eastAsia" w:ascii="宋体" w:hAnsi="宋体" w:eastAsia="宋体" w:cs="宋体"/>
          <w:color w:val="auto"/>
          <w:sz w:val="24"/>
          <w:szCs w:val="24"/>
          <w:highlight w:val="none"/>
          <w:lang w:val="en-US" w:eastAsia="zh-CN"/>
        </w:rPr>
        <w:t xml:space="preserve">柜外打光眩光，</w:t>
      </w:r>
      <w:r>
        <w:rPr>
          <w:rFonts w:hint="eastAsia" w:ascii="宋体" w:hAnsi="宋体" w:eastAsia="宋体" w:cs="宋体"/>
          <w:color w:val="auto"/>
          <w:sz w:val="24"/>
          <w:szCs w:val="24"/>
          <w:highlight w:val="none"/>
          <w:lang w:eastAsia="zh-CN"/>
        </w:rPr>
        <w:t xml:space="preserve">不仅无法突出文物细节，还</w:t>
      </w:r>
      <w:r>
        <w:rPr>
          <w:rFonts w:hint="eastAsia" w:ascii="宋体" w:hAnsi="宋体" w:eastAsia="宋体" w:cs="宋体"/>
          <w:color w:val="auto"/>
          <w:sz w:val="24"/>
          <w:szCs w:val="24"/>
          <w:highlight w:val="none"/>
          <w:lang w:val="en-US" w:eastAsia="zh-CN"/>
        </w:rPr>
        <w:t xml:space="preserve">会</w:t>
      </w:r>
      <w:r>
        <w:rPr>
          <w:rFonts w:hint="eastAsia" w:ascii="宋体" w:hAnsi="宋体" w:eastAsia="宋体" w:cs="宋体"/>
          <w:color w:val="auto"/>
          <w:sz w:val="24"/>
          <w:szCs w:val="24"/>
          <w:highlight w:val="none"/>
          <w:lang w:eastAsia="zh-CN"/>
        </w:rPr>
        <w:t xml:space="preserve">可能因光线过强、</w:t>
      </w:r>
      <w:r>
        <w:rPr>
          <w:rFonts w:hint="eastAsia" w:ascii="宋体" w:hAnsi="宋体" w:eastAsia="宋体" w:cs="宋体"/>
          <w:color w:val="auto"/>
          <w:sz w:val="24"/>
          <w:szCs w:val="24"/>
          <w:highlight w:val="none"/>
          <w:lang w:val="en-US" w:eastAsia="zh-CN"/>
        </w:rPr>
        <w:t xml:space="preserve">光照不均</w:t>
      </w:r>
      <w:r>
        <w:rPr>
          <w:rFonts w:hint="eastAsia" w:ascii="宋体" w:hAnsi="宋体" w:eastAsia="宋体" w:cs="宋体"/>
          <w:color w:val="auto"/>
          <w:sz w:val="24"/>
          <w:szCs w:val="24"/>
          <w:highlight w:val="none"/>
          <w:lang w:eastAsia="zh-CN"/>
        </w:rPr>
        <w:t xml:space="preserve">加速文物材质的老化</w:t>
      </w:r>
      <w:r>
        <w:rPr>
          <w:rFonts w:hint="eastAsia" w:ascii="宋体" w:hAnsi="宋体" w:eastAsia="宋体" w:cs="宋体"/>
          <w:color w:val="auto"/>
          <w:sz w:val="24"/>
          <w:szCs w:val="24"/>
          <w:highlight w:val="none"/>
          <w:lang w:val="en-US" w:eastAsia="zh-CN"/>
        </w:rPr>
        <w:t xml:space="preserve">和局部褪色</w:t>
      </w:r>
      <w:r>
        <w:rPr>
          <w:rFonts w:hint="eastAsia" w:ascii="宋体" w:hAnsi="宋体" w:eastAsia="宋体" w:cs="宋体"/>
          <w:color w:val="auto"/>
          <w:sz w:val="24"/>
          <w:szCs w:val="24"/>
          <w:highlight w:val="none"/>
          <w:lang w:eastAsia="zh-CN"/>
        </w:rPr>
        <w:t xml:space="preserve">，影响展示体验与保护要求。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（四）设计依据：</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本实施方案编制的相关法律、法规、标准等文件依据如下：</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1、《中华人民共和国文物保护法》，由中华人民共和国第十四届全国人民代表大会常务委员会第十二次会议于2024年11月8日修订通过，自2025年3月1日起施行。</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2、《中华人民共和国文物保护法实施条例》（2017 年修订），根据《中华人民共和国文物保护法》制定，2003年5月13日国务院第 8 次常务会议通过，2017年10月7日第四次修订，自2003年7月1日起施行。</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3、《“十四五”文物保护和科技创新规划》（国办发〔2021〕43号），由国务院办公厅于2021年10月28日印发实施</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4、《国家文物保护资金管理办法》（财教〔2023〕279 号），财政部、国家文物局发布，2024年1月31日起施行，原《国家重点文物保护专项补助资金管理办法》（财文〔2018〕178 号）同时废止。</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5、《馆藏文物保存环境质量检测技术规范 第1部分：指标要求》（WW/T 0016.1-2023）、《馆藏文物保存环境质量检测技术规范 第2部分：检测方法》（WW/T 0016.2-2023），国家文物局发布，2024年7月1日实施，替代原WW/T 0016-2008。</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6、《博物馆照明设计规范》（GB/T 23863-2024），国家市场监督管理总局、国家标准化管理委员会于2024年8月23日发布，2024年12月1日实施，替代原 GB/T 23863-2009。</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7、国家科技支撑计划课题《馆藏文物保存环境应用技术研究（2006BAK20B01）》和《珍贵文物保存环境控制关键技术研究（2010BAK67B15）》相关研究成果。</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8、《文物展柜基本技术要求及检测》（GB/T 36111-2018）、《文物展柜密封性能及检测》（GB/T 36110-2018），现行推荐性国家标准</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9、《关于加强馆藏文物展陈安全工作的若干意见》（江苏省文物局，2017年1月19日），现行有效。</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10、《馆藏文物展藏多功能展柜技术要求》(WW/T 0109-2020)，国家文物局 2021年6月2日发布并实施。</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11、《博物馆陈列展览形式设计与施工规范》（WW/T 0089-2018），国家文物局2019年1月31日发布，2019年6月1日实施。</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12、《江苏省 “十四五” 文化和旅游发展规划》（江苏省文物局，2021年10月15日），规划期内现行有效。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注：上述内容如有更新，</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须按照最新颁布的相关标准规范执行。</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（五）项目要求：</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（1）操作性：可由一人独立操作，展示空间、设备维护空间、照明系统空间均为独立结构，独立开启，互不干扰。</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（2）协调性：材料使用和照明系统配置等，要从文物展品的风格、特质出发，使其融入展览环境中，尽量隐形，以重点突出文物展品。</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（3）安全性：采用钢架结构以保证整体结构的可靠性；玻璃采用符合防盗标准的双层</w:t>
      </w:r>
      <w:r>
        <w:rPr>
          <w:rFonts w:hint="eastAsia" w:ascii="宋体" w:hAnsi="宋体" w:eastAsia="宋体" w:cs="宋体"/>
          <w:color w:val="auto"/>
          <w:sz w:val="24"/>
          <w:szCs w:val="24"/>
          <w:highlight w:val="none"/>
          <w:lang w:val="en-US" w:eastAsia="zh-CN"/>
        </w:rPr>
        <w:t xml:space="preserve">低反射</w:t>
      </w:r>
      <w:r>
        <w:rPr>
          <w:rFonts w:hint="eastAsia" w:ascii="宋体" w:hAnsi="宋体" w:eastAsia="宋体" w:cs="宋体"/>
          <w:color w:val="auto"/>
          <w:sz w:val="24"/>
          <w:szCs w:val="24"/>
          <w:highlight w:val="none"/>
        </w:rPr>
        <w:t xml:space="preserve">夹层玻璃；锁具采用高保安性能锁具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符合博物馆安防相关要求</w:t>
      </w:r>
      <w:r>
        <w:rPr>
          <w:rFonts w:hint="eastAsia" w:ascii="宋体" w:hAnsi="宋体" w:eastAsia="宋体" w:cs="宋体"/>
          <w:color w:val="auto"/>
          <w:sz w:val="24"/>
          <w:szCs w:val="24"/>
          <w:highlight w:val="none"/>
        </w:rPr>
        <w:t xml:space="preserve">。</w:t>
      </w:r>
      <w:r/>
    </w:p>
    <w:p>
      <w:pPr>
        <w:ind w:firstLine="470"/>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4）照明控制性能：无论采用何种照明方式，达到《博物馆照明设计规范》的要求；营造氛围，突出文物展品，兼顾辅助物品的照明；隐蔽出光点，调控照度及角度，过滤红外光、紫外光以及热量，以防对文物展品造成损害。</w:t>
      </w:r>
      <w:r>
        <w:rPr>
          <w:rFonts w:hint="eastAsia" w:ascii="宋体" w:hAnsi="宋体" w:eastAsia="宋体" w:cs="宋体"/>
          <w:color w:val="auto"/>
          <w:sz w:val="24"/>
          <w:szCs w:val="24"/>
          <w:highlight w:val="none"/>
          <w:lang w:val="en-US" w:eastAsia="zh-CN"/>
        </w:rPr>
        <w:t xml:space="preserve">同时应具有人工调控等相关功能，以满足不同文物的照度需求。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（5）耐用性：应确保结构在室内环境长期使用，不出现明显变化。</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（6）环境控制性能：应确保结构的密封性，密封性要做到空气交换率不大于0.5次/每天，以实现内部微环境的调控。</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（7）环保性：应采用惰性材料，以保证文物展品不会因为化学反应而遭到破坏；不可替</w:t>
      </w:r>
      <w:r>
        <w:rPr>
          <w:rFonts w:hint="eastAsia" w:ascii="宋体" w:hAnsi="宋体" w:eastAsia="宋体" w:cs="宋体"/>
          <w:color w:val="auto"/>
          <w:sz w:val="24"/>
          <w:szCs w:val="24"/>
          <w:highlight w:val="none"/>
        </w:rPr>
        <w:t xml:space="preserve">代的非惰性材料，如粘接胶、板材、织物等。</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（1）材料要求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①▲亚麻布甲醛含量应符合A</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A类：≤20mg/kg</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，燃烧性能应</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B1级</w:t>
      </w:r>
      <w:r>
        <w:rPr>
          <w:rFonts w:hint="eastAsia" w:ascii="宋体" w:hAnsi="宋体" w:eastAsia="宋体" w:cs="宋体"/>
          <w:color w:val="auto"/>
          <w:sz w:val="24"/>
          <w:szCs w:val="24"/>
          <w:highlight w:val="none"/>
          <w:lang w:val="en-US" w:eastAsia="zh-CN"/>
        </w:rPr>
        <w:t xml:space="preserve">要求（氧指数OI≥32.0%，损毁长度≤150mm，续燃时间≤5s，阴燃时间≤15s，燃烧滴落物未引起脱脂棉燃烧或阴燃）</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②▲内部背板、展台板等用的中密度纤维板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含水率在3.0～13.0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区间，静曲强度≥22.0MPa，内胶合强度≥0.45MPa，吸水厚度膨胀率≤12.0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，甲醛释放量≤0.025mg/m³。</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（2）空气要求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柜</w:t>
      </w:r>
      <w:r>
        <w:rPr>
          <w:rFonts w:hint="eastAsia" w:ascii="宋体" w:hAnsi="宋体" w:eastAsia="宋体" w:cs="宋体"/>
          <w:color w:val="auto"/>
          <w:sz w:val="24"/>
          <w:szCs w:val="24"/>
          <w:highlight w:val="none"/>
        </w:rPr>
        <w:t xml:space="preserve">内★甲醛</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≤100μg/m³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★甲酸</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≤100μg/m³，★乙酸</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≤250μg/m³，★挥发性有机化合物（VOCs）</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≤600μg/m³，★二氧化硫</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≤5μg/m³、★臭氧</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≤5μg/m³，★二氧化氮</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≤10μg/m³，★氨</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≤50μg/m³。</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（3）结构要求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主体结构由上箱、储藏部分、基座三部分组成，各部分独立开启、管理。骨架采用不低于 50*50*</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mm 规格的优质镀锌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管，经切割、焊接、调校、磨平，防锈处理后采用静电氟碳喷涂工艺，水平及垂直度±≤2mm，并设计有水平调节地脚装置。</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所用</w:t>
      </w:r>
      <w:r>
        <w:rPr>
          <w:rFonts w:hint="eastAsia" w:ascii="宋体" w:hAnsi="宋体" w:eastAsia="宋体" w:cs="宋体"/>
          <w:color w:val="auto"/>
          <w:sz w:val="24"/>
          <w:szCs w:val="24"/>
          <w:highlight w:val="none"/>
        </w:rPr>
        <w:t xml:space="preserve">镀锌方管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★屈服强度≥235MPa、★抗拉强度在370～560MPa</w:t>
      </w:r>
      <w:r>
        <w:rPr>
          <w:rFonts w:hint="eastAsia" w:ascii="宋体" w:hAnsi="宋体" w:eastAsia="宋体" w:cs="宋体"/>
          <w:color w:val="auto"/>
          <w:sz w:val="24"/>
          <w:szCs w:val="24"/>
          <w:highlight w:val="none"/>
          <w:lang w:val="en-US" w:eastAsia="zh-CN"/>
        </w:rPr>
        <w:t xml:space="preserve">之间</w:t>
      </w:r>
      <w:r>
        <w:rPr>
          <w:rFonts w:hint="eastAsia" w:ascii="宋体" w:hAnsi="宋体" w:eastAsia="宋体" w:cs="宋体"/>
          <w:color w:val="auto"/>
          <w:sz w:val="24"/>
          <w:szCs w:val="24"/>
          <w:highlight w:val="none"/>
        </w:rPr>
        <w:t xml:space="preserve">、★断后伸长率≥24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（4）型材要求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所使用的铝型材要求：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时效状态为T5及以上性能；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抗拉强度≥160N/mm</w:t>
      </w:r>
      <w:r>
        <w:rPr>
          <w:rFonts w:hint="eastAsia" w:ascii="宋体" w:hAnsi="宋体" w:eastAsia="宋体" w:cs="宋体"/>
          <w:color w:val="auto"/>
          <w:sz w:val="24"/>
          <w:szCs w:val="24"/>
          <w:highlight w:val="none"/>
          <w:vertAlign w:val="superscript"/>
          <w:lang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屈服强度≥110N/mm</w:t>
      </w:r>
      <w:r>
        <w:rPr>
          <w:rFonts w:hint="eastAsia" w:ascii="宋体" w:hAnsi="宋体" w:eastAsia="宋体" w:cs="宋体"/>
          <w:color w:val="auto"/>
          <w:sz w:val="24"/>
          <w:szCs w:val="24"/>
          <w:highlight w:val="none"/>
          <w:vertAlign w:val="superscript"/>
          <w:lang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断后伸长率≥8％,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维氏硬度≥58的技术要求。</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（5）饰面要求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①外饰面应采用厚度≥1.2mm的冷轧钢板</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②冷轧钢板力学性能要求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抗拉强度≥485Mpa；断后伸长率≥40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③★涂层厚度：平均涂层厚度≥70μm；</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★涂层附着力：附着力等级达到0级。</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（6）玻璃及工艺要求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①采用不低于6mm+6mm</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低反射夹层玻璃，符合馆藏、文物展陈专业的展示要求，所有夹胶玻璃在加工过程中保证无划痕、气泡、内含物、细小纹路和其它瑕疵等。</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②低反射夹层玻璃光学性能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符合★可见光透射比≥97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、★可见光反射比≤1.5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、★紫外线透射比≤1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③★低反射夹层玻璃夹胶后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耐热性试验后应无气泡或其它缺陷，落球冲击剥离性能在钢球质量为1040±10g冲击高度分别为3000和3800时中间层应未断裂、未暴露，耐辐照性试验后应无显著变色、气泡及浑浊现象。</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（7）密闭性要求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①柜内采用整体密闭型结构，密封性能良好，无漏光现象。★</w:t>
      </w:r>
      <w:r>
        <w:rPr>
          <w:rFonts w:hint="eastAsia" w:ascii="宋体" w:hAnsi="宋体" w:eastAsia="宋体" w:cs="宋体"/>
          <w:color w:val="auto"/>
          <w:sz w:val="24"/>
          <w:szCs w:val="24"/>
          <w:highlight w:val="none"/>
          <w:lang w:val="en-US" w:eastAsia="zh-CN"/>
        </w:rPr>
        <w:t xml:space="preserve">确保柜内</w:t>
      </w:r>
      <w:r>
        <w:rPr>
          <w:rFonts w:hint="eastAsia" w:ascii="宋体" w:hAnsi="宋体" w:eastAsia="宋体" w:cs="宋体"/>
          <w:color w:val="auto"/>
          <w:sz w:val="24"/>
          <w:szCs w:val="24"/>
          <w:highlight w:val="none"/>
          <w:vertAlign w:val="baseline"/>
          <w:lang w:val="en-US" w:eastAsia="zh-CN"/>
        </w:rPr>
        <w:t xml:space="preserve">的密闭性能达到换气率≤0.5d-1，便于更好地保护文物</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②密封胶条性能应满足：</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★阻燃性能：氧指数（OI）≥29.0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；★烟密度等级（SDR）≤23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★环保性能：重金属含量：汞（Hg）、铅（Pb）、镉（Cd）、六价铬（Cr⁶⁺）均 “未检出”。</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③密封胶外观无气泡、结块、结皮或凝胶，搅拌后应为细腻均匀膏状物；垂直放置下垂度≤3mm，表干时间≤3h，适用期≤10s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邵氏硬度20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60HA；拉伸粘结强度、剪切强度、定伸粘结性等全项性能满足标准规定，烷烃增塑剂不得检出。</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（8）▲开启方式</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通柜采用电动推出手动平移式开启设计，用户可通过电动控制推出</w:t>
      </w:r>
      <w:r>
        <w:rPr>
          <w:rFonts w:hint="eastAsia" w:ascii="宋体" w:hAnsi="宋体" w:eastAsia="宋体" w:cs="宋体"/>
          <w:color w:val="auto"/>
          <w:sz w:val="24"/>
          <w:szCs w:val="24"/>
          <w:highlight w:val="none"/>
          <w:lang w:val="en-US" w:eastAsia="zh-CN"/>
        </w:rPr>
        <w:t xml:space="preserve">柜门</w:t>
      </w:r>
      <w:r>
        <w:rPr>
          <w:rFonts w:hint="eastAsia" w:ascii="宋体" w:hAnsi="宋体" w:eastAsia="宋体" w:cs="宋体"/>
          <w:color w:val="auto"/>
          <w:sz w:val="24"/>
          <w:szCs w:val="24"/>
          <w:highlight w:val="none"/>
          <w:lang w:eastAsia="zh-CN"/>
        </w:rPr>
        <w:t xml:space="preserve">，再手动平移打开，操作简便且节省空间；</w:t>
      </w:r>
      <w:r>
        <w:rPr>
          <w:rFonts w:hint="eastAsia" w:ascii="宋体" w:hAnsi="宋体" w:eastAsia="宋体" w:cs="宋体"/>
          <w:color w:val="auto"/>
          <w:sz w:val="24"/>
          <w:szCs w:val="24"/>
          <w:highlight w:val="none"/>
          <w:lang w:val="en-US" w:eastAsia="zh-CN"/>
        </w:rPr>
        <w:t xml:space="preserve">同时必须保证开启方式符合博物馆安防相关要求</w:t>
      </w:r>
      <w:r>
        <w:rPr>
          <w:rFonts w:hint="eastAsia" w:ascii="宋体" w:hAnsi="宋体" w:eastAsia="宋体" w:cs="宋体"/>
          <w:color w:val="auto"/>
          <w:sz w:val="24"/>
          <w:szCs w:val="24"/>
          <w:highlight w:val="none"/>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独立柜则配备90度合页式开启机制，门扇可旋转90度完全展开，便于内部物品的存取和管理。</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（9）照明系统要求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照明系统应遵循有利于观赏展品和保护展品的原则，根据不同的展陈内容可调节照明，既要突出陈列效果，又要保护文物，达到安全可靠、经济适用、经久耐用、技术先进、节约环保、维修方便的要求；照度、亮度、眩光、视野、色温、一般显色指数、采光系数等照明设计符合《博物馆照明设计规范》。</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②灯具应采用无辐射的LED光源的照明灯具，要求显色性能高，色温适中，材料利于散热，安装便捷。</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③射灯角度可调，可</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度倾斜，360度旋转。</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④光源显色指数Ra＞90、色温≤3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00K、平均使用寿命≥50000小时。</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⑤照明装置要对文物展品有保护功能，消除红外线、紫外线等有害射线对文物展品的影响和伤害，并阻断照明热。</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⑥应具有人工调控等相关功能，以满足不同文物的照度需求。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⑦照明系统应与展示空间分开，在不开启柜门的情况下能进行维修和调整。</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环境调控系统</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w:t>
      </w:r>
      <w:r/>
    </w:p>
    <w:p>
      <w:pPr>
        <w:ind w:firstLine="47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1）净化恒湿机（小型）</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①湿度调控精度：≤±3％RH。</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②调控体积≤5m³。</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③传感器温度与湿度示值误差、测量准确性、量值溯源性等关键指标均符合校准规范与文物微环境监测精度要求；传感器经校准，温度示值误差</w:t>
      </w:r>
      <w:r>
        <w:rPr>
          <w:rFonts w:hint="eastAsia" w:ascii="宋体" w:hAnsi="宋体" w:eastAsia="宋体" w:cs="宋体"/>
          <w:color w:val="auto"/>
          <w:sz w:val="24"/>
          <w:szCs w:val="24"/>
          <w:highlight w:val="none"/>
          <w:lang w:val="en-US" w:eastAsia="zh-CN"/>
        </w:rPr>
        <w:t xml:space="preserve">不超过</w:t>
      </w:r>
      <w:r>
        <w:rPr>
          <w:rFonts w:hint="eastAsia" w:ascii="宋体" w:hAnsi="宋体" w:eastAsia="宋体" w:cs="宋体"/>
          <w:color w:val="auto"/>
          <w:sz w:val="24"/>
          <w:szCs w:val="24"/>
          <w:highlight w:val="none"/>
        </w:rPr>
        <w:t xml:space="preserve">±0.3℃，湿度示值误差控制在合理区间，扩展不确定度温度U≤0.3℃（k=2）、湿度U≤1.2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RH（k=2）。</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④额定电压：AC220V</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额定频率：50Hz。</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⑤蓄水箱容积：≤1.7L</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⑥</w:t>
      </w:r>
      <w:r>
        <w:rPr>
          <w:rFonts w:hint="eastAsia" w:ascii="宋体" w:hAnsi="宋体" w:eastAsia="宋体" w:cs="宋体"/>
          <w:color w:val="auto"/>
          <w:sz w:val="24"/>
          <w:szCs w:val="24"/>
          <w:highlight w:val="none"/>
          <w:lang w:val="en-US" w:eastAsia="zh-CN"/>
        </w:rPr>
        <w:t xml:space="preserve">最大</w:t>
      </w:r>
      <w:r>
        <w:rPr>
          <w:rFonts w:hint="eastAsia" w:ascii="宋体" w:hAnsi="宋体" w:eastAsia="宋体" w:cs="宋体"/>
          <w:color w:val="auto"/>
          <w:sz w:val="24"/>
          <w:szCs w:val="24"/>
          <w:highlight w:val="none"/>
        </w:rPr>
        <w:t xml:space="preserve">功耗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⑦★湿度调控范围：30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RH</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RH</w:t>
      </w:r>
      <w:r>
        <w:rPr>
          <w:rFonts w:hint="eastAsia" w:ascii="宋体" w:hAnsi="宋体" w:eastAsia="宋体" w:cs="宋体"/>
          <w:color w:val="auto"/>
          <w:sz w:val="24"/>
          <w:szCs w:val="24"/>
          <w:highlight w:val="none"/>
        </w:rPr>
        <w:t xml:space="preserve">（微环境密封性能会影响控制能力）</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eastAsia="宋体" w:cs="宋体"/>
          <w:color w:val="auto"/>
          <w:sz w:val="24"/>
          <w:szCs w:val="24"/>
          <w:highlight w:val="none"/>
          <w:lang w:val="en-US" w:eastAsia="zh-CN"/>
        </w:rPr>
        <w:t xml:space="preserve">分辨率：≥0.1％RH</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⑨★外壳防护等级：IP20</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⑩★设备工作噪音：设备工作噪音≤50分贝</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距离声源1m</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⑪恒定湿热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分别在15℃ 60％RH、40℃ 60％RH、22℃ 30％RH、22℃ 70％RH四种工况条件下，调节目标湿度设为50％RH时，★调湿误差≤±1％RH；★湿度波动度≤1.5％RH。</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⑫</w:t>
      </w:r>
      <w:r>
        <w:rPr>
          <w:rFonts w:hint="eastAsia" w:ascii="宋体" w:hAnsi="宋体" w:eastAsia="宋体" w:cs="宋体"/>
          <w:color w:val="auto"/>
          <w:sz w:val="24"/>
          <w:szCs w:val="24"/>
          <w:highlight w:val="none"/>
        </w:rPr>
        <w:t xml:space="preserve">无线通讯模块可配合调控设备对接网关完成局域网接入；可与监控服务器、客户端建立实时通讯；支持工作人员远程监测净化恒湿机整机运行状态；支持工作人员根据使用需求远程修改设备运行参数。</w:t>
      </w:r>
      <w:r/>
    </w:p>
    <w:p>
      <w:pPr>
        <w:ind w:firstLine="470"/>
        <w:spacing w:line="360" w:lineRule="auto"/>
        <w:rPr>
          <w:rFonts w:hint="eastAsia" w:ascii="宋体" w:hAnsi="宋体" w:eastAsia="宋体" w:cs="宋体"/>
          <w:color w:val="auto"/>
          <w:sz w:val="24"/>
          <w:szCs w:val="24"/>
          <w:highlight w:val="none"/>
          <w:lang w:eastAsia="zh-CN"/>
        </w:rPr>
      </w:pPr>
      <w:r>
        <w:rPr>
          <w:rFonts w:hint="eastAsia" w:ascii="微软雅黑" w:hAnsi="微软雅黑" w:eastAsia="微软雅黑" w:cs="微软雅黑"/>
          <w:color w:val="auto"/>
          <w:sz w:val="24"/>
          <w:szCs w:val="24"/>
          <w:highlight w:val="none"/>
        </w:rPr>
        <w:t xml:space="preserve">⑬</w:t>
      </w:r>
      <w:r>
        <w:rPr>
          <w:rFonts w:hint="eastAsia" w:ascii="宋体" w:hAnsi="宋体" w:eastAsia="宋体" w:cs="宋体"/>
          <w:color w:val="auto"/>
          <w:sz w:val="24"/>
          <w:szCs w:val="24"/>
          <w:highlight w:val="none"/>
        </w:rPr>
        <w:t xml:space="preserve">恒湿机控制系统可完成设备各项运行</w:t>
      </w:r>
      <w:r>
        <w:rPr>
          <w:rFonts w:hint="eastAsia" w:ascii="宋体" w:hAnsi="宋体" w:eastAsia="宋体" w:cs="宋体"/>
          <w:color w:val="auto"/>
          <w:sz w:val="24"/>
          <w:szCs w:val="24"/>
          <w:highlight w:val="none"/>
          <w:lang w:val="en-US" w:eastAsia="zh-CN"/>
        </w:rPr>
        <w:t xml:space="preserve">状态和</w:t>
      </w:r>
      <w:r>
        <w:rPr>
          <w:rFonts w:hint="eastAsia" w:ascii="宋体" w:hAnsi="宋体" w:eastAsia="宋体" w:cs="宋体"/>
          <w:color w:val="auto"/>
          <w:sz w:val="24"/>
          <w:szCs w:val="24"/>
          <w:highlight w:val="none"/>
        </w:rPr>
        <w:t xml:space="preserve">参数调控；恒湿机控制系统具备数据</w:t>
      </w:r>
      <w:r>
        <w:rPr>
          <w:rFonts w:hint="eastAsia" w:ascii="宋体" w:hAnsi="宋体" w:eastAsia="宋体" w:cs="宋体"/>
          <w:color w:val="auto"/>
          <w:sz w:val="24"/>
          <w:szCs w:val="24"/>
          <w:highlight w:val="none"/>
          <w:lang w:val="en-US" w:eastAsia="zh-CN"/>
        </w:rPr>
        <w:t xml:space="preserve">导出</w:t>
      </w:r>
      <w:r>
        <w:rPr>
          <w:rFonts w:hint="eastAsia" w:ascii="宋体" w:hAnsi="宋体" w:eastAsia="宋体" w:cs="宋体"/>
          <w:color w:val="auto"/>
          <w:sz w:val="24"/>
          <w:szCs w:val="24"/>
          <w:highlight w:val="none"/>
        </w:rPr>
        <w:t xml:space="preserve">功能；</w:t>
      </w:r>
      <w:r>
        <w:rPr>
          <w:rFonts w:hint="eastAsia" w:ascii="宋体" w:hAnsi="宋体" w:eastAsia="宋体" w:cs="宋体"/>
          <w:color w:val="auto"/>
          <w:sz w:val="24"/>
          <w:szCs w:val="24"/>
          <w:highlight w:val="none"/>
          <w:lang w:val="en-US" w:eastAsia="zh-CN"/>
        </w:rPr>
        <w:t xml:space="preserve">数据曲线显示</w:t>
      </w:r>
      <w:r>
        <w:rPr>
          <w:rFonts w:hint="eastAsia" w:ascii="宋体" w:hAnsi="宋体" w:eastAsia="宋体" w:cs="宋体"/>
          <w:color w:val="auto"/>
          <w:sz w:val="24"/>
          <w:szCs w:val="24"/>
          <w:highlight w:val="none"/>
        </w:rPr>
        <w:t xml:space="preserve">功能；恒湿机控制系统可将设备运行数据同步至环境监测平台。</w:t>
      </w:r>
      <w:r/>
    </w:p>
    <w:p>
      <w:pPr>
        <w:ind w:firstLine="47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2）净化恒湿机（中型）</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①湿度调控精度：≤±3％RH。</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②调控体积≤</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m³。</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传感器温度与湿度示值误差、测量准确性、量值溯源性等关键指标均符合校准规范与文物微环境监测精度要求；传感器经校准，温度示值误差≤±0.3℃，湿度示值误差控制在合理区间，扩展不确定度温度U≤0.3℃（k=2）、湿度U≤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RH（k=2），测量精准稳定、数据可靠可追溯，满足文物保存环境温湿度实时监测与高精度调控配套使用要求。</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④额定电压：AC220V</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额定频率：50Hz。</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⑤蓄水箱容积：≤</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L</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⑥</w:t>
      </w:r>
      <w:r>
        <w:rPr>
          <w:rFonts w:hint="eastAsia" w:ascii="宋体" w:hAnsi="宋体" w:eastAsia="宋体" w:cs="宋体"/>
          <w:color w:val="auto"/>
          <w:sz w:val="24"/>
          <w:szCs w:val="24"/>
          <w:highlight w:val="none"/>
          <w:lang w:val="en-US" w:eastAsia="zh-CN"/>
        </w:rPr>
        <w:t xml:space="preserve">最大</w:t>
      </w:r>
      <w:r>
        <w:rPr>
          <w:rFonts w:hint="eastAsia" w:ascii="宋体" w:hAnsi="宋体" w:eastAsia="宋体" w:cs="宋体"/>
          <w:color w:val="auto"/>
          <w:sz w:val="24"/>
          <w:szCs w:val="24"/>
          <w:highlight w:val="none"/>
        </w:rPr>
        <w:t xml:space="preserve">功耗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⑦湿度调控范围：30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RH</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RH</w:t>
      </w:r>
      <w:r>
        <w:rPr>
          <w:rFonts w:hint="eastAsia" w:ascii="宋体" w:hAnsi="宋体" w:eastAsia="宋体" w:cs="宋体"/>
          <w:color w:val="auto"/>
          <w:sz w:val="24"/>
          <w:szCs w:val="24"/>
          <w:highlight w:val="none"/>
        </w:rPr>
        <w:t xml:space="preserve">（微环境密封性能会影响控制能力）</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⑧</w:t>
      </w:r>
      <w:r>
        <w:rPr>
          <w:rFonts w:hint="eastAsia" w:ascii="宋体" w:hAnsi="宋体" w:eastAsia="宋体" w:cs="宋体"/>
          <w:color w:val="auto"/>
          <w:sz w:val="24"/>
          <w:szCs w:val="24"/>
          <w:highlight w:val="none"/>
          <w:lang w:val="en-US" w:eastAsia="zh-CN"/>
        </w:rPr>
        <w:t xml:space="preserve">分辨率：≥0.1％RH</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⑨外壳防护等级：IP20</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⑩设备工作噪音：距离声源1m，设备工作噪音≤50分贝</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⑪</w:t>
      </w:r>
      <w:r>
        <w:rPr>
          <w:rFonts w:hint="eastAsia" w:ascii="宋体" w:hAnsi="宋体" w:eastAsia="宋体" w:cs="宋体"/>
          <w:color w:val="auto"/>
          <w:sz w:val="24"/>
          <w:szCs w:val="24"/>
          <w:highlight w:val="none"/>
        </w:rPr>
        <w:t xml:space="preserve">工作稳定性：装置通电后正常工作时间不小于2d，调节目标湿度设为50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RH，调湿误差≤±1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RH；湿度调控波动度≤1.5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⑫</w:t>
      </w:r>
      <w:r>
        <w:rPr>
          <w:rFonts w:hint="eastAsia" w:ascii="宋体" w:hAnsi="宋体" w:eastAsia="宋体" w:cs="宋体"/>
          <w:color w:val="auto"/>
          <w:sz w:val="24"/>
          <w:szCs w:val="24"/>
          <w:highlight w:val="none"/>
        </w:rPr>
        <w:t xml:space="preserve">无线通讯模块，能通过调控设备控制网关接入局域网，实现同监控服务器和客户端的实时通讯；工作人员能远程对净化恒湿机的运行状态进行监测，根据需要远程修改参数</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微软雅黑" w:hAnsi="微软雅黑" w:eastAsia="微软雅黑" w:cs="微软雅黑"/>
          <w:color w:val="auto"/>
          <w:sz w:val="24"/>
          <w:szCs w:val="24"/>
          <w:highlight w:val="none"/>
        </w:rPr>
        <w:t xml:space="preserve">⑬</w:t>
      </w:r>
      <w:r>
        <w:rPr>
          <w:rFonts w:hint="eastAsia" w:ascii="宋体" w:hAnsi="宋体" w:eastAsia="宋体" w:cs="宋体"/>
          <w:color w:val="auto"/>
          <w:sz w:val="24"/>
          <w:szCs w:val="24"/>
          <w:highlight w:val="none"/>
        </w:rPr>
        <w:t xml:space="preserve">恒湿机控制系统，能够对设备的运行状态和参数进行控制，能够将数据传输到环境监测平台</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）▲无线温湿度监测终端</w:t>
      </w:r>
      <w:r>
        <w:rPr>
          <w:rFonts w:hint="eastAsia" w:ascii="宋体" w:hAnsi="宋体" w:eastAsia="宋体" w:cs="宋体"/>
          <w:color w:val="auto"/>
          <w:sz w:val="24"/>
          <w:szCs w:val="24"/>
          <w:highlight w:val="none"/>
          <w:lang w:val="en-US" w:eastAsia="zh-CN"/>
        </w:rPr>
        <w:t xml:space="preserve">要求：</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温度测量</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测量范围：-5℃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分辨率：0.1℃</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测量精确度：±0.3℃(10℃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 ±0.9℃ (10 ℃以下或 30 ℃以上)</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湿度测量</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测量范围：10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RH～90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分辨率：0.1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测量精确度：±2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RH以下或80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RH以上)</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工作时长：采用超低功耗电路设计，锂电池供电在采样周期10min情况下可以连续工作1年。</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）▲无线光照紫外线温湿度监测终端</w:t>
      </w:r>
      <w:r>
        <w:rPr>
          <w:rFonts w:hint="eastAsia" w:ascii="宋体" w:hAnsi="宋体" w:eastAsia="宋体" w:cs="宋体"/>
          <w:color w:val="auto"/>
          <w:sz w:val="24"/>
          <w:szCs w:val="24"/>
          <w:highlight w:val="none"/>
          <w:lang w:val="en-US" w:eastAsia="zh-CN"/>
        </w:rPr>
        <w:t xml:space="preserve">要求：</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温度测量</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测量范围：-5℃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分辨率：0.1℃</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测量精确度：±0.3℃(10℃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 ±0.9℃ (10 ℃以下或 30 ℃以上)</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湿度测量</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测量范围：10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RH～90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分辨率：0.1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测量精确度：±2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RH以下或80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RH以上)</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eastAsia="zh-CN"/>
        </w:rPr>
        <w:t xml:space="preserve">光照度测量：</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测量范围：0.01～5000LX；</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分辨率：0.01Lux；</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测量精确度：≤±4％。</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eastAsia="zh-CN"/>
        </w:rPr>
        <w:t xml:space="preserve">紫外线测量：</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测量范围：0.02～230μw/cm2；</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分辨率：0.01μW/cm2；</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测量精确度：≤±8％。</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eastAsia="zh-CN"/>
        </w:rPr>
        <w:t xml:space="preserve">工作时长：采用超低功耗电路设计，锂电池供电在采样周期10min情况下可以连续工作1年。</w:t>
      </w:r>
      <w:r/>
    </w:p>
    <w:p>
      <w:pPr>
        <w:ind w:firstLine="47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无线有机挥发物 VOC温湿度监测终端</w:t>
      </w:r>
      <w:r>
        <w:rPr>
          <w:rFonts w:hint="eastAsia" w:ascii="宋体" w:hAnsi="宋体" w:eastAsia="宋体" w:cs="宋体"/>
          <w:color w:val="auto"/>
          <w:sz w:val="24"/>
          <w:szCs w:val="24"/>
          <w:highlight w:val="none"/>
          <w:lang w:val="en-US" w:eastAsia="zh-CN"/>
        </w:rPr>
        <w:t xml:space="preserve">要求：</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温度测量</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测量范围:-5℃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分辨率：0.1℃</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测量精确度：±0.3℃(10℃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 ±0.9℃ (10 ℃以下或 30 ℃以上)</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湿度测量：</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测量范围：10％RH～90％RH；</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分辨率：0.1％RH；</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测量精确度：±2％RH(40％～80％RH)±4％RH(40％RH以下或80％RH以上)。</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eastAsia="zh-CN"/>
        </w:rPr>
        <w:t xml:space="preserve">VOC测量：</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测量范围：0～20ppm；</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测量精确度：0.01ppm。</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eastAsia="zh-CN"/>
        </w:rPr>
        <w:t xml:space="preserve">工作时长：采用超低功耗电路设计，锂电池供电在采样周期30min情况下可以连续工作半年。</w:t>
      </w:r>
      <w:r/>
    </w:p>
    <w:p>
      <w:pPr>
        <w:ind w:firstLine="47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）中继</w:t>
      </w:r>
      <w:r>
        <w:rPr>
          <w:rFonts w:hint="eastAsia" w:ascii="宋体" w:hAnsi="宋体" w:eastAsia="宋体" w:cs="宋体"/>
          <w:color w:val="auto"/>
          <w:sz w:val="24"/>
          <w:szCs w:val="24"/>
          <w:highlight w:val="none"/>
          <w:lang w:val="en-US" w:eastAsia="zh-CN"/>
        </w:rPr>
        <w:t xml:space="preserve">要求：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总体指标：</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使用国家无委会核准频段为398MHz</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525MHz；</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优先选择获得国家无线电发射设备型号核准证的产品</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组网方式：</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具有自组织网络的能力，能够自行搜索及加入网络；</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具有周期性心跳包，周期性向网关发送心跳包以表征工作状态；</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具有记录和上报路由信息的能力，发出的心跳包到达数据转发中继的路径能够被上位机解析，供其描绘网络拓扑关系图；</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具有链路质量侦测能力。在信号微弱或不稳定情况下，能够自行判别，并搜索和优选更优质的网络传输路径。</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数据传输：</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具有数据校验的能力。在收到数据包时，能够根据数据包的CRC信息验证数据的正确性；转发的数据包中携带CRC校验信息，在数据包被父节点收到后，上位机能验证数据的正确性；</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具有反馈能力，成功接收到数据包后，予以回复，表明成功接收状态；</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具有数据重发机制，当数据发送失败后，具有回避及重发机制。如果数据发送多次不成功，能够优选父节点，并重新发送；</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具有下行转发能力，自父节点接收下行包，并根据路由机制，转发至目标子节点；</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无线数据转发中继与上位机通过远程方式连接，可以通过多种方式如网线、3G、4G、WIFI 等连入Internet；</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发送功率≤22dBm；通讯距离大于1000米（空旷条件下）。</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供电方式：</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具有灵活的供电方式，以便灵活安装，直流低压供电与交流市电供电可选</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外壳材料：</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建议采用铝合金材质的工程机外壳</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电路板保护：</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防潮、防霉、防静电</w:t>
      </w:r>
      <w:r>
        <w:rPr>
          <w:rFonts w:hint="eastAsia" w:ascii="宋体" w:hAnsi="宋体" w:eastAsia="宋体" w:cs="宋体"/>
          <w:color w:val="auto"/>
          <w:sz w:val="24"/>
          <w:szCs w:val="24"/>
          <w:highlight w:val="none"/>
          <w:lang w:eastAsia="zh-CN"/>
        </w:rPr>
        <w:t xml:space="preserve">。</w:t>
      </w:r>
      <w:r/>
    </w:p>
    <w:p>
      <w:pPr>
        <w:ind w:firstLine="47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博物馆文物保存环境监测</w:t>
      </w:r>
      <w:r>
        <w:rPr>
          <w:rFonts w:hint="eastAsia" w:ascii="宋体" w:hAnsi="宋体" w:eastAsia="宋体" w:cs="宋体"/>
          <w:color w:val="auto"/>
          <w:sz w:val="24"/>
          <w:szCs w:val="24"/>
          <w:highlight w:val="none"/>
        </w:rPr>
        <w:t xml:space="preserve">平台</w:t>
      </w:r>
      <w:r>
        <w:rPr>
          <w:rFonts w:hint="eastAsia" w:ascii="宋体" w:hAnsi="宋体" w:eastAsia="宋体" w:cs="宋体"/>
          <w:color w:val="auto"/>
          <w:sz w:val="24"/>
          <w:szCs w:val="24"/>
          <w:highlight w:val="none"/>
          <w:lang w:val="en-US" w:eastAsia="zh-CN"/>
        </w:rPr>
        <w:t xml:space="preserve">要求：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博物馆文物保存环境监测站的博物馆环境监测平台，需要根据单位的实际情况定制博物馆环境监测平台，即该平台将针对博物馆陈列展厅、文物、博物馆等实际需要而开发。用户可通过监测平台对文物保护环境的监测指标进行实时信息监测、登录、储存、分析、评估、预警、查询、交流和管理决策。</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使用人员可以通过平台的人机界面，随时查看各文物保存环境监测点的状况，以图标或文字形式进行环境质量分析，在出现异常情况时自动向有关人员报警。</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在植入应急预案后，可以支持高效风险预控的科学管理。</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监测平台，应具有监测点位和参数设置、专业数据分析、列表或图示化显示、实时报警、历史数据查询、校正公式设置、离线检测数据登录等功能，支持“全国馆藏文物保存环境监测评估系统平台”，并具备扩展接口，能按规范扩展兼容更多成熟监测终端和调控装置无线数据等的接入。</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配套：</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专用网线1000米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6类规格网线（根据实际情况调整数量）</w:t>
      </w:r>
      <w:r>
        <w:rPr>
          <w:rFonts w:hint="eastAsia" w:ascii="宋体" w:hAnsi="宋体" w:eastAsia="宋体" w:cs="宋体"/>
          <w:color w:val="auto"/>
          <w:sz w:val="24"/>
          <w:szCs w:val="24"/>
          <w:highlight w:val="none"/>
          <w:lang w:eastAsia="zh-CN"/>
        </w:rPr>
        <w:t xml:space="preserve">；</w:t>
      </w:r>
      <w:r/>
    </w:p>
    <w:p>
      <w:pPr>
        <w:ind w:firstLine="47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布线辅料</w:t>
      </w:r>
      <w:r>
        <w:rPr>
          <w:rFonts w:hint="eastAsia" w:ascii="宋体" w:hAnsi="宋体" w:eastAsia="宋体" w:cs="宋体"/>
          <w:color w:val="auto"/>
          <w:sz w:val="24"/>
          <w:szCs w:val="24"/>
          <w:highlight w:val="none"/>
          <w:lang w:eastAsia="zh-CN"/>
        </w:rPr>
        <w:t xml:space="preserve">：穿线管，固定线卡，接线头，网线水晶头，防水胶带等。</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3、展陈文物保存设施采购内容清单：</w:t>
      </w:r>
      <w:r/>
    </w:p>
    <w:tbl>
      <w:tblPr>
        <w:tblStyle w:val="1053"/>
        <w:tblW w:w="93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57" w:type="dxa"/>
          <w:right w:w="57" w:type="dxa"/>
          <w:bottom w:w="57" w:type="dxa"/>
        </w:tblCellMar>
        <w:tblLook w:val="04A0" w:firstRow="1" w:lastRow="0" w:firstColumn="1" w:lastColumn="0" w:noHBand="0" w:noVBand="1"/>
      </w:tblPr>
      <w:tblGrid>
        <w:gridCol w:w="625"/>
        <w:gridCol w:w="675"/>
        <w:gridCol w:w="1585"/>
        <w:gridCol w:w="2190"/>
        <w:gridCol w:w="697"/>
        <w:gridCol w:w="645"/>
        <w:gridCol w:w="2891"/>
      </w:tblGrid>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位置</w:t>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规格</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古代厅</w:t>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通柜-3</w:t>
            </w:r>
            <w:r/>
          </w:p>
        </w:tc>
        <w:tc>
          <w:tcPr>
            <w:tcW w:w="219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2120*700*3450mm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通柜-4</w:t>
            </w:r>
            <w:r/>
          </w:p>
        </w:tc>
        <w:tc>
          <w:tcPr>
            <w:tcW w:w="219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2815*700*3450mm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通柜-5</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5110*700*3450mm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通柜-6</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2500*1000*3450mm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玻璃高度：2450mm，双面</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通柜-7</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3200*1000*3450mm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玻璃高度：2450mm，双面</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通柜-8</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3270*700*3450mm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通柜-9</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3815*700*3450mm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通柜-10</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2785*700*3450mm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通柜-11</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6470*850*3450mm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通柜-12、13</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15740*800*3450mm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玻璃高度：2450mm，L形</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通柜-14</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3270*700*3450mm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玻璃高度：2450mm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独立柜1-6</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600*600*2200mm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289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下箱体600mm，顶部超薄60mm，玻璃高度1540mm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独立柜7-8</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800*800*2200mm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891"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民国街</w:t>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1500*750*2690mm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玻璃高度：1690mm</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通柜</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5700*900*2680mm</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玻璃高度：1680mm，L形；双面</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W w:w="6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古代厅/民国街</w:t>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净化恒湿机（小型）</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调控体积≤5m³</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净化恒湿机（中型）</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调控体积≤10m³</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无线温湿度监测终端</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无线光照紫外线温湿度监测终端</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无线有机挥发物VOC温湿度监测终端</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中继</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只</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接收监测终端信号</w:t>
            </w:r>
            <w:r/>
          </w:p>
        </w:tc>
      </w:tr>
      <w:tr>
        <w:trPr>
          <w:jc w:val="center"/>
          <w:trHeight w:val="567"/>
        </w:trPr>
        <w:tc>
          <w:tcPr>
            <w:tcW w:w="62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675"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博物馆文物保存环境监测平台</w:t>
            </w:r>
            <w:r/>
          </w:p>
        </w:tc>
        <w:tc>
          <w:tcPr>
            <w:tcW w:w="219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69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64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89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包含平台1套+专用网线1000米+布线辅料</w:t>
            </w:r>
            <w:r/>
          </w:p>
        </w:tc>
      </w:tr>
    </w:tbl>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4、项目实施要求：</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（1）本项目实施期间不得影响采购人的正常运营开放，应设置外观具有一定美化性的围挡、悬挂等进行遮挡，并进行噪音控制。</w:t>
      </w:r>
      <w:r/>
    </w:p>
    <w:p>
      <w:pPr>
        <w:ind w:firstLine="4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（2）本项目实施期间需对相关文物展品进行提取转运，完成后再进行</w:t>
      </w:r>
      <w:r>
        <w:rPr>
          <w:rFonts w:hint="eastAsia" w:ascii="宋体" w:hAnsi="宋体" w:eastAsia="宋体" w:cs="宋体"/>
          <w:color w:val="auto"/>
          <w:sz w:val="24"/>
          <w:szCs w:val="24"/>
          <w:highlight w:val="none"/>
          <w:lang w:val="en-US" w:eastAsia="zh-CN" w:bidi="ar"/>
        </w:rPr>
        <w:t xml:space="preserve">文物</w:t>
      </w:r>
      <w:r>
        <w:rPr>
          <w:rFonts w:hint="eastAsia" w:ascii="宋体" w:hAnsi="宋体" w:eastAsia="宋体" w:cs="宋体"/>
          <w:color w:val="auto"/>
          <w:sz w:val="24"/>
          <w:szCs w:val="24"/>
          <w:highlight w:val="none"/>
        </w:rPr>
        <w:t xml:space="preserve">陈列</w:t>
      </w:r>
      <w:r>
        <w:rPr>
          <w:rFonts w:hint="eastAsia" w:ascii="宋体" w:hAnsi="宋体" w:eastAsia="宋体" w:cs="宋体"/>
          <w:color w:val="auto"/>
          <w:sz w:val="24"/>
          <w:szCs w:val="24"/>
          <w:highlight w:val="none"/>
          <w:lang w:val="en-US" w:eastAsia="zh-CN" w:bidi="ar"/>
        </w:rPr>
        <w:t xml:space="preserve">布展复原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在此过程</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须严格保障文物安全。</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本项目实施期间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应做好地面及墙体保护，遵守博物馆相关施工规定，并做好施工人员的安全培训工作，听从博物馆的相关安排。</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5、历史馆(古代厅、民国街)展品清单如下：</w:t>
      </w:r>
      <w:r/>
    </w:p>
    <w:tbl>
      <w:tblPr>
        <w:tblStyle w:val="105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700"/>
        <w:gridCol w:w="1666"/>
        <w:gridCol w:w="765"/>
        <w:gridCol w:w="2385"/>
        <w:gridCol w:w="1420"/>
      </w:tblGrid>
      <w:tr>
        <w:trPr>
          <w:jc w:val="center"/>
          <w:trHeight w:val="567"/>
        </w:trPr>
        <w:tc>
          <w:tcPr>
            <w:tcW w:w="702"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270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展品名称</w:t>
            </w:r>
            <w:r/>
          </w:p>
        </w:tc>
        <w:tc>
          <w:tcPr>
            <w:tcW w:w="1666"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年代</w:t>
            </w:r>
            <w:r/>
          </w:p>
        </w:tc>
        <w:tc>
          <w:tcPr>
            <w:tcW w:w="7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238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尺寸（cm）</w:t>
            </w:r>
            <w:r/>
          </w:p>
        </w:tc>
        <w:tc>
          <w:tcPr>
            <w:tcW w:w="142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567"/>
        </w:trPr>
        <w:tc>
          <w:tcPr>
            <w:gridSpan w:val="6"/>
            <w:tcW w:w="9638" w:type="dxa"/>
            <w:vAlign w:val="center"/>
            <w:textDirection w:val="lrTb"/>
            <w:noWrap w:val="false"/>
          </w:tcPr>
          <w:p>
            <w:pPr>
              <w:jc w:val="both"/>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一、古代厅</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打纬刀</w:t>
            </w:r>
            <w:r/>
          </w:p>
        </w:tc>
        <w:tc>
          <w:tcPr>
            <w:tcW w:w="16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现代仿新石器</w:t>
            </w:r>
            <w:r/>
          </w:p>
        </w:tc>
        <w:tc>
          <w:tcPr>
            <w:tcW w:w="76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43*4.5</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分经器</w:t>
            </w:r>
            <w:r/>
          </w:p>
        </w:tc>
        <w:tc>
          <w:tcPr>
            <w:tcW w:w="16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现代仿新石器</w:t>
            </w:r>
            <w:r/>
          </w:p>
        </w:tc>
        <w:tc>
          <w:tcPr>
            <w:tcW w:w="76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长21</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棕刷</w:t>
            </w:r>
            <w:r/>
          </w:p>
        </w:tc>
        <w:tc>
          <w:tcPr>
            <w:tcW w:w="16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现代仿新石器</w:t>
            </w:r>
            <w:r/>
          </w:p>
        </w:tc>
        <w:tc>
          <w:tcPr>
            <w:tcW w:w="76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长10.5</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骨针（复制品）</w:t>
            </w:r>
            <w:r/>
          </w:p>
        </w:tc>
        <w:tc>
          <w:tcPr>
            <w:tcW w:w="16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现代仿新石器</w:t>
            </w:r>
            <w:r/>
          </w:p>
        </w:tc>
        <w:tc>
          <w:tcPr>
            <w:tcW w:w="76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长7.4</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山顶洞人骨针（复制品）</w:t>
            </w:r>
            <w:r/>
          </w:p>
        </w:tc>
        <w:tc>
          <w:tcPr>
            <w:tcW w:w="16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现代仿新石器</w:t>
            </w:r>
            <w:r/>
          </w:p>
        </w:tc>
        <w:tc>
          <w:tcPr>
            <w:tcW w:w="76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长8.5</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蚕纹盅</w:t>
            </w:r>
            <w:r/>
          </w:p>
        </w:tc>
        <w:tc>
          <w:tcPr>
            <w:tcW w:w="16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现代仿新石器</w:t>
            </w:r>
            <w:r/>
          </w:p>
        </w:tc>
        <w:tc>
          <w:tcPr>
            <w:tcW w:w="76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直径4.5</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青玉蚕</w:t>
            </w:r>
            <w:r/>
          </w:p>
        </w:tc>
        <w:tc>
          <w:tcPr>
            <w:tcW w:w="16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现代仿商</w:t>
            </w:r>
            <w:r/>
          </w:p>
        </w:tc>
        <w:tc>
          <w:tcPr>
            <w:tcW w:w="76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2.3*0.5</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白玉蚕</w:t>
            </w:r>
            <w:r/>
          </w:p>
        </w:tc>
        <w:tc>
          <w:tcPr>
            <w:tcW w:w="16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现代仿商</w:t>
            </w:r>
            <w:r/>
          </w:p>
        </w:tc>
        <w:tc>
          <w:tcPr>
            <w:tcW w:w="76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方孔纱</w:t>
            </w:r>
            <w:r/>
          </w:p>
        </w:tc>
        <w:tc>
          <w:tcPr>
            <w:tcW w:w="16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东周（复制件）</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幅宽52</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270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lang w:val="en-US" w:eastAsia="zh-TW" w:bidi="ar-SA"/>
              </w:rPr>
              <w:t xml:space="preserve">条形几何纹锦</w:t>
            </w:r>
            <w:r/>
          </w:p>
        </w:tc>
        <w:tc>
          <w:tcPr>
            <w:tcW w:w="16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东周（复制件）</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幅宽50</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270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lang w:val="en-US" w:eastAsia="zh-TW" w:bidi="ar-SA"/>
              </w:rPr>
              <w:t xml:space="preserve">狩猎纹锦</w:t>
            </w:r>
            <w:r/>
          </w:p>
        </w:tc>
        <w:tc>
          <w:tcPr>
            <w:tcW w:w="16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东周（复制件）</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7*170</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中空斜纹斜编</w:t>
            </w:r>
            <w:r/>
          </w:p>
        </w:tc>
        <w:tc>
          <w:tcPr>
            <w:tcW w:w="16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战国（复制件）</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长137</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27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菱格六边形纹绦</w:t>
            </w:r>
            <w:r/>
          </w:p>
        </w:tc>
        <w:tc>
          <w:tcPr>
            <w:tcW w:w="16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战国（复制件）</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10.6*19</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270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凤鸟凫几何纹锦</w:t>
            </w:r>
            <w:r/>
          </w:p>
        </w:tc>
        <w:tc>
          <w:tcPr>
            <w:tcW w:w="16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战国（复制件）</w:t>
            </w:r>
            <w:r/>
          </w:p>
        </w:tc>
        <w:tc>
          <w:tcPr>
            <w:tcW w:w="7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装具：51.2*36.2</w:t>
            </w:r>
            <w:r/>
          </w:p>
        </w:tc>
        <w:tc>
          <w:tcPr>
            <w:tcW w:w="1420"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舞人动物纹锦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战国（复制件）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幅宽50</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宴乐采桑渔猎攻战纹图壶</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现代仿战国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壶高31.6，口径10.9</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塔形纹锦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战国（复制件）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幅宽50</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菱纹罗</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西汉</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约20</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对鸟纹绮</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西汉</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约20</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“五星出东方利中国锦”护膊</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东汉（复制件）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18.5×12.5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延年益寿大宜子孙锦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东汉（复制件）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幅宽52</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“王侯合昏千秋万寿宜子孙锦”被单</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东汉（复制件）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幅宽92</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缂毛织物残片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东汉</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17×5.5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黄地花树对凤纹锦残片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汉</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装具：88.4*41.2</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绿地花树纹锦残片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汉</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装具：60.3*25.4</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树纹锦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北朝（复制件）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幅宽50</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黄地灯树纹锦残片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北朝</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装具：87.2*39.4</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四骑士狩猎纹锦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现代仿唐</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49×350</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lang w:val="en-US" w:eastAsia="zh-CN" w:bidi="ar-SA"/>
              </w:rPr>
              <w:t xml:space="preserve">红地花瓣联珠对羊纹锦残片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1件套</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36×5，10×5，20×5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绿地花瓣团窠纹锦残片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16×13</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联珠团窠瑞鸟纹锦残片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34×9</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黄地小窠联珠镜花锦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4*11</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花瓣团窠对鸟纹锦残片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1件套</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23×9；18×12</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黄地小窠镜花锦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幅宽45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花瓣团窠瑞鸟衔绶锦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幅宽72</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黄地宝花团窠对鸟锦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绿地狩猎纹印花纱</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幅宽51.5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花鸟纹锦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幅宽50</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39</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浅棕地瑞花印花绢</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唐（复制件）</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幅宽54</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40</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褐色菱形罗地菩提纹绣衣残片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辽代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35×35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褐色锁纹团花纹锦残片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辽代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24.5×29</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褐色飞鸟宝相团花纹锦残片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辽代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27×27</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黄地牡丹花罗残片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南宋</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36×40</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万字牡丹暗花绮</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南宋</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27×24</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黄地凤穿牡丹绢</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52.5×19</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黄地折枝花绢</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57×25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47</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深褐色素缎孔雀盘金绣补子右衽长袍</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明代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110*210</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48</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朱红地蓝云纹缎册面</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明代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38*13</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49</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蓝地如意花卉藻井纹宋锦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197*125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朱红缎地彩绣风景花卉纹对襟女褂</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100×148</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白地绣八仙领饰</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外径35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白地盘金绣人物动物花卉风景纹云肩</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外径56</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打籽绣花钱袋</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1件套</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16×11（每件）</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石青色团龙地景纹织金妆花缎女褂</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109*148</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55</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绣寿星</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34×64</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56</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缂丝麻姑挂轴</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328×184</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57</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红地蔓草纹加金细锦</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22×37</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58</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黄地荷莲纹云锦残片</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装具：60.3*25.4</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59</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蓝色云凤纹妆花缎藏袍</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清代</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145*207</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古代厅展品</w:t>
            </w:r>
            <w:r/>
          </w:p>
        </w:tc>
      </w:tr>
      <w:tr>
        <w:trPr>
          <w:jc w:val="center"/>
          <w:trHeight w:val="567"/>
        </w:trPr>
        <w:tc>
          <w:tcPr>
            <w:gridSpan w:val="6"/>
            <w:tcW w:w="9638" w:type="dxa"/>
            <w:vAlign w:val="center"/>
            <w:textDirection w:val="lrTb"/>
            <w:noWrap w:val="false"/>
          </w:tcPr>
          <w:p>
            <w:pPr>
              <w:pStyle w:val="1054"/>
              <w:numPr>
                <w:ilvl w:val="0"/>
                <w:numId w:val="0"/>
              </w:num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二、民国街</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60</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元地紫花花累缎女袄</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65*113</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民国街展品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大红缎地绣花礼裙</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90*42</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民国街展品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青色提花绸无袖棉旗袍</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民国街展品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紫红地朵花纹印花绸长袖夹棉旗袍</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107*136</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民国街展品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绿色团花纹提花绸棉袍</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130*162</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民国街展品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65</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元色小几何纹提花葛马褂</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163*56</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民国街展品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66</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玫红梅竹暗花绸镶边女棉袄</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123*96.5</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民国街展品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67</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提花葛长袖旗袍</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1件</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124*136</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民国街展品</w:t>
            </w:r>
            <w:r/>
          </w:p>
        </w:tc>
      </w:tr>
      <w:tr>
        <w:trPr>
          <w:jc w:val="center"/>
          <w:trHeight w:val="567"/>
        </w:trPr>
        <w:tc>
          <w:tcPr>
            <w:tcW w:w="702" w:type="dxa"/>
            <w:vAlign w:val="center"/>
            <w:textDirection w:val="lrTb"/>
            <w:noWrap w:val="false"/>
          </w:tcPr>
          <w:p>
            <w:pPr>
              <w:pStyle w:val="1054"/>
              <w:numPr>
                <w:ilvl w:val="0"/>
                <w:numId w:val="0"/>
              </w:numPr>
              <w:jc w:val="center"/>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68</w:t>
            </w:r>
            <w:r/>
          </w:p>
        </w:tc>
        <w:tc>
          <w:tcPr>
            <w:tcW w:w="270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发禄袋</w:t>
            </w:r>
            <w:r/>
          </w:p>
        </w:tc>
        <w:tc>
          <w:tcPr>
            <w:tcW w:w="1666"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w:t>
            </w:r>
            <w:r/>
          </w:p>
        </w:tc>
        <w:tc>
          <w:tcPr>
            <w:tcW w:w="76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1组</w:t>
            </w:r>
            <w:r/>
          </w:p>
        </w:tc>
        <w:tc>
          <w:tcPr>
            <w:tcW w:w="2385"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3件</w:t>
            </w:r>
            <w:r/>
          </w:p>
        </w:tc>
        <w:tc>
          <w:tcPr>
            <w:tcW w:w="1420" w:type="dxa"/>
            <w:vAlign w:val="center"/>
            <w:textDirection w:val="lrTb"/>
            <w:noWrap w:val="false"/>
          </w:tcPr>
          <w:p>
            <w:pPr>
              <w:pStyle w:val="1054"/>
              <w:numPr>
                <w:ilvl w:val="0"/>
                <w:numId w:val="0"/>
              </w:num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民国街展品</w:t>
            </w:r>
            <w:r/>
          </w:p>
        </w:tc>
      </w:tr>
    </w:tbl>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）有关要求：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2、中标人须在项目实施前把详细的实施方案报送采购人审批，经批准同意后方可以组织实施。在项目实施期间中标人应遵守项目现场及采购人的各项规章制度。</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3、中标人在项目实施期间应无条件的接受采购人的监督管理，提出的质量问题要及时整改，整改完毕后通知采购人检查验收，合格后书面报送采购人备案。</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4、知识产权的要求：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（1）本项目全部知识产权均归采购人所有（独有），未经采购人书面同意，无论是否被采购人所采用中标人均不得对外发布。</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（2）采购人提供的资料文件，中标人具有保密义务。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（3）中标人为本项目而引用、收集其他社会上的文件、资料所涉及的知识产权费用和法律纠纷由中标人自行负责，由此而引起的法律纠纷以及费用须由中标人全部承担。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5、与本次采购项目有关的质量、安全问题均由中标人终生负责，相关的人员、财产责任风险均由中标人全部承担。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投标人在其投标文件中对于招标文件已提供以及未提供的货物或服务情况均须进行完整的阐述和说明，否则其投标文件将有被拒绝的可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需编制本项目的技术方案，包括但不限于：对现场实际情况和项目需求理解进一步详细说明；对展陈文物所需形成的预防性风险管理机制和预防性保护切实措施作进一步的详细说明；对与履约结果相符的保障和实现方式作详细说明；结合本项目展柜定制、文物转运、不停馆施工、文物陈列布展复原等实施要求，提供专项现场施工与文物安全保护实施方案；提供项目综合服务能力及技术方案的说明；投标人对本项目履约意愿的评价</w:t>
      </w:r>
      <w:r>
        <w:rPr>
          <w:rFonts w:hint="eastAsia" w:ascii="宋体" w:hAnsi="宋体" w:eastAsia="宋体" w:cs="宋体"/>
          <w:color w:val="auto"/>
          <w:sz w:val="24"/>
          <w:szCs w:val="24"/>
          <w:highlight w:val="none"/>
          <w:lang w:val="en-US" w:eastAsia="zh-CN"/>
        </w:rPr>
        <w:t xml:space="preserve">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5、供应商拟投入本项目的团队需具有履约能力，有服务项目人员及设备，便于项目实施。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6、供应商需有丰富的类似项目经验等内容。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7、项目地点：采购人指定地点（苏州大市范围内）。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服务要求：</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须为本项目提供每周7×24小时免费服务热线，无条件响应</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在该项目上的时间安排，并提供不低于24个月的免费质保维护期</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9、验收要求：标的物须符合我国最新</w:t>
      </w:r>
      <w:r>
        <w:rPr>
          <w:rFonts w:hint="eastAsia" w:ascii="宋体" w:hAnsi="宋体" w:eastAsia="宋体" w:cs="宋体"/>
          <w:color w:val="auto"/>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10、凡涉及招标文件的补充说明和修改，均以苏州市政府采购网上公示信息为准。</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color w:val="auto"/>
          <w:sz w:val="24"/>
          <w:szCs w:val="24"/>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第五章 合同主要条款</w:t>
      </w:r>
      <w:bookmarkEnd w:id="12"/>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lang w:eastAsia="zh-CN"/>
        </w:rPr>
        <w:t xml:space="preserve">苏州丝绸博物馆可移动文物预防性保护</w:t>
      </w:r>
      <w:r>
        <w:rPr>
          <w:rFonts w:hint="eastAsia" w:ascii="宋体" w:hAnsi="宋体" w:eastAsia="宋体" w:cs="宋体"/>
          <w:b/>
          <w:color w:val="auto"/>
          <w:sz w:val="24"/>
          <w:szCs w:val="24"/>
          <w:highlight w:val="none"/>
        </w:rPr>
        <w:t xml:space="preserve">项目</w:t>
      </w:r>
      <w:r/>
    </w:p>
    <w:p>
      <w:pPr>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项目编号：</w:t>
      </w:r>
      <w:r>
        <w:rPr>
          <w:rFonts w:hint="eastAsia" w:ascii="宋体" w:hAnsi="宋体" w:eastAsia="宋体" w:cs="宋体"/>
          <w:b/>
          <w:color w:val="auto"/>
          <w:sz w:val="24"/>
          <w:szCs w:val="24"/>
          <w:highlight w:val="none"/>
          <w:lang w:eastAsia="zh-CN"/>
        </w:rPr>
        <w:t xml:space="preserve">JSZC-320500-SZZJ-G2026-0024</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乙方（中标单位）：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lang w:eastAsia="zh-CN"/>
        </w:rPr>
        <w:t xml:space="preserve">苏州丝绸博物馆可移动文物预防性保护</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以公开招标方式进行采购，并依法确定乙方为中标</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根据《中华人民共和国民法典》和《中华人民共和国政府采购法》等有关法律法规，为明确甲方和乙方招标过程中的权利、义务和经济责任，双方遵循平等、自愿、公平和诚实信用原则，经友好协商，同意按照下面的条款和条件订立本合同，以资共同遵守。</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（一）本项目招标文件；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（二）乙方投标文件；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（四）乙方做出的有关澄清、说明或者补正文件（若有）；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（五）确定乙方的文件（包括但不限于中标通知书等）；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（六）本合同附件（若有）。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本合同项下乙方所提供的服务内容为：详见招标文件中的采购需求。</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rPr>
          <w:rFonts w:hint="eastAsia" w:ascii="宋体" w:hAnsi="宋体" w:eastAsia="宋体" w:cs="宋体"/>
          <w:bCs/>
          <w:color w:val="auto"/>
          <w:sz w:val="24"/>
          <w:szCs w:val="24"/>
          <w:highlight w:val="none"/>
        </w:rPr>
        <w:t xml:space="preserve"> </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rPr>
          <w:rFonts w:hint="eastAsia" w:ascii="宋体" w:hAnsi="宋体" w:eastAsia="宋体" w:cs="宋体"/>
          <w:b/>
          <w:color w:val="auto"/>
          <w:sz w:val="24"/>
          <w:szCs w:val="24"/>
          <w:highlight w:val="none"/>
        </w:rPr>
        <w:t xml:space="preserve">合同金额包括完成所有采购内容以及本项目所需的劳务支出、保险、配套费用、税费及服务相关等所发生的全部费用以及乙方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1、甲方根据乙方在本合同中所提供银行开户信息转账支付。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乙方银行账户如需变更，应至少于付款期限届满前10个工作日书面通知甲方，否则产生的一切责任、因变更引起的额外费用由乙方承担。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2、付款步骤：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（1）合同生效后，由甲方向乙方支付合同金额的30％作为预付款。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（2）待乙方完成全部采购内容且经甲方验收合格后，由甲方向乙方支付合同金额的65％。</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（3）待项目质保期（自验收合格之日起）满一年且经甲方确认无质量问题遗留后，由甲方向乙方支付合同金额的5％。</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注：甲方每次付款前，乙方均应当向甲方开具等额、合法的发票，否则甲方有权延迟付款且无须承担任何责任。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五、服务履行地点、期限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1、服务履行地点：</w:t>
      </w:r>
      <w:r>
        <w:rPr>
          <w:rFonts w:hint="eastAsia" w:ascii="宋体" w:hAnsi="宋体" w:eastAsia="宋体" w:cs="宋体"/>
          <w:color w:val="auto"/>
          <w:sz w:val="24"/>
          <w:szCs w:val="24"/>
          <w:highlight w:val="none"/>
        </w:rPr>
        <w:t xml:space="preserve">甲方指定地点（苏州大市范围内）</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2、服务期限：</w:t>
      </w:r>
      <w:r>
        <w:rPr>
          <w:rFonts w:hint="eastAsia" w:ascii="宋体" w:hAnsi="宋体" w:eastAsia="宋体" w:cs="宋体"/>
          <w:color w:val="auto"/>
          <w:sz w:val="24"/>
          <w:szCs w:val="28"/>
          <w:highlight w:val="none"/>
          <w:lang w:eastAsia="zh-CN"/>
        </w:rPr>
        <w:t xml:space="preserve">在2026年</w:t>
      </w:r>
      <w:r>
        <w:rPr>
          <w:rFonts w:hint="eastAsia" w:ascii="宋体" w:hAnsi="宋体" w:eastAsia="宋体" w:cs="宋体"/>
          <w:color w:val="auto"/>
          <w:sz w:val="24"/>
          <w:szCs w:val="28"/>
          <w:highlight w:val="none"/>
          <w:u w:val="none"/>
          <w:lang w:val="en-US" w:eastAsia="zh-CN"/>
        </w:rPr>
        <w:t xml:space="preserve">9</w:t>
      </w:r>
      <w:r>
        <w:rPr>
          <w:rFonts w:hint="eastAsia" w:ascii="宋体" w:hAnsi="宋体" w:eastAsia="宋体" w:cs="宋体"/>
          <w:color w:val="auto"/>
          <w:sz w:val="24"/>
          <w:szCs w:val="28"/>
          <w:highlight w:val="none"/>
          <w:lang w:eastAsia="zh-CN"/>
        </w:rPr>
        <w:t xml:space="preserve">月</w:t>
      </w:r>
      <w:r>
        <w:rPr>
          <w:rFonts w:hint="eastAsia" w:ascii="宋体" w:hAnsi="宋体" w:eastAsia="宋体" w:cs="宋体"/>
          <w:color w:val="auto"/>
          <w:sz w:val="24"/>
          <w:szCs w:val="28"/>
          <w:highlight w:val="none"/>
          <w:u w:val="none"/>
          <w:lang w:val="en-US" w:eastAsia="zh-CN"/>
        </w:rPr>
        <w:t xml:space="preserve">11</w:t>
      </w:r>
      <w:r>
        <w:rPr>
          <w:rFonts w:hint="eastAsia" w:ascii="宋体" w:hAnsi="宋体" w:eastAsia="宋体" w:cs="宋体"/>
          <w:color w:val="auto"/>
          <w:sz w:val="24"/>
          <w:szCs w:val="28"/>
          <w:highlight w:val="none"/>
          <w:lang w:eastAsia="zh-CN"/>
        </w:rPr>
        <w:t xml:space="preserve">日前完成全部采购内容</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须为本项目提供每周7×24小时免费服务热线，无条件响应</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在该项目上的时间安排，并提供24个月的免费质保维护期</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七、验收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1、验收要求参照《江苏省政府采购履约验收管理办法》相关要求执行。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2、验收标准：本合同政府采购招标文件中项目招标书的各项标准和要求。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3、任一项验收不合格的，乙方应负责在甲方限定的期限内完成整改，因整改而导致的费用和损失由乙方自行承担，若导致项目逾期的，乙方承担逾期违约责任。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4、甲方所有验收意见将以书面形式做出并加盖甲方公章，因此除非甲方书面明示通过验收，否则任何其他行为均不代表甲方已验收合格。</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八、服务质量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1、乙方应保证提供给甲方的服务完全符合本项目招标文件规定的服务标准。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3、乙方保证提供的服务符合中华人民共和国国家及行业的安全质量标准、环保标准中之较高者。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、最终知识产权归</w:t>
      </w: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所属。</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履行本项目过程中形成的所有项目成果（包括但不限于项目设计文件、施工图、竣工图、各类专项设计方案、非标准设备设计文件、定制设备设施的技术资料、预防性保护管理服务过程中产生的监测数据、分析报告、评估报告、技术要点汇编、数据库文件、阶段性成果及其草稿、源代码、底层数据成果等）的全部知识产权（包括但不限于著作权、专利申请权、数据权益等）及相关权益，自产生之日起即全部归属于</w:t>
      </w: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所有。</w:t>
      </w: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享有完全的、不受限制的专有使用权，可自行决定在任何范围、以任何方式（包括再许可、对外提供、与其他数据整合等）无偿使用、复制、修改、演绎、分发。</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九、履约保证金：无。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在合同生效后，甲方无故要求终止服务的，应向乙方偿付合同总价款的5％，作为违约金，违约金不足以补偿损失的，乙方有权要求甲方补足。</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甲方逾期付款的应按照逾期付款金额的每天万分之四支付逾期付款违约金。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甲方违反合同约定，拒绝接受乙方交付的合格服务的，应当承担乙方由此造成的损失。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乙方不能服务（逾期超过24小时视为不能服务），或服务不合格从而影响甲方按期正常使用的，甲方有权解除合同，乙方向甲方赔偿合同总价款5％的违约金，违约金不足以补偿损失的甲方有权要求乙方补足。</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乙方逾期提供服务的，应在服务前与甲方和招标代理协商，甲方仍需求的，乙方应立即提供服务并应按照逾期服务部分贷款的每天万分之四支付逾期服务违约金，同时承担甲方因此遭致的损失费用。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十一、合同的解除和转让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1、甲方和乙方协商一致，可以解除合同。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2、有下列情形之一，合同一方可以解除合同：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（2）采购文件约定的解除合同的情形。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3、政府采购合同继续履行将损害国家利益和社会公共利益，甲方有权变更、中止或者终止、解除合同。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4、乙方提交的投标材料虚假，或者乙方故意隐瞒足以导致不能中标的事实被发现的，甲方可以单方解除本合同，由此造成甲方的损失由乙方承担赔偿（包括但不限于诉讼费、合理律师费等）。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5、本合同不得以任何形式转让，否则视为乙方违约，甲方可以单方解除本合同，由此造成甲方的损失由乙方承担赔偿（包括但不限于诉讼费、合理律师费等）。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6、本合同未经甲方书面同意不得分包，否则视为乙方违约，甲方可以单方解除本合同，由此造成甲方的损失由乙方承担赔偿（包括但不限于诉讼费、合理律师费等）。</w:t>
      </w:r>
      <w:r/>
    </w:p>
    <w:p>
      <w:pPr>
        <w:pStyle w:val="981"/>
        <w:ind w:firstLine="480"/>
        <w:rPr>
          <w:rFonts w:hint="eastAsia" w:hAnsi="宋体" w:cs="宋体"/>
          <w:color w:val="auto"/>
          <w:highlight w:val="none"/>
        </w:rPr>
      </w:pPr>
      <w:r>
        <w:rPr>
          <w:rFonts w:hint="eastAsia" w:hAnsi="宋体" w:cs="宋体"/>
          <w:color w:val="auto"/>
          <w:szCs w:val="24"/>
          <w:highlight w:val="none"/>
        </w:rPr>
        <w:t xml:space="preserve">7、有权解除合同的一方，应当在违约事实或不可抗力发生之后三十天内书面通知对方以主张解除合同，合同在书面通知到达对方时解除。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4、合同各方应根据不可抗力对本合同履行的影响程度，协商确定是否终止本合同，或是继续履行本合同。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在执行过程中如遇政府征用土地或其他甲方不能预见的情形发生致使本合同无法履行，应视为不可抗力事件，甲方免责。本合同终止后甲方应支付乙方实际履行时间（天数）的服务款项（单价不予调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十三、保密条款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1、任何一方对其获知的本合同及附件中其他各方的商业秘密和国家秘密等非公开信息负有保密义务。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十四、联系方式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3、上述发出通知、回复的费用由发出一方承担。</w:t>
      </w:r>
      <w:r/>
    </w:p>
    <w:p>
      <w:pPr>
        <w:ind w:firstLine="482"/>
        <w:spacing w:line="360" w:lineRule="auto"/>
        <w:rPr>
          <w:rFonts w:hint="eastAsia" w:ascii="宋体" w:hAnsi="宋体" w:eastAsia="宋体" w:cs="宋体"/>
          <w:b/>
          <w:color w:val="auto"/>
          <w:sz w:val="24"/>
          <w:szCs w:val="24"/>
          <w:highlight w:val="none"/>
        </w:rPr>
      </w:pPr>
      <w:r/>
      <w:bookmarkStart w:id="13" w:name="_Toc51257766"/>
      <w:r/>
      <w:bookmarkStart w:id="14" w:name="_Toc9497"/>
      <w:r/>
      <w:bookmarkStart w:id="15" w:name="_Toc30329"/>
      <w:r/>
      <w:bookmarkStart w:id="16" w:name="_Toc26807"/>
      <w:r/>
      <w:bookmarkStart w:id="17" w:name="_Toc32454"/>
      <w:r/>
      <w:bookmarkStart w:id="18" w:name="_Toc18683"/>
      <w:r>
        <w:rPr>
          <w:rFonts w:hint="eastAsia" w:ascii="宋体" w:hAnsi="宋体" w:eastAsia="宋体" w:cs="宋体"/>
          <w:b/>
          <w:color w:val="auto"/>
          <w:sz w:val="24"/>
          <w:szCs w:val="24"/>
          <w:highlight w:val="none"/>
        </w:rPr>
        <w:t xml:space="preserve">十五、争议的解决</w:t>
      </w:r>
      <w:bookmarkEnd w:id="13"/>
      <w:r/>
      <w:bookmarkEnd w:id="14"/>
      <w:r/>
      <w:bookmarkEnd w:id="15"/>
      <w:r/>
      <w:bookmarkEnd w:id="16"/>
      <w:r/>
      <w:bookmarkEnd w:id="17"/>
      <w:r/>
      <w:bookmarkEnd w:id="1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与本合同有关的一切争议，双方应通过友好协商解决。如果经协商不能达成协议，可以向甲方所在地有管辖权的人民法院起诉。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十六、合同生效及其他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1、本合同经甲乙双方签字盖章之日起生效。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系指本文件及其附件中的所有部分，招标文件、中标的投标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3、本合同壹式肆份，甲乙双方各执壹份，采购代理机构贰份，具有同等法律效力。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4、本合同应按照中华人民共和国的现行法律进行解释。</w:t>
      </w:r>
      <w:r/>
    </w:p>
    <w:p>
      <w:pPr>
        <w:pStyle w:val="928"/>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乙    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名称(公章)：                              名称(公章)：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法定代表人/负责人：                       法定代表人/负责人：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或授权代理人                              或授权代理人：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（签字）                                 （签字）</w:t>
      </w:r>
      <w:r/>
    </w:p>
    <w:p>
      <w:pPr>
        <w:ind w:firstLine="480"/>
        <w:spacing w:line="360" w:lineRule="auto"/>
        <w:rPr>
          <w:rFonts w:ascii="宋体" w:hAnsi="宋体" w:eastAsia="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4"/>
          <w:szCs w:val="24"/>
          <w:highlight w:val="none"/>
        </w:rPr>
        <w:t xml:space="preserve">签订日期：                                签订日期：</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第六章 评分方法和评分标准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一、评分方法：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％（权重），技术及其他分值占总分值的比重为</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％（权重）。</w:t>
      </w:r>
      <w:r/>
    </w:p>
    <w:p>
      <w:pPr>
        <w:ind w:left="-20"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（一）价格分值：</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第二步：以满足招标文件实质性要求且投标价格最低的投标有效报价为评标基准价，其价格分为满分，即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（二）技术及其他分值：90分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在招标文件中载明的“（三）项目现状”基础上，对现场实际情况和项目需求理解进一步详细说明。上述“现场实际情况”，须以图文形式结合本项目展陈文物保存设施的实际现状和现有微环境问题（含温度、湿度及照明）进行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现场了解充分，实际情况把握准确，需求理解透彻，理解分析到位的得10分；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现场了解较好，实际情况把握较准，需求理解较清晰，理解分析较明晰的得8分；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现场了解一般，实际情况把握大致准确，需求理解基本清晰，理解分析较简单的得6分；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现场了解不足，实际情况把握有偏差，需求理解模糊，理解分析笼统的得4分；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本项最高10分，未提供内容的不得分。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2、在招标文件中载明的“（四）设计依据”基础上，对展陈文物所需形成的预防性风险管理机制和预防性保护切实措施作进一步的详细说明。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方案内容详细完整，预防性风险管理机制健全、预防性保护措施切实可行，技术措施标准规范的得8分；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方案内容较完整，预防性风险管理机制基本合理、预防性保护措施较为可行，技术措施基本规范的得6分；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方案内容简单笼统，预防性风险管理机制缺失、预防性保护措施不切实际，技术措施规范性不足的得4分；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本项最高8分，未提供内容的不得分。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3、在招标文件中载明的“</w:t>
      </w:r>
      <w:r>
        <w:rPr>
          <w:rFonts w:hint="eastAsia" w:ascii="宋体" w:hAnsi="宋体" w:eastAsia="宋体" w:cs="宋体"/>
          <w:color w:val="auto"/>
          <w:sz w:val="24"/>
          <w:szCs w:val="24"/>
          <w:highlight w:val="none"/>
        </w:rPr>
        <w:t xml:space="preserve">（五）项目要求</w:t>
      </w:r>
      <w:r>
        <w:rPr>
          <w:rFonts w:hint="eastAsia" w:ascii="宋体" w:hAnsi="宋体" w:eastAsia="宋体" w:cs="宋体"/>
          <w:color w:val="auto"/>
          <w:sz w:val="24"/>
          <w:szCs w:val="24"/>
          <w:highlight w:val="none"/>
          <w:lang w:val="en-US" w:eastAsia="zh-CN" w:bidi="ar"/>
        </w:rPr>
        <w:t xml:space="preserve">”基础上，对以下内容进行评价（最高</w:t>
      </w:r>
      <w:r>
        <w:rPr>
          <w:rFonts w:hint="eastAsia" w:ascii="宋体" w:hAnsi="宋体" w:eastAsia="宋体" w:cs="宋体"/>
          <w:color w:val="auto"/>
          <w:sz w:val="24"/>
          <w:szCs w:val="24"/>
          <w:highlight w:val="none"/>
          <w:lang w:val="en-US" w:eastAsia="zh-CN" w:bidi="ar"/>
        </w:rPr>
        <w:t xml:space="preserve">40分</w:t>
      </w:r>
      <w:r>
        <w:rPr>
          <w:rFonts w:hint="eastAsia" w:ascii="宋体" w:hAnsi="宋体" w:eastAsia="宋体" w:cs="宋体"/>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在“1、功能要求”项下，及达成招标文件所列出的各项功能要求（含：操作性；协调性；安全性；照明控制性能；耐用性；环境控制性能；环保性）的基础上，对与履约结果相符的保障和实现方式作详细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方案内容详细完整、实现方式清晰可行、针对性可行性强、保障措施标准规范的得8分；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方案内容较为完整、实现方式基本清晰、针对性可行性一般、保障措施基本规范的得6分；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方案内容简单笼统、实现方式模糊不清、针对性可行性弱、保障措施规范性不足的得4分；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本项最高8分，未提供内容不得分。</w:t>
      </w:r>
      <w:bookmarkStart w:id="19" w:name="_GoBack"/>
      <w:r/>
      <w:bookmarkEnd w:id="19"/>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在“2、技术要求”项下，须提供投标产品技术对照表（格式自拟，投标人须对照招标文件所列出的各项技术要求，在投标文件中逐条列出全部投标产品的技术参数情况，并注明“无偏离”或“负偏离”，不得遗漏）。本项最高32分，其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①在“2、技术要求”项下中的“▲”标项为实质性响应要求，不得偏离；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②在“2、技术要求”项下中的“★”标项必须提供</w:t>
      </w:r>
      <w:r>
        <w:rPr>
          <w:rFonts w:hint="eastAsia" w:ascii="宋体" w:hAnsi="宋体" w:eastAsia="宋体" w:cs="宋体"/>
          <w:color w:val="auto"/>
          <w:sz w:val="24"/>
          <w:szCs w:val="24"/>
          <w:highlight w:val="none"/>
        </w:rPr>
        <w:t xml:space="preserve">具有检测检验资质的检测机构出具的有效的检测（检验）报告</w:t>
      </w:r>
      <w:r>
        <w:rPr>
          <w:rFonts w:hint="eastAsia" w:ascii="宋体" w:hAnsi="宋体" w:eastAsia="宋体" w:cs="宋体"/>
          <w:color w:val="auto"/>
          <w:sz w:val="24"/>
          <w:szCs w:val="24"/>
          <w:highlight w:val="none"/>
          <w:lang w:val="en-US" w:eastAsia="zh-CN" w:bidi="ar"/>
        </w:rPr>
        <w:t xml:space="preserve">，并以此作为评审得分的判定依据。上述检验（检测）报告所示检验（检测）结果达到或优于“2、技术要求”项下中的“★”标项所列示的内容及要求的视为无偏离，低于的视为负偏离，每有1项负偏离扣1分，扣完为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4、结合本项目展柜定制、文物转运、不停馆施工、文物</w:t>
      </w:r>
      <w:r>
        <w:rPr>
          <w:rFonts w:hint="eastAsia" w:ascii="宋体" w:hAnsi="宋体" w:eastAsia="宋体" w:cs="宋体"/>
          <w:color w:val="auto"/>
          <w:sz w:val="24"/>
          <w:szCs w:val="24"/>
          <w:highlight w:val="none"/>
        </w:rPr>
        <w:t xml:space="preserve">陈列</w:t>
      </w:r>
      <w:r>
        <w:rPr>
          <w:rFonts w:hint="eastAsia" w:ascii="宋体" w:hAnsi="宋体" w:eastAsia="宋体" w:cs="宋体"/>
          <w:color w:val="auto"/>
          <w:sz w:val="24"/>
          <w:szCs w:val="24"/>
          <w:highlight w:val="none"/>
          <w:lang w:val="en-US" w:eastAsia="zh-CN" w:bidi="ar"/>
        </w:rPr>
        <w:t xml:space="preserve">布展复原等实施要求，提供专项现场施工与文物安全保护实施方案。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方案内容详细完整、针对性可行性强、技术措施标准规范的得8分；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方案内容较为完整、针对性可行性一般、技术措施基本规范的6分；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方案内容简单笼统、针对性可行性弱、技术措施规范性不足的4分；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本项最高8分，未提供内容的不得分。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5、提供项目综合服务能力及技术方案的说明，须包括但不限于服务理念、文物保护专项服务经验、整体服务配套规划、售后保障、项目重点难点应对预案等。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方案内容详细完整、针对性可行性强、技术措施标准规范，且应对</w:t>
      </w:r>
      <w:r>
        <w:rPr>
          <w:rFonts w:hint="eastAsia" w:ascii="宋体" w:hAnsi="宋体" w:eastAsia="宋体" w:cs="宋体"/>
          <w:color w:val="auto"/>
          <w:sz w:val="24"/>
          <w:szCs w:val="24"/>
          <w:highlight w:val="none"/>
          <w:lang w:val="en-US" w:eastAsia="zh-CN" w:bidi="ar"/>
        </w:rPr>
        <w:t xml:space="preserve">预案充分、保障措施有力的8分；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方案内容较为完整、针对性可行性一般、技术措施基本规范，且应对预案较为充分、保障措施基本到位的得6分；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方案内容简单笼统、针对性可行性弱、技术措施规范性不足，且应对预案缺失、保障措施不到位的得4分；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本项最高8分，未提供内容不得分。</w:t>
      </w:r>
      <w:r/>
    </w:p>
    <w:p>
      <w:pPr>
        <w:numPr>
          <w:ilvl w:val="0"/>
          <w:numId w:val="0"/>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投标人对本项目履约意愿的评价，含：①提供针对本项目实施的服务人员管理制度说明；②结合招标文件的付款约定，提供针对本项目的财务收支管理办法；③提供与本项目相符且合理的工期计划。</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详实完整，上述3项要求均逐条对应且资料齐全；人员管理制度与实际项目匹配度高，职责分工明确；财务收支管理办法严格响应招标文件付款约定，资金保障措施可操作；工期计划逻辑清晰、节点合理，与项目需求高度契合的得8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方案内容较为完整，上述3项要求均有覆盖；人员管理制度、财务收支办法及工期计划与项目基本相符，但针对性或细节深度一般，部分环节论证不够充分的得6分；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方案内容基本覆盖上述3项要求，但描述偏笼统，针对性不足；证明材料有缺项；财务收支对付款约定响应不清晰，或工期计划部分节点欠合理，整体可执行性一般的得4分；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方案内容简单笼统，仅对上述3项要求做原则性描述或仅覆盖部分项；证明材料缺失；财务收支与付款约定脱节，工期计划与项目实际不符，整体可操作性差的得2分。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本项最高8分，未提供内容的不得分。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投标人具备</w:t>
      </w:r>
      <w:r>
        <w:rPr>
          <w:rFonts w:hint="eastAsia" w:ascii="宋体" w:hAnsi="宋体" w:eastAsia="宋体" w:cs="宋体"/>
          <w:color w:val="auto"/>
          <w:sz w:val="24"/>
          <w:szCs w:val="24"/>
          <w:highlight w:val="none"/>
          <w:lang w:val="en-US" w:eastAsia="zh-CN" w:bidi="ar"/>
        </w:rPr>
        <w:t xml:space="preserve">在有效期内的：质量管理体系认证证书的得1分；环境管理体系认证证书的得1分；职业健康安全管理体系认证证书的得1分。本项最高3分，上述证书覆盖范围应与本项目相关且须提供中国国家认证认可监督管理委员会网站查询页面完整截图，否则对应内容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8、提供由</w:t>
      </w:r>
      <w:r>
        <w:rPr>
          <w:rFonts w:hint="eastAsia" w:ascii="宋体" w:hAnsi="宋体" w:eastAsia="宋体" w:cs="宋体"/>
          <w:color w:val="auto"/>
          <w:sz w:val="24"/>
          <w:szCs w:val="24"/>
          <w:highlight w:val="none"/>
          <w:lang w:val="en-US" w:eastAsia="zh-CN" w:bidi="ar"/>
        </w:rPr>
        <w:t xml:space="preserve">投标人</w:t>
      </w:r>
      <w:r>
        <w:rPr>
          <w:rFonts w:hint="eastAsia" w:ascii="宋体" w:hAnsi="宋体" w:eastAsia="宋体" w:cs="宋体"/>
          <w:color w:val="auto"/>
          <w:sz w:val="24"/>
          <w:szCs w:val="24"/>
          <w:highlight w:val="none"/>
          <w:lang w:val="en-US" w:eastAsia="zh-CN" w:bidi="ar"/>
        </w:rPr>
        <w:t xml:space="preserve">独立承担（非联合体）的类似项目业绩，每有一个得1分，最高5分。</w:t>
      </w:r>
      <w:r>
        <w:rPr>
          <w:rFonts w:hint="eastAsia" w:ascii="宋体" w:hAnsi="宋体" w:eastAsia="宋体" w:cs="宋体"/>
          <w:color w:val="auto"/>
          <w:sz w:val="24"/>
          <w:szCs w:val="24"/>
          <w:highlight w:val="none"/>
          <w:lang w:val="en-US" w:eastAsia="zh-CN" w:bidi="ar"/>
        </w:rPr>
        <w:t xml:space="preserve">投标文件</w:t>
      </w:r>
      <w:r>
        <w:rPr>
          <w:rFonts w:hint="eastAsia" w:ascii="宋体" w:hAnsi="宋体" w:eastAsia="宋体" w:cs="宋体"/>
          <w:color w:val="auto"/>
          <w:sz w:val="24"/>
          <w:szCs w:val="24"/>
          <w:highlight w:val="none"/>
          <w:lang w:val="en-US" w:eastAsia="zh-CN" w:bidi="ar"/>
        </w:rPr>
        <w:t xml:space="preserve">中必</w:t>
      </w:r>
      <w:r>
        <w:rPr>
          <w:rFonts w:hint="eastAsia" w:ascii="宋体" w:hAnsi="宋体" w:eastAsia="宋体" w:cs="宋体"/>
          <w:color w:val="auto"/>
          <w:sz w:val="24"/>
          <w:szCs w:val="24"/>
          <w:highlight w:val="none"/>
          <w:lang w:val="en-US" w:eastAsia="zh-CN"/>
        </w:rPr>
        <w:t xml:space="preserve">须提供采购合同复印件及对应的任意一期发票复印件</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否则对应内容不得分。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w:t>
      </w:r>
      <w:r>
        <w:rPr>
          <w:rFonts w:hint="eastAsia" w:ascii="宋体" w:hAnsi="宋体" w:eastAsia="宋体" w:cs="宋体"/>
          <w:color w:val="auto"/>
          <w:sz w:val="24"/>
          <w:szCs w:val="24"/>
          <w:highlight w:val="none"/>
        </w:rPr>
        <w:t xml:space="preserve">其他评审未尽事宜由评审委员会根据有关规定讨论决定。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ascii="宋体" w:hAnsi="宋体" w:eastAsia="宋体" w:cs="宋体"/>
          <w:bCs/>
          <w:color w:val="auto"/>
          <w:sz w:val="24"/>
          <w:highlight w:val="none"/>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（1）本项目专门面向中小企业采购。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highlight w:val="none"/>
        </w:rPr>
        <w:t xml:space="preserve">其他未列明行业。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36"/>
          <w:rFonts w:hint="eastAsia" w:ascii="宋体" w:hAnsi="宋体" w:eastAsia="宋体" w:cs="宋体"/>
          <w:bCs/>
          <w:color w:val="auto"/>
          <w:sz w:val="24"/>
          <w:szCs w:val="24"/>
          <w:highlight w:val="none"/>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5、上述针对中小型企业、监狱企业和残疾人福利性单位的评审政策不重复享受。</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6、实施本国产品标准及相关政策：</w:t>
      </w:r>
      <w:r/>
    </w:p>
    <w:p>
      <w:pPr>
        <w:ind w:firstLine="422"/>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（5）供应商需按照采购文件的要求提供《关于符合本国产品标准的声明函》（以下简称《声明函》）或财政部会同有关部门规定的有关证明文件的，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ascii="宋体" w:hAnsi="宋体" w:eastAsia="宋体" w:cs="宋体"/>
          <w:b/>
          <w:color w:val="auto"/>
          <w:sz w:val="24"/>
          <w:szCs w:val="24"/>
          <w:highlight w:val="none"/>
        </w:rPr>
        <w:t xml:space="preserve">供应商提供的相关产品视为不符合本国产品标准。</w:t>
      </w:r>
      <w:r/>
    </w:p>
    <w:p>
      <w:pPr>
        <w:jc w:val="righ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（全文完）</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微软雅黑">
    <w:panose1 w:val="020B0503020204020204"/>
  </w:font>
  <w:font w:name="Calibri">
    <w:panose1 w:val="020F0502020204030204"/>
  </w:font>
  <w:font w:name="华文细黑">
    <w:panose1 w:val="02010600040101010101"/>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64"/>
      </w:rPr>
      <w:framePr w:wrap="around" w:vAnchor="text" w:hAnchor="margin" w:xAlign="right" w:y="1"/>
    </w:pPr>
    <w:r>
      <w:fldChar w:fldCharType="begin"/>
    </w:r>
    <w:r>
      <w:rPr>
        <w:rStyle w:val="964"/>
      </w:rPr>
      <w:instrText xml:space="preserve">PAGE  </w:instrText>
    </w:r>
    <w:r>
      <w:fldChar w:fldCharType="end"/>
    </w:r>
    <w:r/>
  </w:p>
  <w:p>
    <w:pPr>
      <w:pStyle w:val="94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40"/>
                          </w:pPr>
                          <w:r>
                            <w:fldChar w:fldCharType="begin"/>
                          </w:r>
                          <w:r>
                            <w:instrText xml:space="preserve"> PAGE  \* MERGEFORMAT </w:instrText>
                          </w:r>
                          <w:r>
                            <w:fldChar w:fldCharType="separate"/>
                          </w:r>
                          <w:r>
                            <w:t xml:space="preserve">42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right="360"/>
      <w:rPr>
        <w:rFonts w:ascii="宋体" w:hAnsi="宋体" w:eastAsia="宋体" w:cs="宋体"/>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45</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rPr>
                        <w:rFonts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 xml:space="preserve">45</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rPr>
        <w:rFonts w:ascii="宋体" w:hAnsi="宋体" w:eastAsia="宋体" w:cs="宋体"/>
        <w:sz w:val="21"/>
        <w:szCs w:val="21"/>
      </w:rPr>
    </w:pPr>
    <w:r>
      <w:rPr>
        <w:rFonts w:hint="eastAsia" w:ascii="宋体" w:hAnsi="宋体" w:eastAsia="宋体" w:cs="宋体"/>
        <w:sz w:val="21"/>
        <w:szCs w:val="21"/>
      </w:rPr>
      <w:t xml:space="preserve">政府采购招标文件                                     项目编号：</w:t>
    </w:r>
    <w:r>
      <w:rPr>
        <w:rFonts w:hint="eastAsia" w:ascii="宋体" w:hAnsi="宋体" w:eastAsia="宋体" w:cs="宋体"/>
        <w:sz w:val="21"/>
        <w:szCs w:val="21"/>
        <w:lang w:eastAsia="zh-CN"/>
      </w:rPr>
      <w:t xml:space="preserve">JSZC-320500-SZZJ-G2026-0024</w:t>
    </w:r>
    <w:r>
      <w:rPr>
        <w:rFonts w:hint="eastAsia" w:ascii="宋体" w:hAnsi="宋体" w:eastAsia="宋体" w:cs="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pStyle w:val="99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4"/>
      <w:isLgl w:val="false"/>
      <w:suff w:val="tab"/>
      <w:lvlText w:val="%1.%2.%3.%4.%5"/>
      <w:lvlJc w:val="left"/>
      <w:pPr>
        <w:ind w:left="1008" w:hanging="1008"/>
        <w:tabs>
          <w:tab w:val="left" w:pos="1008" w:leader="none"/>
        </w:tabs>
      </w:pPr>
    </w:lvl>
    <w:lvl w:ilvl="5">
      <w:start w:val="1"/>
      <w:numFmt w:val="decimal"/>
      <w:pStyle w:val="915"/>
      <w:isLgl w:val="false"/>
      <w:suff w:val="tab"/>
      <w:lvlText w:val="%1.%2.%3.%4.%5.%6"/>
      <w:lvlJc w:val="left"/>
      <w:pPr>
        <w:ind w:left="1152" w:hanging="1152"/>
        <w:tabs>
          <w:tab w:val="left" w:pos="1152" w:leader="none"/>
        </w:tabs>
      </w:pPr>
    </w:lvl>
    <w:lvl w:ilvl="6">
      <w:start w:val="1"/>
      <w:numFmt w:val="decimal"/>
      <w:pStyle w:val="916"/>
      <w:isLgl w:val="false"/>
      <w:suff w:val="tab"/>
      <w:lvlText w:val="%1.%2.%3.%4.%5.%6.%7"/>
      <w:lvlJc w:val="left"/>
      <w:pPr>
        <w:ind w:left="1296" w:hanging="1296"/>
        <w:tabs>
          <w:tab w:val="left" w:pos="1296" w:leader="none"/>
        </w:tabs>
      </w:pPr>
    </w:lvl>
    <w:lvl w:ilvl="7">
      <w:start w:val="1"/>
      <w:numFmt w:val="decimal"/>
      <w:pStyle w:val="917"/>
      <w:isLgl w:val="false"/>
      <w:suff w:val="tab"/>
      <w:lvlText w:val="%1.%2.%3.%4.%5.%6.%7.%8"/>
      <w:lvlJc w:val="left"/>
      <w:pPr>
        <w:ind w:left="1440" w:hanging="1440"/>
        <w:tabs>
          <w:tab w:val="left" w:pos="1440" w:leader="none"/>
        </w:tabs>
      </w:pPr>
    </w:lvl>
    <w:lvl w:ilvl="8">
      <w:start w:val="1"/>
      <w:numFmt w:val="decimal"/>
      <w:pStyle w:val="918"/>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19"/>
    <w:link w:val="910"/>
    <w:uiPriority w:val="9"/>
    <w:rPr>
      <w:rFonts w:ascii="Arial" w:hAnsi="Arial" w:eastAsia="Arial" w:cs="Arial"/>
      <w:sz w:val="40"/>
      <w:szCs w:val="40"/>
    </w:rPr>
  </w:style>
  <w:style w:type="character" w:styleId="759">
    <w:name w:val="Heading 2 Char"/>
    <w:basedOn w:val="919"/>
    <w:link w:val="911"/>
    <w:uiPriority w:val="9"/>
    <w:rPr>
      <w:rFonts w:ascii="Arial" w:hAnsi="Arial" w:eastAsia="Arial" w:cs="Arial"/>
      <w:sz w:val="34"/>
    </w:rPr>
  </w:style>
  <w:style w:type="character" w:styleId="760">
    <w:name w:val="Heading 3 Char"/>
    <w:basedOn w:val="919"/>
    <w:link w:val="912"/>
    <w:uiPriority w:val="9"/>
    <w:rPr>
      <w:rFonts w:ascii="Arial" w:hAnsi="Arial" w:eastAsia="Arial" w:cs="Arial"/>
      <w:sz w:val="30"/>
      <w:szCs w:val="30"/>
    </w:rPr>
  </w:style>
  <w:style w:type="character" w:styleId="761">
    <w:name w:val="Heading 4 Char"/>
    <w:basedOn w:val="919"/>
    <w:link w:val="978"/>
    <w:uiPriority w:val="9"/>
    <w:rPr>
      <w:rFonts w:ascii="Arial" w:hAnsi="Arial" w:eastAsia="Arial" w:cs="Arial"/>
      <w:b/>
      <w:bCs/>
      <w:sz w:val="26"/>
      <w:szCs w:val="26"/>
    </w:rPr>
  </w:style>
  <w:style w:type="character" w:styleId="762">
    <w:name w:val="Heading 5 Char"/>
    <w:basedOn w:val="919"/>
    <w:link w:val="914"/>
    <w:uiPriority w:val="9"/>
    <w:rPr>
      <w:rFonts w:ascii="Arial" w:hAnsi="Arial" w:eastAsia="Arial" w:cs="Arial"/>
      <w:b/>
      <w:bCs/>
      <w:sz w:val="24"/>
      <w:szCs w:val="24"/>
    </w:rPr>
  </w:style>
  <w:style w:type="character" w:styleId="763">
    <w:name w:val="Heading 6 Char"/>
    <w:basedOn w:val="919"/>
    <w:link w:val="915"/>
    <w:uiPriority w:val="9"/>
    <w:rPr>
      <w:rFonts w:ascii="Arial" w:hAnsi="Arial" w:eastAsia="Arial" w:cs="Arial"/>
      <w:b/>
      <w:bCs/>
      <w:sz w:val="22"/>
      <w:szCs w:val="22"/>
    </w:rPr>
  </w:style>
  <w:style w:type="character" w:styleId="764">
    <w:name w:val="Heading 7 Char"/>
    <w:basedOn w:val="919"/>
    <w:link w:val="916"/>
    <w:uiPriority w:val="9"/>
    <w:rPr>
      <w:rFonts w:ascii="Arial" w:hAnsi="Arial" w:eastAsia="Arial" w:cs="Arial"/>
      <w:b/>
      <w:bCs/>
      <w:i/>
      <w:iCs/>
      <w:sz w:val="22"/>
      <w:szCs w:val="22"/>
    </w:rPr>
  </w:style>
  <w:style w:type="character" w:styleId="765">
    <w:name w:val="Heading 8 Char"/>
    <w:basedOn w:val="919"/>
    <w:link w:val="917"/>
    <w:uiPriority w:val="9"/>
    <w:rPr>
      <w:rFonts w:ascii="Arial" w:hAnsi="Arial" w:eastAsia="Arial" w:cs="Arial"/>
      <w:i/>
      <w:iCs/>
      <w:sz w:val="22"/>
      <w:szCs w:val="22"/>
    </w:rPr>
  </w:style>
  <w:style w:type="character" w:styleId="766">
    <w:name w:val="Heading 9 Char"/>
    <w:basedOn w:val="919"/>
    <w:link w:val="918"/>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character" w:styleId="768">
    <w:name w:val="Title Char"/>
    <w:basedOn w:val="919"/>
    <w:link w:val="958"/>
    <w:uiPriority w:val="10"/>
    <w:rPr>
      <w:sz w:val="48"/>
      <w:szCs w:val="48"/>
    </w:rPr>
  </w:style>
  <w:style w:type="paragraph" w:styleId="769">
    <w:name w:val="Subtitle"/>
    <w:basedOn w:val="909"/>
    <w:next w:val="909"/>
    <w:link w:val="770"/>
    <w:uiPriority w:val="11"/>
    <w:qFormat/>
    <w:pPr>
      <w:spacing w:before="200" w:after="200"/>
    </w:pPr>
    <w:rPr>
      <w:sz w:val="24"/>
      <w:szCs w:val="24"/>
    </w:rPr>
  </w:style>
  <w:style w:type="character" w:styleId="770">
    <w:name w:val="Subtitle Char"/>
    <w:basedOn w:val="919"/>
    <w:link w:val="769"/>
    <w:uiPriority w:val="11"/>
    <w:rPr>
      <w:sz w:val="24"/>
      <w:szCs w:val="24"/>
    </w:rPr>
  </w:style>
  <w:style w:type="paragraph" w:styleId="771">
    <w:name w:val="Quote"/>
    <w:basedOn w:val="909"/>
    <w:next w:val="909"/>
    <w:link w:val="772"/>
    <w:uiPriority w:val="29"/>
    <w:qFormat/>
    <w:pPr>
      <w:ind w:left="720" w:right="720"/>
    </w:pPr>
    <w:rPr>
      <w:i/>
    </w:rPr>
  </w:style>
  <w:style w:type="character" w:styleId="772">
    <w:name w:val="Quote Char"/>
    <w:link w:val="771"/>
    <w:uiPriority w:val="29"/>
    <w:rPr>
      <w:i/>
    </w:rPr>
  </w:style>
  <w:style w:type="paragraph" w:styleId="773">
    <w:name w:val="Intense Quote"/>
    <w:basedOn w:val="909"/>
    <w:next w:val="909"/>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19"/>
    <w:link w:val="942"/>
    <w:uiPriority w:val="99"/>
  </w:style>
  <w:style w:type="character" w:styleId="776">
    <w:name w:val="Footer Char"/>
    <w:basedOn w:val="919"/>
    <w:link w:val="940"/>
    <w:uiPriority w:val="99"/>
  </w:style>
  <w:style w:type="paragraph" w:styleId="777">
    <w:name w:val="Caption"/>
    <w:basedOn w:val="909"/>
    <w:next w:val="909"/>
    <w:uiPriority w:val="35"/>
    <w:semiHidden/>
    <w:unhideWhenUsed/>
    <w:qFormat/>
    <w:pPr>
      <w:spacing w:line="276" w:lineRule="auto"/>
    </w:pPr>
    <w:rPr>
      <w:b/>
      <w:bCs/>
      <w:color w:val="4f81bd" w:themeColor="accent1"/>
      <w:sz w:val="18"/>
      <w:szCs w:val="18"/>
    </w:rPr>
  </w:style>
  <w:style w:type="character" w:styleId="778">
    <w:name w:val="Caption Char"/>
    <w:basedOn w:val="777"/>
    <w:link w:val="940"/>
    <w:uiPriority w:val="99"/>
  </w:style>
  <w:style w:type="table" w:styleId="779">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5">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9">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7">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0">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4">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7">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1">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1">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5">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8">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2">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5">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9">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2">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6">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7"/>
    <w:uiPriority w:val="99"/>
    <w:rPr>
      <w:sz w:val="18"/>
    </w:rPr>
  </w:style>
  <w:style w:type="paragraph" w:styleId="905">
    <w:name w:val="endnote text"/>
    <w:basedOn w:val="90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19"/>
    <w:uiPriority w:val="99"/>
    <w:semiHidden/>
    <w:unhideWhenUsed/>
    <w:rPr>
      <w:vertAlign w:val="superscript"/>
    </w:rPr>
  </w:style>
  <w:style w:type="paragraph" w:styleId="908">
    <w:name w:val="TOC Heading"/>
    <w:uiPriority w:val="39"/>
    <w:unhideWhenUsed/>
  </w:style>
  <w:style w:type="paragraph" w:styleId="909"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10">
    <w:name w:val="Heading 1"/>
    <w:basedOn w:val="909"/>
    <w:next w:val="909"/>
    <w:link w:val="1045"/>
    <w:uiPriority w:val="0"/>
    <w:qFormat/>
    <w:pPr>
      <w:keepLines/>
      <w:keepNext/>
      <w:spacing w:before="340" w:after="330" w:line="578" w:lineRule="auto"/>
      <w:outlineLvl w:val="0"/>
    </w:pPr>
    <w:rPr>
      <w:b/>
      <w:sz w:val="44"/>
    </w:rPr>
  </w:style>
  <w:style w:type="paragraph" w:styleId="911">
    <w:name w:val="Heading 2"/>
    <w:basedOn w:val="909"/>
    <w:next w:val="909"/>
    <w:uiPriority w:val="0"/>
    <w:qFormat/>
    <w:pPr>
      <w:jc w:val="left"/>
      <w:keepLines/>
      <w:keepNext/>
      <w:outlineLvl w:val="1"/>
    </w:pPr>
    <w:rPr>
      <w:rFonts w:ascii="宋体" w:hAnsi="宋体"/>
      <w:b/>
    </w:rPr>
  </w:style>
  <w:style w:type="paragraph" w:styleId="912">
    <w:name w:val="Heading 3"/>
    <w:basedOn w:val="909"/>
    <w:next w:val="909"/>
    <w:uiPriority w:val="0"/>
    <w:qFormat/>
    <w:pPr>
      <w:jc w:val="left"/>
      <w:keepLines/>
      <w:keepNext/>
      <w:outlineLvl w:val="2"/>
    </w:pPr>
    <w:rPr>
      <w:b/>
    </w:rPr>
  </w:style>
  <w:style w:type="paragraph" w:styleId="913">
    <w:name w:val="Heading 4"/>
    <w:basedOn w:val="909"/>
    <w:next w:val="909"/>
    <w:uiPriority w:val="9"/>
    <w:qFormat/>
    <w:pPr>
      <w:keepLines/>
      <w:keepNext/>
      <w:spacing w:before="280" w:after="290" w:line="376" w:lineRule="auto"/>
      <w:outlineLvl w:val="3"/>
    </w:pPr>
    <w:rPr>
      <w:rFonts w:ascii="Cambria" w:hAnsi="Cambria"/>
      <w:bCs/>
      <w:szCs w:val="28"/>
    </w:rPr>
  </w:style>
  <w:style w:type="paragraph" w:styleId="914">
    <w:name w:val="Heading 5"/>
    <w:basedOn w:val="909"/>
    <w:next w:val="921"/>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15">
    <w:name w:val="Heading 6"/>
    <w:basedOn w:val="909"/>
    <w:next w:val="909"/>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16">
    <w:name w:val="Heading 7"/>
    <w:basedOn w:val="909"/>
    <w:next w:val="921"/>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17">
    <w:name w:val="Heading 8"/>
    <w:basedOn w:val="909"/>
    <w:next w:val="921"/>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18">
    <w:name w:val="Heading 9"/>
    <w:basedOn w:val="909"/>
    <w:next w:val="921"/>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Normal Indent"/>
    <w:basedOn w:val="909"/>
    <w:next w:val="909"/>
    <w:link w:val="983"/>
    <w:uiPriority w:val="0"/>
    <w:qFormat/>
    <w:pPr>
      <w:ind w:firstLine="420"/>
      <w:jc w:val="left"/>
    </w:pPr>
    <w:rPr>
      <w:sz w:val="24"/>
    </w:rPr>
  </w:style>
  <w:style w:type="paragraph" w:styleId="922">
    <w:name w:val="toc 7"/>
    <w:basedOn w:val="909"/>
    <w:next w:val="909"/>
    <w:uiPriority w:val="0"/>
    <w:qFormat/>
    <w:pPr>
      <w:ind w:left="2520"/>
    </w:pPr>
  </w:style>
  <w:style w:type="paragraph" w:styleId="923">
    <w:name w:val="index 8"/>
    <w:basedOn w:val="909"/>
    <w:next w:val="909"/>
    <w:uiPriority w:val="0"/>
    <w:qFormat/>
    <w:pPr>
      <w:ind w:left="2940"/>
    </w:pPr>
  </w:style>
  <w:style w:type="paragraph" w:styleId="924">
    <w:name w:val="index 5"/>
    <w:basedOn w:val="909"/>
    <w:next w:val="909"/>
    <w:uiPriority w:val="0"/>
    <w:qFormat/>
    <w:pPr>
      <w:ind w:left="1680"/>
    </w:pPr>
  </w:style>
  <w:style w:type="paragraph" w:styleId="925">
    <w:name w:val="Document Map"/>
    <w:basedOn w:val="909"/>
    <w:uiPriority w:val="0"/>
    <w:qFormat/>
    <w:pPr>
      <w:shd w:val="clear" w:color="auto" w:fill="000080"/>
    </w:pPr>
  </w:style>
  <w:style w:type="paragraph" w:styleId="926">
    <w:name w:val="annotation text"/>
    <w:basedOn w:val="909"/>
    <w:link w:val="1035"/>
    <w:uiPriority w:val="0"/>
    <w:qFormat/>
    <w:pPr>
      <w:jc w:val="left"/>
    </w:pPr>
  </w:style>
  <w:style w:type="paragraph" w:styleId="927">
    <w:name w:val="index 6"/>
    <w:basedOn w:val="909"/>
    <w:next w:val="909"/>
    <w:uiPriority w:val="0"/>
    <w:qFormat/>
    <w:pPr>
      <w:ind w:left="2100"/>
    </w:pPr>
  </w:style>
  <w:style w:type="paragraph" w:styleId="928">
    <w:name w:val="Body Text"/>
    <w:basedOn w:val="909"/>
    <w:next w:val="909"/>
    <w:uiPriority w:val="0"/>
    <w:qFormat/>
    <w:pPr>
      <w:spacing w:line="400" w:lineRule="exact"/>
    </w:pPr>
    <w:rPr>
      <w:rFonts w:ascii="楷体_GB2312"/>
      <w:sz w:val="28"/>
    </w:rPr>
  </w:style>
  <w:style w:type="paragraph" w:styleId="929">
    <w:name w:val="Body Text Indent"/>
    <w:basedOn w:val="909"/>
    <w:next w:val="909"/>
    <w:uiPriority w:val="0"/>
    <w:qFormat/>
    <w:pPr>
      <w:ind w:left="570"/>
      <w:spacing w:line="520" w:lineRule="exact"/>
    </w:pPr>
    <w:rPr>
      <w:rFonts w:ascii="方正仿宋简体" w:hAnsi="创艺简仿宋" w:eastAsia="方正仿宋简体"/>
      <w:sz w:val="24"/>
    </w:rPr>
  </w:style>
  <w:style w:type="paragraph" w:styleId="930">
    <w:name w:val="List Continue"/>
    <w:basedOn w:val="909"/>
    <w:uiPriority w:val="99"/>
    <w:unhideWhenUsed/>
    <w:qFormat/>
    <w:pPr>
      <w:ind w:left="200"/>
      <w:spacing w:after="120"/>
    </w:pPr>
    <w:rPr>
      <w:rFonts w:ascii="宋体" w:hAnsi="宋体" w:cs="Symbol"/>
      <w:sz w:val="28"/>
    </w:rPr>
  </w:style>
  <w:style w:type="paragraph" w:styleId="931">
    <w:name w:val="index 4"/>
    <w:basedOn w:val="909"/>
    <w:next w:val="909"/>
    <w:uiPriority w:val="0"/>
    <w:qFormat/>
    <w:pPr>
      <w:ind w:left="1260"/>
    </w:pPr>
  </w:style>
  <w:style w:type="paragraph" w:styleId="932">
    <w:name w:val="toc 5"/>
    <w:basedOn w:val="909"/>
    <w:next w:val="909"/>
    <w:uiPriority w:val="0"/>
    <w:qFormat/>
    <w:pPr>
      <w:ind w:left="1680"/>
    </w:pPr>
  </w:style>
  <w:style w:type="paragraph" w:styleId="933">
    <w:name w:val="toc 3"/>
    <w:basedOn w:val="909"/>
    <w:next w:val="909"/>
    <w:uiPriority w:val="0"/>
    <w:qFormat/>
    <w:pPr>
      <w:ind w:left="840"/>
    </w:pPr>
  </w:style>
  <w:style w:type="paragraph" w:styleId="934">
    <w:name w:val="Plain Text"/>
    <w:basedOn w:val="909"/>
    <w:next w:val="921"/>
    <w:link w:val="987"/>
    <w:uiPriority w:val="0"/>
    <w:qFormat/>
    <w:rPr>
      <w:rFonts w:ascii="宋体" w:hAnsi="Courier New"/>
    </w:rPr>
  </w:style>
  <w:style w:type="paragraph" w:styleId="935">
    <w:name w:val="toc 8"/>
    <w:basedOn w:val="909"/>
    <w:next w:val="909"/>
    <w:uiPriority w:val="0"/>
    <w:qFormat/>
    <w:pPr>
      <w:ind w:left="2940"/>
    </w:pPr>
  </w:style>
  <w:style w:type="paragraph" w:styleId="936">
    <w:name w:val="index 3"/>
    <w:basedOn w:val="909"/>
    <w:next w:val="909"/>
    <w:uiPriority w:val="0"/>
    <w:qFormat/>
    <w:pPr>
      <w:ind w:left="840"/>
    </w:pPr>
  </w:style>
  <w:style w:type="paragraph" w:styleId="937">
    <w:name w:val="Date"/>
    <w:basedOn w:val="909"/>
    <w:next w:val="909"/>
    <w:link w:val="988"/>
    <w:uiPriority w:val="0"/>
    <w:qFormat/>
    <w:rPr>
      <w:rFonts w:ascii="宋体" w:hAnsi="宋体"/>
      <w:sz w:val="24"/>
    </w:rPr>
  </w:style>
  <w:style w:type="paragraph" w:styleId="938">
    <w:name w:val="Body Text Indent 2"/>
    <w:basedOn w:val="909"/>
    <w:uiPriority w:val="0"/>
    <w:qFormat/>
    <w:pPr>
      <w:ind w:firstLine="502"/>
      <w:spacing w:line="360" w:lineRule="auto"/>
      <w:tabs>
        <w:tab w:val="left" w:pos="0" w:leader="none"/>
      </w:tabs>
    </w:pPr>
    <w:rPr>
      <w:rFonts w:ascii="宋体" w:eastAsia="宋体"/>
      <w:b/>
      <w:bCs/>
      <w:sz w:val="24"/>
    </w:rPr>
  </w:style>
  <w:style w:type="paragraph" w:styleId="939">
    <w:name w:val="Balloon Text"/>
    <w:basedOn w:val="909"/>
    <w:uiPriority w:val="0"/>
    <w:qFormat/>
    <w:rPr>
      <w:sz w:val="18"/>
      <w:szCs w:val="18"/>
    </w:rPr>
  </w:style>
  <w:style w:type="paragraph" w:styleId="940">
    <w:name w:val="Footer"/>
    <w:basedOn w:val="909"/>
    <w:link w:val="1043"/>
    <w:uiPriority w:val="99"/>
    <w:qFormat/>
    <w:pPr>
      <w:jc w:val="left"/>
      <w:tabs>
        <w:tab w:val="center" w:pos="4153" w:leader="none"/>
        <w:tab w:val="right" w:pos="8306" w:leader="none"/>
      </w:tabs>
    </w:pPr>
    <w:rPr>
      <w:sz w:val="18"/>
    </w:rPr>
  </w:style>
  <w:style w:type="paragraph" w:styleId="941">
    <w:name w:val="envelope return"/>
    <w:basedOn w:val="909"/>
    <w:uiPriority w:val="0"/>
    <w:qFormat/>
    <w:rPr>
      <w:rFonts w:ascii="Arial" w:hAnsi="Arial"/>
    </w:rPr>
  </w:style>
  <w:style w:type="paragraph" w:styleId="942">
    <w:name w:val="Header"/>
    <w:basedOn w:val="909"/>
    <w:link w:val="1044"/>
    <w:uiPriority w:val="99"/>
    <w:qFormat/>
    <w:pPr>
      <w:jc w:val="center"/>
      <w:tabs>
        <w:tab w:val="center" w:pos="4153" w:leader="none"/>
        <w:tab w:val="right" w:pos="8306" w:leader="none"/>
      </w:tabs>
      <w:pBdr>
        <w:bottom w:val="single" w:color="auto" w:sz="6" w:space="1"/>
      </w:pBdr>
    </w:pPr>
    <w:rPr>
      <w:sz w:val="18"/>
    </w:rPr>
  </w:style>
  <w:style w:type="paragraph" w:styleId="943">
    <w:name w:val="toc 1"/>
    <w:basedOn w:val="909"/>
    <w:next w:val="909"/>
    <w:uiPriority w:val="0"/>
    <w:qFormat/>
    <w:pPr>
      <w:tabs>
        <w:tab w:val="right" w:pos="9026" w:leader="dot"/>
      </w:tabs>
    </w:pPr>
    <w:rPr>
      <w:rFonts w:ascii="宋体" w:hAnsi="宋体" w:eastAsia="宋体"/>
      <w:sz w:val="24"/>
    </w:rPr>
  </w:style>
  <w:style w:type="paragraph" w:styleId="944">
    <w:name w:val="toc 4"/>
    <w:basedOn w:val="909"/>
    <w:next w:val="909"/>
    <w:uiPriority w:val="0"/>
    <w:qFormat/>
    <w:pPr>
      <w:ind w:left="1260"/>
    </w:pPr>
  </w:style>
  <w:style w:type="paragraph" w:styleId="945">
    <w:name w:val="index heading"/>
    <w:basedOn w:val="909"/>
    <w:next w:val="946"/>
    <w:uiPriority w:val="0"/>
    <w:qFormat/>
  </w:style>
  <w:style w:type="paragraph" w:styleId="946">
    <w:name w:val="index 1"/>
    <w:basedOn w:val="909"/>
    <w:next w:val="909"/>
    <w:uiPriority w:val="0"/>
    <w:qFormat/>
  </w:style>
  <w:style w:type="paragraph" w:styleId="947">
    <w:name w:val="footnote text"/>
    <w:basedOn w:val="909"/>
    <w:uiPriority w:val="0"/>
    <w:qFormat/>
    <w:pPr>
      <w:jc w:val="left"/>
    </w:pPr>
    <w:rPr>
      <w:sz w:val="18"/>
    </w:rPr>
  </w:style>
  <w:style w:type="paragraph" w:styleId="948">
    <w:name w:val="toc 6"/>
    <w:basedOn w:val="909"/>
    <w:next w:val="909"/>
    <w:uiPriority w:val="0"/>
    <w:qFormat/>
    <w:pPr>
      <w:ind w:left="2100"/>
    </w:pPr>
  </w:style>
  <w:style w:type="paragraph" w:styleId="949">
    <w:name w:val="Body Text Indent 3"/>
    <w:basedOn w:val="909"/>
    <w:uiPriority w:val="0"/>
    <w:qFormat/>
    <w:pPr>
      <w:ind w:firstLine="617"/>
      <w:spacing w:line="360" w:lineRule="auto"/>
    </w:pPr>
    <w:rPr>
      <w:rFonts w:eastAsia="宋体"/>
      <w:sz w:val="24"/>
      <w:szCs w:val="24"/>
    </w:rPr>
  </w:style>
  <w:style w:type="paragraph" w:styleId="950">
    <w:name w:val="index 7"/>
    <w:basedOn w:val="909"/>
    <w:next w:val="909"/>
    <w:uiPriority w:val="0"/>
    <w:qFormat/>
    <w:pPr>
      <w:ind w:left="2520"/>
    </w:pPr>
  </w:style>
  <w:style w:type="paragraph" w:styleId="951">
    <w:name w:val="index 9"/>
    <w:basedOn w:val="909"/>
    <w:next w:val="909"/>
    <w:uiPriority w:val="0"/>
    <w:qFormat/>
    <w:pPr>
      <w:ind w:left="3360"/>
    </w:pPr>
  </w:style>
  <w:style w:type="paragraph" w:styleId="952">
    <w:name w:val="table of figures"/>
    <w:basedOn w:val="909"/>
    <w:next w:val="909"/>
    <w:uiPriority w:val="0"/>
    <w:qFormat/>
    <w:pPr>
      <w:ind w:left="420" w:hanging="420"/>
      <w:jc w:val="left"/>
    </w:pPr>
    <w:rPr>
      <w:smallCaps/>
      <w:sz w:val="24"/>
    </w:rPr>
  </w:style>
  <w:style w:type="paragraph" w:styleId="953">
    <w:name w:val="toc 2"/>
    <w:basedOn w:val="909"/>
    <w:next w:val="909"/>
    <w:uiPriority w:val="0"/>
    <w:qFormat/>
    <w:pPr>
      <w:ind w:left="420"/>
    </w:pPr>
  </w:style>
  <w:style w:type="paragraph" w:styleId="954">
    <w:name w:val="toc 9"/>
    <w:basedOn w:val="909"/>
    <w:next w:val="909"/>
    <w:uiPriority w:val="0"/>
    <w:qFormat/>
    <w:pPr>
      <w:ind w:left="3360"/>
    </w:pPr>
  </w:style>
  <w:style w:type="paragraph" w:styleId="955">
    <w:name w:val="HTML Preformatted"/>
    <w:basedOn w:val="9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56">
    <w:name w:val="Normal (Web)"/>
    <w:basedOn w:val="909"/>
    <w:uiPriority w:val="99"/>
    <w:qFormat/>
    <w:pPr>
      <w:jc w:val="left"/>
      <w:spacing w:before="100" w:beforeAutospacing="1" w:after="100" w:afterAutospacing="1"/>
      <w:widowControl/>
    </w:pPr>
    <w:rPr>
      <w:rFonts w:hint="eastAsia" w:ascii="宋体" w:hAnsi="宋体" w:eastAsia="宋体"/>
      <w:sz w:val="24"/>
      <w:szCs w:val="24"/>
    </w:rPr>
  </w:style>
  <w:style w:type="paragraph" w:styleId="957">
    <w:name w:val="index 2"/>
    <w:basedOn w:val="909"/>
    <w:next w:val="909"/>
    <w:uiPriority w:val="0"/>
    <w:qFormat/>
    <w:pPr>
      <w:ind w:left="420"/>
    </w:pPr>
  </w:style>
  <w:style w:type="paragraph" w:styleId="958">
    <w:name w:val="Title"/>
    <w:basedOn w:val="909"/>
    <w:next w:val="909"/>
    <w:link w:val="1046"/>
    <w:uiPriority w:val="10"/>
    <w:qFormat/>
    <w:pPr>
      <w:jc w:val="center"/>
    </w:pPr>
    <w:rPr>
      <w:rFonts w:ascii="黑体" w:hAnsi="黑体" w:eastAsia="黑体"/>
      <w:sz w:val="28"/>
      <w:szCs w:val="24"/>
    </w:rPr>
  </w:style>
  <w:style w:type="paragraph" w:styleId="959">
    <w:name w:val="annotation subject"/>
    <w:basedOn w:val="926"/>
    <w:next w:val="926"/>
    <w:uiPriority w:val="0"/>
    <w:qFormat/>
    <w:rPr>
      <w:bCs/>
    </w:rPr>
  </w:style>
  <w:style w:type="paragraph" w:styleId="960">
    <w:name w:val="Body Text First Indent"/>
    <w:basedOn w:val="928"/>
    <w:uiPriority w:val="0"/>
    <w:qFormat/>
    <w:pPr>
      <w:ind w:firstLine="420"/>
      <w:spacing w:after="120" w:line="240" w:lineRule="auto"/>
    </w:pPr>
    <w:rPr>
      <w:rFonts w:ascii="Times New Roman"/>
      <w:sz w:val="26"/>
    </w:rPr>
  </w:style>
  <w:style w:type="paragraph" w:styleId="961">
    <w:name w:val="Body Text First Indent 2"/>
    <w:basedOn w:val="929"/>
    <w:next w:val="909"/>
    <w:uiPriority w:val="99"/>
    <w:semiHidden/>
    <w:unhideWhenUsed/>
    <w:qFormat/>
    <w:pPr>
      <w:ind w:firstLine="420"/>
    </w:pPr>
  </w:style>
  <w:style w:type="table" w:styleId="962">
    <w:name w:val="Table Grid"/>
    <w:basedOn w:val="92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Strong"/>
    <w:basedOn w:val="919"/>
    <w:uiPriority w:val="22"/>
    <w:qFormat/>
    <w:rPr>
      <w:b/>
      <w:bCs/>
    </w:rPr>
  </w:style>
  <w:style w:type="character" w:styleId="964">
    <w:name w:val="page number"/>
    <w:basedOn w:val="919"/>
    <w:uiPriority w:val="0"/>
    <w:qFormat/>
  </w:style>
  <w:style w:type="character" w:styleId="965">
    <w:name w:val="FollowedHyperlink"/>
    <w:basedOn w:val="919"/>
    <w:uiPriority w:val="99"/>
    <w:semiHidden/>
    <w:unhideWhenUsed/>
    <w:qFormat/>
    <w:rPr>
      <w:color w:val="333333"/>
      <w:u w:val="none"/>
    </w:rPr>
  </w:style>
  <w:style w:type="character" w:styleId="966">
    <w:name w:val="Emphasis"/>
    <w:basedOn w:val="919"/>
    <w:uiPriority w:val="20"/>
    <w:qFormat/>
  </w:style>
  <w:style w:type="character" w:styleId="967">
    <w:name w:val="HTML Definition"/>
    <w:basedOn w:val="919"/>
    <w:uiPriority w:val="99"/>
    <w:semiHidden/>
    <w:unhideWhenUsed/>
    <w:qFormat/>
  </w:style>
  <w:style w:type="character" w:styleId="968">
    <w:name w:val="HTML Typewriter"/>
    <w:basedOn w:val="919"/>
    <w:uiPriority w:val="99"/>
    <w:semiHidden/>
    <w:unhideWhenUsed/>
    <w:qFormat/>
    <w:rPr>
      <w:rFonts w:hint="default" w:ascii="monospace" w:hAnsi="monospace" w:eastAsia="monospace" w:cs="monospace"/>
      <w:sz w:val="20"/>
    </w:rPr>
  </w:style>
  <w:style w:type="character" w:styleId="969">
    <w:name w:val="HTML Acronym"/>
    <w:basedOn w:val="919"/>
    <w:uiPriority w:val="99"/>
    <w:semiHidden/>
    <w:unhideWhenUsed/>
    <w:qFormat/>
  </w:style>
  <w:style w:type="character" w:styleId="970">
    <w:name w:val="HTML Variable"/>
    <w:basedOn w:val="919"/>
    <w:uiPriority w:val="99"/>
    <w:semiHidden/>
    <w:unhideWhenUsed/>
    <w:qFormat/>
  </w:style>
  <w:style w:type="character" w:styleId="971">
    <w:name w:val="Hyperlink"/>
    <w:basedOn w:val="919"/>
    <w:uiPriority w:val="99"/>
    <w:unhideWhenUsed/>
    <w:qFormat/>
    <w:rPr>
      <w:color w:val="0000ff"/>
      <w:u w:val="none"/>
    </w:rPr>
  </w:style>
  <w:style w:type="character" w:styleId="972">
    <w:name w:val="HTML Code"/>
    <w:basedOn w:val="919"/>
    <w:uiPriority w:val="99"/>
    <w:semiHidden/>
    <w:unhideWhenUsed/>
    <w:qFormat/>
    <w:rPr>
      <w:rFonts w:hint="default" w:ascii="monospace" w:hAnsi="monospace" w:eastAsia="monospace" w:cs="monospace"/>
      <w:sz w:val="20"/>
    </w:rPr>
  </w:style>
  <w:style w:type="character" w:styleId="973">
    <w:name w:val="annotation reference"/>
    <w:uiPriority w:val="0"/>
    <w:qFormat/>
    <w:rPr>
      <w:sz w:val="21"/>
      <w:szCs w:val="21"/>
    </w:rPr>
  </w:style>
  <w:style w:type="character" w:styleId="974">
    <w:name w:val="HTML Cite"/>
    <w:basedOn w:val="919"/>
    <w:uiPriority w:val="99"/>
    <w:semiHidden/>
    <w:unhideWhenUsed/>
    <w:qFormat/>
  </w:style>
  <w:style w:type="character" w:styleId="975">
    <w:name w:val="footnote reference"/>
    <w:uiPriority w:val="0"/>
    <w:qFormat/>
    <w:rPr>
      <w:vertAlign w:val="superscript"/>
    </w:rPr>
  </w:style>
  <w:style w:type="character" w:styleId="976">
    <w:name w:val="HTML Keyboard"/>
    <w:basedOn w:val="919"/>
    <w:uiPriority w:val="99"/>
    <w:semiHidden/>
    <w:unhideWhenUsed/>
    <w:qFormat/>
    <w:rPr>
      <w:rFonts w:ascii="monospace" w:hAnsi="monospace" w:eastAsia="monospace" w:cs="monospace"/>
      <w:sz w:val="20"/>
    </w:rPr>
  </w:style>
  <w:style w:type="character" w:styleId="977">
    <w:name w:val="HTML Sample"/>
    <w:basedOn w:val="919"/>
    <w:uiPriority w:val="99"/>
    <w:semiHidden/>
    <w:unhideWhenUsed/>
    <w:qFormat/>
    <w:rPr>
      <w:rFonts w:hint="default" w:ascii="monospace" w:hAnsi="monospace" w:eastAsia="monospace" w:cs="monospace"/>
    </w:rPr>
  </w:style>
  <w:style w:type="paragraph" w:styleId="978" w:customStyle="1">
    <w:name w:val="Heading 4"/>
    <w:basedOn w:val="909"/>
    <w:next w:val="979"/>
    <w:uiPriority w:val="0"/>
    <w:qFormat/>
    <w:pPr>
      <w:keepLines/>
      <w:keepNext/>
      <w:spacing w:before="120" w:after="120"/>
    </w:pPr>
    <w:rPr>
      <w:rFonts w:ascii="Cambria" w:hAnsi="Cambria" w:eastAsia="华文细黑"/>
      <w:b/>
      <w:sz w:val="28"/>
    </w:rPr>
  </w:style>
  <w:style w:type="paragraph" w:styleId="979" w:customStyle="1">
    <w:name w:val="NormalIndent"/>
    <w:basedOn w:val="909"/>
    <w:uiPriority w:val="0"/>
    <w:qFormat/>
    <w:pPr>
      <w:ind w:firstLine="420"/>
    </w:pPr>
  </w:style>
  <w:style w:type="paragraph" w:styleId="980" w:customStyle="1">
    <w:name w:val="正文1"/>
    <w:next w:val="909"/>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981" w:customStyle="1">
    <w:name w:val="段"/>
    <w:next w:val="909"/>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82" w:customStyle="1">
    <w:name w:val="目录 51"/>
    <w:next w:val="909"/>
    <w:uiPriority w:val="0"/>
    <w:qFormat/>
    <w:pPr>
      <w:ind w:left="1275"/>
      <w:jc w:val="both"/>
    </w:pPr>
    <w:rPr>
      <w:rFonts w:ascii="Times New Roman" w:hAnsi="Times New Roman" w:eastAsia="宋体" w:cs="Times New Roman"/>
      <w:sz w:val="21"/>
      <w:lang w:val="en-US" w:eastAsia="zh-CN" w:bidi="ar-SA"/>
    </w:rPr>
  </w:style>
  <w:style w:type="character" w:styleId="983" w:customStyle="1">
    <w:name w:val="正文缩进 Char"/>
    <w:link w:val="921"/>
    <w:uiPriority w:val="0"/>
    <w:qFormat/>
    <w:rPr>
      <w:rFonts w:eastAsia="楷体_GB2312"/>
      <w:sz w:val="24"/>
      <w:lang w:val="en-US" w:eastAsia="zh-CN" w:bidi="ar-SA"/>
    </w:rPr>
  </w:style>
  <w:style w:type="character" w:styleId="984" w:customStyle="1">
    <w:name w:val="列出段落 Char"/>
    <w:link w:val="985"/>
    <w:uiPriority w:val="0"/>
    <w:qFormat/>
    <w:rPr>
      <w:rFonts w:eastAsia="楷体_GB2312"/>
      <w:sz w:val="26"/>
      <w:lang w:val="zh-CN" w:eastAsia="zh-CN" w:bidi="ar-SA"/>
    </w:rPr>
  </w:style>
  <w:style w:type="paragraph" w:styleId="985" w:customStyle="1">
    <w:name w:val="序号"/>
    <w:basedOn w:val="909"/>
    <w:next w:val="986"/>
    <w:link w:val="984"/>
    <w:uiPriority w:val="0"/>
    <w:qFormat/>
    <w:pPr>
      <w:ind w:firstLine="420"/>
    </w:pPr>
    <w:rPr>
      <w:lang w:val="zh-CN"/>
    </w:rPr>
  </w:style>
  <w:style w:type="paragraph" w:styleId="986" w:customStyle="1">
    <w:name w:val="列表段落1"/>
    <w:basedOn w:val="909"/>
    <w:uiPriority w:val="34"/>
    <w:qFormat/>
    <w:pPr>
      <w:ind w:firstLine="420"/>
    </w:pPr>
  </w:style>
  <w:style w:type="character" w:styleId="987" w:customStyle="1">
    <w:name w:val="纯文本 Char"/>
    <w:link w:val="934"/>
    <w:uiPriority w:val="0"/>
    <w:qFormat/>
    <w:rPr>
      <w:rFonts w:ascii="宋体" w:hAnsi="Courier New" w:eastAsia="楷体_GB2312"/>
      <w:sz w:val="26"/>
      <w:lang w:val="en-US" w:eastAsia="zh-CN" w:bidi="ar-SA"/>
    </w:rPr>
  </w:style>
  <w:style w:type="character" w:styleId="988" w:customStyle="1">
    <w:name w:val="日期 Char"/>
    <w:link w:val="937"/>
    <w:uiPriority w:val="0"/>
    <w:qFormat/>
    <w:rPr>
      <w:rFonts w:ascii="宋体" w:hAnsi="宋体" w:eastAsia="楷体_GB2312"/>
      <w:sz w:val="24"/>
      <w:lang w:val="en-US" w:eastAsia="zh-CN" w:bidi="ar-SA"/>
    </w:rPr>
  </w:style>
  <w:style w:type="character" w:styleId="989" w:customStyle="1">
    <w:name w:val="表格正文 字符"/>
    <w:link w:val="990"/>
    <w:uiPriority w:val="0"/>
    <w:qFormat/>
    <w:rPr>
      <w:rFonts w:ascii="宋体" w:hAnsi="宋体" w:eastAsia="楷体_GB2312"/>
      <w:sz w:val="26"/>
      <w:szCs w:val="24"/>
      <w:lang w:val="en-US" w:eastAsia="zh-CN" w:bidi="ar-SA"/>
    </w:rPr>
  </w:style>
  <w:style w:type="paragraph" w:styleId="990" w:customStyle="1">
    <w:name w:val="表格正文"/>
    <w:basedOn w:val="909"/>
    <w:next w:val="909"/>
    <w:link w:val="989"/>
    <w:uiPriority w:val="0"/>
    <w:qFormat/>
    <w:rPr>
      <w:rFonts w:ascii="宋体" w:hAnsi="宋体"/>
      <w:szCs w:val="24"/>
    </w:rPr>
  </w:style>
  <w:style w:type="character" w:styleId="991" w:customStyle="1">
    <w:name w:val="缩进正文 字符"/>
    <w:link w:val="992"/>
    <w:uiPriority w:val="0"/>
    <w:qFormat/>
    <w:rPr>
      <w:rFonts w:ascii="Calibri" w:hAnsi="Calibri" w:eastAsia="楷体_GB2312"/>
      <w:sz w:val="26"/>
      <w:szCs w:val="24"/>
      <w:lang w:val="en-US" w:eastAsia="zh-CN" w:bidi="ar-SA"/>
    </w:rPr>
  </w:style>
  <w:style w:type="paragraph" w:styleId="992" w:customStyle="1">
    <w:name w:val="缩进正文"/>
    <w:basedOn w:val="909"/>
    <w:link w:val="991"/>
    <w:uiPriority w:val="0"/>
    <w:qFormat/>
    <w:pPr>
      <w:ind w:firstLine="200"/>
    </w:pPr>
    <w:rPr>
      <w:rFonts w:ascii="Calibri" w:hAnsi="Calibri"/>
      <w:szCs w:val="24"/>
    </w:rPr>
  </w:style>
  <w:style w:type="paragraph" w:styleId="993" w:customStyle="1">
    <w:name w:val="Char Char Char"/>
    <w:basedOn w:val="909"/>
    <w:uiPriority w:val="0"/>
    <w:qFormat/>
    <w:pPr>
      <w:numPr>
        <w:ilvl w:val="0"/>
        <w:numId w:val="1"/>
      </w:numPr>
      <w:tabs>
        <w:tab w:val="clear" w:pos="432" w:leader="none"/>
        <w:tab w:val="left" w:pos="840" w:leader="none"/>
      </w:tabs>
    </w:pPr>
    <w:rPr>
      <w:rFonts w:eastAsia="宋体"/>
      <w:sz w:val="21"/>
      <w:szCs w:val="24"/>
    </w:rPr>
  </w:style>
  <w:style w:type="paragraph" w:styleId="994" w:customStyle="1">
    <w:name w:val="Char Char Char1 Char Char Char Char"/>
    <w:basedOn w:val="909"/>
    <w:uiPriority w:val="0"/>
    <w:qFormat/>
    <w:pPr>
      <w:jc w:val="left"/>
      <w:spacing w:after="160" w:line="240" w:lineRule="exact"/>
      <w:widowControl/>
    </w:pPr>
    <w:rPr>
      <w:rFonts w:eastAsia="宋体"/>
      <w:sz w:val="24"/>
      <w:szCs w:val="24"/>
    </w:rPr>
  </w:style>
  <w:style w:type="paragraph" w:styleId="995"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996" w:customStyle="1">
    <w:name w:val="首行缩进"/>
    <w:basedOn w:val="909"/>
    <w:uiPriority w:val="0"/>
    <w:qFormat/>
    <w:pPr>
      <w:ind w:firstLine="480"/>
    </w:pPr>
    <w:rPr>
      <w:lang w:val="zh-CN"/>
    </w:rPr>
  </w:style>
  <w:style w:type="paragraph" w:styleId="997" w:customStyle="1">
    <w:name w:val="纯文本1"/>
    <w:basedOn w:val="909"/>
    <w:uiPriority w:val="0"/>
    <w:qFormat/>
    <w:rPr>
      <w:rFonts w:ascii="宋体" w:hAnsi="Courier New"/>
    </w:rPr>
  </w:style>
  <w:style w:type="paragraph" w:styleId="998" w:customStyle="1">
    <w:name w:val="_Style 1"/>
    <w:basedOn w:val="909"/>
    <w:uiPriority w:val="34"/>
    <w:qFormat/>
    <w:pPr>
      <w:ind w:firstLine="420"/>
      <w:spacing w:line="312" w:lineRule="auto"/>
    </w:pPr>
  </w:style>
  <w:style w:type="paragraph" w:styleId="999" w:customStyle="1">
    <w:name w:val="_Style 12"/>
    <w:basedOn w:val="925"/>
    <w:uiPriority w:val="0"/>
    <w:qFormat/>
    <w:pPr>
      <w:spacing w:line="360" w:lineRule="auto"/>
    </w:pPr>
  </w:style>
  <w:style w:type="paragraph" w:styleId="1000" w:customStyle="1">
    <w:name w:val="列出段落1"/>
    <w:basedOn w:val="909"/>
    <w:uiPriority w:val="0"/>
    <w:qFormat/>
    <w:pPr>
      <w:ind w:firstLine="420"/>
    </w:pPr>
    <w:rPr>
      <w:rFonts w:ascii="Calibri" w:hAnsi="Calibri"/>
      <w:szCs w:val="21"/>
    </w:rPr>
  </w:style>
  <w:style w:type="paragraph" w:styleId="1001" w:customStyle="1">
    <w:name w:val="缩进正文-"/>
    <w:basedOn w:val="909"/>
    <w:uiPriority w:val="0"/>
    <w:qFormat/>
    <w:pPr>
      <w:ind w:firstLine="200"/>
      <w:spacing w:before="100" w:beforeAutospacing="1" w:line="360" w:lineRule="auto"/>
    </w:pPr>
    <w:rPr>
      <w:rFonts w:ascii="宋体" w:hAnsi="宋体" w:eastAsia="宋体"/>
      <w:color w:val="000000"/>
      <w:sz w:val="24"/>
      <w:szCs w:val="21"/>
    </w:rPr>
  </w:style>
  <w:style w:type="paragraph" w:styleId="1002" w:customStyle="1">
    <w:name w:val="*正文"/>
    <w:basedOn w:val="909"/>
    <w:uiPriority w:val="0"/>
    <w:qFormat/>
    <w:pPr>
      <w:ind w:firstLine="200"/>
      <w:spacing w:line="360" w:lineRule="auto"/>
      <w:widowControl/>
    </w:pPr>
    <w:rPr>
      <w:rFonts w:ascii="仿宋_GB2312" w:hAnsi="Calibri" w:eastAsia="仿宋_GB2312"/>
      <w:sz w:val="24"/>
      <w:szCs w:val="28"/>
    </w:rPr>
  </w:style>
  <w:style w:type="paragraph" w:styleId="1003" w:customStyle="1">
    <w:name w:val="纯文本11"/>
    <w:basedOn w:val="909"/>
    <w:uiPriority w:val="99"/>
    <w:qFormat/>
    <w:rPr>
      <w:rFonts w:ascii="宋体" w:hAnsi="Courier New"/>
    </w:rPr>
  </w:style>
  <w:style w:type="paragraph" w:styleId="1004" w:customStyle="1">
    <w:name w:val="Char Char Char1 Char"/>
    <w:basedOn w:val="909"/>
    <w:uiPriority w:val="0"/>
    <w:semiHidden/>
    <w:qFormat/>
    <w:pPr>
      <w:ind w:firstLine="200"/>
      <w:spacing w:line="360" w:lineRule="auto"/>
    </w:pPr>
    <w:rPr>
      <w:rFonts w:ascii="宋体" w:hAnsi="宋体" w:cs="宋体"/>
      <w:sz w:val="24"/>
    </w:rPr>
  </w:style>
  <w:style w:type="paragraph" w:styleId="1005" w:customStyle="1">
    <w:name w:val="Char Char1 Char Char Char Char"/>
    <w:basedOn w:val="925"/>
    <w:uiPriority w:val="0"/>
    <w:qFormat/>
    <w:pPr>
      <w:spacing w:line="360" w:lineRule="auto"/>
    </w:pPr>
    <w:rPr>
      <w:rFonts w:ascii="Tahoma" w:hAnsi="Tahoma" w:eastAsia="宋体"/>
      <w:sz w:val="24"/>
      <w:szCs w:val="24"/>
    </w:rPr>
  </w:style>
  <w:style w:type="paragraph" w:styleId="1006" w:customStyle="1">
    <w:name w:val="p0"/>
    <w:basedOn w:val="909"/>
    <w:uiPriority w:val="0"/>
    <w:qFormat/>
    <w:rPr>
      <w:rFonts w:hint="eastAsia"/>
    </w:rPr>
  </w:style>
  <w:style w:type="paragraph" w:styleId="1007">
    <w:name w:val="List Paragraph"/>
    <w:basedOn w:val="909"/>
    <w:uiPriority w:val="34"/>
    <w:qFormat/>
    <w:pPr>
      <w:ind w:firstLine="420"/>
    </w:pPr>
    <w:rPr>
      <w:rFonts w:ascii="宋体" w:hAnsi="宋体" w:eastAsia="宋体"/>
      <w:sz w:val="24"/>
      <w:szCs w:val="24"/>
    </w:rPr>
  </w:style>
  <w:style w:type="paragraph" w:styleId="1008" w:customStyle="1">
    <w:name w:val="Char"/>
    <w:basedOn w:val="909"/>
    <w:uiPriority w:val="0"/>
    <w:qFormat/>
    <w:rPr>
      <w:rFonts w:ascii="Tahoma" w:hAnsi="Tahoma" w:eastAsia="宋体"/>
      <w:sz w:val="24"/>
    </w:rPr>
  </w:style>
  <w:style w:type="paragraph" w:styleId="1009" w:customStyle="1">
    <w:name w:val="列出段落2"/>
    <w:basedOn w:val="909"/>
    <w:uiPriority w:val="34"/>
    <w:qFormat/>
    <w:pPr>
      <w:ind w:firstLine="420"/>
    </w:pPr>
  </w:style>
  <w:style w:type="paragraph" w:styleId="1010" w:customStyle="1">
    <w:name w:val="纯文本12"/>
    <w:basedOn w:val="909"/>
    <w:uiPriority w:val="0"/>
    <w:qFormat/>
    <w:rPr>
      <w:rFonts w:ascii="宋体" w:hAnsi="Courier New"/>
    </w:rPr>
  </w:style>
  <w:style w:type="paragraph" w:styleId="1011" w:customStyle="1">
    <w:name w:val="纯文本2"/>
    <w:basedOn w:val="909"/>
    <w:uiPriority w:val="0"/>
    <w:qFormat/>
    <w:rPr>
      <w:rFonts w:ascii="宋体" w:hAnsi="Courier New"/>
    </w:rPr>
  </w:style>
  <w:style w:type="paragraph" w:styleId="1012" w:customStyle="1">
    <w:name w:val="Char1"/>
    <w:basedOn w:val="909"/>
    <w:uiPriority w:val="0"/>
    <w:qFormat/>
    <w:rPr>
      <w:rFonts w:ascii="Tahoma" w:hAnsi="Tahoma" w:eastAsia="宋体"/>
      <w:sz w:val="24"/>
    </w:rPr>
  </w:style>
  <w:style w:type="paragraph" w:styleId="1013" w:customStyle="1">
    <w:name w:val="表格内容"/>
    <w:basedOn w:val="909"/>
    <w:uiPriority w:val="0"/>
    <w:qFormat/>
    <w:pPr>
      <w:jc w:val="left"/>
      <w:spacing w:before="100" w:beforeAutospacing="1" w:after="100" w:afterAutospacing="1" w:line="360" w:lineRule="auto"/>
    </w:pPr>
    <w:rPr>
      <w:rFonts w:ascii="宋体" w:hAnsi="宋体" w:eastAsia="宋体"/>
      <w:bCs/>
      <w:sz w:val="21"/>
      <w:szCs w:val="21"/>
    </w:rPr>
  </w:style>
  <w:style w:type="paragraph" w:styleId="1014" w:customStyle="1">
    <w:name w:val="纯文本3"/>
    <w:basedOn w:val="909"/>
    <w:uiPriority w:val="0"/>
    <w:qFormat/>
    <w:rPr>
      <w:rFonts w:ascii="宋体" w:hAnsi="Courier New"/>
      <w:sz w:val="28"/>
    </w:rPr>
  </w:style>
  <w:style w:type="paragraph" w:styleId="1015" w:customStyle="1">
    <w:name w:val="font7"/>
    <w:basedOn w:val="909"/>
    <w:uiPriority w:val="0"/>
    <w:qFormat/>
    <w:pPr>
      <w:jc w:val="left"/>
      <w:spacing w:before="100" w:beforeAutospacing="1" w:after="100" w:afterAutospacing="1"/>
      <w:widowControl/>
    </w:pPr>
    <w:rPr>
      <w:rFonts w:eastAsia="宋体"/>
      <w:sz w:val="20"/>
    </w:rPr>
  </w:style>
  <w:style w:type="paragraph" w:styleId="1016" w:customStyle="1">
    <w:name w:val="纯文本4"/>
    <w:basedOn w:val="909"/>
    <w:uiPriority w:val="0"/>
    <w:qFormat/>
    <w:rPr>
      <w:rFonts w:ascii="宋体" w:hAnsi="Courier New"/>
    </w:rPr>
  </w:style>
  <w:style w:type="paragraph" w:styleId="1017" w:customStyle="1">
    <w:name w:val="纯文本5"/>
    <w:basedOn w:val="909"/>
    <w:uiPriority w:val="0"/>
    <w:qFormat/>
    <w:rPr>
      <w:rFonts w:ascii="宋体" w:hAnsi="Courier New"/>
      <w:sz w:val="28"/>
    </w:rPr>
  </w:style>
  <w:style w:type="paragraph" w:styleId="1018"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19" w:customStyle="1">
    <w:name w:val="font171"/>
    <w:basedOn w:val="919"/>
    <w:uiPriority w:val="0"/>
    <w:qFormat/>
    <w:rPr>
      <w:rFonts w:hint="eastAsia" w:ascii="宋体" w:hAnsi="宋体" w:eastAsia="宋体" w:cs="宋体"/>
      <w:b/>
      <w:bCs/>
      <w:color w:val="000000"/>
      <w:sz w:val="36"/>
      <w:szCs w:val="36"/>
      <w:u w:val="none"/>
    </w:rPr>
  </w:style>
  <w:style w:type="character" w:styleId="1020" w:customStyle="1">
    <w:name w:val="font41"/>
    <w:basedOn w:val="919"/>
    <w:uiPriority w:val="0"/>
    <w:qFormat/>
    <w:rPr>
      <w:rFonts w:hint="default" w:ascii="Times New Roman" w:hAnsi="Times New Roman" w:cs="Times New Roman"/>
      <w:b/>
      <w:bCs/>
      <w:color w:val="000000"/>
      <w:sz w:val="36"/>
      <w:szCs w:val="36"/>
      <w:u w:val="none"/>
    </w:rPr>
  </w:style>
  <w:style w:type="character" w:styleId="1021" w:customStyle="1">
    <w:name w:val="font101"/>
    <w:basedOn w:val="919"/>
    <w:uiPriority w:val="0"/>
    <w:qFormat/>
    <w:rPr>
      <w:rFonts w:hint="eastAsia" w:ascii="宋体" w:hAnsi="宋体" w:eastAsia="宋体" w:cs="宋体"/>
      <w:b/>
      <w:bCs/>
      <w:color w:val="000000"/>
      <w:sz w:val="24"/>
      <w:szCs w:val="24"/>
      <w:u w:val="none"/>
    </w:rPr>
  </w:style>
  <w:style w:type="character" w:styleId="1022" w:customStyle="1">
    <w:name w:val="font91"/>
    <w:basedOn w:val="919"/>
    <w:uiPriority w:val="0"/>
    <w:qFormat/>
    <w:rPr>
      <w:rFonts w:hint="default" w:ascii="Times New Roman" w:hAnsi="Times New Roman" w:cs="Times New Roman"/>
      <w:b/>
      <w:bCs/>
      <w:color w:val="000000"/>
      <w:sz w:val="24"/>
      <w:szCs w:val="24"/>
      <w:u w:val="none"/>
    </w:rPr>
  </w:style>
  <w:style w:type="character" w:styleId="1023" w:customStyle="1">
    <w:name w:val="font121"/>
    <w:basedOn w:val="919"/>
    <w:uiPriority w:val="0"/>
    <w:qFormat/>
    <w:rPr>
      <w:rFonts w:hint="eastAsia" w:ascii="宋体" w:hAnsi="宋体" w:eastAsia="宋体" w:cs="宋体"/>
      <w:color w:val="000000"/>
      <w:sz w:val="24"/>
      <w:szCs w:val="24"/>
      <w:u w:val="none"/>
    </w:rPr>
  </w:style>
  <w:style w:type="character" w:styleId="1024" w:customStyle="1">
    <w:name w:val="font61"/>
    <w:basedOn w:val="919"/>
    <w:uiPriority w:val="0"/>
    <w:qFormat/>
    <w:rPr>
      <w:rFonts w:hint="default" w:ascii="Times New Roman" w:hAnsi="Times New Roman" w:cs="Times New Roman"/>
      <w:color w:val="000000"/>
      <w:sz w:val="24"/>
      <w:szCs w:val="24"/>
      <w:u w:val="none"/>
    </w:rPr>
  </w:style>
  <w:style w:type="character" w:styleId="1025" w:customStyle="1">
    <w:name w:val="font151"/>
    <w:basedOn w:val="919"/>
    <w:uiPriority w:val="0"/>
    <w:qFormat/>
    <w:rPr>
      <w:rFonts w:ascii="宋体" w:hAnsi="宋体" w:eastAsia="宋体" w:cs="宋体"/>
      <w:color w:val="000000"/>
      <w:sz w:val="24"/>
      <w:szCs w:val="24"/>
      <w:u w:val="none"/>
    </w:rPr>
  </w:style>
  <w:style w:type="paragraph" w:styleId="1026"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27" w:customStyle="1">
    <w:name w:val="msolistparagraph"/>
    <w:basedOn w:val="909"/>
    <w:uiPriority w:val="0"/>
    <w:qFormat/>
    <w:pPr>
      <w:ind w:firstLine="420"/>
    </w:pPr>
    <w:rPr>
      <w:szCs w:val="21"/>
    </w:rPr>
  </w:style>
  <w:style w:type="paragraph" w:styleId="1028" w:customStyle="1">
    <w:name w:val="Table Paragraph"/>
    <w:basedOn w:val="909"/>
    <w:uiPriority w:val="1"/>
    <w:qFormat/>
    <w:rPr>
      <w:rFonts w:ascii="宋体" w:hAnsi="宋体" w:cs="宋体"/>
      <w:lang w:val="zh-CN" w:bidi="zh-CN"/>
    </w:rPr>
  </w:style>
  <w:style w:type="character" w:styleId="1029" w:customStyle="1">
    <w:name w:val="font21"/>
    <w:basedOn w:val="919"/>
    <w:uiPriority w:val="0"/>
    <w:qFormat/>
    <w:rPr>
      <w:rFonts w:hint="eastAsia" w:ascii="仿宋" w:hAnsi="仿宋" w:eastAsia="仿宋" w:cs="仿宋"/>
      <w:color w:val="000000"/>
      <w:sz w:val="22"/>
      <w:szCs w:val="22"/>
      <w:u w:val="none"/>
    </w:rPr>
  </w:style>
  <w:style w:type="character" w:styleId="1030" w:customStyle="1">
    <w:name w:val="font71"/>
    <w:basedOn w:val="919"/>
    <w:uiPriority w:val="0"/>
    <w:qFormat/>
    <w:rPr>
      <w:rFonts w:hint="eastAsia" w:ascii="宋体" w:hAnsi="宋体" w:eastAsia="宋体" w:cs="宋体"/>
      <w:color w:val="000000"/>
      <w:sz w:val="22"/>
      <w:szCs w:val="22"/>
      <w:u w:val="none"/>
    </w:rPr>
  </w:style>
  <w:style w:type="character" w:styleId="1031" w:customStyle="1">
    <w:name w:val="font01"/>
    <w:basedOn w:val="919"/>
    <w:uiPriority w:val="0"/>
    <w:qFormat/>
    <w:rPr>
      <w:rFonts w:hint="eastAsia" w:ascii="宋体" w:hAnsi="宋体" w:eastAsia="宋体" w:cs="宋体"/>
      <w:color w:val="000000"/>
      <w:sz w:val="22"/>
      <w:szCs w:val="22"/>
      <w:u w:val="none"/>
    </w:rPr>
  </w:style>
  <w:style w:type="character" w:styleId="1032" w:customStyle="1">
    <w:name w:val="font11"/>
    <w:basedOn w:val="919"/>
    <w:uiPriority w:val="0"/>
    <w:qFormat/>
    <w:rPr>
      <w:rFonts w:hint="eastAsia" w:ascii="宋体" w:hAnsi="宋体" w:eastAsia="宋体" w:cs="宋体"/>
      <w:color w:val="ff0000"/>
      <w:sz w:val="22"/>
      <w:szCs w:val="22"/>
      <w:u w:val="none"/>
    </w:rPr>
  </w:style>
  <w:style w:type="character" w:styleId="1033" w:customStyle="1">
    <w:name w:val="font31"/>
    <w:basedOn w:val="919"/>
    <w:uiPriority w:val="0"/>
    <w:qFormat/>
    <w:rPr>
      <w:rFonts w:hint="eastAsia" w:ascii="宋体" w:hAnsi="宋体" w:eastAsia="宋体" w:cs="宋体"/>
      <w:color w:val="ff0000"/>
      <w:sz w:val="22"/>
      <w:szCs w:val="22"/>
      <w:u w:val="none"/>
    </w:rPr>
  </w:style>
  <w:style w:type="paragraph" w:styleId="1034" w:customStyle="1">
    <w:name w:val="p2"/>
    <w:basedOn w:val="909"/>
    <w:uiPriority w:val="0"/>
    <w:qFormat/>
    <w:pPr>
      <w:spacing w:before="100" w:beforeAutospacing="1" w:after="100" w:afterAutospacing="1"/>
    </w:pPr>
    <w:rPr>
      <w:rFonts w:ascii="宋体" w:hAnsi="宋体"/>
      <w:sz w:val="24"/>
      <w:szCs w:val="24"/>
    </w:rPr>
  </w:style>
  <w:style w:type="character" w:styleId="1035" w:customStyle="1">
    <w:name w:val="批注文字 Char"/>
    <w:link w:val="926"/>
    <w:uiPriority w:val="0"/>
    <w:qFormat/>
    <w:rPr>
      <w:rFonts w:eastAsia="楷体_GB2312"/>
      <w:sz w:val="26"/>
    </w:rPr>
  </w:style>
  <w:style w:type="character" w:styleId="1036" w:customStyle="1">
    <w:name w:val="NormalCharacter"/>
    <w:link w:val="1037"/>
    <w:uiPriority w:val="0"/>
    <w:qFormat/>
    <w:rPr>
      <w:sz w:val="20"/>
      <w:szCs w:val="20"/>
    </w:rPr>
  </w:style>
  <w:style w:type="paragraph" w:styleId="1037" w:customStyle="1">
    <w:name w:val="UserStyle_4"/>
    <w:basedOn w:val="909"/>
    <w:link w:val="1036"/>
    <w:uiPriority w:val="99"/>
    <w:qFormat/>
    <w:rPr>
      <w:sz w:val="20"/>
    </w:rPr>
  </w:style>
  <w:style w:type="character" w:styleId="1038" w:customStyle="1">
    <w:name w:val="hover"/>
    <w:basedOn w:val="919"/>
    <w:uiPriority w:val="0"/>
    <w:qFormat/>
    <w:rPr>
      <w:color w:val="2590eb"/>
    </w:rPr>
  </w:style>
  <w:style w:type="character" w:styleId="1039" w:customStyle="1">
    <w:name w:val="hover1"/>
    <w:basedOn w:val="919"/>
    <w:uiPriority w:val="0"/>
    <w:qFormat/>
  </w:style>
  <w:style w:type="character" w:styleId="1040" w:customStyle="1">
    <w:name w:val="hover2"/>
    <w:basedOn w:val="919"/>
    <w:uiPriority w:val="0"/>
    <w:qFormat/>
    <w:rPr>
      <w:color w:val="2590eb"/>
    </w:rPr>
  </w:style>
  <w:style w:type="character" w:styleId="1041" w:customStyle="1">
    <w:name w:val="15"/>
    <w:basedOn w:val="919"/>
    <w:uiPriority w:val="0"/>
    <w:qFormat/>
  </w:style>
  <w:style w:type="paragraph" w:styleId="1042" w:customStyle="1">
    <w:name w:val="p"/>
    <w:basedOn w:val="909"/>
    <w:uiPriority w:val="0"/>
    <w:qFormat/>
    <w:pPr>
      <w:jc w:val="left"/>
      <w:spacing w:before="100" w:beforeAutospacing="1" w:after="100" w:afterAutospacing="1"/>
      <w:widowControl/>
    </w:pPr>
    <w:rPr>
      <w:rFonts w:ascii="宋体" w:hAnsi="宋体" w:eastAsia="宋体" w:cs="宋体"/>
      <w:sz w:val="24"/>
      <w:szCs w:val="24"/>
    </w:rPr>
  </w:style>
  <w:style w:type="character" w:styleId="1043" w:customStyle="1">
    <w:name w:val="页脚 Char"/>
    <w:basedOn w:val="919"/>
    <w:link w:val="940"/>
    <w:uiPriority w:val="99"/>
    <w:qFormat/>
    <w:rPr>
      <w:rFonts w:eastAsia="楷体_GB2312"/>
      <w:sz w:val="18"/>
    </w:rPr>
  </w:style>
  <w:style w:type="character" w:styleId="1044" w:customStyle="1">
    <w:name w:val="页眉 Char"/>
    <w:basedOn w:val="919"/>
    <w:link w:val="942"/>
    <w:uiPriority w:val="99"/>
    <w:qFormat/>
    <w:rPr>
      <w:rFonts w:eastAsia="楷体_GB2312"/>
      <w:sz w:val="18"/>
    </w:rPr>
  </w:style>
  <w:style w:type="character" w:styleId="1045" w:customStyle="1">
    <w:name w:val="标题 1 Char"/>
    <w:link w:val="910"/>
    <w:uiPriority w:val="0"/>
    <w:qFormat/>
    <w:rPr>
      <w:rFonts w:eastAsia="楷体_GB2312"/>
      <w:b/>
      <w:sz w:val="44"/>
    </w:rPr>
  </w:style>
  <w:style w:type="character" w:styleId="1046" w:customStyle="1">
    <w:name w:val="标题 Char"/>
    <w:basedOn w:val="919"/>
    <w:link w:val="958"/>
    <w:uiPriority w:val="10"/>
    <w:qFormat/>
    <w:rPr>
      <w:rFonts w:ascii="黑体" w:hAnsi="黑体" w:eastAsia="黑体"/>
      <w:sz w:val="28"/>
      <w:szCs w:val="24"/>
    </w:rPr>
  </w:style>
  <w:style w:type="paragraph" w:styleId="1047" w:customStyle="1">
    <w:name w:val="UserStyle_780"/>
    <w:basedOn w:val="909"/>
    <w:uiPriority w:val="0"/>
    <w:qFormat/>
    <w:rPr>
      <w:rFonts w:ascii="宋体" w:hAnsi="Courier New"/>
      <w:sz w:val="28"/>
      <w:szCs w:val="24"/>
    </w:rPr>
  </w:style>
  <w:style w:type="paragraph" w:styleId="1048" w:customStyle="1">
    <w:name w:val="修订1"/>
    <w:hidden/>
    <w:uiPriority w:val="99"/>
    <w:semiHidden/>
    <w:qFormat/>
    <w:rPr>
      <w:rFonts w:ascii="Times New Roman" w:hAnsi="Times New Roman" w:eastAsia="楷体_GB2312" w:cs="Times New Roman"/>
      <w:sz w:val="26"/>
      <w:lang w:val="en-US" w:eastAsia="zh-CN" w:bidi="ar-SA"/>
    </w:rPr>
  </w:style>
  <w:style w:type="paragraph" w:styleId="1049" w:customStyle="1">
    <w:name w:val="修订2"/>
    <w:hidden/>
    <w:uiPriority w:val="99"/>
    <w:unhideWhenUsed/>
    <w:qFormat/>
    <w:rPr>
      <w:rFonts w:ascii="Times New Roman" w:hAnsi="Times New Roman" w:eastAsia="楷体_GB2312" w:cs="Times New Roman"/>
      <w:sz w:val="26"/>
      <w:lang w:val="en-US" w:eastAsia="zh-CN" w:bidi="ar-SA"/>
    </w:rPr>
  </w:style>
  <w:style w:type="character" w:styleId="1050" w:customStyle="1">
    <w:name w:val="16"/>
    <w:basedOn w:val="919"/>
    <w:uiPriority w:val="0"/>
    <w:qFormat/>
    <w:rPr>
      <w:rFonts w:hint="default" w:ascii="Times New Roman" w:hAnsi="Times New Roman" w:cs="Times New Roman"/>
      <w:i/>
    </w:rPr>
  </w:style>
  <w:style w:type="paragraph" w:styleId="1051" w:customStyle="1">
    <w:name w:val="标题 41"/>
    <w:basedOn w:val="909"/>
    <w:next w:val="979"/>
    <w:uiPriority w:val="0"/>
    <w:qFormat/>
    <w:pPr>
      <w:keepLines/>
      <w:keepNext/>
      <w:spacing w:before="120" w:after="120"/>
    </w:pPr>
    <w:rPr>
      <w:rFonts w:ascii="Cambria" w:hAnsi="Cambria" w:eastAsia="华文细黑"/>
      <w:b/>
      <w:sz w:val="28"/>
    </w:rPr>
  </w:style>
  <w:style w:type="paragraph" w:styleId="1052" w:customStyle="1">
    <w:name w:val="+正文"/>
    <w:uiPriority w:val="0"/>
    <w:qFormat/>
    <w:pPr>
      <w:ind w:firstLine="200"/>
      <w:jc w:val="both"/>
      <w:spacing w:line="360" w:lineRule="auto"/>
      <w:widowControl w:val="off"/>
    </w:pPr>
    <w:rPr>
      <w:rFonts w:ascii="Times New Roman" w:hAnsi="Times New Roman" w:eastAsia="宋体" w:cs="Times New Roman"/>
      <w:sz w:val="24"/>
      <w:lang w:val="en-US" w:eastAsia="zh-CN" w:bidi="ar-SA"/>
    </w:rPr>
  </w:style>
  <w:style w:type="table" w:styleId="1053" w:customStyle="1">
    <w:name w:val="Table Normal"/>
    <w:uiPriority w:val="0"/>
    <w:unhideWhenUsed/>
    <w:qFormat/>
    <w:tblPr>
      <w:tblCellMar>
        <w:left w:w="0" w:type="dxa"/>
        <w:top w:w="0" w:type="dxa"/>
        <w:right w:w="0" w:type="dxa"/>
        <w:bottom w:w="0" w:type="dxa"/>
      </w:tblCellMar>
    </w:tblPr>
  </w:style>
  <w:style w:type="paragraph" w:styleId="1054" w:customStyle="1">
    <w:name w:val="清單段落1"/>
    <w:basedOn w:val="909"/>
    <w:uiPriority w:val="34"/>
    <w:qFormat/>
    <w:pPr>
      <w:ind w:left="480"/>
    </w:pPr>
  </w:style>
  <w:style w:type="table" w:styleId="1055" w:customStyle="1">
    <w:name w:val="网格型11"/>
    <w:basedOn w:val="1056"/>
    <w:uiPriority w:val="59"/>
    <w:unhideWhenUsed/>
    <w:qFormat/>
    <w:pPr>
      <w:jc w:val="both"/>
      <w:widowControl w:val="off"/>
    </w:pPr>
    <w:tblPr/>
  </w:style>
  <w:style w:type="table" w:styleId="1056" w:customStyle="1">
    <w:name w:val="普通表格11"/>
    <w:uiPriority w:val="99"/>
    <w:unhideWhenUsed/>
    <w:qFormat/>
    <w:tbl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1067075-6DFE-409E-A351-9C2D866F25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7</cp:revision>
  <dcterms:created xsi:type="dcterms:W3CDTF">2023-12-11T10:15:00Z</dcterms:created>
  <dcterms:modified xsi:type="dcterms:W3CDTF">2026-07-01T02:14:00Z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6D1DAF6A2F6E44EF85C891ECF759A0F7_13</vt:lpwstr>
  </property>
  <property fmtid="{D5CDD505-2E9C-101B-9397-08002B2CF9AE}" pid="4" name="KSOTemplateDocerSaveRecord">
    <vt:lpwstr>eyJoZGlkIjoiZTg1ZjBiYjczODk3ZDAxZTcxNzhmZTc1ZjVmOWU3NDAiLCJ1c2VySWQiOiI0MTgxMDg2MzUifQ==</vt:lpwstr>
  </property>
</Properties>
</file>