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506" w:hanging="1506"/>
        <w:jc w:val="left"/>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项目名称：“人工智能</w:t>
      </w:r>
      <w:r>
        <w:rPr>
          <w:rFonts w:hint="eastAsia" w:ascii="Arial" w:hAnsi="Arial" w:eastAsia="宋体" w:cs="Times New Roman"/>
          <w:b/>
          <w:bCs/>
          <w:color w:val="000000"/>
          <w:sz w:val="30"/>
          <w:szCs w:val="30"/>
          <w:lang w:val="en-US" w:eastAsia="zh-CN"/>
        </w:rPr>
        <w:t xml:space="preserve">+</w:t>
      </w:r>
      <w:r>
        <w:rPr>
          <w:rFonts w:hint="eastAsia" w:ascii="Arial" w:hAnsi="Arial" w:eastAsia="宋体" w:cs="Times New Roman"/>
          <w:b/>
          <w:bCs/>
          <w:color w:val="000000"/>
          <w:sz w:val="30"/>
          <w:szCs w:val="30"/>
        </w:rPr>
        <w:t xml:space="preserve">不对应审批”应用场景</w:t>
      </w:r>
      <w:r>
        <w:rPr>
          <w:rFonts w:hint="eastAsia" w:ascii="Arial" w:hAnsi="Arial" w:eastAsia="宋体" w:cs="Times New Roman"/>
          <w:b/>
          <w:bCs/>
          <w:color w:val="000000"/>
          <w:sz w:val="30"/>
          <w:szCs w:val="30"/>
          <w:lang w:eastAsia="zh-CN"/>
        </w:rPr>
        <w:t xml:space="preserve">（一期）</w:t>
      </w:r>
      <w:r/>
    </w:p>
    <w:p>
      <w:pPr>
        <w:spacing w:line="480" w:lineRule="auto"/>
        <w:rPr>
          <w:rFonts w:hint="eastAsia" w:ascii="Arial" w:hAnsi="Arial" w:eastAsia="宋体" w:cs="Times New Roman"/>
          <w:b/>
          <w:bCs/>
          <w:color w:val="000000"/>
          <w:sz w:val="30"/>
          <w:szCs w:val="30"/>
          <w:highlight w:val="none"/>
        </w:rPr>
      </w:pPr>
      <w:r>
        <w:rPr>
          <w:rFonts w:hint="eastAsia" w:ascii="Arial" w:hAnsi="Arial" w:eastAsia="宋体" w:cs="Times New Roman"/>
          <w:b/>
          <w:bCs/>
          <w:color w:val="000000"/>
          <w:sz w:val="30"/>
          <w:szCs w:val="30"/>
          <w:highlight w:val="none"/>
        </w:rPr>
        <w:t xml:space="preserve">项目编号：</w:t>
      </w:r>
      <w:r>
        <w:rPr>
          <w:rFonts w:hint="default" w:ascii="Times New Roman" w:hAnsi="Times New Roman" w:eastAsia="宋体" w:cs="Times New Roman"/>
          <w:b/>
          <w:bCs/>
          <w:color w:val="000000"/>
          <w:sz w:val="30"/>
          <w:szCs w:val="30"/>
          <w:highlight w:val="none"/>
        </w:rPr>
        <w:t xml:space="preserve">JSZC-320723-JZCG-</w:t>
      </w:r>
      <w:r>
        <w:rPr>
          <w:rFonts w:hint="default" w:ascii="Times New Roman" w:hAnsi="Times New Roman" w:eastAsia="Segoe UI" w:cs="Times New Roman"/>
          <w:b/>
          <w:bCs/>
          <w:i w:val="0"/>
          <w:iCs w:val="0"/>
          <w:caps w:val="0"/>
          <w:spacing w:val="0"/>
          <w:sz w:val="30"/>
          <w:szCs w:val="30"/>
          <w:highlight w:val="none"/>
          <w:lang w:val="en-US" w:eastAsia="zh-CN" w:bidi="ar"/>
        </w:rPr>
        <w:t xml:space="preserve">C2026-001</w:t>
      </w:r>
      <w:r>
        <w:rPr>
          <w:rFonts w:hint="eastAsia" w:ascii="Times New Roman" w:hAnsi="Times New Roman" w:eastAsia="Segoe UI" w:cs="Times New Roman"/>
          <w:b/>
          <w:bCs/>
          <w:i w:val="0"/>
          <w:iCs w:val="0"/>
          <w:caps w:val="0"/>
          <w:spacing w:val="0"/>
          <w:sz w:val="30"/>
          <w:szCs w:val="30"/>
          <w:highlight w:val="none"/>
          <w:lang w:val="en-US" w:eastAsia="zh-CN" w:bidi="ar"/>
        </w:rPr>
        <w:t xml:space="preserve">8</w:t>
      </w:r>
      <w:r/>
    </w:p>
    <w:tbl>
      <w:tblPr>
        <w:tblStyle w:val="662"/>
        <w:tblW w:w="19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9290"/>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p>
        </w:tc>
      </w:tr>
    </w:tbl>
    <w:p>
      <w:pPr>
        <w:spacing w:line="480" w:lineRule="auto"/>
        <w:rPr>
          <w:rFonts w:ascii="Arial" w:hAnsi="Arial" w:eastAsia="宋体" w:cs="Times New Roman"/>
          <w:b/>
          <w:bCs/>
          <w:color w:val="000000"/>
          <w:sz w:val="30"/>
          <w:szCs w:val="30"/>
          <w:highlight w:val="yellow"/>
        </w:rPr>
      </w:pPr>
      <w:r>
        <w:rPr>
          <w:rFonts w:ascii="Arial" w:hAnsi="Arial" w:eastAsia="宋体" w:cs="Times New Roman"/>
          <w:b/>
          <w:bCs/>
          <w:color w:val="000000"/>
          <w:sz w:val="30"/>
          <w:szCs w:val="30"/>
          <w:highlight w:val="yellow"/>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4"/>
        <w:rPr>
          <w:rFonts w:hint="eastAsia"/>
        </w:rPr>
      </w:pPr>
      <w:r>
        <w:rPr>
          <w:rFonts w:hint="eastAsia"/>
        </w:rPr>
        <w:t xml:space="preserve">目  录</w:t>
      </w:r>
      <w:r/>
    </w:p>
    <w:p>
      <w:pPr>
        <w:pStyle w:val="674"/>
        <w:rPr>
          <w:rFonts w:asciiTheme="minorHAnsi" w:hAnsiTheme="minorHAnsi" w:eastAsiaTheme="minorEastAsia"/>
          <w:sz w:val="36"/>
          <w:szCs w:val="36"/>
        </w:rPr>
      </w:pPr>
      <w:r>
        <w:rPr>
          <w:rFonts w:hint="eastAsia"/>
          <w:sz w:val="36"/>
          <w:szCs w:val="36"/>
        </w:rPr>
        <w:t xml:space="preserve">第一章磋商邀请</w:t>
      </w:r>
      <w:r>
        <w:rPr>
          <w:sz w:val="36"/>
          <w:szCs w:val="36"/>
        </w:rPr>
        <w:tab/>
      </w:r>
      <w:r/>
    </w:p>
    <w:p>
      <w:pPr>
        <w:pStyle w:val="674"/>
        <w:rPr>
          <w:rFonts w:asciiTheme="minorHAnsi" w:hAnsiTheme="minorHAnsi" w:eastAsiaTheme="minorEastAsia"/>
          <w:sz w:val="36"/>
          <w:szCs w:val="36"/>
        </w:rPr>
      </w:pPr>
      <w:r>
        <w:rPr>
          <w:rFonts w:hint="eastAsia"/>
          <w:sz w:val="36"/>
          <w:szCs w:val="36"/>
        </w:rPr>
        <w:t xml:space="preserve">第二章供应商须知</w:t>
      </w:r>
      <w:r>
        <w:rPr>
          <w:sz w:val="36"/>
          <w:szCs w:val="36"/>
        </w:rPr>
        <w:tab/>
      </w:r>
      <w:r/>
    </w:p>
    <w:p>
      <w:pPr>
        <w:pStyle w:val="674"/>
        <w:rPr>
          <w:rFonts w:asciiTheme="minorHAnsi" w:hAnsiTheme="minorHAnsi" w:eastAsiaTheme="minorEastAsia"/>
          <w:sz w:val="36"/>
          <w:szCs w:val="36"/>
        </w:rPr>
      </w:pPr>
      <w:r>
        <w:rPr>
          <w:rFonts w:hint="eastAsia"/>
          <w:sz w:val="36"/>
          <w:szCs w:val="36"/>
        </w:rPr>
        <w:t xml:space="preserve">第三章合同文本</w:t>
      </w:r>
      <w:r>
        <w:rPr>
          <w:sz w:val="36"/>
          <w:szCs w:val="36"/>
        </w:rPr>
        <w:tab/>
      </w:r>
      <w:r/>
    </w:p>
    <w:p>
      <w:pPr>
        <w:pStyle w:val="674"/>
        <w:rPr>
          <w:rFonts w:asciiTheme="minorHAnsi" w:hAnsiTheme="minorHAnsi" w:eastAsiaTheme="minorEastAsia"/>
          <w:sz w:val="36"/>
          <w:szCs w:val="36"/>
        </w:rPr>
      </w:pPr>
      <w:r>
        <w:rPr>
          <w:rFonts w:hint="eastAsia"/>
          <w:sz w:val="36"/>
          <w:szCs w:val="36"/>
        </w:rPr>
        <w:t xml:space="preserve">第四章采购需求</w:t>
      </w:r>
      <w:r>
        <w:rPr>
          <w:sz w:val="36"/>
          <w:szCs w:val="36"/>
        </w:rPr>
        <w:tab/>
      </w:r>
      <w:r/>
    </w:p>
    <w:p>
      <w:pPr>
        <w:pStyle w:val="674"/>
        <w:rPr>
          <w:rFonts w:asciiTheme="minorHAnsi" w:hAnsiTheme="minorHAnsi" w:eastAsiaTheme="minorEastAsia"/>
          <w:sz w:val="36"/>
          <w:szCs w:val="36"/>
        </w:rPr>
      </w:pPr>
      <w:r>
        <w:rPr>
          <w:rFonts w:hint="eastAsia"/>
          <w:sz w:val="36"/>
          <w:szCs w:val="36"/>
        </w:rPr>
        <w:t xml:space="preserve">第五章评审方法与评审标准</w:t>
      </w:r>
      <w:r>
        <w:rPr>
          <w:sz w:val="36"/>
          <w:szCs w:val="36"/>
        </w:rPr>
        <w:tab/>
      </w:r>
      <w:r/>
    </w:p>
    <w:p>
      <w:pPr>
        <w:pStyle w:val="674"/>
        <w:rPr>
          <w:rFonts w:asciiTheme="minorHAnsi" w:hAnsiTheme="minorHAnsi" w:eastAsiaTheme="minorEastAsia"/>
          <w:sz w:val="36"/>
          <w:szCs w:val="36"/>
        </w:rPr>
      </w:pPr>
      <w:r>
        <w:rPr>
          <w:rFonts w:hint="eastAsia"/>
          <w:sz w:val="36"/>
          <w:szCs w:val="36"/>
        </w:rPr>
        <w:t xml:space="preserve">第六章响应文件格式</w:t>
      </w:r>
      <w:r>
        <w:rPr>
          <w:sz w:val="36"/>
          <w:szCs w:val="36"/>
        </w:rPr>
        <w:tab/>
      </w:r>
      <w:r/>
    </w:p>
    <w:p>
      <w:pPr>
        <w:jc w:val="left"/>
        <w:widowControl/>
      </w:pPr>
      <w:r>
        <w:fldChar w:fldCharType="end"/>
      </w:r>
      <w:r>
        <w:br w:type="page" w:clear="all"/>
      </w:r>
      <w:r/>
    </w:p>
    <w:p>
      <w:pPr>
        <w:pStyle w:val="657"/>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657"/>
        <w:jc w:val="center"/>
        <w:spacing w:before="156" w:after="156" w:line="360" w:lineRule="auto"/>
        <w:rPr>
          <w:rFonts w:hint="eastAsia"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480" w:lineRule="exact"/>
        <w:rPr>
          <w:sz w:val="24"/>
          <w:szCs w:val="24"/>
        </w:rPr>
      </w:pPr>
      <w:r>
        <w:rPr>
          <w:rFonts w:hint="eastAsia"/>
          <w:sz w:val="24"/>
          <w:szCs w:val="24"/>
        </w:rPr>
        <w:t xml:space="preserve">受灌云县数据局的委托，灌云县政府采购中心就灌云县数据局“人工智能+不对应审批”应用场景</w:t>
      </w:r>
      <w:r>
        <w:rPr>
          <w:rFonts w:hint="eastAsia"/>
          <w:sz w:val="24"/>
          <w:szCs w:val="24"/>
          <w:lang w:eastAsia="zh-CN"/>
        </w:rPr>
        <w:t xml:space="preserve">（一期）</w:t>
      </w:r>
      <w:r>
        <w:rPr>
          <w:rFonts w:hint="eastAsia"/>
          <w:sz w:val="24"/>
          <w:szCs w:val="24"/>
        </w:rPr>
        <w:t xml:space="preserve">项目</w:t>
      </w:r>
      <w:r>
        <w:rPr>
          <w:rFonts w:hint="eastAsia" w:eastAsia="宋体"/>
          <w:sz w:val="24"/>
          <w:szCs w:val="24"/>
        </w:rPr>
        <w:t xml:space="preserve">（项目编号：</w:t>
      </w:r>
      <w:r>
        <w:rPr>
          <w:rFonts w:hint="default" w:ascii="Times New Roman" w:hAnsi="Times New Roman" w:eastAsia="宋体" w:cs="Times New Roman"/>
          <w:sz w:val="24"/>
          <w:szCs w:val="24"/>
        </w:rPr>
        <w:t xml:space="preserve">JSZC-320723-JZCG-</w:t>
      </w:r>
      <w:r>
        <w:rPr>
          <w:rFonts w:hint="default" w:ascii="Times New Roman" w:hAnsi="Times New Roman" w:eastAsia="宋体" w:cs="Times New Roman"/>
          <w:sz w:val="24"/>
          <w:szCs w:val="24"/>
          <w:lang w:val="en-US" w:eastAsia="zh-CN"/>
        </w:rPr>
        <w:t xml:space="preserve">C2026-001</w:t>
      </w:r>
      <w:r>
        <w:rPr>
          <w:rFonts w:hint="eastAsia" w:ascii="Times New Roman" w:hAnsi="Times New Roman" w:eastAsia="宋体" w:cs="Times New Roman"/>
          <w:sz w:val="24"/>
          <w:szCs w:val="24"/>
          <w:lang w:val="en-US" w:eastAsia="zh-CN"/>
        </w:rPr>
        <w:t xml:space="preserve">8</w:t>
      </w:r>
      <w:r>
        <w:rPr>
          <w:rFonts w:hint="default" w:ascii="Times New Roman" w:hAnsi="Times New Roman" w:cs="Times New Roman"/>
          <w:sz w:val="24"/>
          <w:szCs w:val="24"/>
        </w:rPr>
        <w:t xml:space="preserve">）</w:t>
      </w:r>
      <w:r>
        <w:rPr>
          <w:rFonts w:hint="eastAsia"/>
          <w:sz w:val="24"/>
          <w:szCs w:val="24"/>
        </w:rPr>
        <w:t xml:space="preserve">进行竞争性磋商采购，欢迎符合条件的供应商参加磋商。</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pStyle w:val="658"/>
              <w:ind w:firstLine="480"/>
              <w:spacing w:before="0" w:after="0" w:line="360" w:lineRule="auto"/>
              <w:rPr>
                <w:sz w:val="24"/>
                <w:szCs w:val="24"/>
              </w:rPr>
            </w:pPr>
            <w:r>
              <w:rPr>
                <w:rFonts w:hint="eastAsia"/>
                <w:b w:val="0"/>
                <w:bCs w:val="0"/>
                <w:sz w:val="24"/>
                <w:szCs w:val="24"/>
              </w:rPr>
              <w:t xml:space="preserve">灌云县数据局</w:t>
            </w:r>
            <w:r>
              <w:rPr>
                <w:rFonts w:hint="eastAsia" w:ascii="Times New Roman" w:eastAsia="宋体"/>
                <w:b w:val="0"/>
                <w:bCs w:val="0"/>
                <w:sz w:val="24"/>
                <w:szCs w:val="24"/>
              </w:rPr>
              <w:t xml:space="preserve">“人工智能</w:t>
            </w:r>
            <w:r>
              <w:rPr>
                <w:rFonts w:hint="eastAsia" w:ascii="Times New Roman" w:eastAsia="宋体"/>
                <w:b w:val="0"/>
                <w:bCs w:val="0"/>
                <w:sz w:val="24"/>
                <w:szCs w:val="24"/>
                <w:lang w:val="en-US" w:eastAsia="zh-CN"/>
              </w:rPr>
              <w:t xml:space="preserve">+</w:t>
            </w:r>
            <w:r>
              <w:rPr>
                <w:rFonts w:hint="eastAsia" w:ascii="Times New Roman" w:eastAsia="宋体"/>
                <w:b w:val="0"/>
                <w:bCs w:val="0"/>
                <w:sz w:val="24"/>
                <w:szCs w:val="24"/>
              </w:rPr>
              <w:t xml:space="preserve">不对应审批”应用场景</w:t>
            </w:r>
            <w:r>
              <w:rPr>
                <w:rFonts w:hint="eastAsia" w:ascii="Times New Roman" w:eastAsia="宋体"/>
                <w:b w:val="0"/>
                <w:bCs w:val="0"/>
                <w:sz w:val="24"/>
                <w:szCs w:val="24"/>
                <w:lang w:eastAsia="zh-CN"/>
              </w:rPr>
              <w:t xml:space="preserve">（一期）</w:t>
            </w:r>
            <w:r>
              <w:rPr>
                <w:rFonts w:hint="eastAsia"/>
                <w:b w:val="0"/>
                <w:bCs w:val="0"/>
                <w:sz w:val="24"/>
                <w:szCs w:val="24"/>
              </w:rPr>
              <w:t xml:space="preserve">项目的潜在供应商应在江苏政府采购网自行免费下载磋商文件，并于</w:t>
            </w:r>
            <w:r>
              <w:rPr>
                <w:rFonts w:hint="eastAsia" w:ascii="宋体" w:hAnsi="宋体" w:eastAsia="宋体" w:cs="宋体"/>
                <w:b w:val="0"/>
                <w:bCs w:val="0"/>
                <w:sz w:val="24"/>
                <w:szCs w:val="24"/>
                <w:highlight w:val="none"/>
              </w:rPr>
              <w:t xml:space="preserve">2026年</w:t>
            </w: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:00:00</w:t>
            </w:r>
            <w:r>
              <w:rPr>
                <w:rFonts w:hint="eastAsia"/>
                <w:b w:val="0"/>
                <w:bCs w:val="0"/>
                <w:sz w:val="24"/>
                <w:szCs w:val="24"/>
              </w:rPr>
              <w:t xml:space="preserve">（北京时间）前提交（上传）响应文件。</w:t>
            </w:r>
            <w:r/>
          </w:p>
        </w:tc>
      </w:tr>
    </w:tbl>
    <w:p>
      <w:pPr>
        <w:pStyle w:val="658"/>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项目名称：灌云县数据局“人工智能+不对应审批”应用场景</w:t>
      </w:r>
      <w:r>
        <w:rPr>
          <w:rFonts w:hint="eastAsia" w:ascii="Times New Roman" w:eastAsia="宋体"/>
          <w:sz w:val="24"/>
          <w:szCs w:val="24"/>
          <w:lang w:eastAsia="zh-CN"/>
        </w:rPr>
        <w:t xml:space="preserve">（一期）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w:t>
      </w:r>
      <w:r/>
    </w:p>
    <w:p>
      <w:pPr>
        <w:ind w:firstLine="480"/>
        <w:jc w:val="left"/>
        <w:spacing w:line="500" w:lineRule="exact"/>
        <w:rPr>
          <w:sz w:val="24"/>
          <w:szCs w:val="24"/>
        </w:rPr>
      </w:pPr>
      <w:r>
        <w:rPr>
          <w:rFonts w:hint="eastAsia" w:ascii="宋体" w:hAnsi="宋体" w:eastAsia="宋体" w:cs="宋体"/>
          <w:sz w:val="24"/>
          <w:szCs w:val="24"/>
        </w:rPr>
        <w:t xml:space="preserve">最高限价：1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8万元，报价超过最</w:t>
      </w:r>
      <w:r>
        <w:rPr>
          <w:rFonts w:hint="eastAsia"/>
          <w:sz w:val="24"/>
          <w:szCs w:val="24"/>
        </w:rPr>
        <w:t xml:space="preserve">高限价的作无效文件处理。</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采购需求：为深化“放管服”改革，提升灌云县政务服务智能化水平，本项目在原有</w:t>
      </w:r>
      <w:r>
        <w:rPr>
          <w:rFonts w:hint="eastAsia"/>
          <w:sz w:val="24"/>
          <w:szCs w:val="24"/>
          <w:lang w:val="en-US" w:eastAsia="zh-CN"/>
        </w:rPr>
        <w:t xml:space="preserve">连云港市政务服务一体化平台</w:t>
      </w:r>
      <w:r>
        <w:rPr>
          <w:rFonts w:hint="eastAsia"/>
          <w:sz w:val="24"/>
          <w:szCs w:val="24"/>
        </w:rPr>
        <w:t xml:space="preserve">基础上，新增智能问答、智能预审、智能预约、</w:t>
      </w:r>
      <w:r>
        <w:rPr>
          <w:rFonts w:hint="eastAsia"/>
          <w:sz w:val="24"/>
          <w:szCs w:val="24"/>
          <w:lang w:val="en-US" w:eastAsia="zh-CN"/>
        </w:rPr>
        <w:t xml:space="preserve">随机派件</w:t>
      </w:r>
      <w:r>
        <w:rPr>
          <w:rFonts w:hint="eastAsia"/>
          <w:sz w:val="24"/>
          <w:szCs w:val="24"/>
        </w:rPr>
        <w:t xml:space="preserve">、并联审批、云视频审批、跨系统政务数据摆渡等</w:t>
      </w:r>
      <w:r>
        <w:rPr>
          <w:rFonts w:hint="eastAsia"/>
          <w:sz w:val="24"/>
          <w:szCs w:val="24"/>
          <w:lang w:val="en-US" w:eastAsia="zh-CN"/>
        </w:rPr>
        <w:t xml:space="preserve">不对应审批应用场景</w:t>
      </w:r>
      <w:r>
        <w:rPr>
          <w:rFonts w:hint="eastAsia"/>
          <w:sz w:val="24"/>
          <w:szCs w:val="24"/>
        </w:rPr>
        <w:t xml:space="preserve">，并配套必要的窗口硬件设备。构建全流程智能化、软硬一体化、线上线下融合的服务体系。详见第四章采购需求。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spacing w:line="560" w:lineRule="exact"/>
        <w:rPr>
          <w:rFonts w:hint="eastAsia" w:ascii="宋体" w:hAnsi="宋体" w:eastAsia="宋体" w:cs="宋体"/>
          <w:bCs/>
          <w:sz w:val="24"/>
          <w:szCs w:val="24"/>
          <w:highlight w:val="none"/>
        </w:rPr>
      </w:pPr>
      <w:r>
        <w:rPr>
          <w:rFonts w:hint="eastAsia"/>
          <w:sz w:val="24"/>
          <w:szCs w:val="24"/>
        </w:rPr>
        <w:t xml:space="preserve">交货期限：</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80"/>
        <w:jc w:val="left"/>
        <w:spacing w:line="500" w:lineRule="exact"/>
        <w:rPr>
          <w:sz w:val="24"/>
          <w:szCs w:val="24"/>
        </w:rPr>
      </w:pPr>
      <w:r>
        <w:rPr>
          <w:rFonts w:hint="eastAsia"/>
          <w:sz w:val="24"/>
          <w:szCs w:val="24"/>
        </w:rPr>
        <w:t xml:space="preserve">本项目不接受进口产品（进口产品是指通过中国海关报关验放进入中国境内且产自关境外的产品）投标，</w:t>
      </w:r>
      <w:r>
        <w:rPr>
          <w:rFonts w:hint="eastAsia"/>
          <w:sz w:val="24"/>
          <w:szCs w:val="24"/>
          <w:lang w:eastAsia="zh-CN"/>
        </w:rPr>
        <w:t xml:space="preserve">成交</w:t>
      </w:r>
      <w:r>
        <w:rPr>
          <w:rFonts w:hint="eastAsia"/>
          <w:sz w:val="24"/>
          <w:szCs w:val="24"/>
        </w:rPr>
        <w:t xml:space="preserve">后不允许分包或转包。</w:t>
      </w:r>
      <w:r/>
    </w:p>
    <w:p>
      <w:pPr>
        <w:ind w:firstLine="480"/>
        <w:jc w:val="left"/>
        <w:spacing w:line="500" w:lineRule="exact"/>
        <w:rPr>
          <w:sz w:val="24"/>
          <w:szCs w:val="24"/>
        </w:rPr>
      </w:pPr>
      <w:r>
        <w:rPr>
          <w:sz w:val="24"/>
          <w:szCs w:val="24"/>
        </w:rPr>
      </w:r>
      <w:r/>
    </w:p>
    <w:p>
      <w:pPr>
        <w:pStyle w:val="658"/>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Calibri" w:hAnsi="Calibri" w:eastAsia="宋体" w:cs="Times New Roman"/>
          <w:sz w:val="24"/>
          <w:szCs w:val="24"/>
        </w:rPr>
      </w:pPr>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sz w:val="24"/>
          <w:szCs w:val="24"/>
        </w:rPr>
        <w:t xml:space="preserve">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注：根据连财购〔2023〕4号文件精神，第（2）、（4）项可以提供《财务状况报告及税收、社会保障资金缴纳情况承诺函》，详见磋商文件响应文件格式。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响应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ind w:firstLine="480"/>
        <w:keepLines/>
        <w:keepNext/>
        <w:spacing w:before="145" w:after="145" w:line="400" w:lineRule="exact"/>
        <w:rPr>
          <w:rFonts w:ascii="Times New Roman" w:hAnsi="Times New Roman" w:eastAsia="宋体" w:cs="Times New Roman"/>
          <w:sz w:val="24"/>
          <w:szCs w:val="24"/>
        </w:rPr>
        <w:outlineLvl w:val="2"/>
      </w:pPr>
      <w:r>
        <w:rPr>
          <w:rFonts w:hint="eastAsia" w:ascii="Times New Roman" w:hAnsi="Times New Roman" w:eastAsia="宋体" w:cs="Times New Roman"/>
          <w:sz w:val="24"/>
          <w:szCs w:val="24"/>
        </w:rPr>
        <w:t xml:space="preserve">（三）本项目的特定资格要求：无。</w:t>
      </w:r>
      <w:r/>
    </w:p>
    <w:p>
      <w:pPr>
        <w:pStyle w:val="658"/>
        <w:spacing w:before="0" w:after="0" w:line="360" w:lineRule="auto"/>
        <w:rPr>
          <w:rFonts w:hint="eastAsia" w:ascii="黑体" w:hAnsi="黑体" w:eastAsia="黑体"/>
          <w:b w:val="0"/>
        </w:rPr>
      </w:pPr>
      <w:r>
        <w:rPr>
          <w:rFonts w:hint="eastAsia" w:ascii="黑体" w:hAnsi="黑体" w:eastAsia="黑体"/>
          <w:b w:val="0"/>
        </w:rPr>
        <w:t xml:space="preserve">三、获取磋商文件</w:t>
      </w:r>
      <w:r/>
    </w:p>
    <w:p>
      <w:pPr>
        <w:ind w:firstLine="540"/>
        <w:spacing w:line="50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1.时间</w:t>
      </w:r>
      <w:r>
        <w:rPr>
          <w:rFonts w:hint="eastAsia" w:ascii="Times New Roman" w:hAnsi="Times New Roman" w:eastAsia="宋体" w:cs="Times New Roman"/>
          <w:sz w:val="24"/>
          <w:szCs w:val="24"/>
          <w:highlight w:val="none"/>
        </w:rPr>
        <w:t xml:space="preserve">：2026年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25</w:t>
      </w:r>
      <w:r>
        <w:rPr>
          <w:rFonts w:hint="eastAsia" w:ascii="Times New Roman" w:hAnsi="Times New Roman" w:eastAsia="宋体" w:cs="Times New Roman"/>
          <w:sz w:val="24"/>
          <w:szCs w:val="24"/>
          <w:highlight w:val="none"/>
        </w:rPr>
        <w:t xml:space="preserve">日至2026年</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访问电子招标投标交易平台的网络地址和方法：</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rPr>
        <w:t xml:space="preserve">磋商文件</w:t>
      </w:r>
      <w:r>
        <w:rPr>
          <w:rFonts w:ascii="宋体" w:hAnsi="宋体" w:eastAsia="宋体" w:cs="宋体"/>
          <w:sz w:val="24"/>
          <w:szCs w:val="24"/>
        </w:rPr>
        <w:t xml:space="preserve">(后缀名为“.kedt”)-将后缀名为“.kedt”的</w:t>
      </w:r>
      <w:r>
        <w:rPr>
          <w:rFonts w:hint="eastAsia" w:ascii="宋体" w:hAnsi="宋体" w:eastAsia="宋体" w:cs="宋体"/>
          <w:sz w:val="24"/>
          <w:szCs w:val="24"/>
        </w:rPr>
        <w:t xml:space="preserve">磋商文件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响应文件</w:t>
      </w:r>
      <w:r>
        <w:rPr>
          <w:rFonts w:ascii="宋体" w:hAnsi="宋体" w:eastAsia="宋体" w:cs="宋体"/>
          <w:sz w:val="24"/>
          <w:szCs w:val="24"/>
        </w:rPr>
        <w:t xml:space="preserve">--导出加密的</w:t>
      </w:r>
      <w:r>
        <w:rPr>
          <w:rFonts w:hint="eastAsia" w:ascii="宋体" w:hAnsi="宋体" w:eastAsia="宋体" w:cs="宋体"/>
          <w:sz w:val="24"/>
          <w:szCs w:val="24"/>
        </w:rPr>
        <w:t xml:space="preserve">响应文件</w:t>
      </w:r>
      <w:r>
        <w:rPr>
          <w:rFonts w:ascii="宋体" w:hAnsi="宋体" w:eastAsia="宋体" w:cs="宋体"/>
          <w:sz w:val="24"/>
          <w:szCs w:val="24"/>
        </w:rPr>
        <w:t xml:space="preserve">(后缀名为zip)--通过“苏采云”系统上传</w:t>
      </w:r>
      <w:r>
        <w:rPr>
          <w:rFonts w:hint="eastAsia" w:ascii="宋体" w:hAnsi="宋体" w:eastAsia="宋体" w:cs="宋体"/>
          <w:sz w:val="24"/>
          <w:szCs w:val="24"/>
        </w:rPr>
        <w:t xml:space="preserve">响应文件</w:t>
      </w:r>
      <w:r>
        <w:rPr>
          <w:rFonts w:ascii="宋体" w:hAnsi="宋体" w:eastAsia="宋体" w:cs="宋体"/>
          <w:sz w:val="24"/>
          <w:szCs w:val="24"/>
        </w:rPr>
        <w:t xml:space="preserve">。具体见《江苏省政府采购管理交易系统(苏采云)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访问“苏采云”系统的网络地址和方法:“苏采云”系统的网址</w:t>
      </w:r>
      <w:r>
        <w:rPr>
          <w:rFonts w:hint="eastAsia" w:ascii="宋体" w:hAnsi="宋体" w:eastAsia="宋体" w:cs="宋体"/>
          <w:sz w:val="24"/>
          <w:szCs w:val="24"/>
          <w:lang w:eastAsia="zh-CN"/>
        </w:rPr>
        <w:t xml:space="preserve">：</w:t>
      </w:r>
      <w:r>
        <w:rPr>
          <w:rFonts w:ascii="宋体" w:hAnsi="宋体" w:eastAsia="宋体" w:cs="宋体"/>
          <w:sz w:val="24"/>
          <w:szCs w:val="24"/>
        </w:rPr>
        <w:t xml:space="preserve">http://jszfcg.jsczt.cn/。</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hint="eastAsia" w:ascii="宋体" w:hAnsi="宋体" w:eastAsia="宋体" w:cs="宋体"/>
          <w:sz w:val="24"/>
          <w:szCs w:val="24"/>
          <w:lang w:eastAsia="zh-CN"/>
        </w:rPr>
        <w:t xml:space="preserve">）</w:t>
      </w:r>
      <w:r>
        <w:rPr>
          <w:rFonts w:ascii="宋体" w:hAnsi="宋体" w:eastAsia="宋体" w:cs="宋体"/>
          <w:sz w:val="24"/>
          <w:szCs w:val="24"/>
        </w:rPr>
        <w:t xml:space="preserve">CA及电子签章办理指南》。</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⑤磋商文件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后缀名为“.kedt”)、</w:t>
      </w:r>
      <w:r>
        <w:rPr>
          <w:rFonts w:hint="eastAsia" w:ascii="宋体" w:hAnsi="宋体" w:eastAsia="宋体" w:cs="宋体"/>
          <w:sz w:val="24"/>
          <w:szCs w:val="24"/>
        </w:rPr>
        <w:t xml:space="preserve">投标人</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rPr>
        <w:t xml:space="preserve">磋商文件</w:t>
      </w:r>
      <w:r>
        <w:rPr>
          <w:rFonts w:ascii="宋体" w:hAnsi="宋体" w:eastAsia="宋体" w:cs="宋体"/>
          <w:sz w:val="24"/>
          <w:szCs w:val="24"/>
        </w:rPr>
        <w:t xml:space="preserve">加载至“苏采云”系统，供潜在</w:t>
      </w:r>
      <w:r>
        <w:rPr>
          <w:rFonts w:hint="eastAsia" w:ascii="宋体" w:hAnsi="宋体" w:eastAsia="宋体" w:cs="宋体"/>
          <w:sz w:val="24"/>
          <w:szCs w:val="24"/>
        </w:rPr>
        <w:t xml:space="preserve">投标人</w:t>
      </w:r>
      <w:r>
        <w:rPr>
          <w:rFonts w:ascii="宋体" w:hAnsi="宋体" w:eastAsia="宋体" w:cs="宋体"/>
          <w:sz w:val="24"/>
          <w:szCs w:val="24"/>
        </w:rPr>
        <w:t xml:space="preserve">下载或者查阅。</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rPr>
        <w:t xml:space="preserve">投标人</w:t>
      </w:r>
      <w:r>
        <w:rPr>
          <w:rFonts w:ascii="宋体" w:hAnsi="宋体" w:eastAsia="宋体" w:cs="宋体"/>
          <w:sz w:val="24"/>
          <w:szCs w:val="24"/>
        </w:rPr>
        <w:t xml:space="preserve">提前安装相应的控件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详见《江苏省政府采购管理交易系统(苏采云)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rPr>
          <w:rFonts w:hint="eastAsia" w:ascii="宋体" w:hAnsi="宋体" w:eastAsia="宋体" w:cs="宋体"/>
          <w:sz w:val="24"/>
          <w:szCs w:val="24"/>
          <w:lang w:eastAsia="zh-CN"/>
        </w:rPr>
        <w:t xml:space="preserve">》）</w:t>
      </w:r>
      <w:r>
        <w:rPr>
          <w:rFonts w:ascii="宋体" w:hAnsi="宋体" w:eastAsia="宋体" w:cs="宋体"/>
          <w:sz w:val="24"/>
          <w:szCs w:val="24"/>
        </w:rPr>
        <w:t xml:space="preserve">并使用谷歌浏览器登录“苏采云”系统参与不见面开评标。</w:t>
      </w:r>
      <w:r/>
    </w:p>
    <w:p>
      <w:pPr>
        <w:ind w:firstLine="54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如潜在投标人未按上述要求操作，将自行承担所产生的风险。</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售价：0.00元</w:t>
      </w:r>
      <w:r/>
    </w:p>
    <w:p>
      <w:pPr>
        <w:pStyle w:val="658"/>
        <w:spacing w:before="0" w:after="0" w:line="360" w:lineRule="auto"/>
        <w:rPr>
          <w:rFonts w:hint="eastAsia" w:ascii="黑体" w:hAnsi="黑体" w:eastAsia="黑体"/>
          <w:b w:val="0"/>
        </w:rPr>
      </w:pPr>
      <w:r>
        <w:rPr>
          <w:rFonts w:hint="eastAsia" w:ascii="黑体" w:hAnsi="黑体" w:eastAsia="黑体"/>
          <w:b w:val="0"/>
        </w:rPr>
        <w:t xml:space="preserve">四、提交响应文件截止时间、开启时间和地点</w:t>
      </w:r>
      <w:r/>
    </w:p>
    <w:p>
      <w:pPr>
        <w:ind w:firstLine="480"/>
        <w:spacing w:line="500" w:lineRule="exact"/>
        <w:rPr>
          <w:rFonts w:ascii="Times New Roman" w:hAnsi="Times New Roman" w:eastAsia="宋体" w:cs="Times New Roman"/>
          <w:color w:val="000000"/>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提交响应文件截止</w:t>
      </w:r>
      <w:r>
        <w:rPr>
          <w:rFonts w:ascii="宋体" w:hAnsi="宋体" w:eastAsia="宋体" w:cs="宋体"/>
          <w:color w:val="000000"/>
          <w:sz w:val="24"/>
          <w:szCs w:val="24"/>
        </w:rPr>
        <w:t xml:space="preserve">时间：202</w:t>
      </w: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时00分（北京时间</w:t>
      </w:r>
      <w:r>
        <w:rPr>
          <w:rFonts w:ascii="宋体" w:hAnsi="宋体" w:eastAsia="宋体" w:cs="宋体"/>
          <w:color w:val="000000"/>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开启时间：提交响应文件截止时间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开启地点：“苏采云”政府采购交易系统网上开标大厅</w:t>
      </w:r>
      <w:r/>
    </w:p>
    <w:p>
      <w:pPr>
        <w:pStyle w:val="658"/>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658"/>
        <w:numPr>
          <w:ilvl w:val="0"/>
          <w:numId w:val="0"/>
        </w:numPr>
        <w:spacing w:before="0" w:after="0" w:line="360" w:lineRule="auto"/>
        <w:rPr>
          <w:rFonts w:hint="eastAsia" w:ascii="黑体" w:hAnsi="黑体" w:eastAsia="黑体"/>
          <w:b w:val="0"/>
        </w:rPr>
      </w:pPr>
      <w:r>
        <w:rPr>
          <w:rFonts w:hint="eastAsia" w:ascii="黑体" w:hAnsi="黑体" w:eastAsia="黑体" w:cstheme="majorBidi"/>
          <w:b w:val="0"/>
          <w:bCs/>
          <w:sz w:val="32"/>
          <w:szCs w:val="32"/>
          <w:lang w:val="en-US" w:eastAsia="zh-CN" w:bidi="ar-SA"/>
        </w:rPr>
        <w:t xml:space="preserve">六、</w:t>
      </w:r>
      <w:r>
        <w:rPr>
          <w:rFonts w:hint="eastAsia" w:ascii="黑体" w:hAnsi="黑体" w:eastAsia="黑体"/>
          <w:b w:val="0"/>
        </w:rPr>
        <w:t xml:space="preserve">其他补充事宜</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磋商文件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rPr>
        <w:t xml:space="preserve">磋商文件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rPr>
        <w:t xml:space="preserve">磋商文件</w:t>
      </w:r>
      <w:r>
        <w:rPr>
          <w:rFonts w:ascii="宋体" w:hAnsi="宋体" w:eastAsia="宋体" w:cs="宋体"/>
          <w:sz w:val="24"/>
          <w:szCs w:val="24"/>
        </w:rPr>
        <w:t xml:space="preserve">的重要组成部分，请各</w:t>
      </w:r>
      <w:r>
        <w:rPr>
          <w:rFonts w:hint="eastAsia" w:ascii="宋体" w:hAnsi="宋体" w:eastAsia="宋体" w:cs="宋体"/>
          <w:sz w:val="24"/>
          <w:szCs w:val="24"/>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响应</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3、根据苏财购[2020]52号规定，本项目不收取磋商保证金。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响应文件</w:t>
      </w:r>
      <w:r>
        <w:rPr>
          <w:rFonts w:ascii="宋体" w:hAnsi="宋体" w:eastAsia="宋体" w:cs="宋体"/>
          <w:sz w:val="24"/>
          <w:szCs w:val="24"/>
        </w:rPr>
        <w:t xml:space="preserve">相关要求：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不见面远程模式，供应商在各自地点通过不见面交易系统参加开标会</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请各供应商充分考虑项目周期，谨慎参与交易，成交后不得以任何理由放弃成交资格或不按规定履约；</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响应文件</w:t>
      </w:r>
      <w:r>
        <w:rPr>
          <w:rFonts w:ascii="宋体" w:hAnsi="宋体" w:eastAsia="宋体" w:cs="宋体"/>
          <w:sz w:val="24"/>
          <w:szCs w:val="24"/>
        </w:rPr>
        <w:t xml:space="preserve">的，采购人不予受理；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成交</w:t>
      </w:r>
      <w:r>
        <w:rPr>
          <w:rFonts w:ascii="宋体" w:hAnsi="宋体" w:eastAsia="宋体" w:cs="宋体"/>
          <w:sz w:val="24"/>
          <w:szCs w:val="24"/>
        </w:rPr>
        <w:t xml:space="preserve">后</w:t>
      </w:r>
      <w:r>
        <w:rPr>
          <w:rFonts w:hint="eastAsia" w:ascii="宋体" w:hAnsi="宋体" w:eastAsia="宋体" w:cs="宋体"/>
          <w:sz w:val="24"/>
          <w:szCs w:val="24"/>
        </w:rPr>
        <w:t xml:space="preserve">成交供应商</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响应文件</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w:t>
      </w:r>
      <w:r>
        <w:rPr>
          <w:rFonts w:ascii="宋体" w:hAnsi="宋体" w:eastAsia="宋体" w:cs="宋体"/>
          <w:sz w:val="24"/>
          <w:szCs w:val="24"/>
        </w:rPr>
        <w:t xml:space="preserve">提供的书面</w:t>
      </w:r>
      <w:r>
        <w:rPr>
          <w:rFonts w:hint="eastAsia" w:ascii="宋体" w:hAnsi="宋体" w:eastAsia="宋体" w:cs="宋体"/>
          <w:sz w:val="24"/>
          <w:szCs w:val="24"/>
        </w:rPr>
        <w:t xml:space="preserve">响应文件</w:t>
      </w:r>
      <w:r>
        <w:rPr>
          <w:rFonts w:ascii="宋体" w:hAnsi="宋体" w:eastAsia="宋体" w:cs="宋体"/>
          <w:sz w:val="24"/>
          <w:szCs w:val="24"/>
        </w:rPr>
        <w:t xml:space="preserve">必须与网络上传</w:t>
      </w:r>
      <w:r>
        <w:rPr>
          <w:rFonts w:hint="eastAsia" w:ascii="宋体" w:hAnsi="宋体" w:eastAsia="宋体" w:cs="宋体"/>
          <w:sz w:val="24"/>
          <w:szCs w:val="24"/>
        </w:rPr>
        <w:t xml:space="preserve">响应文件</w:t>
      </w:r>
      <w:r>
        <w:rPr>
          <w:rFonts w:ascii="宋体" w:hAnsi="宋体" w:eastAsia="宋体" w:cs="宋体"/>
          <w:sz w:val="24"/>
          <w:szCs w:val="24"/>
        </w:rPr>
        <w:t xml:space="preserve">（加密文件）一致，纸质与电子标书内容不一致的，以电子标书为准；</w:t>
      </w:r>
      <w:r>
        <w:rPr>
          <w:rFonts w:hint="eastAsia" w:ascii="宋体" w:hAnsi="宋体" w:eastAsia="宋体" w:cs="宋体"/>
          <w:sz w:val="24"/>
          <w:szCs w:val="24"/>
        </w:rPr>
        <w:t xml:space="preserve">响应文件</w:t>
      </w:r>
      <w:r>
        <w:rPr>
          <w:rFonts w:ascii="宋体" w:hAnsi="宋体" w:eastAsia="宋体" w:cs="宋体"/>
          <w:sz w:val="24"/>
          <w:szCs w:val="24"/>
        </w:rPr>
        <w:t xml:space="preserve">应用不褪色的材料书写或打印，并由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响应文件</w:t>
      </w:r>
      <w:r>
        <w:rPr>
          <w:rFonts w:ascii="宋体" w:hAnsi="宋体" w:eastAsia="宋体" w:cs="宋体"/>
          <w:sz w:val="24"/>
          <w:szCs w:val="24"/>
        </w:rPr>
        <w:t xml:space="preserve">应附法定代表人签署的授权委托书。</w:t>
      </w:r>
      <w:r>
        <w:rPr>
          <w:rFonts w:hint="eastAsia" w:ascii="宋体" w:hAnsi="宋体" w:eastAsia="宋体" w:cs="宋体"/>
          <w:sz w:val="24"/>
          <w:szCs w:val="24"/>
        </w:rPr>
        <w:t xml:space="preserve">响应文件</w:t>
      </w:r>
      <w:r>
        <w:rPr>
          <w:rFonts w:ascii="宋体" w:hAnsi="宋体" w:eastAsia="宋体" w:cs="宋体"/>
          <w:sz w:val="24"/>
          <w:szCs w:val="24"/>
        </w:rPr>
        <w:t xml:space="preserve">应尽量避免涂改、行间插字或删除。如果出现上述情况，改动之处应加盖单位</w:t>
      </w:r>
      <w:r>
        <w:rPr>
          <w:rFonts w:hint="eastAsia" w:ascii="宋体" w:hAnsi="宋体" w:eastAsia="宋体" w:cs="宋体"/>
          <w:sz w:val="24"/>
          <w:szCs w:val="24"/>
        </w:rPr>
        <w:t xml:space="preserve">公</w:t>
      </w:r>
      <w:r>
        <w:rPr>
          <w:rFonts w:ascii="宋体" w:hAnsi="宋体" w:eastAsia="宋体" w:cs="宋体"/>
          <w:sz w:val="24"/>
          <w:szCs w:val="24"/>
        </w:rPr>
        <w:t xml:space="preserve">章或由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响应文件</w:t>
      </w:r>
      <w:r>
        <w:rPr>
          <w:rFonts w:ascii="宋体" w:hAnsi="宋体" w:eastAsia="宋体" w:cs="宋体"/>
          <w:sz w:val="24"/>
          <w:szCs w:val="24"/>
        </w:rPr>
        <w:t xml:space="preserve">正本一份，副本</w:t>
      </w:r>
      <w:r>
        <w:rPr>
          <w:rFonts w:hint="eastAsia" w:ascii="宋体" w:hAnsi="宋体" w:eastAsia="宋体" w:cs="宋体"/>
          <w:sz w:val="24"/>
          <w:szCs w:val="24"/>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rPr>
        <w:t xml:space="preserve">（带页码）</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500" w:lineRule="exact"/>
        <w:rPr>
          <w:rFonts w:hint="eastAsia" w:ascii="宋体" w:hAnsi="宋体" w:eastAsia="宋体" w:cs="宋体"/>
          <w:sz w:val="24"/>
          <w:szCs w:val="24"/>
        </w:rPr>
      </w:pPr>
      <w:r>
        <w:rPr>
          <w:rFonts w:ascii="宋体" w:hAnsi="宋体" w:eastAsia="宋体" w:cs="宋体"/>
          <w:sz w:val="24"/>
          <w:szCs w:val="24"/>
        </w:rPr>
        <w:t xml:space="preserve">注：</w:t>
      </w:r>
      <w:r>
        <w:rPr>
          <w:rFonts w:hint="eastAsia" w:ascii="宋体" w:hAnsi="宋体" w:eastAsia="宋体" w:cs="宋体"/>
          <w:sz w:val="24"/>
          <w:szCs w:val="24"/>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rPr>
          <w:rFonts w:hint="eastAsia" w:ascii="宋体" w:hAnsi="宋体" w:eastAsia="宋体" w:cs="宋体"/>
          <w:sz w:val="24"/>
          <w:szCs w:val="24"/>
        </w:rPr>
        <w:t xml:space="preserve">。</w:t>
      </w:r>
      <w:r/>
    </w:p>
    <w:p>
      <w:pPr>
        <w:ind w:firstLine="480"/>
        <w:spacing w:line="5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658"/>
        <w:spacing w:before="0" w:after="0" w:line="360" w:lineRule="auto"/>
        <w:rPr>
          <w:rFonts w:hint="eastAsia" w:ascii="黑体" w:hAnsi="黑体" w:eastAsia="黑体"/>
          <w:b w:val="0"/>
        </w:rPr>
      </w:pPr>
      <w:r>
        <w:rPr>
          <w:rFonts w:hint="eastAsia" w:ascii="黑体" w:hAnsi="黑体" w:eastAsia="黑体"/>
          <w:b w:val="0"/>
        </w:rPr>
        <w:t xml:space="preserve">七、对本次采购提出询问，请按以下方式联系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称：灌云县数据局</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址：灌云县东城区商务大厦A座9楼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人：王科长</w:t>
      </w:r>
      <w:r/>
    </w:p>
    <w:p>
      <w:pPr>
        <w:ind w:firstLine="480"/>
        <w:spacing w:line="50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称：灌云县政府采购中心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址：灌云县东城区商务大厦A座12楼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人：陶蕴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联系电话：0518-80275537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3.项目联系方式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项目联系人：王科长</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22"/>
        <w:jc w:val="left"/>
        <w:spacing w:line="500" w:lineRule="exact"/>
        <w:rPr>
          <w:rFonts w:hint="eastAsia" w:ascii="黑体" w:hAnsi="黑体" w:eastAsia="黑体"/>
          <w:b/>
          <w:highlight w:val="red"/>
        </w:rPr>
      </w:pPr>
      <w:r>
        <w:rPr>
          <w:rFonts w:hint="eastAsia" w:ascii="黑体" w:hAnsi="黑体" w:eastAsia="黑体"/>
          <w:b/>
          <w:highlight w:val="red"/>
        </w:rPr>
      </w:r>
      <w:r/>
    </w:p>
    <w:p>
      <w:pPr>
        <w:jc w:val="left"/>
        <w:widowControl/>
        <w:rPr>
          <w:rFonts w:hint="eastAsia" w:ascii="黑体" w:hAnsi="黑体" w:eastAsia="黑体"/>
          <w:bCs/>
          <w:sz w:val="44"/>
          <w:szCs w:val="44"/>
        </w:rPr>
      </w:pPr>
      <w:r>
        <w:rPr>
          <w:rFonts w:ascii="黑体" w:hAnsi="黑体" w:eastAsia="黑体"/>
          <w:b/>
        </w:rPr>
        <w:br w:type="page" w:clear="all"/>
      </w:r>
      <w:r/>
    </w:p>
    <w:p>
      <w:pPr>
        <w:pStyle w:val="657"/>
        <w:jc w:val="center"/>
        <w:spacing w:before="156" w:after="156" w:line="360" w:lineRule="auto"/>
        <w:rPr>
          <w:rFonts w:hint="eastAsia" w:ascii="黑体" w:hAnsi="黑体" w:eastAsia="黑体"/>
          <w:b w:val="0"/>
        </w:rPr>
      </w:pPr>
      <w:r/>
      <w:bookmarkStart w:id="1" w:name="_Toc165205708"/>
      <w:r>
        <w:rPr>
          <w:rFonts w:hint="eastAsia" w:ascii="黑体" w:hAnsi="黑体" w:eastAsia="黑体"/>
          <w:b w:val="0"/>
        </w:rPr>
        <w:t xml:space="preserve">第二章  供应商须知</w:t>
      </w:r>
      <w:bookmarkEnd w:id="1"/>
      <w:r/>
      <w:r/>
    </w:p>
    <w:p>
      <w:pPr>
        <w:pStyle w:val="658"/>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65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659"/>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65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659"/>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659"/>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658"/>
        <w:spacing w:before="0" w:after="0" w:line="360" w:lineRule="auto"/>
        <w:rPr>
          <w:rFonts w:hint="eastAsia" w:ascii="黑体" w:hAnsi="黑体" w:eastAsia="黑体"/>
          <w:b w:val="0"/>
        </w:rPr>
      </w:pPr>
      <w:r>
        <w:rPr>
          <w:rFonts w:hint="eastAsia" w:ascii="黑体" w:hAnsi="黑体" w:eastAsia="黑体"/>
          <w:b w:val="0"/>
        </w:rPr>
        <w:t xml:space="preserve">二、磋商文件</w:t>
      </w:r>
      <w:r/>
    </w:p>
    <w:p>
      <w:pPr>
        <w:pStyle w:val="659"/>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659"/>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659"/>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658"/>
        <w:spacing w:before="0" w:after="0" w:line="360" w:lineRule="auto"/>
        <w:rPr>
          <w:rFonts w:hint="eastAsia" w:ascii="黑体" w:hAnsi="黑体" w:eastAsia="黑体"/>
          <w:b w:val="0"/>
        </w:rPr>
      </w:pPr>
      <w:r>
        <w:rPr>
          <w:rFonts w:hint="eastAsia" w:ascii="黑体" w:hAnsi="黑体" w:eastAsia="黑体"/>
          <w:b w:val="0"/>
        </w:rPr>
        <w:t xml:space="preserve">三、响应文件编制</w:t>
      </w:r>
      <w:r/>
    </w:p>
    <w:p>
      <w:pPr>
        <w:pStyle w:val="659"/>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59"/>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659"/>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659"/>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供应商委托代理时应当提交授权委托书，请按磋商文件第六章给定格式及要求填写并附法定代表人与委托代理人身份证明。</w:t>
      </w:r>
      <w:r/>
    </w:p>
    <w:p>
      <w:pPr>
        <w:pStyle w:val="659"/>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供应商应根据响应报价要求在分项报价表中列明各项单价、总价等，未全部列示的作无效响应处理。（最后报价此项不作要求）</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65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65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659"/>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659"/>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658"/>
        <w:spacing w:before="0" w:after="0" w:line="360" w:lineRule="auto"/>
        <w:rPr>
          <w:rFonts w:hint="eastAsia" w:ascii="黑体" w:hAnsi="黑体" w:eastAsia="黑体"/>
          <w:b w:val="0"/>
        </w:rPr>
      </w:pPr>
      <w:r>
        <w:rPr>
          <w:rFonts w:hint="eastAsia" w:ascii="黑体" w:hAnsi="黑体" w:eastAsia="黑体"/>
          <w:b w:val="0"/>
        </w:rPr>
        <w:t xml:space="preserve">四、响应文件提交</w:t>
      </w:r>
      <w:r/>
    </w:p>
    <w:p>
      <w:pPr>
        <w:pStyle w:val="659"/>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659"/>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659"/>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659"/>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658"/>
        <w:spacing w:before="0" w:after="0" w:line="360" w:lineRule="auto"/>
        <w:rPr>
          <w:rFonts w:hint="eastAsia" w:ascii="黑体" w:hAnsi="黑体" w:eastAsia="黑体"/>
          <w:b w:val="0"/>
        </w:rPr>
      </w:pPr>
      <w:r>
        <w:rPr>
          <w:rFonts w:hint="eastAsia" w:ascii="黑体" w:hAnsi="黑体" w:eastAsia="黑体"/>
          <w:b w:val="0"/>
        </w:rPr>
        <w:t xml:space="preserve">五、响应文件开启（解密）与评审</w:t>
      </w:r>
      <w:r/>
    </w:p>
    <w:p>
      <w:pPr>
        <w:pStyle w:val="659"/>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659"/>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659"/>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659"/>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659"/>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磋商小组在进行资格审查的同时，采购人或采购中心将在信用中国网站（www.creditchina.gov.cn）、中国政府采购网（www.ccgp.gov.cn）查询供应商的信用记录，以确定供应商是否具备参加磋商资格。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659"/>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pPr>
      <w:r>
        <w:rPr>
          <w:rFonts w:hint="eastAsia"/>
          <w:sz w:val="24"/>
          <w:szCs w:val="24"/>
        </w:rPr>
        <w:t xml:space="preserve">供应商未在磋商小组规定的时间内在“苏采云”系统中提交最后报价的视为放弃磋商，其响应文件按无效响应处理。</w:t>
      </w:r>
      <w:r/>
    </w:p>
    <w:p>
      <w:pPr>
        <w:pStyle w:val="659"/>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659"/>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ff0000"/>
          <w:sz w:val="24"/>
          <w:szCs w:val="24"/>
        </w:rPr>
      </w:pPr>
      <w:r>
        <w:rPr>
          <w:rFonts w:hint="eastAsia"/>
          <w:sz w:val="24"/>
          <w:szCs w:val="24"/>
        </w:rPr>
        <w:t xml:space="preserve">（5）不符合磋商文件规定的实质性要求和条件的。（本磋商文件中</w:t>
      </w:r>
      <w:r>
        <w:rPr>
          <w:rFonts w:hint="eastAsia" w:ascii="仿宋" w:hAnsi="仿宋" w:eastAsia="仿宋" w:cs="仿宋"/>
          <w:sz w:val="32"/>
          <w:szCs w:val="32"/>
        </w:rPr>
        <w:t xml:space="preserve">★</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其在20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658"/>
        <w:spacing w:before="0" w:after="0" w:line="360" w:lineRule="auto"/>
        <w:rPr>
          <w:rFonts w:hint="eastAsia" w:ascii="黑体" w:hAnsi="黑体" w:eastAsia="黑体"/>
          <w:b w:val="0"/>
        </w:rPr>
      </w:pPr>
      <w:r>
        <w:rPr>
          <w:rFonts w:hint="eastAsia" w:ascii="黑体" w:hAnsi="黑体" w:eastAsia="黑体"/>
          <w:b w:val="0"/>
        </w:rPr>
        <w:t xml:space="preserve">六、成交</w:t>
      </w:r>
      <w:r/>
    </w:p>
    <w:p>
      <w:pPr>
        <w:pStyle w:val="659"/>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659"/>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成交供应商应在成交后七个工作日内，向采购中心提供一正一副与电子响应文件一致的纸质打印胶装响应文件（带页码），封面、骑缝需加盖公章。电子标书一份（U盘形式、不加密无毒）。</w:t>
      </w:r>
      <w:r/>
    </w:p>
    <w:p>
      <w:pPr>
        <w:pStyle w:val="658"/>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659"/>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659"/>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color w:val="000000" w:themeColor="text1"/>
          <w:sz w:val="24"/>
          <w:szCs w:val="24"/>
          <w14:textFill>
            <w14:solidFill>
              <w14:schemeClr w14:val="tx1"/>
            </w14:solidFill>
          </w14:textFill>
        </w:rPr>
      </w:pPr>
      <w:r>
        <w:rPr>
          <w:rFonts w:hint="eastAsia"/>
          <w:sz w:val="24"/>
          <w:szCs w:val="24"/>
        </w:rPr>
        <w:t xml:space="preserve">33.1 成交供应商应当在成交通知书发出之日起三十日内，按照磋商文件和成交供应商响应文件的规定，与采购人签订政府采购合同</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59"/>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9"/>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658"/>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659"/>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659"/>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磋商文件、采购过程、采购结果使自己的权益受到损害的，可以在知道或者应知其权益受到损害之日（获取磋商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未按照采购公告要求获取磋商文件的供应商，视为未参与该项目采购活动，不具备对该磋商文件提出质疑的法定权利。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质疑函的接收方式为供应商书面原件现场提交。联系部门、联系电话和通讯地址详见磋商文件第一章。质疑实行实名制，不得进行虚假、恶意质疑。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59"/>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（3）以传真、电子邮件、邮寄等方式递交的质疑。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659"/>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658"/>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659"/>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ind w:firstLine="562"/>
        <w:jc w:val="left"/>
        <w:spacing w:line="500" w:lineRule="exact"/>
        <w:rPr>
          <w:b/>
          <w:bCs/>
          <w:sz w:val="28"/>
          <w:szCs w:val="28"/>
        </w:rPr>
      </w:pPr>
      <w:r>
        <w:rPr>
          <w:rFonts w:hint="eastAsia"/>
          <w:b/>
          <w:bCs/>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spacing w:line="500" w:lineRule="exact"/>
        <w:rPr>
          <w:b/>
          <w:bCs/>
          <w:sz w:val="28"/>
          <w:szCs w:val="28"/>
        </w:rPr>
      </w:pPr>
      <w:r>
        <w:rPr>
          <w:rFonts w:hint="eastAsia"/>
          <w:b/>
          <w:bCs/>
          <w:sz w:val="28"/>
          <w:szCs w:val="28"/>
        </w:rPr>
        <w:t xml:space="preserve">42、政府采购需求标准</w:t>
      </w:r>
      <w:r/>
    </w:p>
    <w:p>
      <w:pPr>
        <w:ind w:firstLine="480"/>
        <w:jc w:val="left"/>
        <w:spacing w:line="500" w:lineRule="exact"/>
        <w:rPr>
          <w:rFonts w:ascii="Calibri" w:hAnsi="Calibri" w:eastAsia="宋体" w:cs="Times New Roman"/>
          <w:sz w:val="24"/>
          <w:szCs w:val="24"/>
        </w:rPr>
      </w:pPr>
      <w:r>
        <w:rPr>
          <w:rFonts w:hint="eastAsia"/>
          <w:sz w:val="24"/>
          <w:szCs w:val="24"/>
        </w:rPr>
        <w:t xml:space="preserve">42.1</w:t>
      </w:r>
      <w:r>
        <w:rPr>
          <w:rFonts w:hint="eastAsia" w:ascii="宋体" w:hAnsi="宋体" w:eastAsia="宋体" w:cs="Times New Roman"/>
          <w:color w:val="000000"/>
          <w:sz w:val="24"/>
          <w:szCs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ind w:firstLine="562"/>
        <w:jc w:val="left"/>
        <w:spacing w:line="500" w:lineRule="exact"/>
        <w:rPr>
          <w:b/>
          <w:bCs/>
          <w:sz w:val="28"/>
          <w:szCs w:val="28"/>
          <w:highlight w:val="none"/>
        </w:rPr>
      </w:pPr>
      <w:r>
        <w:rPr>
          <w:rFonts w:hint="eastAsia"/>
          <w:b/>
          <w:bCs/>
          <w:sz w:val="28"/>
          <w:szCs w:val="28"/>
          <w:highlight w:val="none"/>
        </w:rPr>
        <w:t xml:space="preserve">43、采购本国产品的支持政策</w:t>
      </w:r>
      <w:r/>
    </w:p>
    <w:p>
      <w:pPr>
        <w:ind w:firstLine="480"/>
        <w:jc w:val="left"/>
        <w:spacing w:line="480" w:lineRule="exact"/>
        <w:rPr>
          <w:rFonts w:hint="eastAsia" w:ascii="宋体" w:hAnsi="宋体" w:eastAsia="宋体" w:cs="宋体"/>
          <w:b/>
          <w:bCs/>
          <w:sz w:val="24"/>
          <w:szCs w:val="24"/>
          <w:highlight w:val="none"/>
        </w:rPr>
      </w:pPr>
      <w:r>
        <w:rPr>
          <w:rFonts w:hint="eastAsia"/>
          <w:b/>
          <w:bCs/>
          <w:sz w:val="24"/>
          <w:szCs w:val="24"/>
          <w:highlight w:val="none"/>
        </w:rPr>
        <w:t xml:space="preserve">43.1 </w:t>
      </w:r>
      <w:r>
        <w:rPr>
          <w:rFonts w:hint="eastAsia" w:ascii="宋体" w:hAnsi="宋体" w:eastAsia="宋体" w:cs="宋体"/>
          <w:b/>
          <w:bCs/>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0"/>
        <w:jc w:val="left"/>
        <w:spacing w:line="480" w:lineRule="exact"/>
        <w:rPr>
          <w:rFonts w:hint="eastAsia" w:ascii="宋体" w:hAnsi="宋体" w:eastAsia="宋体" w:cs="宋体"/>
          <w:sz w:val="24"/>
          <w:szCs w:val="24"/>
        </w:rPr>
      </w:pPr>
      <w:r>
        <w:rPr>
          <w:rFonts w:hint="eastAsia"/>
          <w:sz w:val="24"/>
          <w:szCs w:val="24"/>
        </w:rPr>
        <w:t xml:space="preserve">43.2</w:t>
      </w:r>
      <w:r>
        <w:rPr>
          <w:rFonts w:hint="eastAsia" w:ascii="宋体" w:hAnsi="宋体" w:eastAsia="宋体" w:cs="宋体"/>
          <w:sz w:val="24"/>
          <w:szCs w:val="24"/>
        </w:rPr>
        <w:t xml:space="preserve">当采购项目或者采购包中含有较多种产品，供应商为该采购项目或者采购包提供的符合本国产品标准的产品成本之和占该供应商提供的全部产品成本之和的比例达到80%以上时（供应商需在“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4"/>
          <w:szCs w:val="24"/>
          <w:highlight w:val="none"/>
        </w:rPr>
        <w:t xml:space="preserve">第六章 响应文件格式十</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43.3</w:t>
      </w:r>
      <w:r>
        <w:rPr>
          <w:rFonts w:hint="eastAsia" w:ascii="宋体" w:hAnsi="宋体" w:eastAsia="宋体" w:cs="宋体"/>
          <w:sz w:val="24"/>
          <w:szCs w:val="24"/>
        </w:rPr>
        <w:t xml:space="preserve">供应商需按照磋商文件的要求提供《关于符合本国产品标准的声明函》（以下简称《声明函》），如不提供将不享受本国产品价格评审优惠。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43.4</w:t>
      </w:r>
      <w:r>
        <w:rPr>
          <w:rFonts w:hint="eastAsia" w:ascii="宋体" w:hAnsi="宋体" w:eastAsia="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43.5</w:t>
      </w:r>
      <w:r>
        <w:rPr>
          <w:rFonts w:hint="eastAsia" w:ascii="宋体" w:hAnsi="宋体" w:eastAsia="宋体" w:cs="宋体"/>
          <w:sz w:val="24"/>
          <w:szCs w:val="24"/>
        </w:rPr>
        <w:t xml:space="preserve">磋商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keepLines/>
        <w:keepNext/>
        <w:spacing w:line="360" w:lineRule="auto"/>
        <w:rPr>
          <w:sz w:val="24"/>
          <w:szCs w:val="24"/>
        </w:rPr>
        <w:outlineLvl w:val="2"/>
      </w:pPr>
      <w:r>
        <w:rPr>
          <w:rFonts w:hint="eastAsia"/>
          <w:sz w:val="24"/>
          <w:szCs w:val="24"/>
        </w:rPr>
        <w:t xml:space="preserve">43.6</w:t>
      </w:r>
      <w:r>
        <w:rPr>
          <w:rFonts w:hint="eastAsia" w:ascii="宋体" w:hAnsi="宋体" w:eastAsia="宋体" w:cs="宋体"/>
          <w:sz w:val="24"/>
          <w:szCs w:val="24"/>
        </w:rPr>
        <w:t xml:space="preserve">政府采购中的本国产品标准及其他未尽事宜详见《国务院办公厅关于在政府采购中实施本国产品标准及相关政策的通知》（国办发〔2025〕34号）</w:t>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sz w:val="24"/>
          <w:szCs w:val="24"/>
        </w:rPr>
        <w:t xml:space="preserve"> 43.7</w:t>
      </w:r>
      <w:r>
        <w:rPr>
          <w:rFonts w:hint="eastAsia" w:ascii="宋体" w:hAnsi="宋体" w:eastAsia="宋体" w:cs="宋体"/>
          <w:sz w:val="24"/>
          <w:szCs w:val="24"/>
          <w:shd w:val="clear" w:color="auto" w:fill="ffffff"/>
        </w:rPr>
        <w:t xml:space="preserve">提供生产商营业执照原件扫描件，否则</w:t>
      </w:r>
      <w:r>
        <w:rPr>
          <w:rFonts w:hint="eastAsia" w:ascii="宋体" w:hAnsi="宋体" w:eastAsia="宋体" w:cs="宋体"/>
          <w:sz w:val="24"/>
          <w:szCs w:val="24"/>
        </w:rPr>
        <w:t xml:space="preserve">不享受本国产品价格评审优惠</w:t>
      </w:r>
      <w:r>
        <w:rPr>
          <w:rFonts w:hint="eastAsia" w:ascii="宋体" w:hAnsi="宋体" w:eastAsia="宋体" w:cs="宋体"/>
          <w:sz w:val="24"/>
          <w:szCs w:val="24"/>
          <w:shd w:val="clear" w:color="auto" w:fill="ffffff"/>
        </w:rPr>
        <w:t xml:space="preserve">。</w:t>
      </w:r>
      <w:r/>
    </w:p>
    <w:p>
      <w:pPr>
        <w:pStyle w:val="659"/>
        <w:ind w:firstLine="562"/>
        <w:jc w:val="left"/>
        <w:spacing w:before="0" w:after="0" w:line="360" w:lineRule="auto"/>
        <w:rPr>
          <w:sz w:val="28"/>
          <w:szCs w:val="28"/>
        </w:rPr>
      </w:pPr>
      <w:r>
        <w:rPr>
          <w:rFonts w:hint="eastAsia"/>
          <w:sz w:val="28"/>
          <w:szCs w:val="28"/>
        </w:rPr>
        <w:t xml:space="preserve">4</w:t>
      </w:r>
      <w:r>
        <w:rPr>
          <w:rFonts w:hint="eastAsia"/>
          <w:sz w:val="28"/>
          <w:szCs w:val="28"/>
          <w:lang w:val="en-US" w:eastAsia="zh-CN"/>
        </w:rPr>
        <w:t xml:space="preserve">4</w:t>
      </w:r>
      <w:r>
        <w:rPr>
          <w:rFonts w:hint="eastAsia"/>
          <w:sz w:val="28"/>
          <w:szCs w:val="28"/>
        </w:rPr>
        <w:t xml:space="preserve">、解释权</w:t>
      </w:r>
      <w:r/>
    </w:p>
    <w:p>
      <w:pPr>
        <w:ind w:firstLine="480"/>
        <w:jc w:val="left"/>
        <w:spacing w:line="500" w:lineRule="exact"/>
        <w:rPr>
          <w:sz w:val="24"/>
          <w:szCs w:val="24"/>
        </w:rPr>
      </w:pPr>
      <w:r>
        <w:rPr>
          <w:rFonts w:hint="eastAsia"/>
          <w:sz w:val="24"/>
          <w:szCs w:val="24"/>
        </w:rPr>
        <w:t xml:space="preserve">本磋商文件是参照《中华人民共和国政府采购法》、《中华人民共和国政府采购法实施条例》及相关法律法规编制，解释权属采购人。</w:t>
      </w:r>
      <w:r/>
    </w:p>
    <w:p>
      <w:pPr>
        <w:ind w:firstLine="480"/>
        <w:jc w:val="left"/>
        <w:spacing w:line="500" w:lineRule="exact"/>
        <w:rPr>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ascii="Times New Roman" w:hAnsi="Times New Roman" w:eastAsia="新宋体" w:cs="Times New Roman"/>
          <w:b/>
          <w:bCs/>
          <w:color w:val="000000"/>
          <w:sz w:val="24"/>
          <w:szCs w:val="24"/>
        </w:rPr>
      </w:pPr>
      <w:r>
        <w:rPr>
          <w:rFonts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特别提醒：</w:t>
      </w:r>
      <w:r/>
    </w:p>
    <w:p>
      <w:pPr>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3.投标（响应）报价低于采购项目最高限价45%的，即投标（响应）报价&lt;采购项目最高限价×45%；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4.评审委员会基于专业判断，认为供应商报价过低，有可能影响产品质量或者不能诚信履约的其他情形。 </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相关法律法规对供应商报价有规定的，从其规定。</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spacing w:line="500" w:lineRule="exact"/>
        <w:rPr>
          <w:sz w:val="24"/>
          <w:szCs w:val="24"/>
        </w:rPr>
      </w:pPr>
      <w:r>
        <w:rPr>
          <w:sz w:val="24"/>
          <w:szCs w:val="24"/>
        </w:rPr>
      </w:r>
      <w:r/>
    </w:p>
    <w:p>
      <w:pPr>
        <w:pStyle w:val="703"/>
        <w:rPr>
          <w:rFonts w:hint="eastAsia"/>
        </w:rPr>
      </w:pPr>
      <w:r>
        <w:rPr>
          <w:rFonts w:hint="eastAsia"/>
        </w:rPr>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Times New Roman" w:hAnsi="Times New Roman" w:eastAsia="黑体" w:cs="Times New Roman"/>
          <w:b w:val="0"/>
          <w:bCs/>
          <w:sz w:val="44"/>
          <w:szCs w:val="44"/>
          <w:lang w:val="en-US" w:eastAsia="zh-CN" w:bidi="ar-SA"/>
        </w:rPr>
        <w:outlineLvl w:val="0"/>
      </w:pPr>
      <w:r/>
      <w:bookmarkStart w:id="2" w:name="_Toc162361612"/>
      <w:r/>
      <w:bookmarkStart w:id="3" w:name="_Toc165205709"/>
      <w:r>
        <w:rPr>
          <w:rFonts w:hint="default" w:ascii="Times New Roman" w:hAnsi="Times New Roman"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center"/>
        <w:spacing w:line="500" w:lineRule="exact"/>
        <w:rPr>
          <w:rFonts w:hint="default" w:ascii="Times New Roman" w:hAnsi="Times New Roman" w:eastAsia="黑体" w:cs="Times New Roman"/>
          <w:sz w:val="32"/>
          <w:szCs w:val="24"/>
        </w:rPr>
      </w:pPr>
      <w:r/>
      <w:bookmarkStart w:id="4" w:name="OLE_LINK154"/>
      <w:r/>
      <w:bookmarkStart w:id="5" w:name="OLE_LINK155"/>
      <w:r>
        <w:rPr>
          <w:rFonts w:hint="default" w:ascii="Times New Roman" w:hAnsi="Times New Roman" w:eastAsia="黑体" w:cs="Times New Roman"/>
          <w:sz w:val="32"/>
          <w:szCs w:val="24"/>
        </w:rPr>
        <w:t xml:space="preserve">连云港市政府采购合同（服务）</w:t>
      </w:r>
      <w:r/>
    </w:p>
    <w:p>
      <w:pPr>
        <w:jc w:val="center"/>
        <w:spacing w:line="500" w:lineRule="exact"/>
        <w:rPr>
          <w:rFonts w:hint="default" w:ascii="Times New Roman" w:hAnsi="Times New Roman" w:eastAsia="黑体" w:cs="Times New Roman"/>
          <w:sz w:val="28"/>
          <w:szCs w:val="24"/>
        </w:rPr>
      </w:pPr>
      <w:r>
        <w:rPr>
          <w:rFonts w:hint="default" w:ascii="Times New Roman" w:hAnsi="Times New Roman" w:eastAsia="黑体" w:cs="Times New Roman"/>
          <w:sz w:val="28"/>
          <w:szCs w:val="24"/>
        </w:rPr>
        <w:t xml:space="preserve">（合同编号：***）</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甲方：（买方）_________</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乙方：（卖方）_________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甲、乙双方根据</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年</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月</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日</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项目（项目编号：</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rPr>
          <w:rFonts w:hint="eastAsia" w:ascii="Times New Roman" w:hAnsi="Times New Roman" w:eastAsia="宋体" w:cs="Times New Roman"/>
          <w:sz w:val="24"/>
          <w:szCs w:val="24"/>
          <w:lang w:eastAsia="zh-CN"/>
        </w:rPr>
        <w:t xml:space="preserve">竞争性磋商</w:t>
      </w:r>
      <w:r>
        <w:rPr>
          <w:rFonts w:hint="default" w:ascii="Times New Roman" w:hAnsi="Times New Roman" w:eastAsia="Arial" w:cs="Times New Roman"/>
          <w:sz w:val="24"/>
          <w:szCs w:val="24"/>
        </w:rPr>
        <w:t xml:space="preserve">的结果，签订本合同。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一、合同内容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二、合同金额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三、技术资料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文件规定的时间向甲方提供有关技术资料。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四、知识产权</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五、产权担保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六、履约保证金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6.1 </w:t>
      </w:r>
      <w:r>
        <w:rPr>
          <w:rFonts w:hint="eastAsia" w:ascii="Times New Roman" w:hAnsi="Times New Roman" w:eastAsia="宋体" w:cs="Times New Roman"/>
          <w:sz w:val="24"/>
          <w:szCs w:val="24"/>
          <w:lang w:eastAsia="zh-CN"/>
        </w:rPr>
        <w:t xml:space="preserve">本</w:t>
      </w:r>
      <w:r>
        <w:rPr>
          <w:rFonts w:hint="default" w:ascii="Times New Roman" w:hAnsi="Times New Roman" w:eastAsia="Arial" w:cs="Times New Roman"/>
          <w:sz w:val="24"/>
          <w:szCs w:val="24"/>
          <w:lang w:val="en-US" w:eastAsia="zh-CN"/>
        </w:rPr>
        <w:t xml:space="preserve">项目</w:t>
      </w:r>
      <w:r>
        <w:rPr>
          <w:rFonts w:hint="default" w:ascii="Times New Roman" w:hAnsi="Times New Roman" w:eastAsia="Arial" w:cs="Times New Roman"/>
          <w:sz w:val="24"/>
          <w:szCs w:val="24"/>
        </w:rPr>
        <w:t xml:space="preserve">履约保证金的数额为政府采购合同金额的10%。在领取成交通知书后，合同签订前一次性缴纳，否则视为放弃，承担相应的责任。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rFonts w:hint="default" w:ascii="Times New Roman" w:hAnsi="Times New Roman" w:eastAsia="Arial" w:cs="Times New Roman"/>
          <w:sz w:val="24"/>
          <w:szCs w:val="24"/>
          <w:highlight w:val="none"/>
        </w:rPr>
      </w:pPr>
      <w:r>
        <w:rPr>
          <w:rFonts w:hint="eastAsia" w:ascii="Times New Roman" w:hAnsi="Times New Roman" w:eastAsia="Arial" w:cs="Times New Roman"/>
          <w:sz w:val="24"/>
          <w:szCs w:val="24"/>
          <w:highlight w:val="none"/>
          <w:lang w:val="en-US" w:eastAsia="zh-CN"/>
        </w:rPr>
        <w:t xml:space="preserve">6.2 履约保证金分三年退还，第一年维保期满后退还40%，第二年维保期满后退还30%，第三年维保期满后退还30%。</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七、合同转包或分包</w:t>
      </w:r>
      <w:r/>
    </w:p>
    <w:p>
      <w:pPr>
        <w:ind w:firstLine="480"/>
        <w:jc w:val="left"/>
        <w:spacing w:line="500" w:lineRule="exact"/>
        <w:rPr>
          <w:rFonts w:ascii="Calibri" w:hAnsi="Calibri" w:eastAsia="宋体" w:cs="Times New Roman"/>
          <w:sz w:val="24"/>
          <w:szCs w:val="24"/>
        </w:rPr>
      </w:pPr>
      <w:r>
        <w:rPr>
          <w:rFonts w:hint="default" w:ascii="Times New Roman" w:hAnsi="Times New Roman" w:eastAsia="Arial" w:cs="Times New Roman"/>
          <w:sz w:val="24"/>
          <w:szCs w:val="24"/>
        </w:rPr>
        <w:t xml:space="preserve">7.1 </w:t>
      </w:r>
      <w:r>
        <w:rPr>
          <w:rFonts w:hint="eastAsia" w:ascii="Calibri" w:hAnsi="Calibri" w:eastAsia="宋体" w:cs="Times New Roman"/>
          <w:sz w:val="24"/>
          <w:szCs w:val="24"/>
        </w:rPr>
        <w:t xml:space="preserve">本合同范围内产品或服务，应由乙方直接供应，不得转让他人供应或部分分包给他人供应。</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Arial" w:cs="Times New Roman"/>
          <w:sz w:val="24"/>
          <w:szCs w:val="24"/>
        </w:rPr>
        <w:t xml:space="preserve">7.2 </w:t>
      </w:r>
      <w:r>
        <w:rPr>
          <w:rFonts w:hint="eastAsia" w:ascii="Calibri" w:hAnsi="Calibri" w:eastAsia="宋体" w:cs="Times New Roman"/>
          <w:sz w:val="24"/>
          <w:szCs w:val="24"/>
        </w:rPr>
        <w:t xml:space="preserve">如有转让和未经甲方同意的分包行为，甲方有权终止合同</w:t>
      </w:r>
      <w:r>
        <w:rPr>
          <w:rFonts w:hint="eastAsia" w:ascii="Calibri" w:hAnsi="Calibri"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eastAsia="Arial" w:cs="Times New Roman"/>
          <w:sz w:val="24"/>
          <w:szCs w:val="24"/>
        </w:rPr>
        <w:t xml:space="preserve">8.1 服务时间：</w:t>
      </w:r>
      <w:r>
        <w:rPr>
          <w:rFonts w:hint="default" w:ascii="Times New Roman" w:hAnsi="Times New Roman" w:eastAsia="Arial" w:cs="Times New Roman"/>
          <w:sz w:val="24"/>
          <w:szCs w:val="24"/>
          <w:u w:val="single"/>
        </w:rPr>
        <w:t xml:space="preserve">           </w:t>
      </w:r>
      <w:r>
        <w:rPr>
          <w:rFonts w:hint="default" w:ascii="Times New Roman" w:hAnsi="Times New Roman" w:eastAsia="黑体"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九、交付期、交付方式及交付地点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9.1 交 付 期：_________。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9.3 交付地点：_________。</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十、合同款支付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10.1 付款方式：_________。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10.2 当采购数量与实际使用数量不一致时，乙方应根据实际使用量提供产品和服务，合同的最终结算金额按实际使用量乘以</w:t>
      </w:r>
      <w:r>
        <w:rPr>
          <w:rFonts w:hint="eastAsia" w:ascii="Times New Roman" w:hAnsi="Times New Roman" w:eastAsia="宋体" w:cs="Times New Roman"/>
          <w:sz w:val="24"/>
          <w:szCs w:val="24"/>
          <w:lang w:eastAsia="zh-CN"/>
        </w:rPr>
        <w:t xml:space="preserve">成交</w:t>
      </w:r>
      <w:r>
        <w:rPr>
          <w:rFonts w:hint="default" w:ascii="Times New Roman" w:hAnsi="Times New Roman" w:eastAsia="Arial" w:cs="Times New Roman"/>
          <w:sz w:val="24"/>
          <w:szCs w:val="24"/>
        </w:rPr>
        <w:t xml:space="preserve">单价进行计算。</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十一、税费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十二、质量保证及售后服务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文件规定和</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文件承诺的性能、技术要求、质量标准向甲方提供产品或服务。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12.3 如在使用过程中发生质量问题，乙方在接到甲方通知后在</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小时内到达甲方现场。</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十三、项目验收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13.1 甲方依法组织履约验收工作。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13.5 甲方成立验收小组，按照采购合同的约定对乙方的履约情况进行验收。验收时间、验收标准见</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十四、合同内容的交付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十五、违约责任</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甲方无正当理由拒收的，甲方向乙方偿付拒收标的总值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甲方无故逾期验收和办理合同款支付手续的，甲方应按逾期付款总额每日</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向乙方支付违约金，</w:t>
      </w:r>
      <w:r>
        <w:rPr>
          <w:rFonts w:hint="default" w:ascii="Times New Roman" w:hAnsi="Times New Roman" w:eastAsia="Arial" w:cs="Times New Roman"/>
          <w:color w:val="000000"/>
          <w:sz w:val="24"/>
          <w:szCs w:val="24"/>
        </w:rPr>
        <w:t xml:space="preserve">最高限额为本合同总额的</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乙方逾期交付合同标的的，乙方应按逾期交付总额每日</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rPr>
        <w:t xml:space="preserve">向甲方支付违约金，由甲方从待付合同款中扣除。逾期超过约定日期</w:t>
      </w:r>
      <w:r>
        <w:rPr>
          <w:rFonts w:hint="eastAsia" w:ascii="Times New Roman" w:hAnsi="Times New Roman" w:eastAsia="宋体" w:cs="Times New Roman"/>
          <w:sz w:val="24"/>
          <w:szCs w:val="24"/>
          <w:u w:val="single"/>
          <w:lang w:val="en-US" w:eastAsia="zh-CN"/>
        </w:rPr>
        <w:t xml:space="preserve"> 60日</w:t>
      </w:r>
      <w:r>
        <w:rPr>
          <w:rFonts w:hint="default" w:ascii="Times New Roman" w:hAnsi="Times New Roman" w:eastAsia="Arial" w:cs="Times New Roman"/>
          <w:sz w:val="24"/>
          <w:szCs w:val="24"/>
        </w:rPr>
        <w:t xml:space="preserve">不能交付的，甲方可解除本合同。乙方因逾期交付或因其他违约行为导致甲方解除合同的，乙方应向甲方支付合同总值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乙方交付的产品或服务不符合项目需求要求、乙方</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文件承诺及国家有关质量标准的，甲方有权拒收，乙方愿意更换但逾期交付的，按乙方逾期交付处理。乙方拒绝更换的，甲方可单方面解除合同，并由乙方赔偿由此造成的甲方全部损失。</w:t>
      </w:r>
      <w:r/>
    </w:p>
    <w:p>
      <w:pPr>
        <w:pStyle w:val="663"/>
        <w:rPr>
          <w:rFonts w:hint="default" w:eastAsia="宋体"/>
          <w:lang w:val="en-US" w:eastAsia="zh-CN"/>
        </w:rPr>
      </w:pPr>
      <w:r>
        <w:rPr>
          <w:rFonts w:hint="eastAsia" w:ascii="Times New Roman" w:hAnsi="Times New Roman" w:eastAsia="宋体" w:cs="Times New Roman"/>
          <w:sz w:val="24"/>
          <w:szCs w:val="24"/>
          <w:lang w:val="en-US" w:eastAsia="zh-CN"/>
        </w:rPr>
        <w:t xml:space="preserve">15.5乙方响应不及时的，每次扣1000元，当年度扣完为止。</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十六、不可抗力事件处理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十七、解决争议的方法</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17.1 甲乙双方因合同签订、履行而发生的一切争议，应通过友好协商解决。如协商不成，按下列</w:t>
      </w:r>
      <w:r>
        <w:rPr>
          <w:rFonts w:hint="default" w:ascii="Times New Roman" w:hAnsi="Times New Roman" w:eastAsia="Arial" w:cs="Times New Roman"/>
          <w:sz w:val="24"/>
          <w:szCs w:val="24"/>
          <w:highlight w:val="none"/>
        </w:rPr>
        <w:t xml:space="preserve">第</w:t>
      </w:r>
      <w:r>
        <w:rPr>
          <w:rFonts w:hint="default" w:ascii="Times New Roman" w:hAnsi="Times New Roman" w:eastAsia="Arial" w:cs="Times New Roman"/>
          <w:sz w:val="24"/>
          <w:szCs w:val="24"/>
          <w:highlight w:val="none"/>
          <w:u w:val="single"/>
        </w:rPr>
        <w:t xml:space="preserve">（1）</w:t>
      </w:r>
      <w:r>
        <w:rPr>
          <w:rFonts w:hint="default" w:ascii="Times New Roman" w:hAnsi="Times New Roman" w:eastAsia="Arial" w:cs="Times New Roman"/>
          <w:sz w:val="24"/>
          <w:szCs w:val="24"/>
          <w:highlight w:val="none"/>
        </w:rPr>
        <w:t xml:space="preserve">种</w:t>
      </w:r>
      <w:r>
        <w:rPr>
          <w:rFonts w:hint="default" w:ascii="Times New Roman" w:hAnsi="Times New Roman" w:eastAsia="Arial" w:cs="Times New Roman"/>
          <w:sz w:val="24"/>
          <w:szCs w:val="24"/>
        </w:rPr>
        <w:t xml:space="preserve">方式解决：</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（1）向连云港仲裁委员会申请仲裁。</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（2）向合同签订地法院起诉，合同签订地在此约定为连云港市</w:t>
      </w:r>
      <w:r>
        <w:rPr>
          <w:rFonts w:hint="eastAsia" w:ascii="Times New Roman" w:hAnsi="Times New Roman" w:eastAsia="宋体"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十八、合同生效及其他</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18.3 本合同正本一式两份，具有同等法律效力，甲方、乙方各执一份。</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乙方：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地址：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法定代表人或授权代表：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联系电话：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                                     </w:t>
      </w:r>
      <w:r/>
    </w:p>
    <w:p>
      <w:pPr>
        <w:ind w:firstLine="480"/>
        <w:jc w:val="righ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日</w:t>
      </w:r>
      <w:bookmarkEnd w:id="4"/>
      <w:r/>
      <w:bookmarkEnd w:id="5"/>
      <w:r/>
      <w:r/>
    </w:p>
    <w:p>
      <w:pPr>
        <w:jc w:val="left"/>
        <w:widowControl/>
        <w:rPr>
          <w:sz w:val="44"/>
          <w:szCs w:val="44"/>
        </w:rPr>
      </w:pPr>
      <w:r>
        <w:rPr>
          <w:rFonts w:hint="default" w:ascii="Times New Roman" w:hAnsi="Times New Roman" w:eastAsia="Arial" w:cs="Times New Roman"/>
          <w:sz w:val="24"/>
          <w:szCs w:val="24"/>
        </w:rPr>
        <w:br w:type="page" w:clear="all"/>
      </w:r>
      <w:bookmarkEnd w:id="3"/>
      <w:r/>
      <w:r/>
    </w:p>
    <w:p>
      <w:pPr>
        <w:pStyle w:val="703"/>
        <w:rPr>
          <w:rFonts w:hint="eastAsia"/>
        </w:rPr>
      </w:pPr>
      <w:r>
        <w:rPr>
          <w:rFonts w:hint="eastAsia"/>
        </w:rPr>
      </w:r>
      <w:r/>
    </w:p>
    <w:p>
      <w:pPr>
        <w:pStyle w:val="657"/>
        <w:jc w:val="center"/>
        <w:spacing w:before="156" w:after="156" w:line="360" w:lineRule="auto"/>
        <w:rPr>
          <w:rFonts w:hint="eastAsia" w:ascii="黑体" w:hAnsi="黑体" w:eastAsia="黑体"/>
          <w:b w:val="0"/>
        </w:rPr>
      </w:pPr>
      <w:r/>
      <w:bookmarkStart w:id="6" w:name="_Toc165205710"/>
      <w:r>
        <w:rPr>
          <w:rFonts w:hint="eastAsia" w:ascii="黑体" w:hAnsi="黑体" w:eastAsia="黑体"/>
          <w:b w:val="0"/>
        </w:rPr>
        <w:t xml:space="preserve">第四章  采购需求</w:t>
      </w:r>
      <w:bookmarkEnd w:id="6"/>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lang w:eastAsia="zh-CN"/>
        </w:rPr>
        <w:t xml:space="preserve">服务</w:t>
      </w:r>
      <w:r>
        <w:rPr>
          <w:rFonts w:hint="eastAsia" w:ascii="宋体" w:hAnsi="宋体" w:eastAsia="宋体" w:cs="宋体"/>
          <w:sz w:val="24"/>
          <w:szCs w:val="24"/>
        </w:rPr>
        <w:t xml:space="preserve">，采购标的对应的中小企业划分标准所属行业：</w:t>
      </w:r>
      <w:r>
        <w:rPr>
          <w:rFonts w:hint="eastAsia"/>
          <w:b/>
          <w:bCs/>
          <w:sz w:val="24"/>
          <w:szCs w:val="24"/>
          <w:u w:val="single"/>
        </w:rPr>
        <w:t xml:space="preserve">软件和信息技术服务业</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highlight w:val="none"/>
        </w:rPr>
        <w:t xml:space="preserve">本磋商文件</w:t>
      </w:r>
      <w:r>
        <w:rPr>
          <w:rFonts w:hint="eastAsia" w:ascii="宋体" w:hAnsi="宋体" w:eastAsia="宋体" w:cs="宋体"/>
          <w:b/>
          <w:sz w:val="24"/>
          <w:szCs w:val="24"/>
          <w:highlight w:val="none"/>
          <w:lang w:eastAsia="zh-CN"/>
        </w:rPr>
        <w:t xml:space="preserve">中标</w:t>
      </w:r>
      <w:r>
        <w:rPr>
          <w:rFonts w:hint="eastAsia" w:ascii="宋体" w:hAnsi="宋体" w:eastAsia="宋体" w:cs="宋体"/>
          <w:b/>
          <w:sz w:val="24"/>
          <w:szCs w:val="24"/>
          <w:highlight w:val="none"/>
        </w:rPr>
        <w:t xml:space="preserve">注★号的部分为实质性要求和条件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为深化“放管服”改革，提升灌云县政务服务智能化水平，本项目在原有</w:t>
      </w:r>
      <w:r>
        <w:rPr>
          <w:rFonts w:hint="eastAsia" w:ascii="宋体" w:hAnsi="宋体" w:eastAsia="宋体" w:cs="宋体"/>
          <w:bCs/>
          <w:sz w:val="24"/>
          <w:szCs w:val="24"/>
          <w:lang w:val="en-US" w:eastAsia="zh-CN"/>
        </w:rPr>
        <w:t xml:space="preserve">连云港市政务服务一体化平台</w:t>
      </w:r>
      <w:r>
        <w:rPr>
          <w:rFonts w:hint="eastAsia" w:ascii="宋体" w:hAnsi="宋体" w:eastAsia="宋体" w:cs="宋体"/>
          <w:bCs/>
          <w:sz w:val="24"/>
          <w:szCs w:val="24"/>
        </w:rPr>
        <w:t xml:space="preserve">基础上，新增智能问答、智能预审、智能预约、</w:t>
      </w:r>
      <w:r>
        <w:rPr>
          <w:rFonts w:hint="eastAsia" w:ascii="宋体" w:hAnsi="宋体" w:eastAsia="宋体" w:cs="宋体"/>
          <w:bCs/>
          <w:sz w:val="24"/>
          <w:szCs w:val="24"/>
          <w:lang w:val="en-US" w:eastAsia="zh-CN"/>
        </w:rPr>
        <w:t xml:space="preserve">随机派件</w:t>
      </w:r>
      <w:r>
        <w:rPr>
          <w:rFonts w:hint="eastAsia" w:ascii="宋体" w:hAnsi="宋体" w:eastAsia="宋体" w:cs="宋体"/>
          <w:bCs/>
          <w:sz w:val="24"/>
          <w:szCs w:val="24"/>
        </w:rPr>
        <w:t xml:space="preserve">、并联审批、云视频审批、跨系统政务数据摆渡等</w:t>
      </w:r>
      <w:r>
        <w:rPr>
          <w:rFonts w:hint="eastAsia" w:ascii="宋体" w:hAnsi="宋体" w:eastAsia="宋体" w:cs="宋体"/>
          <w:bCs/>
          <w:sz w:val="24"/>
          <w:szCs w:val="24"/>
          <w:lang w:val="en-US" w:eastAsia="zh-CN"/>
        </w:rPr>
        <w:t xml:space="preserve">不对应审批应用场景</w:t>
      </w:r>
      <w:r>
        <w:rPr>
          <w:rFonts w:hint="eastAsia" w:ascii="宋体" w:hAnsi="宋体" w:eastAsia="宋体" w:cs="宋体"/>
          <w:bCs/>
          <w:sz w:val="24"/>
          <w:szCs w:val="24"/>
        </w:rPr>
        <w:t xml:space="preserve">，并配套必要的窗口硬件设备。构建全流程智能化、软硬一体化、线上线下融合的服务体系。</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二、标的采购清单</w:t>
      </w:r>
      <w:r/>
    </w:p>
    <w:tbl>
      <w:tblPr>
        <w:tblStyle w:val="678"/>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533"/>
        <w:gridCol w:w="1017"/>
        <w:gridCol w:w="2432"/>
        <w:gridCol w:w="1748"/>
        <w:gridCol w:w="1300"/>
        <w:gridCol w:w="700"/>
        <w:gridCol w:w="1220"/>
      </w:tblGrid>
      <w:tr>
        <w:trPr>
          <w:jc w:val="center"/>
          <w:trHeight w:val="90"/>
        </w:trPr>
        <w:tc>
          <w:tcPr>
            <w:tcW w:w="8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品目分类编码</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计量单位</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是否进口</w:t>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p>
            <w:pPr>
              <w:rPr>
                <w:rFonts w:hint="eastAsia" w:ascii="宋体" w:hAnsi="宋体" w:eastAsia="宋体" w:cs="宋体"/>
                <w:sz w:val="24"/>
                <w:szCs w:val="24"/>
              </w:rPr>
            </w:pPr>
            <w:r>
              <w:rPr>
                <w:rFonts w:hint="eastAsia" w:ascii="宋体" w:hAnsi="宋体" w:eastAsia="宋体" w:cs="宋体"/>
                <w:sz w:val="24"/>
                <w:szCs w:val="24"/>
              </w:rPr>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不对应审批应用场景软件部分功能清单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lang w:eastAsia="en-US" w:bidi="en-US"/>
              </w:rPr>
              <w:t xml:space="preserve">C16010302</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tcBorders>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随机派件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智能导办</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ind w:firstLine="1200"/>
              <w:jc w:val="both"/>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不对应审批硬件清单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right w:val="singl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云桌面</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管理服务器（含管理平台）</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A02010104</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left"/>
              <w:tabs>
                <w:tab w:val="left" w:pos="297" w:leader="none"/>
              </w:tabs>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A02010199</w:t>
            </w:r>
            <w:r/>
          </w:p>
        </w:tc>
        <w:tc>
          <w:tcPr>
            <w:tcW w:w="130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16"/>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tabs>
                <w:tab w:val="left" w:pos="29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政务服务互助终端</w:t>
            </w:r>
            <w:r/>
          </w:p>
        </w:tc>
        <w:tc>
          <w:tcPr>
            <w:tcW w:w="174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b w:val="0"/>
                <w:bCs/>
                <w:color w:val="333333"/>
                <w:sz w:val="24"/>
                <w:szCs w:val="24"/>
                <w:highlight w:val="none"/>
              </w:rPr>
              <w:t xml:space="preserve">A02010000</w:t>
            </w:r>
            <w:r/>
          </w:p>
        </w:tc>
        <w:tc>
          <w:tcPr>
            <w:tcW w:w="13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7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0" w:type="dxa"/>
            <w:vAlign w:val="center"/>
            <w:textDirection w:val="lrTb"/>
            <w:noWrap w:val="false"/>
          </w:tcPr>
          <w:p>
            <w:pPr>
              <w:jc w:val="center"/>
              <w:rPr>
                <w:rFonts w:hint="eastAsia" w:ascii="宋体" w:hAnsi="宋体" w:eastAsia="仿宋_GB2312" w:cs="宋体"/>
                <w:sz w:val="24"/>
                <w:szCs w:val="24"/>
                <w:highlight w:val="yellow"/>
                <w:lang w:eastAsia="zh-CN"/>
              </w:rPr>
            </w:pPr>
            <w:r>
              <w:rPr>
                <w:rFonts w:hint="eastAsia" w:ascii="宋体" w:hAnsi="宋体" w:eastAsia="仿宋_GB2312" w:cs="宋体"/>
                <w:sz w:val="24"/>
                <w:szCs w:val="24"/>
                <w:highlight w:val="yellow"/>
                <w:lang w:eastAsia="zh-CN"/>
              </w:rPr>
            </w:r>
            <w:r/>
          </w:p>
        </w:tc>
      </w:tr>
    </w:tbl>
    <w:p>
      <w:pP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三、技术要求</w:t>
      </w:r>
      <w:r/>
    </w:p>
    <w:p>
      <w:pPr>
        <w:spacing w:line="560" w:lineRule="exact"/>
        <w:rPr>
          <w:rFonts w:hint="eastAsia" w:ascii="Times New Roman" w:hAnsi="仿宋_GB2312" w:eastAsia="仿宋_GB2312" w:cs="仿宋_GB2312"/>
          <w:b/>
          <w:sz w:val="24"/>
          <w:szCs w:val="24"/>
        </w:rPr>
      </w:pPr>
      <w:r>
        <w:rPr>
          <w:rFonts w:hint="eastAsia" w:ascii="Times New Roman" w:hAnsi="仿宋_GB2312" w:eastAsia="仿宋_GB2312" w:cs="仿宋_GB2312"/>
          <w:b/>
          <w:sz w:val="24"/>
          <w:szCs w:val="24"/>
        </w:rPr>
        <w:t xml:space="preserve">1</w:t>
      </w:r>
      <w:r>
        <w:rPr>
          <w:rFonts w:hint="eastAsia" w:ascii="宋体" w:hAnsi="宋体" w:eastAsia="宋体" w:cs="宋体"/>
          <w:b/>
          <w:sz w:val="24"/>
          <w:szCs w:val="24"/>
        </w:rPr>
        <w:t xml:space="preserve">.软件系统开发部分</w:t>
      </w:r>
      <w:r/>
    </w:p>
    <w:p>
      <w:pPr>
        <w:pStyle w:val="663"/>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w:t>
      </w:r>
      <w:r>
        <w:rPr>
          <w:rFonts w:hint="eastAsia" w:cs="宋体"/>
          <w:b/>
          <w:bCs w:val="0"/>
          <w:sz w:val="24"/>
          <w:szCs w:val="24"/>
          <w:highlight w:val="none"/>
          <w:lang w:val="en-US" w:eastAsia="zh-CN" w:bidi="ar-SA"/>
        </w:rPr>
        <w:t xml:space="preserve">供应商应</w:t>
      </w:r>
      <w:r>
        <w:rPr>
          <w:rFonts w:hint="eastAsia" w:ascii="宋体" w:hAnsi="宋体" w:eastAsia="宋体" w:cs="宋体"/>
          <w:b/>
          <w:bCs w:val="0"/>
          <w:sz w:val="24"/>
          <w:szCs w:val="24"/>
          <w:highlight w:val="none"/>
          <w:lang w:val="en-US" w:eastAsia="zh-CN" w:bidi="ar-SA"/>
        </w:rPr>
        <w:t xml:space="preserve">承诺软件模块可以搭建在</w:t>
      </w:r>
      <w:r>
        <w:rPr>
          <w:rFonts w:hint="eastAsia" w:cs="宋体"/>
          <w:b/>
          <w:bCs w:val="0"/>
          <w:sz w:val="24"/>
          <w:szCs w:val="24"/>
          <w:highlight w:val="none"/>
          <w:lang w:val="en-US" w:eastAsia="zh-CN" w:bidi="ar-SA"/>
        </w:rPr>
        <w:t xml:space="preserve">政务云</w:t>
      </w:r>
      <w:r>
        <w:rPr>
          <w:rFonts w:hint="eastAsia" w:ascii="宋体" w:hAnsi="宋体" w:eastAsia="宋体" w:cs="宋体"/>
          <w:b/>
          <w:bCs w:val="0"/>
          <w:sz w:val="24"/>
          <w:szCs w:val="24"/>
          <w:highlight w:val="none"/>
          <w:lang w:val="en-US" w:eastAsia="zh-CN" w:bidi="ar-SA"/>
        </w:rPr>
        <w:t xml:space="preserve">信创平台上，提供承诺书加盖供应商公章。</w:t>
      </w:r>
      <w:r/>
    </w:p>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不对应审批应用场景技术要求</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rHeight w:val="1700"/>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①随机派件。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依托连云港市政务服务一体化平台，增加审批人员库，支持动态分配审批事项权限，随机分配审批事项给具有审批权限的审批人员。</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②智能问答。</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实现多模态交互，基于自然语言处理（NLP）技术，能够准确理解用户口语化、模糊化的咨询，并自动转化为标准事项名称。支持网页端、移动端、大厅自助终端等多种渠道的智能问答服务。</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③智能导办。</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通过流程和“一问一答”的交互方式，引导申请人选择具体的办事情形，精准匹配所需材料清单。一期完成数据局审批事项。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④智能预审。</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材料智能核验：利用OCR识别、NLP及规则引擎技术，在用户上传材料后，自动比对材料要素。实现表单数据与上传材料之间的逻辑一致性校验。自动生成预审报告。一期完成数据局审批事项。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⑤智能预约。</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根据用户选择的事项类型、预计办理时长，自动推荐合适的办理窗口和最佳办理时间。实现“事项+材料准备情况”的精准预约。</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⑥审批助手。</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为窗口人员提供AI辅助审批功能，调用后台智能审批功能，并展示审批结果。同时建立人工复核机制，确认系统自动审核结果是否正确。一期完成数据局审批事项。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⑦云视频。</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支持窗口人员、审批人员、申请人等多方实时音视频通话。支持窗口端将业务系统界面、高拍仪拍摄的材料画面共享给申请人，指导其修改材料。全程录音录像，视频文件与办件档案关联存储，支持事后回溯。支持在视频通话中使用电子白板进行标注、画图，辅助解释审批要求。一期满足数据局审批事项工作需求。</w:t>
            </w:r>
            <w:r/>
          </w:p>
          <w:p>
            <w:pPr>
              <w:numPr>
                <w:ilvl w:val="0"/>
                <w:numId w:val="2"/>
              </w:numPr>
              <w:spacing w:line="560" w:lineRule="exact"/>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部署架构要求：</w:t>
            </w:r>
            <w:r>
              <w:rPr>
                <w:rFonts w:hint="eastAsia" w:ascii="宋体" w:hAnsi="宋体" w:eastAsia="宋体" w:cs="宋体"/>
                <w:bCs/>
                <w:sz w:val="24"/>
                <w:szCs w:val="24"/>
                <w:highlight w:val="none"/>
                <w:lang w:eastAsia="zh-CN"/>
              </w:rPr>
              <w:t xml:space="preserve">本次提供政务云信创资源，系统需支持国产信创服务器的虚拟化部署。（</w:t>
            </w:r>
            <w:r>
              <w:rPr>
                <w:rFonts w:hint="eastAsia" w:ascii="宋体" w:hAnsi="宋体" w:eastAsia="宋体" w:cs="宋体"/>
                <w:bCs/>
                <w:sz w:val="24"/>
                <w:szCs w:val="24"/>
                <w:highlight w:val="none"/>
                <w:lang w:val="en-US" w:eastAsia="zh-CN"/>
              </w:rPr>
              <w:t xml:space="preserve">提供政务云资源布置应用协议或承诺。</w:t>
            </w:r>
            <w:r>
              <w:rPr>
                <w:rFonts w:hint="eastAsia" w:ascii="宋体" w:hAnsi="宋体" w:eastAsia="宋体" w:cs="宋体"/>
                <w:bCs/>
                <w:sz w:val="24"/>
                <w:szCs w:val="24"/>
                <w:highlight w:val="none"/>
                <w:lang w:eastAsia="zh-CN"/>
              </w:rPr>
              <w:t xml:space="preserve">）</w:t>
            </w:r>
            <w:r/>
          </w:p>
          <w:p>
            <w:pPr>
              <w:numPr>
                <w:ilvl w:val="0"/>
                <w:numId w:val="2"/>
              </w:num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高清视频处理能力要求：为保障远程指导、多方会审画面清晰，精准呈现业务界面及材料细节，平台需具备超高清视频处理能力，原生支持</w:t>
            </w:r>
            <w:r>
              <w:rPr>
                <w:rFonts w:hint="eastAsia" w:ascii="Times New Roman" w:hAnsi="仿宋_GB2312" w:eastAsia="仿宋_GB2312" w:cs="仿宋_GB2312"/>
                <w:b w:val="0"/>
                <w:i w:val="0"/>
                <w:sz w:val="24"/>
                <w:szCs w:val="24"/>
                <w:lang w:val="en-US" w:eastAsia="zh-CN"/>
              </w:rPr>
              <w:t xml:space="preserve">4K60fps、4K30fps、1080P30/60fps、720P30/60fps</w:t>
            </w:r>
            <w:r>
              <w:rPr>
                <w:rFonts w:hint="eastAsia" w:ascii="宋体" w:hAnsi="宋体" w:eastAsia="宋体" w:cs="宋体"/>
                <w:bCs/>
                <w:sz w:val="24"/>
                <w:szCs w:val="24"/>
              </w:rPr>
              <w:t xml:space="preserve">，向下兼容各类标清、高清终端，确保各类设备接入均能实现稳定高清交互，保障材料细节、审批标注清晰可视。</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3）多元内容共享功能要求：结合窗口远程指导、政策讲解等核心场景，平台需支持桌面、程序、文档、媒体四种共享方式，满足窗口共享业务系统、高拍仪材料、政策文档等需求。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会控共享管理功能要求：为规范会议秩序，平台需具备完善会控共享管理能力，支持所有参会人员及终端同时发送共享内容。会控管理员可实时预览所有共享内容，共享内容需经管理员指定共享广播后，全场方可接收，杜绝无关、错误内容传播。</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5）多路共享并发能力要求：针对复杂业务多方资料核对场景，平台支持多路共享内容收发，会场终端可自主切换调看不同共享资料</w:t>
            </w:r>
            <w:r>
              <w:rPr>
                <w:rFonts w:hint="eastAsia" w:ascii="宋体" w:hAnsi="宋体" w:eastAsia="宋体" w:cs="宋体"/>
                <w:bCs/>
                <w:sz w:val="24"/>
                <w:szCs w:val="24"/>
                <w:highlight w:val="none"/>
              </w:rPr>
              <w:t xml:space="preserve">。系统需支持同时接收不少于4路独立共享内容</w:t>
            </w:r>
            <w:r>
              <w:rPr>
                <w:rFonts w:hint="eastAsia" w:ascii="宋体" w:hAnsi="宋体" w:eastAsia="宋体" w:cs="宋体"/>
                <w:bCs/>
                <w:sz w:val="24"/>
                <w:szCs w:val="24"/>
              </w:rPr>
              <w:t xml:space="preserve">，保障多类资料同步查看，提升联合审批、远程答疑效率。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6）多画面合成展示功能要求：适配多窗口、多专家会审场景，平台支持</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分屏画面合成布局，可同时观看</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路视频画面，满足全域协同需求。会场可自由切换视频布局，适配一对一指导、集中会审等不同场景。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7）人像优化与视频降噪功能要求：平台具备智能画面优化能力，支持多级可调人像优化，内置视频降噪模块，可消除画面噪点、弱化光影干扰，提升画面清晰度，保障远程沟通效果。</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8）服务评价与数据统计功能要求：业务办结后申请人可对窗口人员评分，系统自动统计投票、问卷数据，支持结果一键导出，为服务考核、优化及存档提供数据支撑。</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9）会议录制与智能剪辑功能要求：支持会议全程录音录像，录制文件与办件档案关联存储，</w:t>
            </w:r>
            <w:r>
              <w:rPr>
                <w:rFonts w:hint="eastAsia" w:ascii="宋体" w:hAnsi="宋体" w:eastAsia="宋体" w:cs="宋体"/>
                <w:bCs/>
                <w:sz w:val="24"/>
                <w:szCs w:val="24"/>
                <w:highlight w:val="none"/>
              </w:rPr>
              <w:t xml:space="preserve">实现全程留痕。</w:t>
            </w:r>
            <w:r>
              <w:rPr>
                <w:rFonts w:hint="eastAsia" w:ascii="宋体" w:hAnsi="宋体" w:eastAsia="宋体" w:cs="宋体"/>
                <w:bCs/>
                <w:sz w:val="24"/>
                <w:szCs w:val="24"/>
              </w:rPr>
              <w:t xml:space="preserve">支持录像在线剪辑、添加片头片尾、合并、下载及分享，满足档案整理、复盘、核查等需求。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10）智能轮询展示功能要求：系统操作简洁，支持单画面、多画面轮询，可拖拽添加终端至轮询布局。每个轮询子画面可独立配置轮询列表，支持语音激励、指定成员、自动轮询三种规则，适配各类巡查场景。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11）会议焦点展示模式要求：支持会议焦点模式，主持人可将核心讲解、答疑画面设为焦点主画面，其余画面以缩略图展示，突出沟通重点，提升协同效率。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12）终端智能检测功能要求：会议召开后，主持人可一键检测全部或指定终端，自动检测网络、摄像头、扬声器、麦克风状态，判断入会质量，留存历史检测数据，便于故障溯源、隐患排查。</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13）会议等候室管理功能要求：支持等候室功能，新入会成员先进入等候室，系统触发提示，经主持人审核通过后方可入会，保障会议私密性与秩序。</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14、统一虚拟背景功能要求：为规范窗口服务形象，平台支持虚拟背景功能，预置标准化政务虚拟背景，窗口人员可一键启用，遮挡杂乱环境，提升服务专业性。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15）▲会议预监管控功能要求：后台管理人员可不入会实时预监会议画面，</w:t>
            </w:r>
            <w:r>
              <w:rPr>
                <w:rFonts w:hint="eastAsia" w:ascii="宋体" w:hAnsi="宋体" w:eastAsia="宋体" w:cs="宋体"/>
                <w:bCs/>
                <w:sz w:val="24"/>
                <w:szCs w:val="24"/>
                <w:highlight w:val="none"/>
              </w:rPr>
              <w:t xml:space="preserve">单窗口预监不少于</w:t>
            </w:r>
            <w:r>
              <w:rPr>
                <w:rFonts w:hint="default" w:ascii="Times New Roman" w:hAnsi="Times New Roman" w:eastAsia="宋体" w:cs="Times New Roman"/>
                <w:bCs/>
                <w:sz w:val="24"/>
                <w:szCs w:val="24"/>
                <w:highlight w:val="none"/>
              </w:rPr>
              <w:t xml:space="preserve">9</w:t>
            </w:r>
            <w:r>
              <w:rPr>
                <w:rFonts w:hint="eastAsia" w:ascii="宋体" w:hAnsi="宋体" w:eastAsia="宋体" w:cs="宋体"/>
                <w:bCs/>
                <w:sz w:val="24"/>
                <w:szCs w:val="24"/>
                <w:highlight w:val="none"/>
              </w:rPr>
              <w:t xml:space="preserve">路，</w:t>
            </w:r>
            <w:r>
              <w:rPr>
                <w:rFonts w:hint="eastAsia" w:ascii="宋体" w:hAnsi="宋体" w:eastAsia="宋体" w:cs="宋体"/>
                <w:bCs/>
                <w:sz w:val="24"/>
                <w:szCs w:val="24"/>
              </w:rPr>
              <w:t xml:space="preserve">支持翻页查看、双击全屏放大，可监听会场声音、双向喊话，实现远程监管、实时纠错，管控服务全过程。</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16）终端批量配置管理要求：为实现终端统一管理、降低运维成本，平台支持注册终端属性批量配置，可批量设置终端呼叫权限、自动应答、免打扰等参数，根据岗位职责划分权限，实现终端精细化、统一化管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17）多资源池智能灾备功能要求：平台搭建多资源池灾备体系，单一资源池故障时自动切换至正常资源池，切换时间＜</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秒，终端画面凝固无黑屏、通话不中断，音视频恢复时间＜</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秒，保障服务连续不中断。</w:t>
            </w:r>
            <w:r/>
          </w:p>
          <w:p>
            <w:pPr>
              <w:spacing w:line="560" w:lineRule="exact"/>
            </w:pPr>
            <w:r>
              <w:rPr>
                <w:rFonts w:hint="eastAsia" w:ascii="宋体" w:hAnsi="宋体" w:eastAsia="宋体" w:cs="宋体"/>
                <w:bCs/>
                <w:sz w:val="24"/>
                <w:szCs w:val="24"/>
              </w:rPr>
              <w:t xml:space="preserve">18）数字水印溯源功能要求：平台支持视频明水印、音频暗水印双重加密，暗水印不影响收听效果，可从非法录制文件中提取水印，实现泄露溯源，保障政务视频资料安全。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⑧数据摆渡。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Calibri" w:hAnsi="Calibri" w:cs="Times New Roman"/>
                <w:sz w:val="24"/>
                <w:szCs w:val="24"/>
                <w:lang w:val="en-US" w:eastAsia="zh-CN"/>
              </w:rPr>
              <w:t xml:space="preserve">数据摆渡是指通过非api接口实现的跨业务系统之间的数据传输。</w:t>
            </w:r>
            <w:r>
              <w:rPr>
                <w:rFonts w:hint="eastAsia" w:ascii="宋体" w:hAnsi="宋体" w:eastAsia="宋体" w:cs="宋体"/>
                <w:bCs/>
                <w:sz w:val="24"/>
                <w:szCs w:val="24"/>
              </w:rPr>
              <w:t xml:space="preserve">实现跨业务系统无侵式入数据摆渡，提供可视化的任务配置界面，允许管理员定义数据摆渡的触发条件、源系统地址、目标系统地址及字段映射关系。一期满足数据局审批事项工作需求。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支持流程发布到控制中心，支持流程的版本管理，支持启用和停用版本文件；支持用户将自己创建的流程共享给他人；开发平台内置流程比对工具，无需依赖第三方，能展示不同流程文件的增删改差异；支持应用审核功能，开启后，应用流程需经管理员审核才可上线发布。</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2）可视化模式流程设计：提供可视化控件，支持拖拽的方式编辑流程；支持设置流程的输入和输出参数，支持展示流程的变量列表并且可指定变量作为输出参数。</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运行日志：支持对每一次运行的状态、结果、时间、时长、异常信息等数据进行日志记录，日志记录保存在本地，并具备上传到机器人管理平台的能力。运行日志支持搜索、复制、导出和清空的快捷功能；调试日志记录支持：需记录流程每一次运行的时间、时长、是否正常、异常报错内容等信息，并在开发平台界面中进行展示。</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4）流程导入：支持通过导入流程以复用其他流程功能；</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操作系统兼容性：支持国产等操作系统。</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6）支持终端和服务器布署</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7）</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运维管理:支持日志级别设置与快捷导出,自动清理任务记录、流程包、录屏文件</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开放API接口供第三方调用：功能应包括，启动指定流程到机器人上运行，获取任务状态与运行结果。获取参数，设置参数，推送数据到数据队列，从数据队列读取数据。</w:t>
            </w:r>
            <w:r/>
          </w:p>
          <w:p>
            <w:pPr>
              <w:spacing w:line="560" w:lineRule="exact"/>
            </w:pPr>
            <w:r>
              <w:rPr>
                <w:rFonts w:hint="eastAsia" w:ascii="宋体" w:hAnsi="宋体" w:eastAsia="宋体" w:cs="宋体"/>
                <w:bCs/>
                <w:sz w:val="24"/>
                <w:szCs w:val="24"/>
                <w:highlight w:val="none"/>
              </w:rPr>
              <w:t xml:space="preserve">9）</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多用户管理：可按每个用户灵活分配独立管理的许可证和机器人资源，并保证租户数据相互隔离。</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⑨并联审批。</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在事项配置中，支持将材料标记为“容缺材料”。窗口人员在收件时，若发现需前置审批的材料，可勾选“容缺预审”，对其他材料进行预审，并出具预审意见，与前置审批同步完成审批，若非核心材料缺失可空缺审批的可以直接审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⑩一件事场景。</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实现省一件事办理进展的展示和动态跟踪，实时监控并联审批各环节（含容缺预审环节）的办理进度，可定制我县特色一件事。</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⑪资料管理。</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对不同窗口受理的纸质材料，进行合理编号，按一定规则进行流转。电子数据的存储进行不对称加密，实行加密传输和保存，确保数据可见不可用。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⑫统一出件。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所有审批环节（含容缺预审转正式审批）完成后，由综合窗口统一向申请人发放证件，支持对空白证件的管理。</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⑬安全与审计。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数据摆渡过程需在政务内网或通过安全隔离环境进行，确保数据传输安全。系统需记录完整的摆渡日志，支持异常报警和事后数据审计。</w:t>
            </w:r>
            <w:r/>
          </w:p>
        </w:tc>
      </w:tr>
    </w:tbl>
    <w:p>
      <w:pPr>
        <w:numPr>
          <w:ilvl w:val="0"/>
          <w:numId w:val="3"/>
        </w:numPr>
        <w:spacing w:line="560" w:lineRule="exact"/>
        <w:rPr>
          <w:rFonts w:hint="eastAsia" w:ascii="Times New Roman" w:hAnsi="仿宋_GB2312" w:eastAsia="仿宋_GB2312" w:cs="仿宋_GB2312"/>
          <w:b/>
          <w:sz w:val="28"/>
          <w:szCs w:val="28"/>
          <w:highlight w:val="none"/>
        </w:rPr>
      </w:pPr>
      <w:r>
        <w:rPr>
          <w:rFonts w:hint="eastAsia" w:ascii="Times New Roman" w:hAnsi="仿宋_GB2312" w:eastAsia="仿宋_GB2312" w:cs="仿宋_GB2312"/>
          <w:b/>
          <w:sz w:val="28"/>
          <w:szCs w:val="28"/>
          <w:highlight w:val="none"/>
        </w:rPr>
        <w:t xml:space="preserve">硬件部分</w:t>
      </w:r>
      <w:r/>
    </w:p>
    <w:p>
      <w:pPr>
        <w:pStyle w:val="663"/>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★硬件设备须为国产化硬件</w:t>
      </w:r>
      <w:r>
        <w:rPr>
          <w:rFonts w:hint="eastAsia" w:cs="宋体"/>
          <w:b/>
          <w:bCs w:val="0"/>
          <w:sz w:val="24"/>
          <w:szCs w:val="24"/>
          <w:lang w:val="en-US" w:eastAsia="zh-CN" w:bidi="ar-SA"/>
        </w:rPr>
        <w:t xml:space="preserve">产品</w:t>
      </w:r>
      <w:r>
        <w:rPr>
          <w:rFonts w:hint="eastAsia" w:ascii="宋体" w:hAnsi="宋体" w:eastAsia="宋体" w:cs="宋体"/>
          <w:b/>
          <w:bCs w:val="0"/>
          <w:sz w:val="24"/>
          <w:szCs w:val="24"/>
          <w:lang w:val="en-US" w:eastAsia="zh-CN" w:bidi="ar-SA"/>
        </w:rPr>
        <w:t xml:space="preserve">，提供承诺书并加盖供应商公章。</w:t>
      </w:r>
      <w:r/>
    </w:p>
    <w:p>
      <w:pPr>
        <w:ind w:firstLine="560"/>
        <w:spacing w:line="560" w:lineRule="exact"/>
      </w:pPr>
      <w:r>
        <w:rPr>
          <w:rFonts w:hint="eastAsia" w:ascii="Times New Roman" w:hAnsi="仿宋_GB2312" w:eastAsia="仿宋_GB2312" w:cs="仿宋_GB2312"/>
          <w:sz w:val="28"/>
          <w:szCs w:val="28"/>
        </w:rPr>
        <w:t xml:space="preserve">（1）云桌面</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c>
          <w:tcPr>
            <w:tcW w:w="1697"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①管理服务器（含管理软件）</w:t>
            </w:r>
            <w:r/>
          </w:p>
        </w:tc>
        <w:tc>
          <w:tcPr>
            <w:tcW w:w="6825"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国产化处理器，主频≥</w:t>
            </w:r>
            <w:r>
              <w:rPr>
                <w:rFonts w:hint="eastAsia" w:ascii="Times New Roman" w:hAnsi="Times New Roman" w:eastAsia="宋体" w:cs="Times New Roman"/>
                <w:bCs/>
                <w:sz w:val="24"/>
                <w:szCs w:val="24"/>
                <w:highlight w:val="none"/>
              </w:rPr>
              <w:t xml:space="preserve">2.5GHz</w:t>
            </w:r>
            <w:r>
              <w:rPr>
                <w:rFonts w:hint="eastAsia" w:ascii="宋体" w:hAnsi="宋体" w:eastAsia="宋体" w:cs="宋体"/>
                <w:bCs/>
                <w:sz w:val="24"/>
                <w:szCs w:val="24"/>
                <w:highlight w:val="none"/>
              </w:rPr>
              <w:t xml:space="preserve">，核数≥</w:t>
            </w:r>
            <w:r>
              <w:rPr>
                <w:rFonts w:hint="eastAsia" w:ascii="Times New Roman" w:hAnsi="Times New Roman" w:eastAsia="宋体" w:cs="Times New Roman"/>
                <w:bCs/>
                <w:sz w:val="24"/>
                <w:szCs w:val="24"/>
                <w:highlight w:val="none"/>
              </w:rPr>
              <w:t xml:space="preserve">16</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2、内存：≥</w:t>
            </w:r>
            <w:r>
              <w:rPr>
                <w:rFonts w:hint="eastAsia" w:ascii="Times New Roman" w:hAnsi="Times New Roman" w:eastAsia="宋体" w:cs="Times New Roman"/>
                <w:bCs/>
                <w:sz w:val="24"/>
                <w:szCs w:val="24"/>
                <w:highlight w:val="none"/>
              </w:rPr>
              <w:t xml:space="preserve">2*32G DDR4</w:t>
            </w:r>
            <w:r>
              <w:rPr>
                <w:rFonts w:hint="eastAsia" w:ascii="宋体" w:hAnsi="宋体" w:eastAsia="宋体" w:cs="宋体"/>
                <w:bCs/>
                <w:sz w:val="24"/>
                <w:szCs w:val="24"/>
                <w:highlight w:val="none"/>
              </w:rPr>
              <w:t xml:space="preserve">内存；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3、系统盘：≥</w:t>
            </w:r>
            <w:r>
              <w:rPr>
                <w:rFonts w:hint="eastAsia" w:ascii="Times New Roman" w:hAnsi="Times New Roman" w:eastAsia="宋体" w:cs="Times New Roman"/>
                <w:bCs/>
                <w:sz w:val="24"/>
                <w:szCs w:val="24"/>
                <w:highlight w:val="none"/>
              </w:rPr>
              <w:t xml:space="preserve">2*480G SSD</w:t>
            </w:r>
            <w:r>
              <w:rPr>
                <w:rFonts w:hint="eastAsia" w:ascii="宋体" w:hAnsi="宋体" w:eastAsia="宋体" w:cs="宋体"/>
                <w:bCs/>
                <w:sz w:val="24"/>
                <w:szCs w:val="24"/>
                <w:highlight w:val="none"/>
              </w:rPr>
              <w:t xml:space="preserve">硬盘；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4、数据盘：≥</w:t>
            </w:r>
            <w:r>
              <w:rPr>
                <w:rFonts w:hint="eastAsia" w:ascii="Times New Roman" w:hAnsi="Times New Roman" w:eastAsia="宋体" w:cs="Times New Roman"/>
                <w:bCs/>
                <w:sz w:val="24"/>
                <w:szCs w:val="24"/>
                <w:highlight w:val="none"/>
              </w:rPr>
              <w:t xml:space="preserve">2*2.4T</w:t>
            </w:r>
            <w:r>
              <w:rPr>
                <w:rFonts w:hint="eastAsia" w:ascii="宋体" w:hAnsi="宋体" w:eastAsia="宋体" w:cs="宋体"/>
                <w:bCs/>
                <w:sz w:val="24"/>
                <w:szCs w:val="24"/>
                <w:highlight w:val="none"/>
              </w:rPr>
              <w:t xml:space="preserve">数据盘；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5、网口：≥双口万兆（含万兆光模块）+四口千兆；</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6、电源风扇：冗余电源风扇；</w:t>
            </w:r>
            <w:r/>
          </w:p>
          <w:p>
            <w:pPr>
              <w:spacing w:line="560" w:lineRule="exac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7、本项目要求终端软件授权大于</w:t>
            </w:r>
            <w:r>
              <w:rPr>
                <w:rFonts w:hint="eastAsia" w:ascii="Times New Roman" w:hAnsi="Times New Roman" w:eastAsia="宋体" w:cs="Times New Roman"/>
                <w:bCs/>
                <w:sz w:val="24"/>
                <w:szCs w:val="24"/>
                <w:highlight w:val="none"/>
              </w:rPr>
              <w:t xml:space="preserve">30</w:t>
            </w:r>
            <w:r>
              <w:rPr>
                <w:rFonts w:hint="eastAsia" w:ascii="宋体" w:hAnsi="宋体" w:eastAsia="宋体" w:cs="宋体"/>
                <w:bCs/>
                <w:sz w:val="24"/>
                <w:szCs w:val="24"/>
                <w:highlight w:val="none"/>
              </w:rPr>
              <w:t xml:space="preserve">点，平台界面查看桌面的系统健康度、资源利用率、系统告警、桌面状态统计等信息，可以在同一个管理页面中完成虚拟化、分布式存储、桌面池、桌面镜像、模板、云盘、和云终端的统一管理，统一告警，统一日志查询。</w:t>
            </w:r>
            <w:r>
              <w:rPr>
                <w:rFonts w:hint="eastAsia" w:ascii="宋体" w:hAnsi="宋体" w:eastAsia="宋体" w:cs="宋体"/>
                <w:bCs/>
                <w:sz w:val="24"/>
                <w:szCs w:val="24"/>
                <w:highlight w:val="none"/>
                <w:lang w:val="en-US" w:eastAsia="zh-CN"/>
              </w:rPr>
              <w:t xml:space="preserve">提供产品功能截图。</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8、▲支持设置管理员密码策略，首次登录强制修改密码，密码有效期，密码长度，复杂度及密码到期提醒等安全策略，以保障认证密码安全性，避免越权访问行为。支持管理员防暴力破解，规定验证次数鉴权失败后，可在平台设置规则，设定锁定时长内限制访问。需提供完整界面的截图</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ascii="宋体" w:hAnsi="宋体" w:eastAsia="宋体" w:cs="宋体"/>
                <w:bCs/>
                <w:sz w:val="24"/>
                <w:szCs w:val="24"/>
                <w:highlight w:val="none"/>
              </w:rPr>
              <w:t xml:space="preserve">▲支持基于平台的</w:t>
            </w:r>
            <w:r>
              <w:rPr>
                <w:rFonts w:hint="default" w:ascii="Times New Roman" w:hAnsi="Times New Roman" w:eastAsia="宋体" w:cs="Times New Roman"/>
                <w:bCs/>
                <w:sz w:val="24"/>
                <w:szCs w:val="24"/>
                <w:highlight w:val="none"/>
              </w:rPr>
              <w:t xml:space="preserve">B/S</w:t>
            </w:r>
            <w:r>
              <w:rPr>
                <w:rFonts w:ascii="宋体" w:hAnsi="宋体" w:eastAsia="宋体" w:cs="宋体"/>
                <w:bCs/>
                <w:sz w:val="24"/>
                <w:szCs w:val="24"/>
                <w:highlight w:val="none"/>
              </w:rPr>
              <w:t xml:space="preserve">架构一键检测功能，帮助管理员快速了解整个平台的运行状态、性能以及可能存在的隐患。对于检测异常的指标项，系统会提供有效的改进建议，确保业务系统稳定可靠的运行。（提供完整产品功能界面截图）</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10、支持设置终端黑名单，不允许用户通过非法终端接入到虚拟桌面</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11、支持通过管理平台集中、批量控制外接设备，支持对桌面进行</w:t>
            </w:r>
            <w:r>
              <w:rPr>
                <w:rFonts w:hint="default" w:ascii="Times New Roman" w:hAnsi="Times New Roman" w:eastAsia="宋体" w:cs="Times New Roman"/>
                <w:bCs/>
                <w:sz w:val="24"/>
                <w:szCs w:val="24"/>
                <w:highlight w:val="none"/>
              </w:rPr>
              <w:t xml:space="preserve">USB</w:t>
            </w:r>
            <w:r>
              <w:rPr>
                <w:rFonts w:hint="eastAsia" w:ascii="宋体" w:hAnsi="宋体" w:eastAsia="宋体" w:cs="宋体"/>
                <w:bCs/>
                <w:sz w:val="24"/>
                <w:szCs w:val="24"/>
                <w:highlight w:val="none"/>
              </w:rPr>
              <w:t xml:space="preserve">接口重定向控制功能，可以添加黑名单或白名单。管理员还可以自定义修改外设授权策略；</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为防止安装使用违规应用软件，管理员可通过黑名单设置进程名或描述来实现云桌面违规软件的控制，也可通过白名单配置允许运行的软件，从而达到滥用非法的违规软件的效果。为了便于设置策略，要求支持针对软件进行模糊匹配和完整匹配两种方式。为了减低管理的复杂度，该功能要求不依赖于第三方组件实现。</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云桌面支持盲水印，管理员可以灵活设置水印参数，用户无法感知桌面水印信息，从而防止用户通过截屏工具造成数据泄密。通过云桌面管理平台，可以针对泄密图片反向解析，通过加密算法显示截图的指纹信息（包括但是不限于泄密虚拟桌面的用户名、</w:t>
            </w:r>
            <w:r>
              <w:rPr>
                <w:rFonts w:hint="default" w:ascii="Times New Roman" w:hAnsi="Times New Roman" w:eastAsia="宋体" w:cs="Times New Roman"/>
                <w:bCs/>
                <w:sz w:val="24"/>
                <w:szCs w:val="24"/>
                <w:highlight w:val="none"/>
              </w:rPr>
              <w:t xml:space="preserve">ip</w:t>
            </w:r>
            <w:r>
              <w:rPr>
                <w:rFonts w:hint="eastAsia" w:ascii="宋体" w:hAnsi="宋体" w:eastAsia="宋体" w:cs="宋体"/>
                <w:bCs/>
                <w:sz w:val="24"/>
                <w:szCs w:val="24"/>
                <w:highlight w:val="none"/>
              </w:rPr>
              <w:t xml:space="preserve">地址、</w:t>
            </w:r>
            <w:r>
              <w:rPr>
                <w:rFonts w:hint="eastAsia" w:ascii="Times New Roman" w:hAnsi="Times New Roman" w:eastAsia="宋体" w:cs="Times New Roman"/>
                <w:bCs/>
                <w:sz w:val="24"/>
                <w:szCs w:val="24"/>
                <w:highlight w:val="none"/>
              </w:rPr>
              <w:t xml:space="preserve">mac</w:t>
            </w:r>
            <w:r>
              <w:rPr>
                <w:rFonts w:hint="eastAsia" w:ascii="宋体" w:hAnsi="宋体" w:eastAsia="宋体" w:cs="宋体"/>
                <w:bCs/>
                <w:sz w:val="24"/>
                <w:szCs w:val="24"/>
                <w:highlight w:val="none"/>
              </w:rPr>
              <w:t xml:space="preserve">地址等信息），从而找到泄密源；要求提供产品功能截图。</w:t>
            </w:r>
            <w:r/>
          </w:p>
          <w:p>
            <w:pPr>
              <w:spacing w:line="560" w:lineRule="exact"/>
              <w:rPr>
                <w:rFonts w:hint="eastAsia"/>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为限制通过文件外发导致信息泄露的情况，要求具备提供包含敏感文件类型配置、审批节点配置、文件传输撤回/转让、文件下载等管控能力，支持通过审计中心查看文件流程统计和下载监控信息。要求提供具备CMA或CNAS认证的第三方权威测试机构出具的报告复印件或产品彩页、产品说明书或产品信息网站截图等佐证材料。</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②云桌面胖终端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1</w:t>
            </w:r>
            <w:r>
              <w:rPr>
                <w:rFonts w:hint="eastAsia" w:ascii="宋体" w:hAnsi="宋体" w:eastAsia="宋体" w:cs="宋体"/>
                <w:bCs/>
                <w:sz w:val="24"/>
                <w:szCs w:val="24"/>
              </w:rPr>
              <w:t xml:space="preserve">、软硬件一体化设备。</w:t>
            </w:r>
            <w:r/>
          </w:p>
          <w:p>
            <w:pPr>
              <w:spacing w:line="560" w:lineRule="exact"/>
              <w:rPr>
                <w:rFonts w:hint="eastAsia" w:ascii="宋体" w:hAnsi="宋体" w:eastAsia="宋体" w:cs="宋体"/>
                <w:bCs/>
                <w:sz w:val="24"/>
                <w:szCs w:val="24"/>
                <w:highlight w:val="none"/>
              </w:rPr>
            </w:pP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、国产化处理器≥</w:t>
            </w:r>
            <w:r>
              <w:rPr>
                <w:rFonts w:hint="default"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颗，</w:t>
            </w:r>
            <w:r>
              <w:rPr>
                <w:rFonts w:hint="eastAsia"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核，主频≥</w:t>
            </w:r>
            <w:r>
              <w:rPr>
                <w:rFonts w:hint="eastAsia" w:ascii="Times New Roman" w:hAnsi="Times New Roman" w:eastAsia="宋体" w:cs="Times New Roman"/>
                <w:bCs/>
                <w:sz w:val="24"/>
                <w:szCs w:val="24"/>
                <w:highlight w:val="none"/>
              </w:rPr>
              <w:t xml:space="preserve">3.0GH</w:t>
            </w:r>
            <w:r>
              <w:rPr>
                <w:rFonts w:hint="eastAsia" w:ascii="宋体" w:hAnsi="宋体" w:eastAsia="宋体" w:cs="宋体"/>
                <w:bCs/>
                <w:sz w:val="24"/>
                <w:szCs w:val="24"/>
                <w:highlight w:val="none"/>
              </w:rPr>
              <w:t xml:space="preserve">z 睿频≥</w:t>
            </w:r>
            <w:r>
              <w:rPr>
                <w:rFonts w:hint="eastAsia" w:ascii="Times New Roman" w:hAnsi="Times New Roman" w:eastAsia="宋体" w:cs="Times New Roman"/>
                <w:bCs/>
                <w:sz w:val="24"/>
                <w:szCs w:val="24"/>
                <w:highlight w:val="none"/>
              </w:rPr>
              <w:t xml:space="preserve">3.6GHz</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Times New Roman" w:hAnsi="Times New Roman" w:eastAsia="宋体" w:cs="Times New Roman"/>
                <w:bCs/>
                <w:sz w:val="24"/>
                <w:szCs w:val="24"/>
                <w:highlight w:val="none"/>
              </w:rPr>
              <w:t xml:space="preserve">3</w:t>
            </w:r>
            <w:r>
              <w:rPr>
                <w:rFonts w:hint="eastAsia" w:ascii="宋体" w:hAnsi="宋体" w:eastAsia="宋体" w:cs="宋体"/>
                <w:bCs/>
                <w:sz w:val="24"/>
                <w:szCs w:val="24"/>
                <w:highlight w:val="none"/>
              </w:rPr>
              <w:t xml:space="preserve">、内存：≥</w:t>
            </w:r>
            <w:r>
              <w:rPr>
                <w:rFonts w:hint="eastAsia" w:ascii="Times New Roman" w:hAnsi="Times New Roman" w:eastAsia="宋体" w:cs="Times New Roman"/>
                <w:bCs/>
                <w:sz w:val="24"/>
                <w:szCs w:val="24"/>
                <w:highlight w:val="none"/>
              </w:rPr>
              <w:t xml:space="preserve">64GB DDR4 DIMM</w:t>
            </w:r>
            <w:r>
              <w:rPr>
                <w:rFonts w:hint="eastAsia" w:ascii="宋体" w:hAnsi="宋体" w:eastAsia="宋体" w:cs="宋体"/>
                <w:bCs/>
                <w:sz w:val="24"/>
                <w:szCs w:val="24"/>
                <w:highlight w:val="none"/>
              </w:rPr>
              <w:t xml:space="preserve">，硬盘≥</w:t>
            </w:r>
            <w:r>
              <w:rPr>
                <w:rFonts w:hint="eastAsia" w:ascii="Times New Roman" w:hAnsi="Times New Roman" w:eastAsia="宋体" w:cs="Times New Roman"/>
                <w:bCs/>
                <w:sz w:val="24"/>
                <w:szCs w:val="24"/>
                <w:highlight w:val="none"/>
              </w:rPr>
              <w:t xml:space="preserve">1TB SSD</w:t>
            </w:r>
            <w:r>
              <w:rPr>
                <w:rFonts w:hint="eastAsia" w:ascii="宋体" w:hAnsi="宋体" w:eastAsia="宋体" w:cs="宋体"/>
                <w:bCs/>
                <w:sz w:val="24"/>
                <w:szCs w:val="24"/>
                <w:highlight w:val="none"/>
              </w:rPr>
              <w:t xml:space="preserve">（兼容</w:t>
            </w:r>
            <w:r>
              <w:rPr>
                <w:rFonts w:hint="eastAsia" w:ascii="Times New Roman" w:hAnsi="Times New Roman" w:eastAsia="宋体" w:cs="Times New Roman"/>
                <w:bCs/>
                <w:sz w:val="24"/>
                <w:szCs w:val="24"/>
                <w:highlight w:val="none"/>
              </w:rPr>
              <w:t xml:space="preserve">PCIE</w:t>
            </w:r>
            <w:r>
              <w:rPr>
                <w:rFonts w:hint="eastAsia" w:ascii="宋体" w:hAnsi="宋体" w:eastAsia="宋体" w:cs="宋体"/>
                <w:bCs/>
                <w:sz w:val="24"/>
                <w:szCs w:val="24"/>
                <w:highlight w:val="none"/>
              </w:rPr>
              <w:t xml:space="preserve">和</w:t>
            </w:r>
            <w:r>
              <w:rPr>
                <w:rFonts w:hint="eastAsia" w:ascii="Times New Roman" w:hAnsi="Times New Roman" w:eastAsia="宋体" w:cs="Times New Roman"/>
                <w:bCs/>
                <w:sz w:val="24"/>
                <w:szCs w:val="24"/>
                <w:highlight w:val="none"/>
              </w:rPr>
              <w:t xml:space="preserve">SATA</w:t>
            </w:r>
            <w:r>
              <w:rPr>
                <w:rFonts w:hint="eastAsia" w:ascii="宋体" w:hAnsi="宋体" w:eastAsia="宋体" w:cs="宋体"/>
                <w:bCs/>
                <w:sz w:val="24"/>
                <w:szCs w:val="24"/>
                <w:highlight w:val="none"/>
              </w:rPr>
              <w:t xml:space="preserve">双协议）。</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highlight w:val="none"/>
              </w:rPr>
              <w:t xml:space="preserve">4</w:t>
            </w:r>
            <w:r>
              <w:rPr>
                <w:rFonts w:hint="eastAsia" w:ascii="宋体" w:hAnsi="宋体" w:eastAsia="宋体" w:cs="宋体"/>
                <w:bCs/>
                <w:sz w:val="24"/>
                <w:szCs w:val="24"/>
              </w:rPr>
              <w:t xml:space="preserve">、千兆自适用网卡，可扩展</w:t>
            </w:r>
            <w:r>
              <w:rPr>
                <w:rFonts w:hint="default" w:ascii="Times New Roman" w:hAnsi="Times New Roman" w:eastAsia="宋体" w:cs="Times New Roman"/>
                <w:bCs/>
                <w:sz w:val="24"/>
                <w:szCs w:val="24"/>
              </w:rPr>
              <w:t xml:space="preserve">WiFi/Bluetooth</w:t>
            </w:r>
            <w:r>
              <w:rPr>
                <w:rFonts w:hint="eastAsia" w:ascii="宋体" w:hAnsi="宋体" w:eastAsia="宋体" w:cs="宋体"/>
                <w:bCs/>
                <w:sz w:val="24"/>
                <w:szCs w:val="24"/>
              </w:rPr>
              <w:t xml:space="preserve">。</w:t>
            </w:r>
            <w:r/>
          </w:p>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5</w:t>
            </w:r>
            <w:r>
              <w:rPr>
                <w:rFonts w:hint="eastAsia" w:ascii="宋体" w:hAnsi="宋体" w:eastAsia="宋体" w:cs="宋体"/>
                <w:bCs/>
                <w:sz w:val="24"/>
                <w:szCs w:val="24"/>
              </w:rPr>
              <w:t xml:space="preserve">、配置</w:t>
            </w:r>
            <w:r>
              <w:rPr>
                <w:rFonts w:hint="eastAsia" w:ascii="Times New Roman" w:hAnsi="Times New Roman" w:eastAsia="宋体" w:cs="Times New Roman"/>
                <w:bCs/>
                <w:sz w:val="24"/>
                <w:szCs w:val="24"/>
              </w:rPr>
              <w:t xml:space="preserve">USB 2.0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USB 3.0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VGA</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 </w:t>
            </w:r>
            <w:r>
              <w:rPr>
                <w:rFonts w:hint="eastAsia" w:ascii="Times New Roman" w:hAnsi="Times New Roman" w:eastAsia="宋体" w:cs="Times New Roman"/>
                <w:bCs/>
                <w:sz w:val="24"/>
                <w:szCs w:val="24"/>
              </w:rPr>
              <w:t xml:space="preserve">HDMI</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个，千兆网口≥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RJ45</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个，≥音频输入输出≥</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组。</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▲提供</w:t>
            </w:r>
            <w:r>
              <w:rPr>
                <w:rFonts w:hint="eastAsia" w:ascii="Times New Roman" w:hAnsi="Times New Roman" w:eastAsia="宋体" w:cs="Times New Roman"/>
                <w:bCs/>
                <w:sz w:val="24"/>
                <w:szCs w:val="24"/>
                <w:highlight w:val="none"/>
              </w:rPr>
              <w:t xml:space="preserve">CQC</w:t>
            </w:r>
            <w:r>
              <w:rPr>
                <w:rFonts w:hint="eastAsia" w:ascii="宋体" w:hAnsi="宋体" w:eastAsia="宋体" w:cs="宋体"/>
                <w:bCs/>
                <w:sz w:val="24"/>
                <w:szCs w:val="24"/>
                <w:highlight w:val="none"/>
              </w:rPr>
              <w:t xml:space="preserve">中国节能认证证书复印件，需加盖</w:t>
            </w:r>
            <w:r>
              <w:rPr>
                <w:rFonts w:hint="eastAsia" w:ascii="宋体" w:hAnsi="宋体" w:eastAsia="宋体" w:cs="宋体"/>
                <w:bCs/>
                <w:sz w:val="24"/>
                <w:szCs w:val="24"/>
                <w:highlight w:val="none"/>
                <w:lang w:eastAsia="zh-CN"/>
              </w:rPr>
              <w:t xml:space="preserve">供应商公</w:t>
            </w:r>
            <w:r>
              <w:rPr>
                <w:rFonts w:hint="eastAsia" w:ascii="宋体" w:hAnsi="宋体" w:eastAsia="宋体" w:cs="宋体"/>
                <w:bCs/>
                <w:sz w:val="24"/>
                <w:szCs w:val="24"/>
                <w:highlight w:val="none"/>
              </w:rPr>
              <w:t xml:space="preserve">章。</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7</w:t>
            </w:r>
            <w:r>
              <w:rPr>
                <w:rFonts w:hint="eastAsia" w:ascii="宋体" w:hAnsi="宋体" w:eastAsia="宋体" w:cs="宋体"/>
                <w:bCs/>
                <w:sz w:val="24"/>
                <w:szCs w:val="24"/>
              </w:rPr>
              <w:t xml:space="preserve">、支持新终端联网后自动发现管理平台（可在平台管控是否开启自动发现），不需要手动配置管理服务</w:t>
            </w:r>
            <w:r>
              <w:rPr>
                <w:rFonts w:hint="default" w:ascii="Times New Roman" w:hAnsi="Times New Roman" w:eastAsia="宋体" w:cs="Times New Roman"/>
                <w:bCs/>
                <w:sz w:val="24"/>
                <w:szCs w:val="24"/>
              </w:rPr>
              <w:t xml:space="preserve">器IP</w:t>
            </w:r>
            <w:r>
              <w:rPr>
                <w:rFonts w:hint="eastAsia" w:ascii="宋体" w:hAnsi="宋体" w:eastAsia="宋体" w:cs="宋体"/>
                <w:bCs/>
                <w:sz w:val="24"/>
                <w:szCs w:val="24"/>
              </w:rPr>
              <w:t xml:space="preserve">地址，自动加入终端分组，继承分组特性，身份验证后即可登录云桌面。</w:t>
            </w:r>
            <w:r/>
          </w:p>
          <w:p>
            <w:pPr>
              <w:spacing w:line="560" w:lineRule="exact"/>
              <w:rPr>
                <w:rFonts w:hint="eastAsia" w:ascii="宋体" w:hAnsi="宋体" w:eastAsia="宋体" w:cs="宋体"/>
                <w:bCs/>
                <w:sz w:val="24"/>
                <w:szCs w:val="24"/>
                <w:lang w:eastAsia="zh-CN"/>
              </w:rPr>
            </w:pPr>
            <w:r>
              <w:rPr>
                <w:rFonts w:hint="eastAsia" w:ascii="Times New Roman" w:hAnsi="Times New Roman" w:eastAsia="宋体" w:cs="Times New Roman"/>
                <w:bCs/>
                <w:sz w:val="24"/>
                <w:szCs w:val="24"/>
              </w:rPr>
              <w:t xml:space="preserve">8</w:t>
            </w:r>
            <w:r>
              <w:rPr>
                <w:rFonts w:hint="eastAsia" w:ascii="宋体" w:hAnsi="宋体" w:eastAsia="宋体" w:cs="宋体"/>
                <w:bCs/>
                <w:sz w:val="24"/>
                <w:szCs w:val="24"/>
              </w:rPr>
              <w:t xml:space="preserve">、三年原厂质保与软件升级服务</w:t>
            </w:r>
            <w:r>
              <w:rPr>
                <w:rFonts w:hint="eastAsia" w:ascii="宋体" w:hAnsi="宋体" w:eastAsia="宋体" w:cs="宋体"/>
                <w:bCs/>
                <w:sz w:val="24"/>
                <w:szCs w:val="24"/>
                <w:lang w:eastAsia="zh-CN"/>
              </w:rPr>
              <w:t xml:space="preserve">。</w:t>
            </w:r>
            <w:r/>
          </w:p>
        </w:tc>
      </w:tr>
      <w:tr>
        <w:trPr/>
        <w:tc>
          <w:tcPr>
            <w:tcW w:w="1697" w:type="dxa"/>
            <w:vAlign w:val="center"/>
            <w:textDirection w:val="lrTb"/>
            <w:noWrap w:val="false"/>
          </w:tcPr>
          <w:p>
            <w:pPr>
              <w:pStyle w:val="667"/>
              <w:jc w:val="center"/>
            </w:pPr>
            <w:r>
              <w:rPr>
                <w:rFonts w:hint="eastAsia" w:ascii="宋体" w:hAnsi="宋体" w:cs="宋体"/>
                <w:bCs/>
                <w:sz w:val="24"/>
                <w:szCs w:val="24"/>
              </w:rPr>
              <w:t xml:space="preserve">③显示器。</w:t>
            </w:r>
            <w:r/>
          </w:p>
        </w:tc>
        <w:tc>
          <w:tcPr>
            <w:tcW w:w="6825" w:type="dxa"/>
            <w:textDirection w:val="lrTb"/>
            <w:noWrap w:val="false"/>
          </w:tcPr>
          <w:p>
            <w:pPr>
              <w:spacing w:line="560" w:lineRule="exact"/>
            </w:pP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highlight w:val="none"/>
              </w:rPr>
              <w:t xml:space="preserve">23</w:t>
            </w:r>
            <w:r>
              <w:rPr>
                <w:rFonts w:hint="eastAsia" w:ascii="宋体" w:hAnsi="宋体" w:eastAsia="宋体" w:cs="宋体"/>
                <w:bCs/>
                <w:sz w:val="24"/>
                <w:szCs w:val="24"/>
                <w:highlight w:val="none"/>
              </w:rPr>
              <w:t xml:space="preserve">寸、</w:t>
            </w: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rPr>
              <w:t xml:space="preserve">200</w:t>
            </w:r>
            <w:r>
              <w:rPr>
                <w:rFonts w:hint="eastAsia" w:ascii="宋体" w:hAnsi="宋体" w:eastAsia="宋体" w:cs="宋体"/>
                <w:bCs/>
                <w:sz w:val="24"/>
                <w:szCs w:val="24"/>
              </w:rPr>
              <w:t xml:space="preserve">万摄像头。</w:t>
            </w:r>
            <w:r/>
          </w:p>
        </w:tc>
      </w:tr>
    </w:tbl>
    <w:p>
      <w:pPr>
        <w:numPr>
          <w:ilvl w:val="0"/>
          <w:numId w:val="0"/>
        </w:numPr>
        <w:ind w:firstLine="560"/>
        <w:spacing w:line="560" w:lineRule="exact"/>
        <w:rPr>
          <w:rFonts w:hint="eastAsia" w:ascii="Times New Roman" w:hAnsi="仿宋_GB2312" w:eastAsia="仿宋_GB2312" w:cs="仿宋_GB2312"/>
          <w:sz w:val="28"/>
          <w:szCs w:val="28"/>
        </w:rPr>
      </w:pPr>
      <w:r>
        <w:rPr>
          <w:rFonts w:hint="eastAsia" w:ascii="Times New Roman" w:hAnsi="仿宋_GB2312" w:eastAsia="仿宋_GB2312" w:cs="仿宋_GB2312"/>
          <w:sz w:val="28"/>
          <w:szCs w:val="28"/>
          <w:lang w:val="en-US" w:eastAsia="zh-CN" w:bidi="ar-SA"/>
        </w:rPr>
        <w:t xml:space="preserve">（2）</w:t>
      </w:r>
      <w:r>
        <w:rPr>
          <w:rFonts w:hint="eastAsia" w:ascii="Times New Roman" w:hAnsi="仿宋_GB2312" w:eastAsia="仿宋_GB2312" w:cs="仿宋_GB2312"/>
          <w:sz w:val="28"/>
          <w:szCs w:val="28"/>
        </w:rPr>
        <w:t xml:space="preserve">政务服务桌面互助终端。</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①触摸显示器。显示模块尺寸：大于等于</w:t>
            </w:r>
            <w:r>
              <w:rPr>
                <w:rFonts w:hint="default" w:ascii="Times New Roman" w:hAnsi="Times New Roman" w:eastAsia="宋体" w:cs="Times New Roman"/>
                <w:bCs/>
                <w:sz w:val="24"/>
                <w:szCs w:val="24"/>
                <w:highlight w:val="none"/>
              </w:rPr>
              <w:t xml:space="preserve">14"</w:t>
            </w:r>
            <w:r>
              <w:rPr>
                <w:rFonts w:hint="eastAsia" w:ascii="宋体" w:hAnsi="宋体" w:eastAsia="宋体" w:cs="宋体"/>
                <w:bCs/>
                <w:sz w:val="24"/>
                <w:szCs w:val="24"/>
                <w:highlight w:val="none"/>
              </w:rPr>
              <w:t xml:space="preserve">液晶显示器；屏幕比例：</w:t>
            </w:r>
            <w:r>
              <w:rPr>
                <w:rFonts w:hint="eastAsia" w:ascii="Times New Roman" w:hAnsi="Times New Roman" w:eastAsia="宋体" w:cs="Times New Roman"/>
                <w:bCs/>
                <w:sz w:val="24"/>
                <w:szCs w:val="24"/>
                <w:highlight w:val="none"/>
              </w:rPr>
              <w:t xml:space="preserve">16:9</w:t>
            </w:r>
            <w:r>
              <w:rPr>
                <w:rFonts w:hint="eastAsia" w:ascii="宋体" w:hAnsi="宋体" w:eastAsia="宋体" w:cs="宋体"/>
                <w:bCs/>
                <w:sz w:val="24"/>
                <w:szCs w:val="24"/>
                <w:highlight w:val="none"/>
              </w:rPr>
              <w:t xml:space="preserve">；触摸力度：无需力度，最小触摸体：&gt;</w:t>
            </w:r>
            <w:r>
              <w:rPr>
                <w:rFonts w:hint="default"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mm；</w:t>
            </w:r>
            <w:r/>
          </w:p>
          <w:p>
            <w:pPr>
              <w:spacing w:line="560" w:lineRule="exact"/>
              <w:rPr>
                <w:rFonts w:hint="eastAsia" w:ascii="宋体" w:hAnsi="宋体" w:eastAsia="宋体" w:cs="宋体"/>
                <w:bCs/>
                <w:sz w:val="24"/>
                <w:szCs w:val="24"/>
                <w:highlight w:val="none"/>
              </w:rPr>
            </w:pPr>
            <w:r>
              <w:rPr>
                <w:rFonts w:hint="eastAsia" w:ascii="Arial" w:hAnsi="Arial" w:cs="Arial"/>
                <w:highlight w:val="none"/>
              </w:rPr>
              <w:t xml:space="preserve">▲</w:t>
            </w:r>
            <w:r>
              <w:rPr>
                <w:rFonts w:hint="eastAsia" w:ascii="宋体" w:hAnsi="宋体" w:eastAsia="宋体" w:cs="宋体"/>
                <w:bCs/>
                <w:sz w:val="24"/>
                <w:szCs w:val="24"/>
                <w:highlight w:val="none"/>
              </w:rPr>
              <w:t xml:space="preserve">标配屏幕控制以及中间键软件，支持屏幕切换、外屏水牌、评价界面、查询界面显示、发布控制；中间键是指支持此配置外设的二次开发封装调用集成包；</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②二代身份证阅读器。</w:t>
            </w:r>
            <w:r>
              <w:rPr>
                <w:rFonts w:hint="eastAsia" w:ascii="Arial" w:hAnsi="Arial" w:cs="Arial"/>
                <w:highlight w:val="none"/>
              </w:rPr>
              <w:t xml:space="preserve">▲</w:t>
            </w:r>
            <w:r>
              <w:rPr>
                <w:rFonts w:hint="eastAsia" w:ascii="宋体" w:hAnsi="宋体" w:eastAsia="宋体" w:cs="宋体"/>
                <w:bCs/>
                <w:sz w:val="24"/>
                <w:szCs w:val="24"/>
                <w:highlight w:val="none"/>
              </w:rPr>
              <w:t xml:space="preserve">符合</w:t>
            </w:r>
            <w:r>
              <w:rPr>
                <w:rFonts w:hint="default" w:ascii="Times New Roman" w:hAnsi="Times New Roman" w:eastAsia="宋体" w:cs="Times New Roman"/>
                <w:bCs/>
                <w:sz w:val="24"/>
                <w:szCs w:val="24"/>
                <w:highlight w:val="none"/>
              </w:rPr>
              <w:t xml:space="preserve">ISO14443 TypeA&amp;B</w:t>
            </w:r>
            <w:r>
              <w:rPr>
                <w:rFonts w:hint="eastAsia" w:ascii="宋体" w:hAnsi="宋体" w:eastAsia="宋体" w:cs="宋体"/>
                <w:bCs/>
                <w:sz w:val="24"/>
                <w:szCs w:val="24"/>
                <w:highlight w:val="none"/>
              </w:rPr>
              <w:t xml:space="preserve">的非接触</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卡，</w:t>
            </w:r>
            <w:r>
              <w:rPr>
                <w:rFonts w:hint="eastAsia" w:ascii="Times New Roman" w:hAnsi="Times New Roman" w:eastAsia="宋体" w:cs="Times New Roman"/>
                <w:bCs/>
                <w:sz w:val="24"/>
                <w:szCs w:val="24"/>
                <w:highlight w:val="none"/>
              </w:rPr>
              <w:t xml:space="preserve">S50，S70</w:t>
            </w:r>
            <w:r>
              <w:rPr>
                <w:rFonts w:hint="eastAsia" w:ascii="宋体" w:hAnsi="宋体" w:eastAsia="宋体" w:cs="宋体"/>
                <w:bCs/>
                <w:sz w:val="24"/>
                <w:szCs w:val="24"/>
                <w:highlight w:val="none"/>
              </w:rPr>
              <w:t xml:space="preserve">卡；二代居民身份证读取；协议</w:t>
            </w:r>
            <w:r>
              <w:rPr>
                <w:rFonts w:hint="default" w:ascii="Times New Roman" w:hAnsi="Times New Roman" w:eastAsia="宋体" w:cs="Times New Roman"/>
                <w:bCs/>
                <w:sz w:val="24"/>
                <w:szCs w:val="24"/>
                <w:highlight w:val="none"/>
              </w:rPr>
              <w:t xml:space="preserve">ISO14443 /1/2/3/4 T=CL</w:t>
            </w:r>
            <w:r>
              <w:rPr>
                <w:rFonts w:hint="eastAsia" w:ascii="宋体" w:hAnsi="宋体" w:eastAsia="宋体" w:cs="宋体"/>
                <w:bCs/>
                <w:sz w:val="24"/>
                <w:szCs w:val="24"/>
                <w:highlight w:val="none"/>
              </w:rPr>
              <w:t xml:space="preserve">协议，</w:t>
            </w:r>
            <w:r>
              <w:rPr>
                <w:rFonts w:hint="default" w:ascii="Times New Roman" w:hAnsi="Times New Roman" w:eastAsia="宋体" w:cs="Times New Roman"/>
                <w:bCs/>
                <w:sz w:val="24"/>
                <w:szCs w:val="24"/>
                <w:highlight w:val="none"/>
              </w:rPr>
              <w:t xml:space="preserve">MIFARE；</w:t>
            </w:r>
            <w:r>
              <w:rPr>
                <w:rFonts w:hint="eastAsia" w:ascii="宋体" w:hAnsi="宋体" w:eastAsia="宋体" w:cs="宋体"/>
                <w:bCs/>
                <w:sz w:val="24"/>
                <w:szCs w:val="24"/>
                <w:highlight w:val="none"/>
              </w:rPr>
              <w:t xml:space="preserve">卡读写距离≤</w:t>
            </w: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cm；二代证读取时间≤</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秒。</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③高拍仪。扫描光源自然光+</w:t>
            </w:r>
            <w:r>
              <w:rPr>
                <w:rFonts w:hint="default" w:ascii="Times New Roman" w:hAnsi="Times New Roman" w:eastAsia="宋体" w:cs="Times New Roman"/>
                <w:bCs/>
                <w:sz w:val="24"/>
                <w:szCs w:val="24"/>
              </w:rPr>
              <w:t xml:space="preserve">LED</w:t>
            </w:r>
            <w:r>
              <w:rPr>
                <w:rFonts w:hint="eastAsia" w:ascii="宋体" w:hAnsi="宋体" w:eastAsia="宋体" w:cs="宋体"/>
                <w:bCs/>
                <w:sz w:val="24"/>
                <w:szCs w:val="24"/>
              </w:rPr>
              <w:t xml:space="preserve">补光灯；色彩位数</w:t>
            </w:r>
            <w:r>
              <w:rPr>
                <w:rFonts w:hint="eastAsia" w:ascii="Times New Roman" w:hAnsi="Times New Roman" w:eastAsia="宋体" w:cs="Times New Roman"/>
                <w:bCs/>
                <w:sz w:val="24"/>
                <w:szCs w:val="24"/>
              </w:rPr>
              <w:t xml:space="preserve">24</w:t>
            </w:r>
            <w:r>
              <w:rPr>
                <w:rFonts w:hint="eastAsia" w:ascii="宋体" w:hAnsi="宋体" w:eastAsia="宋体" w:cs="宋体"/>
                <w:bCs/>
                <w:sz w:val="24"/>
                <w:szCs w:val="24"/>
              </w:rPr>
              <w:t xml:space="preserve">位；输出格式图片格式：</w:t>
            </w:r>
            <w:r>
              <w:rPr>
                <w:rFonts w:hint="eastAsia" w:ascii="Times New Roman" w:hAnsi="Times New Roman" w:eastAsia="宋体" w:cs="Times New Roman"/>
                <w:bCs/>
                <w:sz w:val="24"/>
                <w:szCs w:val="24"/>
              </w:rPr>
              <w:t xml:space="preserve">JPG、TIF、PDF、BMP、TGA、PCX、PNG、RAS</w:t>
            </w:r>
            <w:r>
              <w:rPr>
                <w:rFonts w:hint="eastAsia" w:ascii="宋体" w:hAnsi="宋体" w:eastAsia="宋体" w:cs="宋体"/>
                <w:bCs/>
                <w:sz w:val="24"/>
                <w:szCs w:val="24"/>
              </w:rPr>
              <w:t xml:space="preserve">；文档格式：</w:t>
            </w:r>
            <w:r>
              <w:rPr>
                <w:rFonts w:hint="eastAsia" w:ascii="Times New Roman" w:hAnsi="Times New Roman" w:eastAsia="宋体" w:cs="Times New Roman"/>
                <w:bCs/>
                <w:sz w:val="24"/>
                <w:szCs w:val="24"/>
              </w:rPr>
              <w:t xml:space="preserve">PDF、WORD、TXT</w:t>
            </w:r>
            <w:r>
              <w:rPr>
                <w:rFonts w:hint="eastAsia" w:ascii="宋体" w:hAnsi="宋体" w:eastAsia="宋体" w:cs="宋体"/>
                <w:bCs/>
                <w:sz w:val="24"/>
                <w:szCs w:val="24"/>
              </w:rPr>
              <w:t xml:space="preserve">；录像格式：</w:t>
            </w:r>
            <w:r>
              <w:rPr>
                <w:rFonts w:hint="eastAsia" w:ascii="Times New Roman" w:hAnsi="Times New Roman" w:eastAsia="宋体" w:cs="Times New Roman"/>
                <w:bCs/>
                <w:sz w:val="24"/>
                <w:szCs w:val="24"/>
              </w:rPr>
              <w:t xml:space="preserve">AVI、WMV</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双面扫描</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手动网络扫描不支持。</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④社保读卡器。支持卡片类型：符合</w:t>
            </w:r>
            <w:r>
              <w:rPr>
                <w:rFonts w:hint="default" w:ascii="Times New Roman" w:hAnsi="Times New Roman" w:eastAsia="宋体" w:cs="Times New Roman"/>
                <w:bCs/>
                <w:sz w:val="24"/>
                <w:szCs w:val="24"/>
              </w:rPr>
              <w:t xml:space="preserve">ISO7816</w:t>
            </w:r>
            <w:r>
              <w:rPr>
                <w:rFonts w:hint="eastAsia" w:ascii="宋体" w:hAnsi="宋体" w:eastAsia="宋体" w:cs="宋体"/>
                <w:bCs/>
                <w:sz w:val="24"/>
                <w:szCs w:val="24"/>
              </w:rPr>
              <w:t xml:space="preserve">标准的</w:t>
            </w:r>
            <w:r>
              <w:rPr>
                <w:rFonts w:hint="eastAsia" w:ascii="Times New Roman" w:hAnsi="Times New Roman" w:eastAsia="宋体" w:cs="Times New Roman"/>
                <w:bCs/>
                <w:sz w:val="24"/>
                <w:szCs w:val="24"/>
              </w:rPr>
              <w:t xml:space="preserve">A</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5V/B</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3V</w:t>
            </w:r>
            <w:r>
              <w:rPr>
                <w:rFonts w:hint="eastAsia" w:ascii="宋体" w:hAnsi="宋体" w:eastAsia="宋体" w:cs="宋体"/>
                <w:bCs/>
                <w:sz w:val="24"/>
                <w:szCs w:val="24"/>
              </w:rPr>
              <w:t xml:space="preserve">卡/支持</w:t>
            </w:r>
            <w:r>
              <w:rPr>
                <w:rFonts w:hint="eastAsia" w:ascii="Times New Roman" w:hAnsi="Times New Roman" w:eastAsia="宋体" w:cs="Times New Roman"/>
                <w:bCs/>
                <w:sz w:val="24"/>
                <w:szCs w:val="24"/>
              </w:rPr>
              <w:t xml:space="preserve">AT24C01，AT24C02，AT24C256</w:t>
            </w:r>
            <w:r>
              <w:rPr>
                <w:rFonts w:hint="eastAsia" w:ascii="宋体" w:hAnsi="宋体" w:eastAsia="宋体" w:cs="宋体"/>
                <w:bCs/>
                <w:sz w:val="24"/>
                <w:szCs w:val="24"/>
              </w:rPr>
              <w:t xml:space="preserve">存储卡/支持</w:t>
            </w:r>
            <w:r>
              <w:rPr>
                <w:rFonts w:hint="default" w:ascii="Times New Roman" w:hAnsi="Times New Roman" w:eastAsia="宋体" w:cs="Times New Roman"/>
                <w:bCs/>
                <w:sz w:val="24"/>
                <w:szCs w:val="24"/>
              </w:rPr>
              <w:t xml:space="preserve">SLE4428</w:t>
            </w:r>
            <w:r>
              <w:rPr>
                <w:rFonts w:hint="eastAsia" w:ascii="宋体" w:hAnsi="宋体" w:eastAsia="宋体" w:cs="宋体"/>
                <w:bCs/>
                <w:sz w:val="24"/>
                <w:szCs w:val="24"/>
              </w:rPr>
              <w:t xml:space="preserve">，</w:t>
            </w:r>
            <w:r>
              <w:rPr>
                <w:rFonts w:hint="eastAsia" w:ascii="Times New Roman" w:hAnsi="Times New Roman" w:eastAsia="宋体" w:cs="Times New Roman"/>
                <w:bCs/>
                <w:sz w:val="24"/>
                <w:szCs w:val="24"/>
              </w:rPr>
              <w:t xml:space="preserve">SLE4442</w:t>
            </w:r>
            <w:r>
              <w:rPr>
                <w:rFonts w:hint="eastAsia" w:ascii="宋体" w:hAnsi="宋体" w:eastAsia="宋体" w:cs="宋体"/>
                <w:bCs/>
                <w:sz w:val="24"/>
                <w:szCs w:val="24"/>
              </w:rPr>
              <w:t xml:space="preserve">存储卡；卡读写速率</w:t>
            </w:r>
            <w:r>
              <w:rPr>
                <w:rFonts w:hint="eastAsia" w:ascii="Times New Roman" w:hAnsi="Times New Roman" w:eastAsia="宋体" w:cs="Times New Roman"/>
                <w:bCs/>
                <w:sz w:val="24"/>
                <w:szCs w:val="24"/>
              </w:rPr>
              <w:t xml:space="preserve">9600~57600bps</w:t>
            </w:r>
            <w:r>
              <w:rPr>
                <w:rFonts w:hint="eastAsia" w:ascii="宋体" w:hAnsi="宋体" w:eastAsia="宋体" w:cs="宋体"/>
                <w:bCs/>
                <w:sz w:val="24"/>
                <w:szCs w:val="24"/>
              </w:rPr>
              <w:t xml:space="preserve">；读写数据长度：</w:t>
            </w:r>
            <w:r>
              <w:rPr>
                <w:rFonts w:hint="eastAsia" w:ascii="Times New Roman" w:hAnsi="Times New Roman" w:eastAsia="宋体" w:cs="Times New Roman"/>
                <w:bCs/>
                <w:sz w:val="24"/>
                <w:szCs w:val="24"/>
              </w:rPr>
              <w:t xml:space="preserve">255</w:t>
            </w:r>
            <w:r>
              <w:rPr>
                <w:rFonts w:hint="eastAsia" w:ascii="宋体" w:hAnsi="宋体" w:eastAsia="宋体" w:cs="宋体"/>
                <w:bCs/>
                <w:sz w:val="24"/>
                <w:szCs w:val="24"/>
              </w:rPr>
              <w:t xml:space="preserve">；卡座寿命：不小于</w:t>
            </w:r>
            <w:r>
              <w:rPr>
                <w:rFonts w:hint="eastAsia" w:ascii="Times New Roman" w:hAnsi="Times New Roman" w:eastAsia="宋体" w:cs="Times New Roman"/>
                <w:bCs/>
                <w:sz w:val="24"/>
                <w:szCs w:val="24"/>
              </w:rPr>
              <w:t xml:space="preserve">20</w:t>
            </w:r>
            <w:r>
              <w:rPr>
                <w:rFonts w:hint="eastAsia" w:ascii="宋体" w:hAnsi="宋体" w:eastAsia="宋体" w:cs="宋体"/>
                <w:bCs/>
                <w:sz w:val="24"/>
                <w:szCs w:val="24"/>
              </w:rPr>
              <w:t xml:space="preserve">万次。</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⑤双目摄像头。连接接口：</w:t>
            </w:r>
            <w:r>
              <w:rPr>
                <w:rFonts w:hint="default" w:ascii="Times New Roman" w:hAnsi="Times New Roman" w:eastAsia="宋体" w:cs="Times New Roman"/>
                <w:bCs/>
                <w:sz w:val="24"/>
                <w:szCs w:val="24"/>
              </w:rPr>
              <w:t xml:space="preserve">USB2.0</w:t>
            </w:r>
            <w:r>
              <w:rPr>
                <w:rFonts w:hint="eastAsia" w:ascii="宋体" w:hAnsi="宋体" w:eastAsia="宋体" w:cs="宋体"/>
                <w:bCs/>
                <w:sz w:val="24"/>
                <w:szCs w:val="24"/>
              </w:rPr>
              <w:t xml:space="preserve">；供电方式：</w:t>
            </w:r>
            <w:r>
              <w:rPr>
                <w:rFonts w:hint="eastAsia" w:ascii="Times New Roman" w:hAnsi="Times New Roman" w:eastAsia="宋体" w:cs="Times New Roman"/>
                <w:bCs/>
                <w:sz w:val="24"/>
                <w:szCs w:val="24"/>
              </w:rPr>
              <w:t xml:space="preserve">USB</w:t>
            </w:r>
            <w:r>
              <w:rPr>
                <w:rFonts w:hint="eastAsia" w:ascii="宋体" w:hAnsi="宋体" w:eastAsia="宋体" w:cs="宋体"/>
                <w:bCs/>
                <w:sz w:val="24"/>
                <w:szCs w:val="24"/>
              </w:rPr>
              <w:t xml:space="preserve">供电；功率：开启补光灯</w:t>
            </w:r>
            <w:r>
              <w:rPr>
                <w:rFonts w:hint="eastAsia" w:ascii="Times New Roman" w:hAnsi="Times New Roman" w:eastAsia="宋体" w:cs="Times New Roman"/>
                <w:bCs/>
                <w:sz w:val="24"/>
                <w:szCs w:val="24"/>
              </w:rPr>
              <w:t xml:space="preserve">1.25W</w:t>
            </w:r>
            <w:r>
              <w:rPr>
                <w:rFonts w:hint="eastAsia" w:ascii="宋体" w:hAnsi="宋体" w:eastAsia="宋体" w:cs="宋体"/>
                <w:bCs/>
                <w:sz w:val="24"/>
                <w:szCs w:val="24"/>
              </w:rPr>
              <w:t xml:space="preserve">；待机≤</w:t>
            </w:r>
            <w:r>
              <w:rPr>
                <w:rFonts w:hint="eastAsia" w:ascii="Times New Roman" w:hAnsi="Times New Roman" w:eastAsia="宋体" w:cs="Times New Roman"/>
                <w:bCs/>
                <w:sz w:val="24"/>
                <w:szCs w:val="24"/>
              </w:rPr>
              <w:t xml:space="preserve">0.1W</w:t>
            </w:r>
            <w:r>
              <w:rPr>
                <w:rFonts w:hint="eastAsia" w:ascii="宋体" w:hAnsi="宋体" w:eastAsia="宋体" w:cs="宋体"/>
                <w:bCs/>
                <w:sz w:val="24"/>
                <w:szCs w:val="24"/>
              </w:rPr>
              <w:t xml:space="preserve">；红外灯亮灭可控：可控；红外灯控制方式：软件指令。</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⑥二维码扫描仪。传感器像素</w:t>
            </w:r>
            <w:r>
              <w:rPr>
                <w:rFonts w:hint="eastAsia" w:ascii="宋体" w:hAnsi="宋体" w:eastAsia="宋体" w:cs="宋体"/>
                <w:bCs/>
                <w:sz w:val="24"/>
                <w:szCs w:val="24"/>
              </w:rPr>
              <w:tab/>
            </w:r>
            <w:r>
              <w:rPr>
                <w:rFonts w:ascii="Times New Roman" w:hAnsi="Times New Roman" w:eastAsia="宋体" w:cs="Times New Roman"/>
                <w:bCs/>
                <w:sz w:val="24"/>
                <w:szCs w:val="24"/>
              </w:rPr>
              <w:t xml:space="preserve">640 pixels (H)x 480 pixels (V)</w:t>
            </w:r>
            <w:r>
              <w:rPr>
                <w:rFonts w:hint="eastAsia" w:ascii="宋体" w:hAnsi="宋体" w:eastAsia="宋体" w:cs="宋体"/>
                <w:bCs/>
                <w:sz w:val="24"/>
                <w:szCs w:val="24"/>
              </w:rPr>
              <w:t xml:space="preserve">；光源</w:t>
            </w:r>
            <w:r>
              <w:rPr>
                <w:rFonts w:ascii="Times New Roman" w:hAnsi="Times New Roman" w:eastAsia="宋体" w:cs="Times New Roman"/>
                <w:bCs/>
                <w:sz w:val="24"/>
                <w:szCs w:val="24"/>
              </w:rPr>
              <w:t xml:space="preserve">Illumination:6500K LED</w:t>
            </w:r>
            <w:r>
              <w:rPr>
                <w:rFonts w:hint="eastAsia" w:ascii="宋体" w:hAnsi="宋体" w:eastAsia="宋体" w:cs="宋体"/>
                <w:bCs/>
                <w:sz w:val="24"/>
                <w:szCs w:val="24"/>
              </w:rPr>
              <w:t xml:space="preserve">；读取速度（帧率）</w:t>
            </w:r>
            <w:r>
              <w:rPr>
                <w:rFonts w:ascii="Times New Roman" w:hAnsi="Times New Roman" w:eastAsia="宋体" w:cs="Times New Roman"/>
                <w:bCs/>
                <w:sz w:val="24"/>
                <w:szCs w:val="24"/>
              </w:rPr>
              <w:t xml:space="preserve">FPS</w:t>
            </w:r>
            <w:r>
              <w:rPr>
                <w:rFonts w:hint="eastAsia" w:ascii="宋体" w:hAnsi="宋体" w:eastAsia="宋体" w:cs="宋体"/>
                <w:bCs/>
                <w:sz w:val="24"/>
                <w:szCs w:val="24"/>
              </w:rPr>
              <w:tab/>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 100FPS</w:t>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100FPS&gt;2m/s</w:t>
            </w:r>
            <w:r>
              <w:rPr>
                <w:rFonts w:hint="eastAsia" w:ascii="宋体" w:hAnsi="宋体" w:eastAsia="宋体" w:cs="宋体"/>
                <w:bCs/>
                <w:sz w:val="24"/>
                <w:szCs w:val="24"/>
              </w:rPr>
              <w:t xml:space="preserve">；接口支持</w:t>
            </w:r>
            <w:r>
              <w:rPr>
                <w:rFonts w:ascii="Times New Roman" w:hAnsi="Times New Roman" w:eastAsia="宋体" w:cs="Times New Roman"/>
                <w:bCs/>
                <w:sz w:val="24"/>
                <w:szCs w:val="24"/>
              </w:rPr>
              <w:t xml:space="preserve">USB/ TTL232。</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⑦指纹仪</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传感器类型：半导体（面积式/按压式）；使用寿命：大于</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万次（厂商提供参数）；采集面积：</w:t>
            </w:r>
            <w:r>
              <w:rPr>
                <w:rFonts w:ascii="Times New Roman" w:hAnsi="Times New Roman" w:eastAsia="宋体" w:cs="Times New Roman"/>
                <w:bCs/>
                <w:sz w:val="24"/>
                <w:szCs w:val="24"/>
              </w:rPr>
              <w:t xml:space="preserve">10.4 * 14.4 mm</w:t>
            </w:r>
            <w:r>
              <w:rPr>
                <w:rFonts w:hint="eastAsia" w:ascii="宋体" w:hAnsi="宋体" w:eastAsia="宋体" w:cs="宋体"/>
                <w:bCs/>
                <w:sz w:val="24"/>
                <w:szCs w:val="24"/>
              </w:rPr>
              <w:t xml:space="preserve">；图像像素：</w:t>
            </w:r>
            <w:r>
              <w:rPr>
                <w:rFonts w:ascii="Times New Roman" w:hAnsi="Times New Roman" w:eastAsia="宋体" w:cs="Times New Roman"/>
                <w:bCs/>
                <w:sz w:val="24"/>
                <w:szCs w:val="24"/>
              </w:rPr>
              <w:t xml:space="preserve">208 * 288 pix(TCS2SS)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152 * 200 pix(FPC1011F)</w:t>
            </w:r>
            <w:r>
              <w:rPr>
                <w:rFonts w:hint="eastAsia" w:ascii="宋体" w:hAnsi="宋体" w:eastAsia="宋体" w:cs="宋体"/>
                <w:bCs/>
                <w:sz w:val="24"/>
                <w:szCs w:val="24"/>
              </w:rPr>
              <w:t xml:space="preserve">；图像分辨率：</w:t>
            </w:r>
            <w:r>
              <w:rPr>
                <w:rFonts w:ascii="Times New Roman" w:hAnsi="Times New Roman" w:eastAsia="宋体" w:cs="Times New Roman"/>
                <w:bCs/>
                <w:sz w:val="24"/>
                <w:szCs w:val="24"/>
              </w:rPr>
              <w:t xml:space="preserve">508DPI(TCS2SS)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363DPI(FPC1011F)</w:t>
            </w:r>
            <w:r>
              <w:rPr>
                <w:rFonts w:hint="eastAsia" w:ascii="宋体" w:hAnsi="宋体" w:eastAsia="宋体" w:cs="宋体"/>
                <w:bCs/>
                <w:sz w:val="24"/>
                <w:szCs w:val="24"/>
              </w:rPr>
              <w:t xml:space="preserve">；通信接口：</w:t>
            </w:r>
            <w:r>
              <w:rPr>
                <w:rFonts w:ascii="Times New Roman" w:hAnsi="Times New Roman" w:eastAsia="宋体" w:cs="Times New Roman"/>
                <w:bCs/>
                <w:sz w:val="24"/>
                <w:szCs w:val="24"/>
              </w:rPr>
              <w:t xml:space="preserve">USB2.0。</w:t>
            </w:r>
            <w:r/>
          </w:p>
        </w:tc>
      </w:tr>
      <w:tr>
        <w:trPr/>
        <w:tc>
          <w:tcPr>
            <w:tcW w:w="8522" w:type="dxa"/>
            <w:textDirection w:val="lrTb"/>
            <w:noWrap w:val="false"/>
          </w:tcPr>
          <w:p>
            <w:pPr>
              <w:spacing w:line="560" w:lineRule="exact"/>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lang w:val="en-US" w:eastAsia="zh-CN"/>
              </w:rPr>
              <w:t xml:space="preserve">⑧阵列麦克风。</w:t>
            </w:r>
            <w:r>
              <w:rPr>
                <w:rFonts w:hint="eastAsia" w:ascii="宋体" w:hAnsi="宋体" w:eastAsia="宋体" w:cs="宋体"/>
                <w:bCs/>
                <w:sz w:val="24"/>
                <w:szCs w:val="24"/>
                <w:highlight w:val="none"/>
              </w:rPr>
              <w:t xml:space="preserve">麦克风类型：线性等距阵列麦克风</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信噪比</w:t>
            </w:r>
            <w:r>
              <w:rPr>
                <w:rFonts w:hint="eastAsia" w:ascii="宋体" w:hAnsi="宋体" w:eastAsia="宋体" w:cs="宋体"/>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67db</w:t>
            </w:r>
            <w:r>
              <w:rPr>
                <w:rFonts w:hint="eastAsia"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rPr>
              <w:t xml:space="preserve">灵敏度：</w:t>
            </w:r>
            <w:r>
              <w:rPr>
                <w:rFonts w:hint="eastAsia" w:ascii="Times New Roman" w:hAnsi="Times New Roman" w:eastAsia="宋体" w:cs="Times New Roman"/>
                <w:bCs/>
                <w:sz w:val="24"/>
                <w:szCs w:val="24"/>
                <w:highlight w:val="none"/>
              </w:rPr>
              <w:t xml:space="preserve">-38±1db</w:t>
            </w:r>
            <w:r>
              <w:rPr>
                <w:rFonts w:hint="eastAsia" w:ascii="Times New Roman" w:hAnsi="Times New Roman" w:eastAsia="宋体" w:cs="Times New Roman"/>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▲支持功能：</w:t>
            </w:r>
            <w:r>
              <w:rPr>
                <w:rFonts w:hint="eastAsia" w:ascii="Times New Roman" w:hAnsi="Times New Roman" w:eastAsia="宋体" w:cs="Times New Roman"/>
                <w:bCs/>
                <w:sz w:val="24"/>
                <w:szCs w:val="24"/>
                <w:highlight w:val="none"/>
              </w:rPr>
              <w:t xml:space="preserve">60</w:t>
            </w:r>
            <w:r>
              <w:rPr>
                <w:rFonts w:hint="eastAsia" w:ascii="宋体" w:hAnsi="宋体" w:eastAsia="宋体" w:cs="宋体"/>
                <w:bCs/>
                <w:sz w:val="24"/>
                <w:szCs w:val="24"/>
                <w:highlight w:val="none"/>
              </w:rPr>
              <w:t xml:space="preserve">度定向拾音、回音消除、环境抑噪、混响去除、支持自动增益</w:t>
            </w:r>
            <w:r/>
          </w:p>
          <w:p>
            <w:pPr>
              <w:spacing w:line="560" w:lineRule="exact"/>
              <w:rPr>
                <w:rFonts w:hint="eastAsia" w:ascii="宋体" w:hAnsi="宋体" w:eastAsia="宋体" w:cs="宋体"/>
                <w:bCs/>
                <w:sz w:val="24"/>
                <w:szCs w:val="24"/>
                <w:highlight w:val="yellow"/>
              </w:rPr>
            </w:pPr>
            <w:r>
              <w:rPr>
                <w:rFonts w:hint="eastAsia" w:ascii="宋体" w:hAnsi="宋体" w:eastAsia="宋体" w:cs="宋体"/>
                <w:bCs/>
                <w:sz w:val="24"/>
                <w:szCs w:val="24"/>
                <w:highlight w:val="none"/>
              </w:rPr>
              <w:t xml:space="preserve">拾音距离：</w:t>
            </w:r>
            <w:r>
              <w:rPr>
                <w:rFonts w:hint="default" w:ascii="Times New Roman" w:hAnsi="Times New Roman" w:eastAsia="宋体" w:cs="Times New Roman"/>
                <w:bCs/>
                <w:sz w:val="24"/>
                <w:szCs w:val="24"/>
                <w:highlight w:val="none"/>
              </w:rPr>
              <w:t xml:space="preserve">0-5</w:t>
            </w:r>
            <w:r>
              <w:rPr>
                <w:rFonts w:hint="eastAsia" w:ascii="宋体" w:hAnsi="宋体" w:eastAsia="宋体" w:cs="宋体"/>
                <w:bCs/>
                <w:sz w:val="24"/>
                <w:szCs w:val="24"/>
                <w:highlight w:val="none"/>
              </w:rPr>
              <w:t xml:space="preserve">米</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⑨整机性能。</w:t>
            </w:r>
            <w:r/>
          </w:p>
          <w:p>
            <w:pPr>
              <w:spacing w:line="560" w:lineRule="exact"/>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none"/>
              </w:rPr>
              <w:t xml:space="preserve">▲具备《中国质量认证中心》认可第三方机构出具的产品检测报告</w:t>
            </w:r>
            <w:r>
              <w:rPr>
                <w:rFonts w:hint="eastAsia" w:ascii="宋体" w:hAnsi="宋体" w:eastAsia="宋体" w:cs="宋体"/>
                <w:bCs/>
                <w:sz w:val="24"/>
                <w:szCs w:val="24"/>
                <w:highlight w:val="none"/>
                <w:lang w:eastAsia="zh-CN"/>
              </w:rPr>
              <w:t xml:space="preserve">。</w:t>
            </w:r>
            <w:r/>
          </w:p>
        </w:tc>
      </w:tr>
    </w:tbl>
    <w:p>
      <w:pPr>
        <w:pStyle w:val="667"/>
        <w:ind w:left="420"/>
      </w:p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四、服务期限与项目进度安排</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1.交付时间：</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2.交付地点：江苏省连云港市灌云县政务服务中心指定窗口位置。</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五、安装调试要求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成交供应商应派有资格、有经验的人员负责安装、调试。</w:t>
      </w:r>
      <w:r/>
    </w:p>
    <w:p>
      <w:pPr>
        <w:ind w:firstLine="482"/>
        <w:jc w:val="left"/>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1、人员基本配置及要求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本项目拟配备项目经理1人，项目技术实施人员至少4人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sz w:val="24"/>
          <w:szCs w:val="24"/>
          <w:highlight w:val="none"/>
          <w:lang w:val="en-US" w:eastAsia="zh-CN"/>
        </w:rPr>
        <w:t xml:space="preserve">技术负责人1人）</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各岗位设置服务人数为最低要求，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必须书面承诺</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员配置不少于各岗位最低人数要求、</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文件中提供加盖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公章的承诺函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2、配备人员具体要求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项目经理：具有良好的沟通、协调、管理能力。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项目技术实施人员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应派有资格、有经验的安装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技术人员按行业标准及安全要求，规范安装、调试，且在合同规定的时间内完成安装、调试等工作。</w:t>
      </w:r>
      <w:r/>
    </w:p>
    <w:p>
      <w:pPr>
        <w:numPr>
          <w:ilvl w:val="0"/>
          <w:numId w:val="0"/>
        </w:num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七、</w:t>
      </w:r>
      <w:r>
        <w:rPr>
          <w:rFonts w:hint="eastAsia" w:ascii="宋体" w:hAnsi="宋体" w:eastAsia="宋体" w:cs="宋体"/>
          <w:b/>
          <w:sz w:val="24"/>
          <w:szCs w:val="24"/>
        </w:rPr>
        <w:t xml:space="preserve">履约验收</w:t>
      </w:r>
      <w:r/>
    </w:p>
    <w:p>
      <w:pPr>
        <w:ind w:firstLine="482"/>
        <w:spacing w:line="49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1、验收主体：采购人；</w:t>
      </w:r>
      <w:r/>
    </w:p>
    <w:p>
      <w:pPr>
        <w:ind w:firstLine="480"/>
        <w:spacing w:line="56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、验收时间：</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硬件验收：到货后7个工作日内完成开箱及安装验收。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2.2软件初验：系统上线试运行15个工作日内完成。</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2.3软件终验：试运行稳定6个月后进行。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3、验收方式：</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1.分段验收：硬件与软件分别验收。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3.2功能测试：依据需求清单逐项进行功能点测试。</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3.3压力测试：对云视频、智能预审等模块进行并发压力测试，确保系统稳定性。</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3.4文档验收：检查系统设计文档、操作手册、培训记录、源代码等是否齐全。</w:t>
      </w:r>
      <w:r/>
    </w:p>
    <w:p>
      <w:pPr>
        <w:ind w:firstLine="482"/>
        <w:spacing w:line="49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4、验收程序：</w:t>
      </w:r>
      <w:r>
        <w:rPr>
          <w:rFonts w:hint="eastAsia" w:ascii="宋体" w:hAnsi="宋体" w:eastAsia="宋体" w:cs="宋体"/>
          <w:b w:val="0"/>
          <w:bCs w:val="0"/>
          <w:sz w:val="24"/>
          <w:szCs w:val="24"/>
          <w:highlight w:val="none"/>
        </w:rPr>
        <w:t xml:space="preserve">验收由采购人验收小组、采购中心工作人员、成交供应商及相关人员依国家有关标准、合同及有关附件要求进行。验收完毕由采购人及成交供应商在验收报告上签名。必要时邀请相关的专业人员、第三方机构参与验收</w:t>
      </w:r>
      <w:r>
        <w:rPr>
          <w:rFonts w:hint="eastAsia" w:ascii="宋体" w:hAnsi="宋体" w:eastAsia="宋体" w:cs="宋体"/>
          <w:b w:val="0"/>
          <w:bCs w:val="0"/>
          <w:sz w:val="24"/>
          <w:szCs w:val="24"/>
          <w:highlight w:val="none"/>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5、验收内容：</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1硬件：品牌、型号、数量、性能参数是否符合</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文件及合同约定。</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5.2软件：所有功能模块（含智能问答、数据摆渡、容缺预审、数据加密等）是否正常运行。</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6、验收标准:符合磋商文件及响应文件的全部技术要求，达到合格标准。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6.1以下是本项目验收标准：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 符合国家及行业相关标准。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 符合本采购文件及供应商</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文件的技术承诺。</w:t>
      </w:r>
      <w:r/>
    </w:p>
    <w:p>
      <w:pPr>
        <w:ind w:firstLine="480"/>
        <w:spacing w:line="490" w:lineRule="exact"/>
        <w:rPr>
          <w:rFonts w:hint="eastAsia" w:ascii="宋体" w:hAnsi="宋体" w:eastAsia="宋体" w:cs="宋体"/>
          <w:bCs/>
          <w:sz w:val="24"/>
          <w:szCs w:val="24"/>
        </w:rPr>
      </w:pPr>
      <w:r>
        <w:rPr>
          <w:rFonts w:hint="eastAsia" w:ascii="宋体" w:hAnsi="宋体" w:eastAsia="宋体" w:cs="宋体"/>
          <w:sz w:val="24"/>
          <w:szCs w:val="24"/>
        </w:rPr>
        <w:t xml:space="preserve">3. 用户操作培训到位，系统运行稳定无重大BUG。</w:t>
      </w:r>
      <w:r>
        <w:rPr>
          <w:rFonts w:hint="eastAsia" w:ascii="宋体" w:hAnsi="宋体" w:eastAsia="宋体" w:cs="宋体"/>
          <w:bCs/>
          <w:sz w:val="24"/>
          <w:szCs w:val="24"/>
        </w:rPr>
        <w:t xml:space="preserve">   </w:t>
      </w:r>
      <w:r/>
    </w:p>
    <w:p>
      <w:pPr>
        <w:ind w:firstLine="24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其他规定</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验收不合格的，采购人有权要求供应商限期整改，整改后复验仍不合格的，采购人有权解除合同并追究违约责任。</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验收报告需由验收小组成员签字确认，并作为付款依据。</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八、售后服务要求</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highlight w:val="none"/>
        </w:rPr>
        <w:t xml:space="preserve">硬件</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年质保</w:t>
      </w:r>
      <w:r>
        <w:rPr>
          <w:rFonts w:hint="eastAsia" w:ascii="宋体" w:hAnsi="宋体" w:eastAsia="宋体" w:cs="宋体"/>
          <w:bCs/>
          <w:sz w:val="24"/>
          <w:szCs w:val="24"/>
        </w:rPr>
        <w:t xml:space="preserve">，软件提供3年维保，质保期内提供</w:t>
      </w:r>
      <w:r>
        <w:rPr>
          <w:rFonts w:hint="default" w:ascii="Times New Roman" w:hAnsi="Times New Roman" w:eastAsia="宋体" w:cs="Times New Roman"/>
          <w:bCs/>
          <w:sz w:val="24"/>
          <w:szCs w:val="24"/>
        </w:rPr>
        <w:t xml:space="preserve">7x24</w:t>
      </w:r>
      <w:r>
        <w:rPr>
          <w:rFonts w:hint="eastAsia" w:ascii="宋体" w:hAnsi="宋体" w:eastAsia="宋体" w:cs="宋体"/>
          <w:bCs/>
          <w:sz w:val="24"/>
          <w:szCs w:val="24"/>
        </w:rPr>
        <w:t xml:space="preserve">小时故障响应服务，一般问题2小时内响应，重大故障4小时内现场处理。</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维保期内免费提供系统升级、漏洞修复及必要的功能优化（含因上级系统升级导致的摆渡适配）。</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提供不少于3次的现场集中培训（含窗口人员、审批人员、系统管理员）。</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九、报价要求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firstLine="480"/>
        <w:jc w:val="left"/>
        <w:spacing w:line="49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报价应包含与本次采购项目有关的所有费用。包含但不限于人员、设备、安装调试、检测、验收、售后服务、伴随配套服务等所有含税费用等。同时，还应包含支付给员工的工资和国家强制缴纳的各种社会保障资金，以及供应商认为需要的其他费用等；</w:t>
      </w:r>
      <w:r>
        <w:rPr>
          <w:rFonts w:hint="eastAsia" w:ascii="宋体" w:hAnsi="宋体" w:eastAsia="宋体" w:cs="宋体"/>
          <w:b/>
          <w:bCs/>
          <w:sz w:val="24"/>
          <w:szCs w:val="24"/>
          <w:lang w:eastAsia="zh-CN"/>
        </w:rPr>
        <w:t xml:space="preserve">其中维保费用报价为一次性报价，不参与二次报价。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3、供应商的任何错漏、优惠、竞争性报价不得作为减轻责任、减少服务、增加收费、降低服务质量的理由；</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4、供应商报价除包含磋商文件中列明的项目外还应包括保障服务正常运行应当具有的物资和服务，对服务正常运行应当具有的物资和服务理解不一致的以采购人理解为准。</w:t>
      </w:r>
      <w:r/>
    </w:p>
    <w:p>
      <w:pPr>
        <w:ind w:firstLine="56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十四、付款方式与履约保证金</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1、付款方式</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终验完成后付清价款</w:t>
      </w:r>
      <w:r>
        <w:rPr>
          <w:rFonts w:hint="eastAsia" w:ascii="宋体" w:hAnsi="宋体" w:eastAsia="宋体" w:cs="宋体"/>
          <w:sz w:val="24"/>
          <w:szCs w:val="24"/>
          <w:highlight w:val="none"/>
          <w:lang w:eastAsia="zh-CN"/>
        </w:rPr>
        <w:t xml:space="preserve">。</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维保期结束后</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成交金额</w:t>
      </w:r>
      <w:r>
        <w:rPr>
          <w:rFonts w:hint="eastAsia" w:ascii="宋体" w:hAnsi="宋体" w:eastAsia="宋体" w:cs="宋体"/>
          <w:sz w:val="24"/>
          <w:szCs w:val="24"/>
          <w:highlight w:val="none"/>
        </w:rPr>
        <w:t xml:space="preserve">的15%</w:t>
      </w:r>
      <w:r>
        <w:rPr>
          <w:rFonts w:hint="eastAsia" w:ascii="宋体" w:hAnsi="宋体" w:eastAsia="宋体" w:cs="宋体"/>
          <w:sz w:val="24"/>
          <w:szCs w:val="24"/>
          <w:highlight w:val="none"/>
          <w:lang w:eastAsia="zh-CN"/>
        </w:rPr>
        <w:t xml:space="preserve">。维保费不参与二次报价，并作为后续全生命周期维保费用的依据。</w:t>
      </w:r>
      <w:r/>
    </w:p>
    <w:p>
      <w:pPr>
        <w:numPr>
          <w:ilvl w:val="0"/>
          <w:numId w:val="4"/>
        </w:num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ind w:firstLine="480"/>
        <w:jc w:val="left"/>
        <w:spacing w:line="490" w:lineRule="exact"/>
        <w:rPr>
          <w:rFonts w:hint="default" w:eastAsiaTheme="minorEastAsia"/>
          <w:sz w:val="24"/>
          <w:szCs w:val="24"/>
          <w:highlight w:val="none"/>
          <w:lang w:val="en-US" w:eastAsia="zh-CN"/>
        </w:rPr>
      </w:pPr>
      <w:r>
        <w:rPr>
          <w:rFonts w:hint="eastAsia" w:ascii="宋体" w:hAnsi="宋体" w:eastAsia="宋体" w:cs="宋体"/>
          <w:sz w:val="24"/>
          <w:szCs w:val="24"/>
        </w:rPr>
        <w:t xml:space="preserve">乙方应在收到成交通知书后，合同签订前7日内向甲方提交项目合同金额的10%的履约保证金，</w:t>
      </w:r>
      <w:r>
        <w:rPr>
          <w:rFonts w:hint="eastAsia"/>
          <w:sz w:val="24"/>
          <w:szCs w:val="24"/>
        </w:rPr>
        <w:t xml:space="preserve">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sz w:val="24"/>
          <w:szCs w:val="24"/>
          <w:highlight w:val="none"/>
          <w:lang w:val="en-US" w:eastAsia="zh-CN"/>
        </w:rPr>
        <w:t xml:space="preserve">履约保证金分三年退还，第一年维保期满后退还40%，第二年</w:t>
      </w:r>
      <w:r>
        <w:rPr>
          <w:rFonts w:hint="eastAsia" w:ascii="Times New Roman" w:eastAsia="宋体"/>
          <w:sz w:val="24"/>
          <w:szCs w:val="24"/>
          <w:highlight w:val="none"/>
          <w:lang w:val="en-US" w:eastAsia="zh-CN"/>
        </w:rPr>
        <w:t xml:space="preserve">维保期满后退还</w:t>
      </w:r>
      <w:r>
        <w:rPr>
          <w:rFonts w:hint="eastAsia"/>
          <w:sz w:val="24"/>
          <w:szCs w:val="24"/>
          <w:highlight w:val="none"/>
          <w:lang w:val="en-US" w:eastAsia="zh-CN"/>
        </w:rPr>
        <w:t xml:space="preserve">30%，第三年</w:t>
      </w:r>
      <w:r>
        <w:rPr>
          <w:rFonts w:hint="eastAsia" w:ascii="Times New Roman" w:eastAsia="宋体"/>
          <w:sz w:val="24"/>
          <w:szCs w:val="24"/>
          <w:highlight w:val="none"/>
          <w:lang w:val="en-US" w:eastAsia="zh-CN"/>
        </w:rPr>
        <w:t xml:space="preserve">维保期满后</w:t>
      </w:r>
      <w:r>
        <w:rPr>
          <w:rFonts w:hint="eastAsia"/>
          <w:sz w:val="24"/>
          <w:szCs w:val="24"/>
          <w:highlight w:val="none"/>
          <w:lang w:val="en-US" w:eastAsia="zh-CN"/>
        </w:rPr>
        <w:t xml:space="preserve">退还30%。</w:t>
      </w:r>
      <w:r/>
    </w:p>
    <w:p>
      <w:pPr>
        <w:ind w:firstLine="422"/>
        <w:jc w:val="left"/>
        <w:spacing w:line="360" w:lineRule="auto"/>
        <w:rPr>
          <w:rFonts w:hint="eastAsia" w:ascii="黑体" w:hAnsi="黑体" w:eastAsia="黑体"/>
          <w:bCs/>
          <w:sz w:val="44"/>
          <w:szCs w:val="44"/>
        </w:rPr>
      </w:pPr>
      <w:r>
        <w:rPr>
          <w:rFonts w:ascii="黑体" w:hAnsi="黑体" w:eastAsia="黑体"/>
          <w:b/>
        </w:rPr>
        <w:br w:type="page" w:clear="all"/>
      </w:r>
      <w:r/>
    </w:p>
    <w:p>
      <w:pPr>
        <w:pStyle w:val="657"/>
        <w:jc w:val="center"/>
        <w:spacing w:before="156" w:after="156" w:line="360" w:lineRule="auto"/>
        <w:rPr>
          <w:rFonts w:hint="eastAsia" w:ascii="黑体" w:hAnsi="黑体" w:eastAsia="黑体"/>
          <w:b w:val="0"/>
        </w:rPr>
      </w:pPr>
      <w:r/>
      <w:bookmarkStart w:id="7"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7"/>
      <w:r/>
      <w:r/>
    </w:p>
    <w:p>
      <w:pPr>
        <w:ind w:firstLine="480"/>
        <w:jc w:val="left"/>
        <w:spacing w:line="500" w:lineRule="exact"/>
        <w:rPr>
          <w:rFonts w:hint="eastAsia" w:ascii="黑体" w:hAnsi="黑体" w:eastAsia="黑体"/>
          <w:sz w:val="24"/>
          <w:szCs w:val="24"/>
        </w:rPr>
      </w:pPr>
      <w:r/>
      <w:bookmarkStart w:id="8" w:name="_Toc165205712"/>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二、资格审查</w:t>
      </w:r>
      <w:r/>
    </w:p>
    <w:p>
      <w:pPr>
        <w:ind w:firstLine="480"/>
        <w:jc w:val="left"/>
        <w:spacing w:line="500" w:lineRule="exact"/>
        <w:rPr>
          <w:rFonts w:hint="eastAsia"/>
          <w:sz w:val="24"/>
          <w:szCs w:val="24"/>
        </w:rPr>
      </w:pPr>
      <w:r>
        <w:rPr>
          <w:rFonts w:hint="eastAsia"/>
          <w:sz w:val="24"/>
          <w:szCs w:val="24"/>
        </w:rPr>
        <w:t xml:space="preserve">资格性检查资料要求</w:t>
      </w:r>
      <w:r/>
    </w:p>
    <w:p>
      <w:pPr>
        <w:jc w:val="center"/>
        <w:spacing w:line="360" w:lineRule="auto"/>
        <w:rPr>
          <w:rFonts w:hint="eastAsia" w:ascii="宋体" w:hAnsi="宋体" w:cs="宋体"/>
          <w:szCs w:val="21"/>
        </w:rPr>
      </w:pPr>
      <w:r>
        <w:rPr>
          <w:rFonts w:hint="eastAsia" w:ascii="宋体" w:hAnsi="宋体" w:cs="宋体"/>
          <w:szCs w:val="21"/>
        </w:rPr>
        <w:t xml:space="preserve">资格性检查资料明细表</w:t>
      </w:r>
      <w:r/>
    </w:p>
    <w:tbl>
      <w:tblPr>
        <w:tblStyle w:val="662"/>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1400"/>
      </w:tblGrid>
      <w:tr>
        <w:trPr>
          <w:trHeight w:val="628"/>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提供方式</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spacing w:line="264" w:lineRule="auto"/>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具有良好的商业信誉和健全的财务会计制度,根据连财购〔2023〕4号文件精神，可以提供《财务状况报告及税收、社会保障资金缴纳情况承诺函》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法人参加投标时提供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授权代表参加投标时提供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依法缴纳税收和社会保障资金的相关材料,根据连财购〔2023〕4号文件精神，可以提供《财务状况报告及税收、社会保障资金缴纳情况承诺函》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bl>
    <w:p>
      <w:pPr>
        <w:spacing w:line="360" w:lineRule="auto"/>
      </w:pPr>
      <w:r>
        <w:rPr>
          <w:rFonts w:hint="eastAsia" w:ascii="宋体" w:hAnsi="宋体" w:cs="宋体"/>
          <w:b/>
          <w:bCs/>
          <w:color w:val="ff0000"/>
          <w:szCs w:val="21"/>
        </w:rPr>
        <w:t xml:space="preserve">注：上述资料原件彩色扫描件必须上传至响应文件制作工具中，否则视为资格审查不通过。原件备查。</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三、评审标准</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w:t>
      </w:r>
      <w:r>
        <w:rPr>
          <w:rFonts w:hint="eastAsia" w:ascii="宋体" w:hAnsi="宋体" w:eastAsia="宋体" w:cs="宋体"/>
          <w:sz w:val="24"/>
          <w:szCs w:val="24"/>
          <w:highlight w:val="none"/>
        </w:rPr>
        <w:t xml:space="preserve">要求且最后报价最低</w:t>
      </w:r>
      <w:r>
        <w:rPr>
          <w:rFonts w:hint="eastAsia" w:ascii="宋体" w:hAnsi="宋体" w:eastAsia="宋体" w:cs="宋体"/>
          <w:sz w:val="24"/>
          <w:szCs w:val="24"/>
        </w:rPr>
        <w:t xml:space="preserve">的供应商的价格为磋商基准价，其价格分为满分。其他供应商的价格分统一按照下列公式计算：磋商报价得分=（磋商基准价／最后磋商报价）×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分（计算结果按四舍五入取至小数点后两位）。</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因落实政府采购政策进行价格扣除的，用扣除后的价格参加评审。</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78</w:t>
      </w:r>
      <w:r>
        <w:rPr>
          <w:rFonts w:hint="eastAsia" w:ascii="宋体" w:hAnsi="宋体" w:eastAsia="宋体" w:cs="宋体"/>
          <w:sz w:val="24"/>
          <w:szCs w:val="24"/>
        </w:rPr>
        <w:t xml:space="preserve">分）</w:t>
      </w:r>
      <w:r/>
    </w:p>
    <w:tbl>
      <w:tblPr>
        <w:tblStyle w:val="662"/>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7586" w:type="dxa"/>
            <w:vAlign w:val="center"/>
            <w:textDirection w:val="lrTb"/>
            <w:noWrap/>
          </w:tcPr>
          <w:p>
            <w:pPr>
              <w:ind w:firstLine="480"/>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p>
            <w:pPr>
              <w:pStyle w:val="667"/>
              <w:jc w:val="center"/>
            </w:pPr>
            <w:r>
              <w:rPr>
                <w:rFonts w:hint="eastAsia" w:ascii="宋体" w:hAnsi="宋体" w:cs="宋体"/>
                <w:sz w:val="24"/>
                <w:szCs w:val="24"/>
              </w:rPr>
              <w:t xml:space="preserve">（</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按磋商文件的技术参数要求进行评审：</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打★号指标为必须满足项，如有负偏离将作为无效</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打▲号为重要指标，有一项负偏离扣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49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其余指标有一项负偏离扣0.5分，扣完为止。</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软件部分应当提供产品功能截图</w:t>
            </w:r>
            <w:r>
              <w:rPr>
                <w:rFonts w:hint="eastAsia" w:ascii="宋体" w:hAnsi="宋体" w:eastAsia="宋体" w:cs="宋体"/>
                <w:b/>
                <w:bCs/>
                <w:sz w:val="24"/>
                <w:szCs w:val="24"/>
                <w:highlight w:val="none"/>
              </w:rPr>
              <w:t xml:space="preserve">等能证明上述参数的证明材料</w:t>
            </w:r>
            <w:r>
              <w:rPr>
                <w:rFonts w:hint="eastAsia" w:ascii="宋体" w:hAnsi="宋体" w:eastAsia="宋体" w:cs="宋体"/>
                <w:b/>
                <w:bCs/>
                <w:sz w:val="24"/>
                <w:szCs w:val="24"/>
                <w:highlight w:val="none"/>
                <w:lang w:eastAsia="zh-CN"/>
              </w:rPr>
              <w:t xml:space="preserve">；硬件部分应当提供</w:t>
            </w:r>
            <w:r>
              <w:rPr>
                <w:rFonts w:hint="eastAsia" w:ascii="宋体" w:hAnsi="宋体" w:eastAsia="宋体" w:cs="宋体"/>
                <w:b/>
                <w:bCs/>
                <w:sz w:val="24"/>
                <w:szCs w:val="24"/>
                <w:highlight w:val="none"/>
              </w:rPr>
              <w:t xml:space="preserve">国家权威机构出具的检测报告等能证明上述参数的证明材料。</w:t>
            </w:r>
            <w:r>
              <w:rPr>
                <w:rFonts w:hint="eastAsia" w:ascii="宋体" w:hAnsi="宋体" w:eastAsia="宋体" w:cs="宋体"/>
                <w:sz w:val="24"/>
                <w:szCs w:val="24"/>
                <w:highlight w:val="none"/>
                <w:lang w:eastAsia="zh-CN"/>
              </w:rPr>
              <w:t xml:space="preserve">）</w:t>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center"/>
              <w:spacing w:line="490" w:lineRule="exact"/>
              <w:rPr>
                <w:rFonts w:hint="eastAsia" w:ascii="宋体" w:hAnsi="宋体" w:eastAsia="宋体" w:cs="宋体"/>
                <w:szCs w:val="21"/>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（1）本项目配备项目经理1名，拟派项目经理具有电子信息类高级工程师职称证书、信息系统项目管理师证书、系统架构设计师证书，每具备一种证书得1分，满分3分。</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）本项目配备实施人员</w:t>
            </w:r>
            <w:r>
              <w:rPr>
                <w:rFonts w:hint="eastAsia" w:ascii="宋体" w:hAnsi="宋体" w:eastAsia="宋体" w:cs="宋体"/>
                <w:sz w:val="24"/>
                <w:szCs w:val="24"/>
                <w:lang w:val="en-US" w:eastAsia="zh-CN"/>
              </w:rPr>
              <w:t xml:space="preserve">至少</w:t>
            </w:r>
            <w:r>
              <w:rPr>
                <w:rFonts w:hint="eastAsia" w:ascii="宋体" w:hAnsi="宋体" w:eastAsia="宋体" w:cs="宋体"/>
                <w:sz w:val="24"/>
                <w:szCs w:val="24"/>
              </w:rPr>
              <w:t xml:space="preserve">4名，</w:t>
            </w:r>
            <w:r>
              <w:rPr>
                <w:rFonts w:hint="eastAsia" w:ascii="宋体" w:hAnsi="宋体" w:eastAsia="宋体" w:cs="宋体"/>
                <w:sz w:val="24"/>
                <w:szCs w:val="24"/>
                <w:lang w:eastAsia="zh-CN"/>
              </w:rPr>
              <w:t xml:space="preserve">拟派</w:t>
            </w:r>
            <w:r>
              <w:rPr>
                <w:rFonts w:hint="eastAsia" w:ascii="宋体" w:hAnsi="宋体" w:eastAsia="宋体" w:cs="宋体"/>
                <w:sz w:val="24"/>
                <w:szCs w:val="24"/>
                <w:lang w:val="en-US" w:eastAsia="zh-CN"/>
              </w:rPr>
              <w:t xml:space="preserve">技术负责人具有电子信息类高级工程师职称证书得2分，具有电子信息类中级职称证书得1分。</w:t>
            </w:r>
            <w:r/>
          </w:p>
          <w:p>
            <w:pPr>
              <w:pStyle w:val="663"/>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拟派项目团队实施人员（不含项目经理</w:t>
            </w:r>
            <w:r>
              <w:rPr>
                <w:rFonts w:hint="eastAsia" w:ascii="宋体" w:hAnsi="宋体" w:eastAsia="宋体" w:cs="宋体"/>
                <w:sz w:val="24"/>
                <w:szCs w:val="24"/>
                <w:highlight w:val="none"/>
                <w:lang w:eastAsia="zh-CN"/>
              </w:rPr>
              <w:t xml:space="preserve">、技术负责人</w:t>
            </w: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系统集成项目管理工程师证书、软件设计师证书、软件评测师证书，每具备一个得1分，满分3分。</w:t>
            </w:r>
            <w:r/>
          </w:p>
          <w:p>
            <w:pPr>
              <w:pStyle w:val="663"/>
              <w:ind w:left="0"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注：以上同一人员的多个证书只计一份，按高计取分值。上述人员必须为</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单位正式职工，并提供相关证书扫描件及</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为其缴纳的近6个月内任意一个月社保证明材料（加盖公章）；若人员入职时间不足一个月，可提供</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出具的在职承诺函（加盖公章），承诺该人员为单位正式员工并将依法缴纳社保，否则承担相应责任；如已退休的必须提供退休证明及聘用合同。</w:t>
            </w:r>
            <w:r/>
          </w:p>
          <w:p>
            <w:pPr>
              <w:pStyle w:val="663"/>
              <w:ind w:left="0" w:firstLine="480"/>
              <w:rPr>
                <w:rFonts w:hint="eastAsia" w:ascii="宋体" w:hAnsi="宋体" w:eastAsia="宋体" w:cs="宋体"/>
                <w:b/>
                <w:szCs w:val="21"/>
              </w:rPr>
            </w:pPr>
            <w:r>
              <w:rPr>
                <w:rFonts w:hint="eastAsia" w:cs="宋体"/>
                <w:sz w:val="24"/>
                <w:szCs w:val="24"/>
                <w:lang w:val="en-US" w:eastAsia="zh-CN"/>
              </w:rPr>
              <w:t xml:space="preserve">注：电子信息类包括但不限于</w:t>
            </w:r>
            <w:r>
              <w:rPr>
                <w:rFonts w:hint="eastAsia" w:ascii="宋体" w:hAnsi="宋体" w:eastAsia="宋体" w:cs="宋体"/>
                <w:sz w:val="24"/>
                <w:szCs w:val="24"/>
                <w:lang w:val="en-US" w:eastAsia="zh-CN"/>
              </w:rPr>
              <w:t xml:space="preserve">电子信息工程、‌通信与信息系统/信息通信网络工程、‌信息通信产品研发、‌电子元器件与微电子技术‌（含集成电路、半导体器件、封装测试）、‌广播电视与视听工程‌（广播、电视、新媒体传输与设备）、‌雷达与导航系统工程‌（含卫星导航、雷达信号处理）、‌智能电子与自动控制‌（嵌入式智能系统、工业控制、物联网终端）、‌计算机应用技术/信息技术、‌光电信息工程、‌数字经济（电子信息）工程‌等专业</w:t>
            </w:r>
            <w:r>
              <w:rPr>
                <w:rFonts w:hint="eastAsia" w:cs="宋体"/>
                <w:sz w:val="24"/>
                <w:szCs w:val="24"/>
                <w:lang w:val="en-US" w:eastAsia="zh-CN"/>
              </w:rPr>
              <w:t xml:space="preserve">。</w:t>
            </w:r>
            <w:r/>
          </w:p>
        </w:tc>
      </w:tr>
      <w:tr>
        <w:trPr>
          <w:jc w:val="center"/>
          <w:trHeight w:val="621"/>
        </w:trPr>
        <w:tc>
          <w:tcPr>
            <w:shd w:val="clear" w:color="auto" w:fill="auto"/>
            <w:tcW w:w="1284" w:type="dxa"/>
            <w:vAlign w:val="center"/>
            <w:textDirection w:val="lrTb"/>
            <w:noWrap/>
          </w:tcPr>
          <w:p>
            <w:pPr>
              <w:rPr>
                <w:rFonts w:hint="eastAsia" w:ascii="宋体" w:hAnsi="宋体" w:eastAsia="宋体" w:cs="宋体"/>
                <w:color w:val="auto"/>
                <w:sz w:val="21"/>
                <w:szCs w:val="21"/>
                <w:highlight w:val="yellow"/>
                <w:lang w:val="en-US" w:eastAsia="zh-CN" w:bidi="ar-SA"/>
              </w:rPr>
            </w:pPr>
            <w:r>
              <w:rPr>
                <w:rFonts w:hint="eastAsia" w:ascii="宋体" w:hAnsi="宋体" w:eastAsia="宋体" w:cs="宋体"/>
                <w:sz w:val="24"/>
                <w:szCs w:val="24"/>
                <w:highlight w:val="none"/>
                <w:lang w:val="en-US" w:eastAsia="zh-CN"/>
              </w:rPr>
              <w:t xml:space="preserve">现场演示（15分）</w:t>
            </w:r>
            <w:r/>
          </w:p>
        </w:tc>
        <w:tc>
          <w:tcPr>
            <w:shd w:val="clear" w:color="auto" w:fill="auto"/>
            <w:tcW w:w="7586" w:type="dxa"/>
            <w:vAlign w:val="center"/>
            <w:textDirection w:val="lrTb"/>
            <w:noWrap/>
          </w:tcPr>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对本次项目以下功能进行现场演示，根据现场讲解与系统演示情况综合打分，原型系统演示的最高得</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分，仅进行PPT等固定图片或录屏、录像方式演示的最高得</w:t>
            </w: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分。每位</w:t>
            </w:r>
            <w:r>
              <w:rPr>
                <w:rFonts w:hint="eastAsia" w:ascii="宋体" w:hAnsi="宋体" w:eastAsia="宋体" w:cs="宋体"/>
                <w:sz w:val="24"/>
                <w:szCs w:val="24"/>
                <w:lang w:val="en-US" w:eastAsia="zh-CN"/>
              </w:rPr>
              <w:t xml:space="preserve">供应商</w:t>
            </w:r>
            <w:r>
              <w:rPr>
                <w:rFonts w:hint="default" w:ascii="宋体" w:hAnsi="宋体" w:eastAsia="宋体" w:cs="宋体"/>
                <w:sz w:val="24"/>
                <w:szCs w:val="24"/>
                <w:lang w:val="en-US" w:eastAsia="zh-CN"/>
              </w:rPr>
              <w:t xml:space="preserve">演示时间不超过30分钟。</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参加演示人员需在开标当日10：00--12：00签到，服从现场安排，逾期签到该项不得分。</w:t>
            </w:r>
            <w:r/>
          </w:p>
          <w:p>
            <w:pPr>
              <w:pStyle w:val="663"/>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演示内容如下：</w:t>
            </w:r>
            <w:bookmarkStart w:id="22" w:name="_GoBack"/>
            <w:r/>
            <w:bookmarkEnd w:id="22"/>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1.随机派件功能</w:t>
            </w:r>
            <w:r>
              <w:rPr>
                <w:rFonts w:hint="eastAsia" w:ascii="宋体" w:hAnsi="宋体" w:eastAsia="宋体" w:cs="宋体"/>
                <w:sz w:val="24"/>
                <w:szCs w:val="24"/>
                <w:lang w:val="en-US" w:eastAsia="zh-CN"/>
              </w:rPr>
              <w:t xml:space="preserve">演示</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演示展示审批人员库建立、维护、动态调整流程；模拟新增审批事项，系统自动匹配权限并随机分配至对应审批人员账号，演示分配记录可查、权限动态生效、分配日志可追溯。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2.智能问答功能演示（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演示多模态交互能力，使用口语化、模糊化咨询语句，系统准确识别并自动转化为标准事项名称；同步演示网页端多渠道问答效果，问答响应及时、语义理解准确、多渠道一致可用。</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3.智能导办功能演示（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演示“一问一答”式流程引导，模拟申请人办理场景选择，系统精准匹配办事情形并自动生成对应材料清单；展示清单可查看、可下载、可核对，引导逻辑清晰、匹配无错误、操作简便。</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4.智能预审功能演示（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演示OCR识别、NLP处理、规则引擎多技术融合应用；上传示例材料后，系统自动核验材料要素、校验表单与材料逻辑一致性、自动生成规范预审报告；展示核验结果清晰、错误提示明确、报告可导出。</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5.智能预约功能演示（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演示按事项类型、办理时长、材料准备情况，系统自动推荐办理窗口与最佳时间；支持精准预约下单、预约信息查看、时段冲突提醒、预约成功反馈。</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6.审批助手功能演示（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演示为窗口人员提供AI辅助审批，调用后台智能审批并展示结果；建立人工复核机制，可确认、驳回、修改系统自动审核结果，复核记录留痕可追溯。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7.并联审批与容缺预审功能演示（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演示事项配置中标记“容缺材料”，收件时勾选“容缺预审”，系统对非容缺材料先行预审、出具意见，与前置审批同步推进；非核心材料缺失可直接审批，流程衔接顺畅、容缺规则执行准确。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8.“一件事”场景办理演示（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演示省级“一件事”办理进展展示、动态跟踪、实时监控；</w:t>
            </w:r>
            <w:r>
              <w:rPr>
                <w:rFonts w:hint="eastAsia" w:ascii="宋体" w:hAnsi="宋体" w:eastAsia="宋体" w:cs="宋体"/>
                <w:sz w:val="24"/>
                <w:szCs w:val="24"/>
                <w:lang w:val="en-US" w:eastAsia="zh-CN"/>
              </w:rPr>
              <w:t xml:space="preserve">支持</w:t>
            </w:r>
            <w:r>
              <w:rPr>
                <w:rFonts w:hint="default" w:ascii="宋体" w:hAnsi="宋体" w:eastAsia="宋体" w:cs="宋体"/>
                <w:sz w:val="24"/>
                <w:szCs w:val="24"/>
                <w:lang w:val="en-US" w:eastAsia="zh-CN"/>
              </w:rPr>
              <w:t xml:space="preserve">监控并联审批与容缺预审各环节进度，进度更新及时、状态展示清晰、监控可配置。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9.资料管理功能演示（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演示对纸质材料自动编号、分类归档、按规则流转，支持扫码查询定位</w:t>
            </w:r>
            <w:r>
              <w:rPr>
                <w:rFonts w:hint="eastAsia" w:ascii="宋体" w:hAnsi="宋体" w:eastAsia="宋体" w:cs="宋体"/>
                <w:sz w:val="24"/>
                <w:szCs w:val="24"/>
                <w:lang w:val="en-US" w:eastAsia="zh-CN"/>
              </w:rPr>
              <w:t xml:space="preserve">；支持资料调阅、移交、归档、销毁全生命周期管理。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10.统一出件功能演示（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eastAsia" w:ascii="宋体" w:hAnsi="宋体" w:eastAsia="宋体" w:cs="宋体"/>
                <w:color w:val="auto"/>
                <w:sz w:val="21"/>
                <w:szCs w:val="21"/>
                <w:highlight w:val="yellow"/>
                <w:lang w:val="en-US" w:eastAsia="zh-CN" w:bidi="ar"/>
              </w:rPr>
            </w:pPr>
            <w:r>
              <w:rPr>
                <w:rFonts w:hint="default" w:ascii="宋体" w:hAnsi="宋体" w:eastAsia="宋体" w:cs="宋体"/>
                <w:sz w:val="24"/>
                <w:szCs w:val="24"/>
                <w:lang w:val="en-US" w:eastAsia="zh-CN"/>
              </w:rPr>
              <w:t xml:space="preserve">演示所有审批环节（含容缺预审转正式审批）完成后，综合窗口统一出件；支持空白证件入库、领用、核销管理，证件发放可记录、可查询。</w:t>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Cs w:val="21"/>
              </w:rPr>
            </w:pPr>
            <w:r>
              <w:rPr>
                <w:rFonts w:hint="eastAsia"/>
                <w:sz w:val="24"/>
                <w:szCs w:val="24"/>
                <w:lang w:eastAsia="zh-CN"/>
              </w:rPr>
              <w:t xml:space="preserve">项目</w:t>
            </w:r>
            <w:r>
              <w:rPr>
                <w:rFonts w:hint="eastAsia"/>
                <w:sz w:val="24"/>
                <w:szCs w:val="24"/>
              </w:rPr>
              <w:t xml:space="preserve">实施方案（</w:t>
            </w:r>
            <w:r>
              <w:rPr>
                <w:rFonts w:hint="eastAsia"/>
                <w:sz w:val="24"/>
                <w:szCs w:val="24"/>
                <w:lang w:val="en-US" w:eastAsia="zh-CN"/>
              </w:rPr>
              <w:t xml:space="preserve">10</w:t>
            </w:r>
            <w:r>
              <w:rPr>
                <w:rFonts w:hint="eastAsia"/>
                <w:sz w:val="24"/>
                <w:szCs w:val="24"/>
              </w:rPr>
              <w:t xml:space="preserve">分）</w:t>
            </w:r>
            <w:r/>
          </w:p>
        </w:tc>
        <w:tc>
          <w:tcPr>
            <w:tcW w:w="7586" w:type="dxa"/>
            <w:vAlign w:val="center"/>
            <w:textDirection w:val="lrTb"/>
            <w:noWrap/>
          </w:tcPr>
          <w:p>
            <w:pPr>
              <w:jc w:val="left"/>
              <w:spacing w:line="490" w:lineRule="exact"/>
              <w:rPr>
                <w:sz w:val="24"/>
                <w:szCs w:val="24"/>
              </w:rPr>
            </w:pPr>
            <w:r>
              <w:rPr>
                <w:rFonts w:hint="eastAsia"/>
                <w:sz w:val="24"/>
                <w:szCs w:val="24"/>
              </w:rPr>
              <w:t xml:space="preserve">需提供针对本项目的实施方案，包含项目组织、供货组织方案、实施计划、人员配备等方面有明确且详细的说明、对采购人信息化建设现状熟悉程度和对项目理解程度，方案是否充分利</w:t>
            </w:r>
            <w:r>
              <w:rPr>
                <w:rFonts w:hint="eastAsia"/>
                <w:sz w:val="24"/>
                <w:szCs w:val="24"/>
                <w:lang w:eastAsia="zh-CN"/>
              </w:rPr>
              <w:t xml:space="preserve">用</w:t>
            </w:r>
            <w:r>
              <w:rPr>
                <w:rFonts w:hint="eastAsia"/>
                <w:sz w:val="24"/>
                <w:szCs w:val="24"/>
              </w:rPr>
              <w:t xml:space="preserve">使用现有软硬件设备，将新建平台和现有平台充分融合等方面进行综合打分。</w:t>
            </w:r>
            <w:r/>
          </w:p>
          <w:p>
            <w:pPr>
              <w:jc w:val="left"/>
              <w:spacing w:line="490" w:lineRule="exact"/>
              <w:rPr>
                <w:sz w:val="24"/>
                <w:szCs w:val="24"/>
                <w:highlight w:val="none"/>
              </w:rPr>
            </w:pPr>
            <w:r>
              <w:rPr>
                <w:rFonts w:hint="eastAsia"/>
                <w:sz w:val="24"/>
                <w:szCs w:val="24"/>
              </w:rPr>
              <w:t xml:space="preserve">方案包含上述内容，内容全面具体，实施步骤科学合理，可行性、可操作性强的得</w:t>
            </w:r>
            <w:r>
              <w:rPr>
                <w:rFonts w:hint="eastAsia"/>
                <w:sz w:val="24"/>
                <w:szCs w:val="24"/>
                <w:highlight w:val="none"/>
                <w:lang w:val="en-US" w:eastAsia="zh-CN"/>
              </w:rPr>
              <w:t xml:space="preserve">10</w:t>
            </w:r>
            <w:r>
              <w:rPr>
                <w:rFonts w:hint="eastAsia"/>
                <w:sz w:val="24"/>
                <w:szCs w:val="24"/>
                <w:highlight w:val="none"/>
              </w:rPr>
              <w:t xml:space="preserve">分；</w:t>
            </w:r>
            <w:r/>
          </w:p>
          <w:p>
            <w:pPr>
              <w:jc w:val="left"/>
              <w:spacing w:line="490" w:lineRule="exact"/>
              <w:rPr>
                <w:sz w:val="24"/>
                <w:szCs w:val="24"/>
                <w:highlight w:val="none"/>
              </w:rPr>
            </w:pPr>
            <w:r>
              <w:rPr>
                <w:rFonts w:hint="eastAsia"/>
                <w:sz w:val="24"/>
                <w:szCs w:val="24"/>
                <w:highlight w:val="none"/>
              </w:rPr>
              <w:t xml:space="preserve">方案包含上述部分内容，内容具体，实施步骤较科学合理，可行性、可操作性较强的得</w:t>
            </w:r>
            <w:r>
              <w:rPr>
                <w:rFonts w:hint="eastAsia"/>
                <w:sz w:val="24"/>
                <w:szCs w:val="24"/>
                <w:highlight w:val="none"/>
                <w:lang w:val="en-US" w:eastAsia="zh-CN"/>
              </w:rPr>
              <w:t xml:space="preserve">7</w:t>
            </w:r>
            <w:r>
              <w:rPr>
                <w:rFonts w:hint="eastAsia"/>
                <w:sz w:val="24"/>
                <w:szCs w:val="24"/>
                <w:highlight w:val="none"/>
              </w:rPr>
              <w:t xml:space="preserve">分；</w:t>
            </w:r>
            <w:r/>
          </w:p>
          <w:p>
            <w:pPr>
              <w:jc w:val="left"/>
              <w:spacing w:line="490" w:lineRule="exact"/>
              <w:rPr>
                <w:sz w:val="24"/>
                <w:szCs w:val="24"/>
              </w:rPr>
            </w:pPr>
            <w:r>
              <w:rPr>
                <w:rFonts w:hint="eastAsia"/>
                <w:sz w:val="24"/>
                <w:szCs w:val="24"/>
                <w:highlight w:val="none"/>
              </w:rPr>
              <w:t xml:space="preserve">方案内容有缺失，实施步骤可行性、可操作性较差的得</w:t>
            </w:r>
            <w:r>
              <w:rPr>
                <w:rFonts w:hint="eastAsia"/>
                <w:sz w:val="24"/>
                <w:szCs w:val="24"/>
                <w:highlight w:val="none"/>
                <w:lang w:val="en-US" w:eastAsia="zh-CN"/>
              </w:rPr>
              <w:t xml:space="preserve">4</w:t>
            </w:r>
            <w:r>
              <w:rPr>
                <w:rFonts w:hint="eastAsia"/>
                <w:sz w:val="24"/>
                <w:szCs w:val="24"/>
              </w:rPr>
              <w:t xml:space="preserve">分。</w:t>
            </w:r>
            <w:r/>
          </w:p>
          <w:p>
            <w:pPr>
              <w:jc w:val="left"/>
              <w:spacing w:line="490" w:lineRule="exact"/>
              <w:rPr>
                <w:rFonts w:hint="eastAsia" w:ascii="宋体" w:hAnsi="宋体" w:eastAsia="宋体" w:cs="宋体"/>
                <w:b/>
                <w:szCs w:val="21"/>
              </w:rPr>
            </w:pPr>
            <w:r>
              <w:rPr>
                <w:rFonts w:hint="eastAsia"/>
                <w:sz w:val="24"/>
                <w:szCs w:val="24"/>
              </w:rPr>
              <w:t xml:space="preserve">未见阐述不得分。</w:t>
            </w:r>
            <w:r/>
          </w:p>
        </w:tc>
      </w:tr>
      <w:tr>
        <w:trPr>
          <w:jc w:val="center"/>
          <w:trHeight w:val="621"/>
        </w:trPr>
        <w:tc>
          <w:tcPr>
            <w:tcW w:w="1284" w:type="dxa"/>
            <w:vAlign w:val="center"/>
            <w:textDirection w:val="lrTb"/>
            <w:noWrap/>
          </w:tcPr>
          <w:p>
            <w:pPr>
              <w:jc w:val="center"/>
              <w:spacing w:line="490" w:lineRule="exact"/>
              <w:rPr>
                <w:sz w:val="24"/>
                <w:szCs w:val="24"/>
              </w:rPr>
            </w:pPr>
            <w:r>
              <w:rPr>
                <w:rFonts w:hint="eastAsia"/>
                <w:sz w:val="24"/>
                <w:szCs w:val="24"/>
              </w:rPr>
              <w:t xml:space="preserve">售后服务</w:t>
            </w:r>
            <w:r/>
          </w:p>
          <w:p>
            <w:pPr>
              <w:jc w:val="center"/>
              <w:spacing w:line="490" w:lineRule="exact"/>
              <w:rPr>
                <w:rFonts w:hint="eastAsia" w:ascii="宋体" w:hAnsi="宋体" w:eastAsia="宋体" w:cs="宋体"/>
                <w:szCs w:val="21"/>
              </w:rPr>
            </w:pP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w:t>
            </w:r>
            <w:r/>
          </w:p>
        </w:tc>
        <w:tc>
          <w:tcPr>
            <w:tcW w:w="7586" w:type="dxa"/>
            <w:vAlign w:val="center"/>
            <w:textDirection w:val="lrTb"/>
            <w:noWrap/>
          </w:tcPr>
          <w:p>
            <w:pPr>
              <w:pStyle w:val="667"/>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eastAsia="zh-CN"/>
              </w:rPr>
              <w:t xml:space="preserve">1.</w:t>
            </w:r>
            <w:r>
              <w:rPr>
                <w:rFonts w:hint="eastAsia" w:asciiTheme="minorHAnsi" w:hAnsiTheme="minorHAnsi" w:eastAsiaTheme="minorEastAsia" w:cstheme="minorBidi"/>
                <w:sz w:val="24"/>
                <w:szCs w:val="24"/>
              </w:rPr>
              <w:t xml:space="preserve">供应商提供的售后响应时间、售后服务方案、专业技术人员保障、质保期内外售后服务承诺以及应急处理措施等，</w:t>
            </w:r>
            <w:r>
              <w:rPr>
                <w:rFonts w:hint="eastAsia"/>
                <w:sz w:val="24"/>
                <w:szCs w:val="24"/>
              </w:rPr>
              <w:t xml:space="preserve">从服务标准、服务流程、服务人员安排、保障措施、本地化服务等方面进行综合打分：</w:t>
            </w:r>
            <w:r/>
          </w:p>
          <w:p>
            <w:pPr>
              <w:pStyle w:val="667"/>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售后服务方案合理完善，可行性高，内容详实，得</w:t>
            </w:r>
            <w:r>
              <w:rPr>
                <w:rFonts w:hint="eastAsia" w:asciiTheme="minorHAnsi" w:hAnsiTheme="minorHAnsi" w:eastAsiaTheme="minorEastAsia" w:cstheme="minorBidi"/>
                <w:sz w:val="24"/>
                <w:szCs w:val="24"/>
                <w:lang w:val="en-US" w:eastAsia="zh-CN"/>
              </w:rPr>
              <w:t xml:space="preserve">10</w:t>
            </w:r>
            <w:r>
              <w:rPr>
                <w:rFonts w:hint="eastAsia" w:asciiTheme="minorHAnsi" w:hAnsiTheme="minorHAnsi" w:eastAsiaTheme="minorEastAsia" w:cstheme="minorBidi"/>
                <w:sz w:val="24"/>
                <w:szCs w:val="24"/>
              </w:rPr>
              <w:t xml:space="preserve">分；</w:t>
            </w:r>
            <w:r/>
          </w:p>
          <w:p>
            <w:pPr>
              <w:pStyle w:val="667"/>
              <w:spacing w:after="0" w:line="490" w:lineRule="exact"/>
              <w:rPr>
                <w:rFonts w:asciiTheme="minorHAnsi" w:hAnsiTheme="minorHAnsi" w:eastAsiaTheme="minorEastAsia" w:cstheme="minorBidi"/>
                <w:sz w:val="24"/>
                <w:szCs w:val="24"/>
                <w:highlight w:val="none"/>
              </w:rPr>
            </w:pPr>
            <w:r>
              <w:rPr>
                <w:rFonts w:hint="eastAsia" w:asciiTheme="minorHAnsi" w:hAnsiTheme="minorHAnsi" w:eastAsiaTheme="minorEastAsia" w:cstheme="minorBidi"/>
                <w:sz w:val="24"/>
                <w:szCs w:val="24"/>
              </w:rPr>
              <w:t xml:space="preserve">方案较合理完善，可行性较高，内容较详实，得</w:t>
            </w:r>
            <w:r>
              <w:rPr>
                <w:rFonts w:hint="eastAsia"/>
                <w:sz w:val="24"/>
                <w:szCs w:val="24"/>
                <w:highlight w:val="none"/>
                <w:lang w:val="en-US" w:eastAsia="zh-CN"/>
              </w:rPr>
              <w:t xml:space="preserve">7</w:t>
            </w:r>
            <w:r>
              <w:rPr>
                <w:rFonts w:hint="eastAsia" w:asciiTheme="minorHAnsi" w:hAnsiTheme="minorHAnsi" w:eastAsiaTheme="minorEastAsia" w:cstheme="minorBidi"/>
                <w:sz w:val="24"/>
                <w:szCs w:val="24"/>
                <w:highlight w:val="none"/>
              </w:rPr>
              <w:t xml:space="preserve">分；</w:t>
            </w:r>
            <w:r/>
          </w:p>
          <w:p>
            <w:pPr>
              <w:pStyle w:val="667"/>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highlight w:val="none"/>
              </w:rPr>
              <w:t xml:space="preserve">方案不合理，可行性较差，内容不详实，得</w:t>
            </w:r>
            <w:r>
              <w:rPr>
                <w:rFonts w:hint="eastAsia"/>
                <w:sz w:val="24"/>
                <w:szCs w:val="24"/>
                <w:highlight w:val="none"/>
                <w:lang w:val="en-US" w:eastAsia="zh-CN"/>
              </w:rPr>
              <w:t xml:space="preserve">4</w:t>
            </w:r>
            <w:r>
              <w:rPr>
                <w:rFonts w:hint="eastAsia" w:asciiTheme="minorHAnsi" w:hAnsiTheme="minorHAnsi" w:eastAsiaTheme="minorEastAsia" w:cstheme="minorBidi"/>
                <w:sz w:val="24"/>
                <w:szCs w:val="24"/>
              </w:rPr>
              <w:t xml:space="preserve">分；</w:t>
            </w:r>
            <w:r/>
          </w:p>
          <w:p>
            <w:pPr>
              <w:spacing w:line="490" w:lineRule="exact"/>
              <w:rPr>
                <w:rFonts w:hint="eastAsia"/>
                <w:sz w:val="24"/>
                <w:szCs w:val="24"/>
              </w:rPr>
            </w:pPr>
            <w:r>
              <w:rPr>
                <w:rFonts w:hint="eastAsia"/>
                <w:sz w:val="24"/>
                <w:szCs w:val="24"/>
              </w:rPr>
              <w:t xml:space="preserve">未见阐述不得分。</w:t>
            </w:r>
            <w:r/>
          </w:p>
          <w:p>
            <w:pPr>
              <w:numPr>
                <w:ilvl w:val="0"/>
                <w:numId w:val="0"/>
              </w:numPr>
              <w:jc w:val="left"/>
              <w:spacing w:line="500" w:lineRule="exact"/>
              <w:rPr>
                <w:rFonts w:hint="eastAsia" w:cs="宋体"/>
                <w:sz w:val="24"/>
                <w:szCs w:val="24"/>
                <w:highlight w:val="none"/>
                <w:lang w:val="en-US" w:eastAsia="zh-CN"/>
              </w:rPr>
            </w:pPr>
            <w:r>
              <w:rPr>
                <w:rFonts w:hint="eastAsia"/>
                <w:sz w:val="24"/>
                <w:szCs w:val="24"/>
                <w:highlight w:val="none"/>
                <w:lang w:val="en-US" w:eastAsia="zh-CN"/>
              </w:rPr>
              <w:t xml:space="preserve">2.对</w:t>
            </w:r>
            <w:r>
              <w:rPr>
                <w:rFonts w:hint="eastAsia" w:cs="宋体"/>
                <w:sz w:val="24"/>
                <w:szCs w:val="24"/>
                <w:highlight w:val="none"/>
                <w:lang w:eastAsia="zh-CN"/>
              </w:rPr>
              <w:t xml:space="preserve">全生命周期维保费用综合打分（</w:t>
            </w:r>
            <w:r>
              <w:rPr>
                <w:rFonts w:hint="eastAsia" w:cs="宋体"/>
                <w:sz w:val="24"/>
                <w:szCs w:val="24"/>
                <w:highlight w:val="none"/>
                <w:lang w:val="en-US" w:eastAsia="zh-CN"/>
              </w:rPr>
              <w:t xml:space="preserve">10分）</w:t>
            </w:r>
            <w:r/>
          </w:p>
          <w:p>
            <w:pPr>
              <w:numPr>
                <w:ilvl w:val="0"/>
                <w:numId w:val="0"/>
              </w:numPr>
              <w:jc w:val="left"/>
              <w:spacing w:line="500" w:lineRule="exact"/>
              <w:rPr>
                <w:rFonts w:hint="eastAsia" w:ascii="宋体" w:hAnsi="宋体" w:eastAsia="宋体" w:cs="宋体"/>
                <w:sz w:val="24"/>
                <w:szCs w:val="24"/>
                <w:highlight w:val="none"/>
              </w:rPr>
            </w:pPr>
            <w:r>
              <w:rPr>
                <w:rFonts w:hint="eastAsia" w:cs="宋体"/>
                <w:sz w:val="24"/>
                <w:szCs w:val="24"/>
                <w:highlight w:val="none"/>
                <w:lang w:eastAsia="zh-CN"/>
              </w:rPr>
              <w:t xml:space="preserve">满足磋商文件要求且维保费用报价最低的供应商的价格作为基准价，得满分（</w:t>
            </w:r>
            <w:r>
              <w:rPr>
                <w:rFonts w:hint="eastAsia" w:cs="宋体"/>
                <w:sz w:val="24"/>
                <w:szCs w:val="24"/>
                <w:highlight w:val="none"/>
                <w:lang w:val="en-US" w:eastAsia="zh-CN"/>
              </w:rPr>
              <w:t xml:space="preserve">10分），其他供应商的得分按照下列公示计算：维保费用报价基准价</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维保费用报价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分（计算结果按四舍五入取至小数点后两位）。</w:t>
            </w:r>
            <w:r/>
          </w:p>
          <w:p>
            <w:pPr>
              <w:pStyle w:val="663"/>
              <w:ind w:left="0" w:firstLine="0"/>
              <w:rPr>
                <w:rFonts w:hint="default" w:cs="宋体"/>
                <w:sz w:val="24"/>
                <w:szCs w:val="24"/>
                <w:highlight w:val="none"/>
                <w:lang w:val="en-US" w:eastAsia="zh-CN"/>
              </w:rPr>
            </w:pPr>
            <w:r>
              <w:rPr>
                <w:rFonts w:hint="eastAsia" w:cs="宋体"/>
                <w:sz w:val="24"/>
                <w:szCs w:val="24"/>
                <w:highlight w:val="none"/>
                <w:lang w:eastAsia="zh-CN"/>
              </w:rPr>
              <w:t xml:space="preserve">注：该项参照执行异常低价审查程序，具体程序详见磋商文件</w:t>
            </w:r>
            <w:r>
              <w:rPr>
                <w:rFonts w:hint="eastAsia" w:cs="宋体"/>
                <w:sz w:val="24"/>
                <w:szCs w:val="24"/>
                <w:highlight w:val="none"/>
                <w:lang w:val="en-US" w:eastAsia="zh-CN"/>
              </w:rPr>
              <w:t xml:space="preserve">27页。</w:t>
            </w:r>
            <w:r/>
          </w:p>
          <w:p>
            <w:pPr>
              <w:pStyle w:val="663"/>
              <w:ind w:left="0" w:firstLine="0"/>
              <w:rPr>
                <w:rFonts w:hint="eastAsia" w:cs="宋体"/>
                <w:sz w:val="24"/>
                <w:szCs w:val="24"/>
                <w:highlight w:val="none"/>
                <w:lang w:eastAsia="zh-CN"/>
              </w:rPr>
            </w:pPr>
            <w:r>
              <w:rPr>
                <w:rFonts w:hint="eastAsia" w:cs="宋体"/>
                <w:sz w:val="24"/>
                <w:szCs w:val="24"/>
                <w:highlight w:val="none"/>
                <w:lang w:eastAsia="zh-CN"/>
              </w:rPr>
              <w:t xml:space="preserve">注：</w:t>
            </w:r>
            <w:r>
              <w:rPr>
                <w:rFonts w:hint="eastAsia" w:ascii="宋体" w:hAnsi="宋体" w:eastAsia="宋体" w:cs="宋体"/>
                <w:sz w:val="24"/>
                <w:szCs w:val="24"/>
                <w:highlight w:val="none"/>
              </w:rPr>
              <w:t xml:space="preserve">维保期结束后</w:t>
            </w:r>
            <w:r>
              <w:rPr>
                <w:rFonts w:hint="eastAsia"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w:t>
            </w:r>
            <w:r>
              <w:rPr>
                <w:rFonts w:hint="eastAsia" w:cs="宋体"/>
                <w:sz w:val="24"/>
                <w:szCs w:val="24"/>
                <w:highlight w:val="none"/>
                <w:lang w:eastAsia="zh-CN"/>
              </w:rPr>
              <w:t xml:space="preserve">金额</w:t>
            </w:r>
            <w:r>
              <w:rPr>
                <w:rFonts w:hint="eastAsia" w:ascii="宋体" w:hAnsi="宋体" w:eastAsia="宋体" w:cs="宋体"/>
                <w:sz w:val="24"/>
                <w:szCs w:val="24"/>
                <w:highlight w:val="none"/>
              </w:rPr>
              <w:t xml:space="preserve">的15%</w:t>
            </w:r>
            <w:r>
              <w:rPr>
                <w:rFonts w:hint="eastAsia" w:cs="宋体"/>
                <w:sz w:val="24"/>
                <w:szCs w:val="24"/>
                <w:highlight w:val="none"/>
                <w:lang w:eastAsia="zh-CN"/>
              </w:rPr>
              <w:t xml:space="preserve">。</w:t>
            </w:r>
            <w:r/>
          </w:p>
          <w:p>
            <w:pPr>
              <w:pStyle w:val="663"/>
              <w:ind w:left="0" w:firstLine="0"/>
              <w:rPr>
                <w:rFonts w:hint="eastAsia" w:cs="宋体"/>
                <w:sz w:val="24"/>
                <w:szCs w:val="24"/>
                <w:highlight w:val="red"/>
                <w:lang w:eastAsia="zh-CN"/>
              </w:rPr>
            </w:pPr>
            <w:r>
              <w:rPr>
                <w:rFonts w:hint="eastAsia" w:cs="宋体"/>
                <w:sz w:val="24"/>
                <w:szCs w:val="24"/>
                <w:highlight w:val="none"/>
                <w:lang w:eastAsia="zh-CN"/>
              </w:rPr>
              <w:t xml:space="preserve">注：维保费用不参与二次报价。</w:t>
            </w:r>
            <w:r/>
          </w:p>
        </w:tc>
      </w:tr>
      <w:tr>
        <w:trPr>
          <w:jc w:val="center"/>
          <w:trHeight w:val="350"/>
        </w:trPr>
        <w:tc>
          <w:tcPr>
            <w:tcW w:w="1284" w:type="dxa"/>
            <w:vAlign w:val="center"/>
            <w:textDirection w:val="lrTb"/>
            <w:noWrap/>
          </w:tcPr>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培训方案</w:t>
            </w:r>
            <w:r/>
          </w:p>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10</w:t>
            </w:r>
            <w:r>
              <w:rPr>
                <w:rFonts w:hint="eastAsia" w:ascii="Calibri" w:hAnsi="Calibri" w:eastAsia="宋体" w:cs="Times New Roman"/>
                <w:sz w:val="24"/>
                <w:szCs w:val="24"/>
              </w:rPr>
              <w:t xml:space="preserve">分 ）</w:t>
            </w:r>
            <w:r/>
          </w:p>
        </w:tc>
        <w:tc>
          <w:tcPr>
            <w:tcW w:w="7586" w:type="dxa"/>
            <w:vAlign w:val="center"/>
            <w:textDirection w:val="lrTb"/>
            <w:noWrap/>
          </w:tcPr>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内容完善、方案科学合理的得</w:t>
            </w:r>
            <w:r>
              <w:rPr>
                <w:rFonts w:hint="eastAsia"/>
                <w:sz w:val="24"/>
                <w:szCs w:val="24"/>
                <w:highlight w:val="none"/>
                <w:lang w:val="en-US" w:eastAsia="zh-CN"/>
              </w:rPr>
              <w:t xml:space="preserve">10</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内容较完善、方案较科学合理的得</w:t>
            </w:r>
            <w:r>
              <w:rPr>
                <w:rFonts w:hint="eastAsia"/>
                <w:sz w:val="24"/>
                <w:szCs w:val="24"/>
                <w:highlight w:val="none"/>
                <w:lang w:val="en-US" w:eastAsia="zh-CN"/>
              </w:rPr>
              <w:t xml:space="preserve">7</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内容不太完善、方案不科学不合理的得</w:t>
            </w:r>
            <w:r>
              <w:rPr>
                <w:rFonts w:hint="eastAsia"/>
                <w:sz w:val="24"/>
                <w:szCs w:val="24"/>
                <w:highlight w:val="none"/>
                <w:lang w:val="en-US" w:eastAsia="zh-CN"/>
              </w:rPr>
              <w:t xml:space="preserve">4</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宋体" w:hAnsi="宋体" w:eastAsia="宋体" w:cs="宋体"/>
                <w:b/>
                <w:szCs w:val="21"/>
              </w:rPr>
            </w:pPr>
            <w:r>
              <w:rPr>
                <w:rFonts w:hint="eastAsia" w:ascii="Calibri" w:hAnsi="Calibri" w:eastAsia="宋体" w:cs="Times New Roman"/>
                <w:sz w:val="24"/>
                <w:szCs w:val="24"/>
              </w:rPr>
              <w:t xml:space="preserve">未提供的不得分</w:t>
            </w:r>
            <w:r/>
          </w:p>
        </w:tc>
      </w:tr>
    </w:tbl>
    <w:p>
      <w:pPr>
        <w:rPr>
          <w:rFonts w:hint="eastAsia" w:ascii="宋体" w:hAnsi="宋体" w:eastAsia="宋体" w:cs="宋体"/>
          <w:sz w:val="24"/>
          <w:szCs w:val="24"/>
        </w:rPr>
      </w:pPr>
      <w:r>
        <w:rPr>
          <w:rFonts w:hint="eastAsia" w:ascii="宋体" w:hAnsi="宋体" w:eastAsia="宋体" w:cs="宋体"/>
          <w:sz w:val="24"/>
          <w:szCs w:val="24"/>
        </w:rPr>
        <w:t xml:space="preserve">（3）商务分（1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bl>
      <w:tblPr>
        <w:tblStyle w:val="662"/>
        <w:tblW w:w="8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7496"/>
      </w:tblGrid>
      <w:tr>
        <w:trPr>
          <w:jc w:val="center"/>
          <w:trHeight w:val="416"/>
        </w:trPr>
        <w:tc>
          <w:tcPr>
            <w:tcW w:w="120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评审因素</w:t>
            </w:r>
            <w:r/>
          </w:p>
        </w:tc>
        <w:tc>
          <w:tcPr>
            <w:tcW w:w="749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评审标准</w:t>
            </w:r>
            <w:r/>
          </w:p>
        </w:tc>
      </w:tr>
      <w:tr>
        <w:trPr>
          <w:jc w:val="center"/>
          <w:trHeight w:val="610"/>
        </w:trPr>
        <w:tc>
          <w:tcPr>
            <w:tcW w:w="1206" w:type="dxa"/>
            <w:vAlign w:val="center"/>
            <w:textDirection w:val="lrTb"/>
            <w:noWrap/>
          </w:tcPr>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类似业绩</w:t>
            </w:r>
            <w:r/>
          </w:p>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tc>
        <w:tc>
          <w:tcPr>
            <w:tcW w:w="7496" w:type="dxa"/>
            <w:vAlign w:val="center"/>
            <w:textDirection w:val="lrTb"/>
            <w:noWrap/>
          </w:tcPr>
          <w:p>
            <w:pPr>
              <w:jc w:val="left"/>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自202</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年1月1日以来（时间以合同签订时间为准），供应商具有类似</w:t>
            </w:r>
            <w:r>
              <w:rPr>
                <w:rFonts w:hint="eastAsia" w:ascii="Calibri" w:hAnsi="Calibri" w:eastAsia="宋体" w:cs="Times New Roman"/>
                <w:sz w:val="24"/>
                <w:szCs w:val="24"/>
                <w:lang w:eastAsia="zh-CN"/>
              </w:rPr>
              <w:t xml:space="preserve">信息化项目</w:t>
            </w:r>
            <w:r>
              <w:rPr>
                <w:rFonts w:hint="eastAsia" w:ascii="Calibri" w:hAnsi="Calibri" w:eastAsia="宋体" w:cs="Times New Roman"/>
                <w:sz w:val="24"/>
                <w:szCs w:val="24"/>
              </w:rPr>
              <w:t xml:space="preserve">业绩的，每提供1个得</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分，最高得</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p>
            <w:pPr>
              <w:jc w:val="left"/>
              <w:spacing w:line="49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注：提供合同原件扫描件</w:t>
            </w:r>
            <w:r>
              <w:rPr>
                <w:rFonts w:hint="eastAsia" w:ascii="Calibri" w:hAnsi="Calibri" w:eastAsia="宋体" w:cs="Times New Roman"/>
                <w:sz w:val="24"/>
                <w:szCs w:val="24"/>
                <w:lang w:eastAsia="zh-CN"/>
              </w:rPr>
              <w:t xml:space="preserve">、验收证明材料</w:t>
            </w:r>
            <w:r>
              <w:rPr>
                <w:rFonts w:hint="eastAsia" w:ascii="Calibri" w:hAnsi="Calibri" w:eastAsia="宋体" w:cs="Times New Roman"/>
                <w:sz w:val="24"/>
                <w:szCs w:val="24"/>
              </w:rPr>
              <w:t xml:space="preserve">并加盖供应商公章，合同</w:t>
            </w:r>
            <w:r>
              <w:rPr>
                <w:rFonts w:hint="eastAsia" w:ascii="Calibri" w:hAnsi="Calibri" w:eastAsia="宋体" w:cs="Times New Roman"/>
                <w:sz w:val="24"/>
                <w:szCs w:val="24"/>
                <w:lang w:eastAsia="zh-CN"/>
              </w:rPr>
              <w:t xml:space="preserve">服务内容</w:t>
            </w:r>
            <w:r>
              <w:rPr>
                <w:rFonts w:hint="eastAsia" w:ascii="Calibri" w:hAnsi="Calibri" w:eastAsia="宋体" w:cs="Times New Roman"/>
                <w:sz w:val="24"/>
                <w:szCs w:val="24"/>
              </w:rPr>
              <w:t xml:space="preserve">、签订时间等信息必须清晰，不得覆盖，否则不得分。</w:t>
            </w:r>
            <w:r/>
          </w:p>
        </w:tc>
      </w:tr>
      <w:tr>
        <w:trPr>
          <w:jc w:val="center"/>
          <w:trHeight w:val="610"/>
        </w:trPr>
        <w:tc>
          <w:tcPr>
            <w:tcW w:w="1206" w:type="dxa"/>
            <w:vAlign w:val="center"/>
            <w:textDirection w:val="lrTb"/>
            <w:noWrap/>
          </w:tcPr>
          <w:p>
            <w:pPr>
              <w:jc w:val="center"/>
              <w:spacing w:line="5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快速响应（</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p>
        </w:tc>
        <w:tc>
          <w:tcPr>
            <w:tcW w:w="7496" w:type="dxa"/>
            <w:vAlign w:val="center"/>
            <w:textDirection w:val="lrTb"/>
            <w:noWrap/>
          </w:tcPr>
          <w:p>
            <w:pPr>
              <w:jc w:val="left"/>
              <w:spacing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承诺用户呼叫后2小时内到达现场处理故障，24小时内不能修复的，提供备机服务的得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分。提供书面承诺函加盖供应商公章，未提供不得分。</w:t>
            </w:r>
            <w:r/>
          </w:p>
        </w:tc>
      </w:tr>
    </w:tbl>
    <w:p>
      <w:pPr>
        <w:rPr>
          <w:rFonts w:hint="eastAsia" w:ascii="黑体" w:hAnsi="黑体" w:eastAsia="黑体"/>
        </w:rPr>
      </w:pPr>
      <w:r>
        <w:rPr>
          <w:rFonts w:hint="eastAsia" w:ascii="宋体" w:hAnsi="宋体" w:cs="宋体"/>
          <w:b/>
          <w:szCs w:val="21"/>
        </w:rPr>
        <w:t xml:space="preserve">备注：</w:t>
      </w:r>
      <w:r>
        <w:rPr>
          <w:rFonts w:hint="eastAsia" w:ascii="宋体" w:hAnsi="宋体" w:cs="宋体"/>
          <w:b/>
          <w:bCs/>
          <w:szCs w:val="21"/>
        </w:rPr>
        <w:t xml:space="preserve">提供上述相关证明材料原件扫描件上传至电子响应文件中，否则不得分。</w:t>
      </w:r>
      <w:r>
        <w:rPr>
          <w:rFonts w:hint="eastAsia" w:ascii="宋体" w:hAnsi="宋体" w:cs="宋体"/>
          <w:b/>
          <w:szCs w:val="21"/>
        </w:rPr>
        <w:t xml:space="preserve">造成打分项不能及时得分的，后果由供应商自行承担；原件备查。</w:t>
      </w:r>
      <w:r>
        <w:rPr>
          <w:rFonts w:hint="eastAsia" w:ascii="黑体" w:hAnsi="黑体" w:eastAsia="黑体"/>
        </w:rPr>
        <w:br w:type="page" w:clear="all"/>
      </w:r>
      <w:r/>
    </w:p>
    <w:p>
      <w:pPr>
        <w:pStyle w:val="657"/>
        <w:jc w:val="center"/>
        <w:spacing w:before="156" w:after="156" w:line="360" w:lineRule="auto"/>
        <w:rPr>
          <w:rFonts w:hint="eastAsia" w:ascii="黑体" w:hAnsi="黑体" w:eastAsia="黑体"/>
          <w:b w:val="0"/>
        </w:rPr>
      </w:pPr>
      <w:r>
        <w:rPr>
          <w:rFonts w:hint="eastAsia" w:ascii="黑体" w:hAnsi="黑体" w:eastAsia="黑体"/>
          <w:b w:val="0"/>
        </w:rPr>
        <w:t xml:space="preserve">第六章  响应文件格式</w:t>
      </w:r>
      <w:bookmarkEnd w:id="8"/>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5"/>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w:t>
      </w:r>
      <w:r>
        <w:rPr>
          <w:rFonts w:hint="eastAsia" w:ascii="宋体" w:hAnsi="宋体" w:eastAsia="宋体" w:cs="Times New Roman"/>
          <w:color w:val="000000"/>
          <w:sz w:val="24"/>
          <w:szCs w:val="21"/>
        </w:rPr>
        <w:t xml:space="preserve">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663"/>
        <w:numPr>
          <w:ilvl w:val="0"/>
          <w:numId w:val="0"/>
        </w:numPr>
        <w:rPr>
          <w:rFonts w:hint="eastAsia"/>
        </w:rPr>
      </w:pPr>
      <w:r>
        <w:rPr>
          <w:rFonts w:hint="eastAsia"/>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663"/>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663"/>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pPr>
      <w:r>
        <w:rPr>
          <w:rFonts w:hint="eastAsia" w:ascii="宋体" w:hAnsi="宋体" w:eastAsia="宋体" w:cs="Times New Roman"/>
          <w:color w:val="000000"/>
          <w:szCs w:val="24"/>
        </w:rPr>
        <w:t xml:space="preserve">单位：元</w:t>
      </w:r>
      <w:r/>
    </w:p>
    <w:tbl>
      <w:tblPr>
        <w:tblStyle w:val="6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随机派件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智能导办</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云桌面管理服务器（含管理平台）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政务服务互助终端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注：</w:t>
      </w:r>
      <w:r>
        <w:rPr>
          <w:rFonts w:hint="eastAsia" w:ascii="宋体" w:hAnsi="宋体" w:eastAsia="宋体" w:cs="Times New Roman"/>
          <w:color w:val="000000"/>
          <w:sz w:val="24"/>
          <w:szCs w:val="24"/>
          <w:highlight w:val="none"/>
        </w:rPr>
        <w:t xml:space="preserve">为完成功能需求，所采用的其他软件价格需</w:t>
      </w:r>
      <w:r>
        <w:rPr>
          <w:rFonts w:hint="eastAsia" w:ascii="宋体" w:hAnsi="宋体" w:eastAsia="宋体" w:cs="Times New Roman"/>
          <w:color w:val="000000"/>
          <w:sz w:val="24"/>
          <w:szCs w:val="24"/>
          <w:highlight w:val="none"/>
          <w:lang w:eastAsia="zh-CN"/>
        </w:rPr>
        <w:t xml:space="preserve">包</w:t>
      </w:r>
      <w:r>
        <w:rPr>
          <w:rFonts w:hint="eastAsia" w:ascii="宋体" w:hAnsi="宋体" w:eastAsia="宋体" w:cs="Times New Roman"/>
          <w:color w:val="000000"/>
          <w:sz w:val="24"/>
          <w:szCs w:val="24"/>
          <w:highlight w:val="none"/>
        </w:rPr>
        <w:t xml:space="preserve">含在其功能报价中。</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（备注：该表仅适用于项目采用货币报价的情形。项目采用折扣率报价的，如需要填写分项报价表，请项目经办人自行设计表格。）</w:t>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6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bCs/>
          <w:i/>
          <w:sz w:val="36"/>
          <w:szCs w:val="36"/>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p>
    <w:p>
      <w:pPr>
        <w:jc w:val="left"/>
        <w:keepLines/>
        <w:keepNext/>
        <w:spacing w:before="360" w:after="200" w:line="360" w:lineRule="auto"/>
        <w:rPr>
          <w:rFonts w:hint="eastAsia" w:ascii="Arial" w:hAnsi="Arial" w:eastAsia="宋体" w:cs="Arial"/>
          <w:i/>
          <w:iCs/>
          <w:sz w:val="36"/>
          <w:szCs w:val="36"/>
          <w:highlight w:val="none"/>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四</w:t>
      </w:r>
      <w:r>
        <w:rPr>
          <w:rFonts w:hint="eastAsia" w:ascii="Arial" w:hAnsi="Arial" w:eastAsia="宋体" w:cs="Arial"/>
          <w:i/>
          <w:iCs/>
          <w:sz w:val="36"/>
          <w:u w:val="single"/>
        </w:rPr>
        <w:t xml:space="preserve">、关于符合本国产品标准的声明函</w:t>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1"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1.</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Cs w:val="24"/>
          <w:u w:val="single"/>
          <w:shd w:val="clear" w:color="auto" w:fill="ffffff"/>
        </w:rPr>
        <w:t xml:space="preserve">（产品名称1）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2.</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ind w:right="480" w:firstLine="4728"/>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公司（单位）名称（盖章）：　                                          日期：　   年　  月　  日      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6.提供生产厂营业执照原件扫描件，否则不享受价格优惠。</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7.用斜线划除的地方无需填写。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8.请供应商如实填写，如填写有误，将承担一切不利后果。</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9.供应商提供虚假《声明函》、虚假证明文件谋取中标的，依照《中华人民共和国政府采购法》等法律法规规定追究相应责任。</w:t>
      </w:r>
      <w:r/>
    </w:p>
    <w:p>
      <w:pPr>
        <w:rPr>
          <w:rFonts w:hint="eastAsia" w:ascii="宋体" w:hAnsi="宋体" w:eastAsia="宋体" w:cs="宋体"/>
          <w:iCs/>
          <w:szCs w:val="21"/>
        </w:rPr>
      </w:pPr>
      <w:r>
        <w:rPr>
          <w:rFonts w:hint="eastAsia" w:ascii="宋体" w:hAnsi="宋体" w:eastAsia="宋体" w:cs="宋体"/>
          <w:color w:val="333333"/>
          <w:sz w:val="24"/>
          <w:szCs w:val="24"/>
          <w:shd w:val="clear" w:color="auto" w:fill="ffffff"/>
        </w:rPr>
        <w:t xml:space="preserve">10.</w:t>
      </w:r>
      <w:r>
        <w:rPr>
          <w:rFonts w:hint="eastAsia" w:ascii="宋体" w:hAnsi="宋体" w:eastAsia="宋体" w:cs="宋体"/>
          <w:sz w:val="24"/>
          <w:szCs w:val="24"/>
        </w:rPr>
        <w:t xml:space="preserve">中标人的《声明函》或有关证明文件随中标结果公开，接受社会监督。</w:t>
      </w:r>
      <w:r/>
    </w:p>
    <w:p>
      <w:pPr>
        <w:ind w:firstLine="560"/>
        <w:spacing w:line="500" w:lineRule="exact"/>
        <w:rPr>
          <w:rFonts w:hint="eastAsia" w:ascii="宋体" w:hAnsi="宋体" w:eastAsia="宋体" w:cs="Times New Roman"/>
          <w:color w:val="000000"/>
          <w:sz w:val="24"/>
          <w:szCs w:val="24"/>
          <w:highlight w:val="yellow"/>
        </w:rPr>
      </w:pPr>
      <w:r>
        <w:rPr>
          <w:rFonts w:hint="eastAsia" w:ascii="宋体" w:hAnsi="宋体" w:eastAsia="宋体" w:cs="宋体"/>
          <w:i/>
          <w:sz w:val="28"/>
          <w:szCs w:val="28"/>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6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六</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66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0" w:name="_Hlt26671372"/>
            <w:r/>
            <w:bookmarkEnd w:id="10"/>
            <w:r/>
            <w:bookmarkStart w:id="11" w:name="_Hlt26580838"/>
            <w:r/>
            <w:bookmarkEnd w:id="11"/>
            <w:r/>
            <w:bookmarkStart w:id="12" w:name="_Hlt26955056"/>
            <w:r/>
            <w:bookmarkEnd w:id="12"/>
            <w:r/>
            <w:bookmarkStart w:id="13" w:name="_Hlt26955064"/>
            <w:r/>
            <w:bookmarkEnd w:id="13"/>
            <w:r/>
            <w:bookmarkStart w:id="14" w:name="_Hlt26609391"/>
            <w:r/>
            <w:bookmarkEnd w:id="14"/>
            <w:r/>
            <w:bookmarkStart w:id="15" w:name="_Hlt24879081"/>
            <w:r/>
            <w:bookmarkEnd w:id="15"/>
            <w:r/>
            <w:bookmarkStart w:id="16" w:name="_Hlt26782999"/>
            <w:r/>
            <w:bookmarkEnd w:id="16"/>
            <w:r/>
            <w:bookmarkStart w:id="17" w:name="_Hlt26671343"/>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七</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6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2"/>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8" w:name="_Hlt26609389"/>
      <w:r/>
      <w:bookmarkEnd w:id="18"/>
      <w:r/>
      <w:bookmarkStart w:id="19" w:name="_Hlt26671374"/>
      <w:r/>
      <w:bookmarkEnd w:id="19"/>
      <w:r/>
      <w:bookmarkStart w:id="20" w:name="_Hlt26955066"/>
      <w:r/>
      <w:bookmarkEnd w:id="20"/>
      <w:r/>
      <w:bookmarkStart w:id="21" w:name="_格式2__法定代表人授权书"/>
      <w:r/>
      <w:bookmarkEnd w:id="21"/>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九</w:t>
      </w:r>
      <w:r>
        <w:rPr>
          <w:rFonts w:hint="eastAsia" w:ascii="Arial" w:hAnsi="Arial" w:eastAsia="宋体" w:cs="Arial"/>
          <w:iCs/>
          <w:sz w:val="36"/>
        </w:rPr>
        <w:t xml:space="preserve">、本项目要求的其他资料</w:t>
      </w:r>
      <w:r/>
    </w:p>
    <w:p>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仿宋">
    <w:panose1 w:val="02010609060101010101"/>
  </w:font>
  <w:font w:name="Segoe UI">
    <w:panose1 w:val="020B0502040204020203"/>
  </w:font>
  <w:font w:name="Symbol">
    <w:panose1 w:val="05050102010706020507"/>
  </w:font>
  <w:font w:name="新宋体">
    <w:panose1 w:val="02010609030101010101"/>
  </w:font>
  <w:font w:name="楷体_GB2312">
    <w:panose1 w:val="02010609060101010101"/>
  </w:font>
  <w:font w:name="华文楷体">
    <w:panose1 w:val="02010600040101010101"/>
  </w:font>
  <w:font w:name="Wingdings">
    <w:panose1 w:val="05000000000000000000"/>
  </w:font>
  <w:font w:name="MS Mincho">
    <w:panose1 w:val="02020603050405090304"/>
  </w:font>
  <w:font w:name="Tahom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pPr>
    <w:r/>
    <w:r/>
  </w:p>
  <w:p>
    <w:pPr>
      <w:pStyle w:val="6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72"/>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60"/>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1"/>
    <w:link w:val="657"/>
    <w:uiPriority w:val="9"/>
    <w:rPr>
      <w:rFonts w:ascii="Arial" w:hAnsi="Arial" w:eastAsia="Arial" w:cs="Arial"/>
      <w:sz w:val="40"/>
      <w:szCs w:val="40"/>
    </w:rPr>
  </w:style>
  <w:style w:type="character" w:styleId="15">
    <w:name w:val="Heading 2 Char"/>
    <w:basedOn w:val="661"/>
    <w:link w:val="658"/>
    <w:uiPriority w:val="9"/>
    <w:rPr>
      <w:rFonts w:ascii="Arial" w:hAnsi="Arial" w:eastAsia="Arial" w:cs="Arial"/>
      <w:sz w:val="34"/>
    </w:rPr>
  </w:style>
  <w:style w:type="character" w:styleId="17">
    <w:name w:val="Heading 3 Char"/>
    <w:basedOn w:val="661"/>
    <w:link w:val="659"/>
    <w:uiPriority w:val="9"/>
    <w:rPr>
      <w:rFonts w:ascii="Arial" w:hAnsi="Arial" w:eastAsia="Arial" w:cs="Arial"/>
      <w:sz w:val="30"/>
      <w:szCs w:val="30"/>
    </w:rPr>
  </w:style>
  <w:style w:type="character" w:styleId="19">
    <w:name w:val="Heading 4 Char"/>
    <w:basedOn w:val="661"/>
    <w:link w:val="660"/>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1"/>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1"/>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1"/>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1"/>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1"/>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61"/>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61"/>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1"/>
    <w:link w:val="673"/>
    <w:uiPriority w:val="99"/>
  </w:style>
  <w:style w:type="character" w:styleId="44">
    <w:name w:val="Footer Char"/>
    <w:basedOn w:val="661"/>
    <w:link w:val="672"/>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72"/>
    <w:uiPriority w:val="99"/>
  </w:style>
  <w:style w:type="table" w:styleId="48">
    <w:name w:val="Table Grid Light"/>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1"/>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1"/>
    <w:uiPriority w:val="99"/>
    <w:semiHidden/>
    <w:unhideWhenUsed/>
    <w:rPr>
      <w:vertAlign w:val="superscript"/>
    </w:r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7">
    <w:name w:val="Heading 1"/>
    <w:basedOn w:val="656"/>
    <w:next w:val="656"/>
    <w:link w:val="691"/>
    <w:uiPriority w:val="9"/>
    <w:qFormat/>
    <w:pPr>
      <w:keepLines/>
      <w:keepNext/>
      <w:spacing w:before="340" w:after="330" w:line="578" w:lineRule="auto"/>
      <w:outlineLvl w:val="0"/>
    </w:pPr>
    <w:rPr>
      <w:b/>
      <w:bCs/>
      <w:sz w:val="44"/>
      <w:szCs w:val="44"/>
    </w:rPr>
  </w:style>
  <w:style w:type="paragraph" w:styleId="658">
    <w:name w:val="Heading 2"/>
    <w:basedOn w:val="656"/>
    <w:next w:val="656"/>
    <w:link w:val="69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9">
    <w:name w:val="Heading 3"/>
    <w:basedOn w:val="656"/>
    <w:next w:val="664"/>
    <w:link w:val="693"/>
    <w:uiPriority w:val="9"/>
    <w:unhideWhenUsed/>
    <w:qFormat/>
    <w:pPr>
      <w:keepLines/>
      <w:keepNext/>
      <w:spacing w:before="260" w:after="260" w:line="416" w:lineRule="auto"/>
      <w:outlineLvl w:val="2"/>
    </w:pPr>
    <w:rPr>
      <w:b/>
      <w:bCs/>
      <w:sz w:val="32"/>
      <w:szCs w:val="32"/>
    </w:rPr>
  </w:style>
  <w:style w:type="paragraph" w:styleId="660">
    <w:name w:val="Heading 4"/>
    <w:basedOn w:val="656"/>
    <w:next w:val="656"/>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664" w:customStyle="1">
    <w:name w:val="正文-标"/>
    <w:basedOn w:val="656"/>
    <w:uiPriority w:val="0"/>
    <w:qFormat/>
    <w:pPr>
      <w:ind w:firstLine="200"/>
      <w:spacing w:line="360" w:lineRule="auto"/>
    </w:pPr>
  </w:style>
  <w:style w:type="paragraph" w:styleId="665">
    <w:name w:val="Document Map"/>
    <w:basedOn w:val="656"/>
    <w:link w:val="696"/>
    <w:uiPriority w:val="99"/>
    <w:semiHidden/>
    <w:unhideWhenUsed/>
    <w:qFormat/>
    <w:rPr>
      <w:rFonts w:ascii="宋体" w:eastAsia="宋体"/>
      <w:sz w:val="18"/>
      <w:szCs w:val="18"/>
    </w:rPr>
  </w:style>
  <w:style w:type="paragraph" w:styleId="666">
    <w:name w:val="annotation text"/>
    <w:basedOn w:val="656"/>
    <w:link w:val="698"/>
    <w:uiPriority w:val="0"/>
    <w:qFormat/>
    <w:pPr>
      <w:ind w:firstLine="922"/>
      <w:jc w:val="left"/>
      <w:spacing w:line="360" w:lineRule="auto"/>
    </w:pPr>
    <w:rPr>
      <w:rFonts w:ascii="Times New Roman" w:hAnsi="Times New Roman" w:eastAsia="宋体" w:cs="Times New Roman"/>
      <w:szCs w:val="24"/>
    </w:rPr>
  </w:style>
  <w:style w:type="paragraph" w:styleId="667">
    <w:name w:val="Body Text"/>
    <w:basedOn w:val="656"/>
    <w:link w:val="704"/>
    <w:uiPriority w:val="0"/>
    <w:unhideWhenUsed/>
    <w:qFormat/>
    <w:pPr>
      <w:spacing w:after="120"/>
    </w:pPr>
    <w:rPr>
      <w:rFonts w:ascii="Calibri" w:hAnsi="Calibri" w:eastAsia="宋体" w:cs="Times New Roman"/>
    </w:rPr>
  </w:style>
  <w:style w:type="paragraph" w:styleId="668">
    <w:name w:val="Body Text Indent"/>
    <w:basedOn w:val="656"/>
    <w:link w:val="705"/>
    <w:uiPriority w:val="0"/>
    <w:qFormat/>
    <w:pPr>
      <w:ind w:left="420"/>
      <w:spacing w:after="120"/>
    </w:pPr>
    <w:rPr>
      <w:rFonts w:ascii="Times New Roman" w:hAnsi="Times New Roman" w:eastAsia="宋体" w:cs="Times New Roman"/>
      <w:szCs w:val="24"/>
    </w:rPr>
  </w:style>
  <w:style w:type="paragraph" w:styleId="669">
    <w:name w:val="Plain Text"/>
    <w:basedOn w:val="656"/>
    <w:link w:val="702"/>
    <w:uiPriority w:val="0"/>
    <w:qFormat/>
    <w:rPr>
      <w:rFonts w:ascii="宋体" w:hAnsi="Courier New" w:eastAsia="宋体" w:cs="Times New Roman"/>
      <w:szCs w:val="20"/>
    </w:rPr>
  </w:style>
  <w:style w:type="paragraph" w:styleId="670">
    <w:name w:val="Date"/>
    <w:basedOn w:val="656"/>
    <w:next w:val="656"/>
    <w:link w:val="697"/>
    <w:uiPriority w:val="99"/>
    <w:semiHidden/>
    <w:unhideWhenUsed/>
    <w:qFormat/>
    <w:pPr>
      <w:ind w:left="100"/>
    </w:pPr>
  </w:style>
  <w:style w:type="paragraph" w:styleId="671">
    <w:name w:val="Balloon Text"/>
    <w:basedOn w:val="656"/>
    <w:link w:val="699"/>
    <w:uiPriority w:val="99"/>
    <w:semiHidden/>
    <w:unhideWhenUsed/>
    <w:qFormat/>
    <w:rPr>
      <w:sz w:val="18"/>
      <w:szCs w:val="18"/>
    </w:rPr>
  </w:style>
  <w:style w:type="paragraph" w:styleId="672">
    <w:name w:val="Footer"/>
    <w:basedOn w:val="656"/>
    <w:link w:val="695"/>
    <w:uiPriority w:val="99"/>
    <w:unhideWhenUsed/>
    <w:qFormat/>
    <w:pPr>
      <w:jc w:val="left"/>
      <w:tabs>
        <w:tab w:val="center" w:pos="4153" w:leader="none"/>
        <w:tab w:val="right" w:pos="8306" w:leader="none"/>
      </w:tabs>
    </w:pPr>
    <w:rPr>
      <w:sz w:val="18"/>
      <w:szCs w:val="18"/>
    </w:rPr>
  </w:style>
  <w:style w:type="paragraph" w:styleId="673">
    <w:name w:val="Header"/>
    <w:basedOn w:val="656"/>
    <w:link w:val="6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4">
    <w:name w:val="toc 1"/>
    <w:basedOn w:val="656"/>
    <w:next w:val="656"/>
    <w:uiPriority w:val="39"/>
    <w:unhideWhenUsed/>
    <w:qFormat/>
    <w:pPr>
      <w:jc w:val="center"/>
      <w:tabs>
        <w:tab w:val="right" w:pos="8296" w:leader="dot"/>
      </w:tabs>
    </w:pPr>
    <w:rPr>
      <w:rFonts w:ascii="黑体" w:hAnsi="黑体" w:eastAsia="黑体"/>
      <w:sz w:val="44"/>
      <w:szCs w:val="32"/>
    </w:rPr>
  </w:style>
  <w:style w:type="paragraph" w:styleId="675">
    <w:name w:val="toc 4"/>
    <w:basedOn w:val="656"/>
    <w:next w:val="656"/>
    <w:uiPriority w:val="0"/>
    <w:semiHidden/>
    <w:qFormat/>
    <w:pPr>
      <w:ind w:left="630"/>
      <w:jc w:val="left"/>
    </w:pPr>
    <w:rPr>
      <w:rFonts w:ascii="Times New Roman" w:hAnsi="Times New Roman" w:eastAsia="宋体" w:cs="Times New Roman"/>
      <w:szCs w:val="21"/>
    </w:rPr>
  </w:style>
  <w:style w:type="paragraph" w:styleId="676">
    <w:name w:val="List Continue 2"/>
    <w:basedOn w:val="656"/>
    <w:next w:val="675"/>
    <w:uiPriority w:val="0"/>
    <w:qFormat/>
    <w:pPr>
      <w:ind w:left="840"/>
      <w:spacing w:after="120"/>
    </w:pPr>
  </w:style>
  <w:style w:type="paragraph" w:styleId="677">
    <w:name w:val="Normal (Web)"/>
    <w:basedOn w:val="656"/>
    <w:uiPriority w:val="99"/>
    <w:semiHidden/>
    <w:unhideWhenUsed/>
    <w:qFormat/>
    <w:pPr>
      <w:jc w:val="left"/>
      <w:spacing w:beforeAutospacing="1" w:afterAutospacing="1"/>
    </w:pPr>
    <w:rPr>
      <w:rFonts w:cs="Times New Roman"/>
      <w:sz w:val="24"/>
    </w:rPr>
  </w:style>
  <w:style w:type="table" w:styleId="678">
    <w:name w:val="Table Grid"/>
    <w:basedOn w:val="6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9">
    <w:name w:val="Strong"/>
    <w:basedOn w:val="661"/>
    <w:uiPriority w:val="22"/>
    <w:qFormat/>
    <w:rPr>
      <w:b/>
    </w:rPr>
  </w:style>
  <w:style w:type="character" w:styleId="680">
    <w:name w:val="FollowedHyperlink"/>
    <w:basedOn w:val="661"/>
    <w:uiPriority w:val="99"/>
    <w:semiHidden/>
    <w:unhideWhenUsed/>
    <w:qFormat/>
    <w:rPr>
      <w:color w:val="800080"/>
      <w:u w:val="none"/>
    </w:rPr>
  </w:style>
  <w:style w:type="character" w:styleId="681">
    <w:name w:val="HTML Definition"/>
    <w:basedOn w:val="661"/>
    <w:uiPriority w:val="99"/>
    <w:semiHidden/>
    <w:unhideWhenUsed/>
    <w:qFormat/>
  </w:style>
  <w:style w:type="character" w:styleId="682">
    <w:name w:val="HTML Typewriter"/>
    <w:basedOn w:val="661"/>
    <w:uiPriority w:val="99"/>
    <w:semiHidden/>
    <w:unhideWhenUsed/>
    <w:qFormat/>
    <w:rPr>
      <w:rFonts w:hint="default" w:ascii="monospace" w:hAnsi="monospace" w:eastAsia="monospace" w:cs="monospace"/>
      <w:sz w:val="20"/>
    </w:rPr>
  </w:style>
  <w:style w:type="character" w:styleId="683">
    <w:name w:val="HTML Acronym"/>
    <w:basedOn w:val="661"/>
    <w:uiPriority w:val="99"/>
    <w:semiHidden/>
    <w:unhideWhenUsed/>
    <w:qFormat/>
  </w:style>
  <w:style w:type="character" w:styleId="684">
    <w:name w:val="HTML Variable"/>
    <w:basedOn w:val="661"/>
    <w:uiPriority w:val="99"/>
    <w:semiHidden/>
    <w:unhideWhenUsed/>
    <w:qFormat/>
  </w:style>
  <w:style w:type="character" w:styleId="685">
    <w:name w:val="Hyperlink"/>
    <w:uiPriority w:val="99"/>
    <w:qFormat/>
    <w:rPr>
      <w:color w:val="0000ff"/>
      <w:u w:val="none"/>
    </w:rPr>
  </w:style>
  <w:style w:type="character" w:styleId="686">
    <w:name w:val="HTML Code"/>
    <w:basedOn w:val="661"/>
    <w:uiPriority w:val="99"/>
    <w:semiHidden/>
    <w:unhideWhenUsed/>
    <w:qFormat/>
    <w:rPr>
      <w:rFonts w:ascii="monospace" w:hAnsi="monospace" w:eastAsia="monospace" w:cs="monospace"/>
      <w:sz w:val="20"/>
    </w:rPr>
  </w:style>
  <w:style w:type="character" w:styleId="687">
    <w:name w:val="annotation reference"/>
    <w:uiPriority w:val="0"/>
    <w:qFormat/>
    <w:rPr>
      <w:sz w:val="21"/>
      <w:szCs w:val="21"/>
    </w:rPr>
  </w:style>
  <w:style w:type="character" w:styleId="688">
    <w:name w:val="HTML Cite"/>
    <w:basedOn w:val="661"/>
    <w:uiPriority w:val="99"/>
    <w:semiHidden/>
    <w:unhideWhenUsed/>
    <w:qFormat/>
  </w:style>
  <w:style w:type="character" w:styleId="689">
    <w:name w:val="HTML Keyboard"/>
    <w:basedOn w:val="661"/>
    <w:uiPriority w:val="99"/>
    <w:semiHidden/>
    <w:unhideWhenUsed/>
    <w:qFormat/>
    <w:rPr>
      <w:rFonts w:hint="default" w:ascii="monospace" w:hAnsi="monospace" w:eastAsia="monospace" w:cs="monospace"/>
      <w:sz w:val="20"/>
    </w:rPr>
  </w:style>
  <w:style w:type="character" w:styleId="690">
    <w:name w:val="HTML Sample"/>
    <w:basedOn w:val="661"/>
    <w:uiPriority w:val="99"/>
    <w:semiHidden/>
    <w:unhideWhenUsed/>
    <w:qFormat/>
    <w:rPr>
      <w:rFonts w:hint="default" w:ascii="monospace" w:hAnsi="monospace" w:eastAsia="monospace" w:cs="monospace"/>
    </w:rPr>
  </w:style>
  <w:style w:type="character" w:styleId="691" w:customStyle="1">
    <w:name w:val="标题 1 字符"/>
    <w:basedOn w:val="661"/>
    <w:link w:val="657"/>
    <w:uiPriority w:val="9"/>
    <w:qFormat/>
    <w:rPr>
      <w:b/>
      <w:bCs/>
      <w:sz w:val="44"/>
      <w:szCs w:val="44"/>
    </w:rPr>
  </w:style>
  <w:style w:type="character" w:styleId="692" w:customStyle="1">
    <w:name w:val="标题 2 字符"/>
    <w:basedOn w:val="661"/>
    <w:link w:val="658"/>
    <w:uiPriority w:val="9"/>
    <w:qFormat/>
    <w:rPr>
      <w:rFonts w:asciiTheme="majorHAnsi" w:hAnsiTheme="majorHAnsi" w:eastAsiaTheme="majorEastAsia" w:cstheme="majorBidi"/>
      <w:b/>
      <w:bCs/>
      <w:sz w:val="32"/>
      <w:szCs w:val="32"/>
    </w:rPr>
  </w:style>
  <w:style w:type="character" w:styleId="693" w:customStyle="1">
    <w:name w:val="标题 3 字符"/>
    <w:basedOn w:val="661"/>
    <w:link w:val="659"/>
    <w:uiPriority w:val="9"/>
    <w:qFormat/>
    <w:rPr>
      <w:b/>
      <w:bCs/>
      <w:sz w:val="32"/>
      <w:szCs w:val="32"/>
    </w:rPr>
  </w:style>
  <w:style w:type="character" w:styleId="694" w:customStyle="1">
    <w:name w:val="页眉 字符"/>
    <w:basedOn w:val="661"/>
    <w:link w:val="673"/>
    <w:uiPriority w:val="99"/>
    <w:qFormat/>
    <w:rPr>
      <w:sz w:val="18"/>
      <w:szCs w:val="18"/>
    </w:rPr>
  </w:style>
  <w:style w:type="character" w:styleId="695" w:customStyle="1">
    <w:name w:val="页脚 字符"/>
    <w:basedOn w:val="661"/>
    <w:link w:val="672"/>
    <w:uiPriority w:val="99"/>
    <w:qFormat/>
    <w:rPr>
      <w:sz w:val="18"/>
      <w:szCs w:val="18"/>
    </w:rPr>
  </w:style>
  <w:style w:type="character" w:styleId="696" w:customStyle="1">
    <w:name w:val="文档结构图 字符"/>
    <w:basedOn w:val="661"/>
    <w:link w:val="665"/>
    <w:uiPriority w:val="99"/>
    <w:semiHidden/>
    <w:qFormat/>
    <w:rPr>
      <w:rFonts w:ascii="宋体" w:eastAsia="宋体"/>
      <w:sz w:val="18"/>
      <w:szCs w:val="18"/>
    </w:rPr>
  </w:style>
  <w:style w:type="character" w:styleId="697" w:customStyle="1">
    <w:name w:val="日期 字符"/>
    <w:basedOn w:val="661"/>
    <w:link w:val="670"/>
    <w:uiPriority w:val="99"/>
    <w:semiHidden/>
    <w:qFormat/>
  </w:style>
  <w:style w:type="character" w:styleId="698" w:customStyle="1">
    <w:name w:val="批注文字 字符"/>
    <w:basedOn w:val="661"/>
    <w:link w:val="666"/>
    <w:uiPriority w:val="0"/>
    <w:qFormat/>
    <w:rPr>
      <w:rFonts w:ascii="Times New Roman" w:hAnsi="Times New Roman" w:eastAsia="宋体" w:cs="Times New Roman"/>
      <w:szCs w:val="24"/>
    </w:rPr>
  </w:style>
  <w:style w:type="character" w:styleId="699" w:customStyle="1">
    <w:name w:val="批注框文本 字符"/>
    <w:basedOn w:val="661"/>
    <w:link w:val="671"/>
    <w:uiPriority w:val="99"/>
    <w:semiHidden/>
    <w:qFormat/>
    <w:rPr>
      <w:sz w:val="18"/>
      <w:szCs w:val="18"/>
    </w:rPr>
  </w:style>
  <w:style w:type="paragraph" w:styleId="700" w:customStyle="1">
    <w:name w:val="Default"/>
    <w:link w:val="701"/>
    <w:uiPriority w:val="99"/>
    <w:qFormat/>
    <w:pPr>
      <w:widowControl w:val="off"/>
    </w:pPr>
    <w:rPr>
      <w:rFonts w:ascii="MS Mincho" w:hAnsi="Calibri" w:eastAsia="宋体" w:cs="Times New Roman"/>
      <w:color w:val="000000"/>
      <w:sz w:val="21"/>
      <w:szCs w:val="24"/>
      <w:lang w:val="en-US" w:eastAsia="zh-CN" w:bidi="ar-SA"/>
    </w:rPr>
  </w:style>
  <w:style w:type="character" w:styleId="701" w:customStyle="1">
    <w:name w:val="Default Char"/>
    <w:link w:val="700"/>
    <w:uiPriority w:val="99"/>
    <w:qFormat/>
    <w:rPr>
      <w:rFonts w:ascii="MS Mincho" w:hAnsi="Calibri" w:eastAsia="宋体" w:cs="Times New Roman"/>
      <w:color w:val="000000"/>
      <w:szCs w:val="24"/>
    </w:rPr>
  </w:style>
  <w:style w:type="character" w:styleId="702" w:customStyle="1">
    <w:name w:val="纯文本 字符"/>
    <w:basedOn w:val="661"/>
    <w:link w:val="669"/>
    <w:uiPriority w:val="0"/>
    <w:qFormat/>
    <w:rPr>
      <w:rFonts w:ascii="宋体" w:hAnsi="Courier New" w:eastAsia="宋体" w:cs="Times New Roman"/>
      <w:szCs w:val="20"/>
    </w:rPr>
  </w:style>
  <w:style w:type="paragraph" w:styleId="7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04" w:customStyle="1">
    <w:name w:val="正文文本 字符"/>
    <w:basedOn w:val="661"/>
    <w:link w:val="667"/>
    <w:uiPriority w:val="0"/>
    <w:qFormat/>
    <w:rPr>
      <w:rFonts w:ascii="Calibri" w:hAnsi="Calibri" w:eastAsia="宋体" w:cs="Times New Roman"/>
    </w:rPr>
  </w:style>
  <w:style w:type="character" w:styleId="705" w:customStyle="1">
    <w:name w:val="正文文本缩进 字符"/>
    <w:basedOn w:val="661"/>
    <w:link w:val="668"/>
    <w:uiPriority w:val="0"/>
    <w:qFormat/>
    <w:rPr>
      <w:rFonts w:ascii="Times New Roman" w:hAnsi="Times New Roman" w:eastAsia="宋体" w:cs="Times New Roman"/>
      <w:szCs w:val="24"/>
    </w:rPr>
  </w:style>
  <w:style w:type="paragraph" w:styleId="706" w:customStyle="1">
    <w:name w:val="列出段落1"/>
    <w:basedOn w:val="656"/>
    <w:uiPriority w:val="0"/>
    <w:qFormat/>
    <w:pPr>
      <w:ind w:firstLine="420"/>
    </w:pPr>
    <w:rPr>
      <w:rFonts w:ascii="Times New Roman" w:hAnsi="Times New Roman" w:eastAsia="宋体" w:cs="Times New Roman"/>
      <w:szCs w:val="21"/>
    </w:rPr>
  </w:style>
  <w:style w:type="table" w:styleId="707" w:customStyle="1">
    <w:name w:val="网格型1"/>
    <w:basedOn w:val="708"/>
    <w:uiPriority w:val="59"/>
    <w:qFormat/>
    <w:tblPr/>
  </w:style>
  <w:style w:type="table" w:styleId="708" w:customStyle="1">
    <w:name w:val="普通表格1"/>
    <w:uiPriority w:val="99"/>
    <w:unhideWhenUsed/>
    <w:qFormat/>
    <w:tblPr>
      <w:tblCellMar>
        <w:left w:w="0" w:type="dxa"/>
        <w:top w:w="0" w:type="dxa"/>
        <w:right w:w="0" w:type="dxa"/>
        <w:bottom w:w="0" w:type="dxa"/>
      </w:tblCellMar>
    </w:tblPr>
  </w:style>
  <w:style w:type="paragraph" w:styleId="709" w:customStyle="1">
    <w:name w:val="正文文本1"/>
    <w:basedOn w:val="656"/>
    <w:next w:val="656"/>
    <w:uiPriority w:val="0"/>
    <w:qFormat/>
    <w:rPr>
      <w:rFonts w:ascii="楷体_GB2312" w:hAnsi="Arial" w:eastAsia="楷体_GB2312" w:cs="Times New Roman"/>
      <w:sz w:val="28"/>
      <w:szCs w:val="28"/>
    </w:rPr>
  </w:style>
  <w:style w:type="character" w:styleId="710" w:customStyle="1">
    <w:name w:val="font71"/>
    <w:basedOn w:val="661"/>
    <w:uiPriority w:val="0"/>
    <w:qFormat/>
    <w:rPr>
      <w:rFonts w:hint="eastAsia" w:ascii="宋体" w:hAnsi="宋体" w:eastAsia="宋体" w:cs="宋体"/>
      <w:b/>
      <w:bCs/>
      <w:color w:val="000000"/>
      <w:sz w:val="20"/>
      <w:szCs w:val="20"/>
      <w:u w:val="none"/>
    </w:rPr>
  </w:style>
  <w:style w:type="character" w:styleId="711" w:customStyle="1">
    <w:name w:val="font261"/>
    <w:basedOn w:val="661"/>
    <w:uiPriority w:val="0"/>
    <w:qFormat/>
    <w:rPr>
      <w:rFonts w:ascii="Arial" w:hAnsi="Arial" w:cs="Arial"/>
      <w:b/>
      <w:bCs/>
      <w:color w:val="000000"/>
      <w:sz w:val="20"/>
      <w:szCs w:val="20"/>
      <w:u w:val="none"/>
    </w:rPr>
  </w:style>
  <w:style w:type="paragraph" w:styleId="712" w:customStyle="1">
    <w:name w:val="Table Text"/>
    <w:basedOn w:val="656"/>
    <w:uiPriority w:val="0"/>
    <w:semiHidden/>
    <w:qFormat/>
    <w:rPr>
      <w:rFonts w:ascii="宋体" w:hAnsi="宋体" w:eastAsia="宋体" w:cs="宋体"/>
      <w:sz w:val="24"/>
      <w:szCs w:val="24"/>
      <w:lang w:eastAsia="en-US"/>
    </w:rPr>
  </w:style>
  <w:style w:type="character" w:styleId="713" w:customStyle="1">
    <w:name w:val="hover"/>
    <w:basedOn w:val="661"/>
    <w:uiPriority w:val="0"/>
    <w:qFormat/>
    <w:rPr>
      <w:color w:val="5fb878"/>
    </w:rPr>
  </w:style>
  <w:style w:type="character" w:styleId="714" w:customStyle="1">
    <w:name w:val="hover1"/>
    <w:basedOn w:val="661"/>
    <w:uiPriority w:val="0"/>
    <w:qFormat/>
    <w:rPr>
      <w:color w:val="5fb878"/>
    </w:rPr>
  </w:style>
  <w:style w:type="character" w:styleId="715" w:customStyle="1">
    <w:name w:val="hover2"/>
    <w:basedOn w:val="661"/>
    <w:uiPriority w:val="0"/>
    <w:qFormat/>
    <w:rPr>
      <w:color w:val="ffffff"/>
    </w:rPr>
  </w:style>
  <w:style w:type="paragraph" w:styleId="716" w:customStyle="1">
    <w:name w:val="索引 41"/>
    <w:basedOn w:val="656"/>
    <w:next w:val="656"/>
    <w:uiPriority w:val="0"/>
    <w:semiHidden/>
    <w:qFormat/>
    <w:pPr>
      <w:ind w:left="1260"/>
    </w:pPr>
    <w:rPr>
      <w:rFonts w:eastAsia="Calibri" w:cs="宋体"/>
      <w:sz w:val="20"/>
      <w:lang w:val="zh-CN"/>
    </w:rPr>
  </w:style>
  <w:style w:type="numbering" w:styleId="10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D73B6D-9F35-4E84-94D4-135220F13C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陶蕴</cp:lastModifiedBy>
  <cp:revision>12</cp:revision>
  <dcterms:created xsi:type="dcterms:W3CDTF">2024-01-04T03:50:00Z</dcterms:created>
  <dcterms:modified xsi:type="dcterms:W3CDTF">2026-06-25T07:29:50Z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A8A3BCF1F6754668A6E2AEBD69CBEC97_13</vt:lpwstr>
  </property>
  <property fmtid="{D5CDD505-2E9C-101B-9397-08002B2CF9AE}" pid="4" name="KSOTemplateDocerSaveRecord">
    <vt:lpwstr>eyJoZGlkIjoiMGU5YjdjYWY1Zjc5YTZlYjQ5MmM2YWRlODVmOTE4YTMiLCJ1c2VySWQiOiIxNjI2OTQwMzcyIn0=</vt:lpwstr>
  </property>
</Properties>
</file>