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199" w:firstLine="199"/>
        <w:jc w:val="left"/>
        <w:spacing w:line="520" w:lineRule="atLeas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372"/>
        <w:jc w:val="left"/>
        <w:spacing w:line="520" w:lineRule="atLeas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372"/>
        <w:jc w:val="left"/>
        <w:spacing w:line="520" w:lineRule="atLeas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2" w:right="-1459" w:hanging="416"/>
        <w:jc w:val="center"/>
        <w:spacing w:before="100" w:after="100" w:line="360" w:lineRule="auto"/>
        <w:tabs>
          <w:tab w:val="left" w:pos="168" w:leader="none"/>
          <w:tab w:val="center" w:pos="4422" w:leader="none"/>
        </w:tabs>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南京市儿童医院米面油等食材采购项目</w:t>
      </w:r>
      <w:r/>
    </w:p>
    <w:p>
      <w:pPr>
        <w:ind w:left="-2" w:right="-1459" w:hanging="416"/>
        <w:jc w:val="center"/>
        <w:spacing w:before="100" w:after="100" w:line="360" w:lineRule="auto"/>
        <w:tabs>
          <w:tab w:val="left" w:pos="168" w:leader="none"/>
          <w:tab w:val="center" w:pos="4422" w:leader="none"/>
        </w:tabs>
        <w:rPr>
          <w:rFonts w:ascii="宋体" w:hAnsi="宋体" w:cs="宋体"/>
          <w:b/>
          <w:color w:val="000000" w:themeColor="text1"/>
          <w:sz w:val="56"/>
          <w:szCs w:val="56"/>
          <w:highlight w:val="none"/>
          <w14:textFill>
            <w14:solidFill>
              <w14:schemeClr w14:val="tx1"/>
            </w14:solidFill>
          </w14:textFill>
        </w:rPr>
      </w:pPr>
      <w:r>
        <w:rPr>
          <w:rFonts w:ascii="宋体" w:hAnsi="宋体" w:cs="宋体"/>
          <w:b/>
          <w:color w:val="000000" w:themeColor="text1"/>
          <w:sz w:val="56"/>
          <w:szCs w:val="56"/>
          <w:highlight w:val="none"/>
          <w14:textFill>
            <w14:solidFill>
              <w14:schemeClr w14:val="tx1"/>
            </w14:solidFill>
          </w14:textFill>
        </w:rPr>
      </w:r>
      <w:r/>
    </w:p>
    <w:p>
      <w:pPr>
        <w:pStyle w:val="851"/>
        <w:ind w:firstLine="1493"/>
        <w:rPr>
          <w:rFonts w:hAnsi="宋体" w:cs="宋体"/>
          <w:b/>
          <w:color w:val="000000" w:themeColor="text1"/>
          <w:sz w:val="84"/>
          <w:szCs w:val="84"/>
          <w:highlight w:val="none"/>
          <w14:textFill>
            <w14:solidFill>
              <w14:schemeClr w14:val="tx1"/>
            </w14:solidFill>
          </w14:textFill>
        </w:rPr>
      </w:pPr>
      <w:r>
        <w:rPr>
          <w:rFonts w:hAnsi="宋体" w:cs="宋体"/>
          <w:b/>
          <w:color w:val="000000" w:themeColor="text1"/>
          <w:sz w:val="84"/>
          <w:szCs w:val="84"/>
          <w:highlight w:val="none"/>
          <w14:textFill>
            <w14:solidFill>
              <w14:schemeClr w14:val="tx1"/>
            </w14:solidFill>
          </w14:textFill>
        </w:rPr>
      </w:r>
      <w:r/>
    </w:p>
    <w:p>
      <w:pPr>
        <w:pStyle w:val="851"/>
        <w:jc w:val="center"/>
        <w:rPr>
          <w:rFonts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招 标 文 件</w:t>
      </w:r>
      <w:r/>
    </w:p>
    <w:p>
      <w:pPr>
        <w:ind w:firstLine="1706"/>
        <w:jc w:val="center"/>
        <w:spacing w:line="440" w:lineRule="exact"/>
        <w:rPr>
          <w:rFonts w:ascii="宋体" w:hAnsi="宋体" w:cs="宋体"/>
          <w:b/>
          <w:color w:val="000000" w:themeColor="text1"/>
          <w:sz w:val="96"/>
          <w:highlight w:val="none"/>
          <w14:textFill>
            <w14:solidFill>
              <w14:schemeClr w14:val="tx1"/>
            </w14:solidFill>
          </w14:textFill>
        </w:rPr>
      </w:pPr>
      <w:r>
        <w:rPr>
          <w:rFonts w:ascii="宋体" w:hAnsi="宋体" w:cs="宋体"/>
          <w:b/>
          <w:color w:val="000000" w:themeColor="text1"/>
          <w:sz w:val="96"/>
          <w:highlight w:val="none"/>
          <w14:textFill>
            <w14:solidFill>
              <w14:schemeClr w14:val="tx1"/>
            </w14:solidFill>
          </w14:textFill>
        </w:rPr>
      </w:r>
      <w:r/>
    </w:p>
    <w:p>
      <w:pPr>
        <w:ind w:right="640"/>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right="640"/>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right="640"/>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right="640"/>
        <w:jc w:val="center"/>
        <w:spacing w:line="360" w:lineRule="auto"/>
        <w:rPr>
          <w:rFonts w:hint="default" w:ascii="宋体" w:hAnsi="宋体" w:cs="宋体"/>
          <w:color w:val="000000" w:themeColor="text1"/>
          <w:sz w:val="32"/>
          <w:highlight w:val="none"/>
          <w:lang w:val="en-US"/>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JSZC-320100-JITC-G2026-0205</w:t>
      </w:r>
      <w:r/>
    </w:p>
    <w:p>
      <w:pPr>
        <w:ind w:right="640" w:firstLine="566"/>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right="640" w:firstLine="566"/>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right="640" w:firstLine="566"/>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firstLine="569"/>
        <w:jc w:val="center"/>
        <w:spacing w:line="360" w:lineRule="auto"/>
        <w:tabs>
          <w:tab w:val="left" w:pos="360" w:leader="none"/>
        </w:tabs>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采购人：南京市儿童医院</w:t>
      </w:r>
      <w:r/>
    </w:p>
    <w:p>
      <w:pPr>
        <w:ind w:firstLine="569"/>
        <w:jc w:val="center"/>
        <w:spacing w:line="360" w:lineRule="auto"/>
        <w:tabs>
          <w:tab w:val="left" w:pos="360" w:leader="none"/>
        </w:tabs>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采购代理机构：江苏省招标中心有限公司</w:t>
      </w:r>
      <w:r/>
    </w:p>
    <w:p>
      <w:pPr>
        <w:ind w:firstLine="569"/>
        <w:jc w:val="center"/>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〇</w:t>
      </w: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六</w:t>
      </w:r>
      <w:r>
        <w:rPr>
          <w:rFonts w:hint="eastAsia" w:ascii="宋体" w:hAnsi="宋体" w:cs="宋体"/>
          <w:b/>
          <w:color w:val="000000" w:themeColor="text1"/>
          <w:sz w:val="32"/>
          <w:highlight w:val="none"/>
          <w14:textFill>
            <w14:solidFill>
              <w14:schemeClr w14:val="tx1"/>
            </w14:solidFill>
          </w14:textFill>
        </w:rPr>
        <w:t xml:space="preserve">年</w:t>
      </w:r>
      <w:r>
        <w:rPr>
          <w:rFonts w:hint="eastAsia" w:ascii="宋体" w:hAnsi="宋体" w:cs="宋体"/>
          <w:b/>
          <w:color w:val="000000" w:themeColor="text1"/>
          <w:sz w:val="32"/>
          <w:highlight w:val="none"/>
          <w:lang w:val="en-US" w:eastAsia="zh-CN"/>
          <w14:textFill>
            <w14:solidFill>
              <w14:schemeClr w14:val="tx1"/>
            </w14:solidFill>
          </w14:textFill>
        </w:rPr>
        <w:t xml:space="preserve">六</w:t>
      </w:r>
      <w:r>
        <w:rPr>
          <w:rFonts w:hint="eastAsia" w:ascii="宋体" w:hAnsi="宋体" w:cs="宋体"/>
          <w:b/>
          <w:color w:val="000000" w:themeColor="text1"/>
          <w:sz w:val="32"/>
          <w:highlight w:val="none"/>
          <w14:textFill>
            <w14:solidFill>
              <w14:schemeClr w14:val="tx1"/>
            </w14:solidFill>
          </w14:textFill>
        </w:rPr>
        <w:t xml:space="preserve">月</w:t>
      </w:r>
      <w:r/>
    </w:p>
    <w:p>
      <w:pPr>
        <w:ind w:firstLine="569"/>
        <w:spacing w:line="500" w:lineRule="exact"/>
        <w:rPr>
          <w:rFonts w:ascii="宋体" w:hAnsi="宋体" w:cs="宋体"/>
          <w:b/>
          <w:color w:val="000000" w:themeColor="text1"/>
          <w:sz w:val="32"/>
          <w:szCs w:val="32"/>
          <w:highlight w:val="none"/>
          <w14:textFill>
            <w14:solidFill>
              <w14:schemeClr w14:val="tx1"/>
            </w14:solidFill>
          </w14:textFill>
        </w:rPr>
        <w:sectPr>
          <w:headerReference w:type="default" r:id="rId10"/>
          <w:footerReference w:type="default" r:id="rId11"/>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80264696"/>
      <w:r/>
      <w:bookmarkStart w:id="1" w:name="_Toc531620161"/>
      <w:r/>
      <w:r/>
    </w:p>
    <w:p>
      <w:pPr>
        <w:ind w:firstLine="569"/>
        <w:jc w:val="center"/>
        <w:spacing w:line="500" w:lineRule="exact"/>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目   录</w:t>
      </w:r>
      <w:r/>
    </w:p>
    <w:p>
      <w:pPr>
        <w:pStyle w:val="1079"/>
        <w:ind w:firstLine="426"/>
        <w:spacing w:line="360" w:lineRule="auto"/>
        <w:tabs>
          <w:tab w:val="right" w:pos="8834" w:leader="dot"/>
        </w:tabs>
        <w:rPr>
          <w:rFonts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1079"/>
        <w:spacing w:line="360" w:lineRule="auto"/>
        <w:tabs>
          <w:tab w:val="left" w:pos="780" w:leader="none"/>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w:instrText>
      </w:r>
      <w:r>
        <w:rPr>
          <w:color w:val="000000" w:themeColor="text1"/>
          <w:highlight w:val="none"/>
          <w14:textFill>
            <w14:solidFill>
              <w14:schemeClr w14:val="tx1"/>
            </w14:solidFill>
          </w14:textFill>
        </w:rPr>
        <w:fldChar w:fldCharType="separate"/>
      </w:r>
      <w:r>
        <w:rPr>
          <w:rStyle w:val="877"/>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877"/>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9"/>
        <w:spacing w:line="360" w:lineRule="auto"/>
        <w:tabs>
          <w:tab w:val="left" w:pos="780" w:leader="none"/>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w:instrText>
      </w:r>
      <w:r>
        <w:rPr>
          <w:color w:val="000000" w:themeColor="text1"/>
          <w:highlight w:val="none"/>
          <w14:textFill>
            <w14:solidFill>
              <w14:schemeClr w14:val="tx1"/>
            </w14:solidFill>
          </w14:textFill>
        </w:rPr>
        <w:fldChar w:fldCharType="separate"/>
      </w:r>
      <w:r>
        <w:rPr>
          <w:rStyle w:val="877"/>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877"/>
          <w:rFonts w:hint="eastAsia" w:ascii="宋体" w:hAnsi="宋体" w:eastAsia="宋体" w:cs="宋体"/>
          <w:b/>
          <w:color w:val="000000" w:themeColor="text1"/>
          <w:highlight w:val="none"/>
          <w14:textFill>
            <w14:solidFill>
              <w14:schemeClr w14:val="tx1"/>
            </w14:solidFill>
          </w14:textFill>
        </w:rPr>
        <w:t xml:space="preserve">供应商须知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9"/>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"_Toc107246214" </w:instrText>
      </w:r>
      <w:r>
        <w:rPr>
          <w:color w:val="000000" w:themeColor="text1"/>
          <w:highlight w:val="none"/>
          <w14:textFill>
            <w14:solidFill>
              <w14:schemeClr w14:val="tx1"/>
            </w14:solidFill>
          </w14:textFill>
        </w:rPr>
        <w:fldChar w:fldCharType="separate"/>
      </w:r>
      <w:r>
        <w:rPr>
          <w:rStyle w:val="877"/>
          <w:rFonts w:hint="eastAsia" w:ascii="宋体" w:hAnsi="宋体" w:eastAsia="宋体" w:cs="宋体"/>
          <w:b/>
          <w:color w:val="000000" w:themeColor="text1"/>
          <w:highlight w:val="none"/>
          <w14:textFill>
            <w14:solidFill>
              <w14:schemeClr w14:val="tx1"/>
            </w14:solidFill>
          </w14:textFill>
        </w:rPr>
        <w:t xml:space="preserve">一．总则</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_Toc107246214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9"/>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"_Toc107246230" </w:instrText>
      </w:r>
      <w:r>
        <w:rPr>
          <w:color w:val="000000" w:themeColor="text1"/>
          <w:highlight w:val="none"/>
          <w14:textFill>
            <w14:solidFill>
              <w14:schemeClr w14:val="tx1"/>
            </w14:solidFill>
          </w14:textFill>
        </w:rPr>
        <w:fldChar w:fldCharType="separate"/>
      </w:r>
      <w:r>
        <w:rPr>
          <w:rStyle w:val="877"/>
          <w:rFonts w:hint="eastAsia" w:ascii="宋体" w:hAnsi="宋体" w:eastAsia="宋体" w:cs="宋体"/>
          <w:b/>
          <w:color w:val="000000" w:themeColor="text1"/>
          <w:highlight w:val="none"/>
          <w14:textFill>
            <w14:solidFill>
              <w14:schemeClr w14:val="tx1"/>
            </w14:solidFill>
          </w14:textFill>
        </w:rPr>
        <w:t xml:space="preserve">二．招标文件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9"/>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"_Toc107246233" </w:instrText>
      </w:r>
      <w:r>
        <w:rPr>
          <w:color w:val="000000" w:themeColor="text1"/>
          <w:highlight w:val="none"/>
          <w14:textFill>
            <w14:solidFill>
              <w14:schemeClr w14:val="tx1"/>
            </w14:solidFill>
          </w14:textFill>
        </w:rPr>
        <w:fldChar w:fldCharType="separate"/>
      </w:r>
      <w:r>
        <w:rPr>
          <w:rStyle w:val="877"/>
          <w:rFonts w:hint="eastAsia" w:ascii="宋体" w:hAnsi="宋体" w:eastAsia="宋体" w:cs="宋体"/>
          <w:b/>
          <w:color w:val="000000" w:themeColor="text1"/>
          <w:highlight w:val="none"/>
          <w14:textFill>
            <w14:solidFill>
              <w14:schemeClr w14:val="tx1"/>
            </w14:solidFill>
          </w14:textFill>
        </w:rPr>
        <w:t xml:space="preserve">三．投标文件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9"/>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"_Toc107246240" </w:instrText>
      </w:r>
      <w:r>
        <w:rPr>
          <w:color w:val="000000" w:themeColor="text1"/>
          <w:highlight w:val="none"/>
          <w14:textFill>
            <w14:solidFill>
              <w14:schemeClr w14:val="tx1"/>
            </w14:solidFill>
          </w14:textFill>
        </w:rPr>
        <w:fldChar w:fldCharType="separate"/>
      </w:r>
      <w:r>
        <w:rPr>
          <w:rStyle w:val="877"/>
          <w:rFonts w:hint="eastAsia" w:ascii="宋体" w:hAnsi="宋体" w:eastAsia="宋体" w:cs="宋体"/>
          <w:b/>
          <w:color w:val="000000" w:themeColor="text1"/>
          <w:highlight w:val="none"/>
          <w14:textFill>
            <w14:solidFill>
              <w14:schemeClr w14:val="tx1"/>
            </w14:solidFill>
          </w14:textFill>
        </w:rPr>
        <w:t xml:space="preserve">四．投标文件的递交</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19</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9"/>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"_Toc107246245" </w:instrText>
      </w:r>
      <w:r>
        <w:rPr>
          <w:color w:val="000000" w:themeColor="text1"/>
          <w:highlight w:val="none"/>
          <w14:textFill>
            <w14:solidFill>
              <w14:schemeClr w14:val="tx1"/>
            </w14:solidFill>
          </w14:textFill>
        </w:rPr>
        <w:fldChar w:fldCharType="separate"/>
      </w:r>
      <w:r>
        <w:rPr>
          <w:rStyle w:val="877"/>
          <w:rFonts w:hint="eastAsia" w:ascii="宋体" w:hAnsi="宋体" w:eastAsia="宋体" w:cs="宋体"/>
          <w:b/>
          <w:color w:val="000000" w:themeColor="text1"/>
          <w:highlight w:val="none"/>
          <w14:textFill>
            <w14:solidFill>
              <w14:schemeClr w14:val="tx1"/>
            </w14:solidFill>
          </w14:textFill>
        </w:rPr>
        <w:t xml:space="preserve">五．开标和评标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_Toc107246245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20</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9"/>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"_Toc107246257" </w:instrText>
      </w:r>
      <w:r>
        <w:rPr>
          <w:color w:val="000000" w:themeColor="text1"/>
          <w:highlight w:val="none"/>
          <w14:textFill>
            <w14:solidFill>
              <w14:schemeClr w14:val="tx1"/>
            </w14:solidFill>
          </w14:textFill>
        </w:rPr>
        <w:fldChar w:fldCharType="separate"/>
      </w:r>
      <w:r>
        <w:rPr>
          <w:rStyle w:val="877"/>
          <w:rFonts w:hint="eastAsia" w:ascii="宋体" w:hAnsi="宋体" w:eastAsia="宋体" w:cs="宋体"/>
          <w:b/>
          <w:color w:val="000000" w:themeColor="text1"/>
          <w:highlight w:val="none"/>
          <w14:textFill>
            <w14:solidFill>
              <w14:schemeClr w14:val="tx1"/>
            </w14:solidFill>
          </w14:textFill>
        </w:rPr>
        <w:t xml:space="preserve">六．确定中标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_Toc107246257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23</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9"/>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"_Toc107246263" </w:instrText>
      </w:r>
      <w:r>
        <w:rPr>
          <w:color w:val="000000" w:themeColor="text1"/>
          <w:highlight w:val="none"/>
          <w14:textFill>
            <w14:solidFill>
              <w14:schemeClr w14:val="tx1"/>
            </w14:solidFill>
          </w14:textFill>
        </w:rPr>
        <w:fldChar w:fldCharType="separate"/>
      </w:r>
      <w:r>
        <w:rPr>
          <w:rStyle w:val="877"/>
          <w:rFonts w:hint="eastAsia" w:ascii="宋体" w:hAnsi="宋体" w:eastAsia="宋体" w:cs="宋体"/>
          <w:b/>
          <w:color w:val="000000" w:themeColor="text1"/>
          <w:highlight w:val="none"/>
          <w14:textFill>
            <w14:solidFill>
              <w14:schemeClr w14:val="tx1"/>
            </w14:solidFill>
          </w14:textFill>
        </w:rPr>
        <w:t xml:space="preserve">七．询问与质疑</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9"/>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"_Toc107246266" </w:instrText>
      </w:r>
      <w:r>
        <w:rPr>
          <w:color w:val="000000" w:themeColor="text1"/>
          <w:highlight w:val="none"/>
          <w14:textFill>
            <w14:solidFill>
              <w14:schemeClr w14:val="tx1"/>
            </w14:solidFill>
          </w14:textFill>
        </w:rPr>
        <w:fldChar w:fldCharType="separate"/>
      </w:r>
      <w:r>
        <w:rPr>
          <w:rStyle w:val="877"/>
          <w:rFonts w:hint="eastAsia" w:ascii="宋体" w:hAnsi="宋体" w:eastAsia="宋体" w:cs="宋体"/>
          <w:b/>
          <w:color w:val="000000" w:themeColor="text1"/>
          <w:highlight w:val="none"/>
          <w14:textFill>
            <w14:solidFill>
              <w14:schemeClr w14:val="tx1"/>
            </w14:solidFill>
          </w14:textFill>
        </w:rPr>
        <w:t xml:space="preserve">八．其他</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_Toc107246266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9"/>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w:instrText>
      </w:r>
      <w:r>
        <w:rPr>
          <w:color w:val="000000" w:themeColor="text1"/>
          <w:highlight w:val="none"/>
          <w14:textFill>
            <w14:solidFill>
              <w14:schemeClr w14:val="tx1"/>
            </w14:solidFill>
          </w14:textFill>
        </w:rPr>
        <w:fldChar w:fldCharType="separate"/>
      </w:r>
      <w:r>
        <w:rPr>
          <w:rStyle w:val="877"/>
          <w:rFonts w:hint="eastAsia" w:ascii="宋体" w:hAnsi="宋体" w:eastAsia="宋体" w:cs="宋体"/>
          <w:b/>
          <w:color w:val="000000" w:themeColor="text1"/>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9"/>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w:instrText>
      </w:r>
      <w:r>
        <w:rPr>
          <w:color w:val="000000" w:themeColor="text1"/>
          <w:highlight w:val="none"/>
          <w14:textFill>
            <w14:solidFill>
              <w14:schemeClr w14:val="tx1"/>
            </w14:solidFill>
          </w14:textFill>
        </w:rPr>
        <w:fldChar w:fldCharType="separate"/>
      </w:r>
      <w:r>
        <w:rPr>
          <w:rStyle w:val="877"/>
          <w:rFonts w:hint="eastAsia" w:ascii="宋体" w:hAnsi="宋体" w:eastAsia="宋体" w:cs="宋体"/>
          <w:b/>
          <w:color w:val="000000" w:themeColor="text1"/>
          <w:highlight w:val="none"/>
          <w14:textFill>
            <w14:solidFill>
              <w14:schemeClr w14:val="tx1"/>
            </w14:solidFill>
          </w14:textFill>
        </w:rPr>
        <w:t xml:space="preserve">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33</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9"/>
        <w:spacing w:line="360" w:lineRule="auto"/>
        <w:tabs>
          <w:tab w:val="right" w:pos="8834" w:leader="dot"/>
        </w:tabs>
        <w:rPr>
          <w:rFonts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w:instrText>
      </w:r>
      <w:r>
        <w:rPr>
          <w:color w:val="000000" w:themeColor="text1"/>
          <w:highlight w:val="none"/>
          <w14:textFill>
            <w14:solidFill>
              <w14:schemeClr w14:val="tx1"/>
            </w14:solidFill>
          </w14:textFill>
        </w:rPr>
        <w:fldChar w:fldCharType="separate"/>
      </w:r>
      <w:r>
        <w:rPr>
          <w:rStyle w:val="877"/>
          <w:rFonts w:hint="eastAsia" w:ascii="宋体" w:hAnsi="宋体" w:eastAsia="宋体" w:cs="宋体"/>
          <w:b/>
          <w:color w:val="000000" w:themeColor="text1"/>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33</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79"/>
        <w:spacing w:line="360" w:lineRule="auto"/>
        <w:tabs>
          <w:tab w:val="right" w:pos="8834" w:leader="dot"/>
        </w:tabs>
        <w:rPr>
          <w:rFonts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w:instrText>
      </w:r>
      <w:r>
        <w:rPr>
          <w:color w:val="000000" w:themeColor="text1"/>
          <w:highlight w:val="none"/>
          <w14:textFill>
            <w14:solidFill>
              <w14:schemeClr w14:val="tx1"/>
            </w14:solidFill>
          </w14:textFill>
        </w:rPr>
        <w:fldChar w:fldCharType="separate"/>
      </w:r>
      <w:r>
        <w:rPr>
          <w:rStyle w:val="877"/>
          <w:rFonts w:hint="eastAsia" w:ascii="宋体" w:hAnsi="宋体" w:eastAsia="宋体" w:cs="宋体"/>
          <w:b/>
          <w:color w:val="000000" w:themeColor="text1"/>
          <w:highlight w:val="none"/>
          <w14:textFill>
            <w14:solidFill>
              <w14:schemeClr w14:val="tx1"/>
            </w14:solidFill>
          </w14:textFill>
        </w:rPr>
        <w:t xml:space="preserve">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45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bookmarkEnd w:id="0"/>
      <w:r/>
      <w:bookmarkEnd w:id="1"/>
      <w:r/>
      <w:r/>
    </w:p>
    <w:p>
      <w:pPr>
        <w:pStyle w:val="869"/>
        <w:ind w:firstLine="3213"/>
        <w:jc w:val="both"/>
        <w:rPr>
          <w:rFonts w:hint="eastAsia" w:ascii="宋体" w:hAnsi="宋体" w:cs="宋体"/>
          <w:color w:val="000000" w:themeColor="text1"/>
          <w:highlight w:val="none"/>
          <w14:textFill>
            <w14:solidFill>
              <w14:schemeClr w14:val="tx1"/>
            </w14:solidFill>
          </w14:textFill>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869"/>
        <w:ind w:firstLine="3213"/>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南京市儿童医院米面油等食材采购项目</w:t>
      </w:r>
      <w:r>
        <w:rPr>
          <w:rFonts w:hint="eastAsia" w:ascii="宋体" w:hAnsi="宋体" w:cs="宋体"/>
          <w:bCs/>
          <w:color w:val="000000" w:themeColor="text1"/>
          <w:szCs w:val="21"/>
          <w:highlight w:val="none"/>
          <w14:textFill>
            <w14:solidFill>
              <w14:schemeClr w14:val="tx1"/>
            </w14:solidFill>
          </w14:textFill>
        </w:rPr>
        <w:t xml:space="preserve">的潜在供应商应在</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江苏政府采购网系统内注册登记成功后下载</w:t>
      </w:r>
      <w:r>
        <w:rPr>
          <w:rFonts w:hint="eastAsia" w:ascii="宋体" w:hAnsi="宋体" w:cs="宋体"/>
          <w:bCs/>
          <w:color w:val="000000" w:themeColor="text1"/>
          <w:szCs w:val="21"/>
          <w:highlight w:val="none"/>
          <w14:textFill>
            <w14:solidFill>
              <w14:schemeClr w14:val="tx1"/>
            </w14:solidFill>
          </w14:textFill>
        </w:rPr>
        <w:t xml:space="preserve">获取招标文件，并于</w:t>
      </w:r>
      <w:r>
        <w:rPr>
          <w:rFonts w:hint="eastAsia" w:ascii="宋体" w:hAnsi="宋体" w:cs="宋体"/>
          <w:bCs/>
          <w:color w:val="000000" w:themeColor="text1"/>
          <w:szCs w:val="21"/>
          <w:highlight w:val="none"/>
          <w:u w:val="single"/>
          <w14:textFill>
            <w14:solidFill>
              <w14:schemeClr w14:val="tx1"/>
            </w14:solidFill>
          </w14:textFill>
        </w:rPr>
        <w:t xml:space="preserve">202</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bCs/>
          <w:color w:val="000000" w:themeColor="text1"/>
          <w:szCs w:val="21"/>
          <w:highlight w:val="none"/>
          <w:u w:val="single"/>
          <w14:textFill>
            <w14:solidFill>
              <w14:schemeClr w14:val="tx1"/>
            </w14:solidFill>
          </w14:textFill>
        </w:rPr>
        <w:t xml:space="preserve">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7</w:t>
      </w:r>
      <w:r>
        <w:rPr>
          <w:rFonts w:hint="eastAsia" w:ascii="宋体" w:hAnsi="宋体" w:cs="宋体"/>
          <w:bCs/>
          <w:color w:val="000000" w:themeColor="text1"/>
          <w:szCs w:val="21"/>
          <w:highlight w:val="none"/>
          <w:u w:val="single"/>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20</w:t>
      </w:r>
      <w:r>
        <w:rPr>
          <w:rFonts w:hint="eastAsia" w:ascii="宋体" w:hAnsi="宋体" w:cs="宋体"/>
          <w:bCs/>
          <w:color w:val="000000" w:themeColor="text1"/>
          <w:szCs w:val="21"/>
          <w:highlight w:val="none"/>
          <w:u w:val="single"/>
          <w14:textFill>
            <w14:solidFill>
              <w14:schemeClr w14:val="tx1"/>
            </w14:solidFill>
          </w14:textFill>
        </w:rPr>
        <w:t xml:space="preserve">日</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bCs/>
          <w:color w:val="000000" w:themeColor="text1"/>
          <w:szCs w:val="21"/>
          <w:highlight w:val="none"/>
          <w:u w:val="single"/>
          <w14:textFill>
            <w14:solidFill>
              <w14:schemeClr w14:val="tx1"/>
            </w14:solidFill>
          </w14:textFill>
        </w:rPr>
        <w:t xml:space="preserve">:</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bCs/>
          <w:color w:val="000000" w:themeColor="text1"/>
          <w:szCs w:val="21"/>
          <w:highlight w:val="none"/>
          <w:u w:val="single"/>
          <w14:textFill>
            <w14:solidFill>
              <w14:schemeClr w14:val="tx1"/>
            </w14:solidFill>
          </w14:textFill>
        </w:rPr>
        <w:t xml:space="preserve">（北京时间</w:t>
      </w:r>
      <w:r>
        <w:rPr>
          <w:rFonts w:hint="eastAsia" w:ascii="宋体" w:hAnsi="宋体" w:cs="宋体"/>
          <w:bCs/>
          <w:color w:val="000000" w:themeColor="text1"/>
          <w:szCs w:val="21"/>
          <w:highlight w:val="none"/>
          <w14:textFill>
            <w14:solidFill>
              <w14:schemeClr w14:val="tx1"/>
            </w14:solidFill>
          </w14:textFill>
        </w:rPr>
        <w:t xml:space="preserve">）前递交投标文件。</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bookmarkStart w:id="7" w:name="_Toc93909065"/>
      <w:r/>
      <w:bookmarkStart w:id="8" w:name="_Toc96347851"/>
      <w:r>
        <w:rPr>
          <w:rFonts w:hint="eastAsia" w:ascii="宋体" w:hAnsi="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JSZC-320100-JITC-G2026-0205</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1.2项目名称：</w:t>
      </w:r>
      <w:r>
        <w:rPr>
          <w:rFonts w:hint="eastAsia" w:ascii="宋体" w:hAnsi="宋体" w:cs="宋体"/>
          <w:bCs/>
          <w:color w:val="000000" w:themeColor="text1"/>
          <w:szCs w:val="21"/>
          <w:highlight w:val="none"/>
          <w:lang w:eastAsia="zh-CN"/>
          <w14:textFill>
            <w14:solidFill>
              <w14:schemeClr w14:val="tx1"/>
            </w14:solidFill>
          </w14:textFill>
        </w:rPr>
        <w:t xml:space="preserve">南京市儿童医院米面油等食材采购项目</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1.3预算金额：本项目预算</w:t>
      </w:r>
      <w:r>
        <w:rPr>
          <w:rFonts w:hint="eastAsia" w:ascii="宋体" w:hAnsi="宋体" w:cs="宋体"/>
          <w:bCs/>
          <w:color w:val="000000" w:themeColor="text1"/>
          <w:szCs w:val="21"/>
          <w:highlight w:val="none"/>
          <w:lang w:val="en-US" w:eastAsia="zh-CN"/>
          <w14:textFill>
            <w14:solidFill>
              <w14:schemeClr w14:val="tx1"/>
            </w14:solidFill>
          </w14:textFill>
        </w:rPr>
        <w:t xml:space="preserve">190</w:t>
      </w:r>
      <w:r>
        <w:rPr>
          <w:rFonts w:hint="eastAsia" w:ascii="宋体" w:hAnsi="宋体" w:cs="宋体"/>
          <w:bCs/>
          <w:color w:val="000000" w:themeColor="text1"/>
          <w:szCs w:val="21"/>
          <w:highlight w:val="none"/>
          <w14:textFill>
            <w14:solidFill>
              <w14:schemeClr w14:val="tx1"/>
            </w14:solidFill>
          </w14:textFill>
        </w:rPr>
        <w:t xml:space="preserve">万元人民币。</w:t>
      </w:r>
      <w:r/>
    </w:p>
    <w:p>
      <w:pPr>
        <w:ind w:firstLine="422"/>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 xml:space="preserve">★1.4最高限价：</w:t>
      </w:r>
      <w:r>
        <w:rPr>
          <w:rFonts w:hint="eastAsia" w:ascii="宋体" w:hAnsi="宋体" w:eastAsia="宋体" w:cs="宋体"/>
          <w:bCs/>
          <w:color w:val="000000" w:themeColor="text1"/>
          <w:szCs w:val="21"/>
          <w:highlight w:val="none"/>
          <w:lang w:eastAsia="zh-CN"/>
          <w14:textFill>
            <w14:solidFill>
              <w14:schemeClr w14:val="tx1"/>
            </w14:solidFill>
          </w14:textFill>
        </w:rPr>
        <w:t xml:space="preserve">190</w:t>
      </w:r>
      <w:r>
        <w:rPr>
          <w:rFonts w:hint="eastAsia" w:ascii="宋体" w:hAnsi="宋体" w:eastAsia="宋体" w:cs="宋体"/>
          <w:bCs/>
          <w:color w:val="000000" w:themeColor="text1"/>
          <w:szCs w:val="21"/>
          <w:highlight w:val="none"/>
          <w14:textFill>
            <w14:solidFill>
              <w14:schemeClr w14:val="tx1"/>
            </w14:solidFill>
          </w14:textFill>
        </w:rPr>
        <w:t xml:space="preserve">万元人民币。</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1.5采购需求：向南京市儿童医院两院区（广州路院区、河西院区）食堂，供应米面油等食材，满足供应职工及患者就餐。具体要求详见招标文件第四章《采购需求》。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1.6标段划分：本项目共划分1个标段。</w:t>
      </w:r>
      <w:r/>
    </w:p>
    <w:p>
      <w:pPr>
        <w:ind w:firstLine="420"/>
        <w:spacing w:line="353" w:lineRule="auto"/>
        <w:rPr>
          <w:rFonts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 xml:space="preserve">★1.7合同履行期限：自合同签订之日起一年，如果前三个月试供货期不合格,采购人有权解除合同。</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1.8本项目是否接受联合体投标：不接受</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1.9本项目是否接受进口产品：不接受</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bookmarkStart w:id="9" w:name="_Toc80264698"/>
      <w:r/>
      <w:bookmarkStart w:id="10" w:name="_Toc93909066"/>
      <w:r/>
      <w:bookmarkStart w:id="11" w:name="_Toc80792689"/>
      <w:r/>
      <w:bookmarkStart w:id="12" w:name="_Toc96347852"/>
      <w:r>
        <w:rPr>
          <w:rFonts w:hint="eastAsia" w:ascii="宋体" w:hAnsi="宋体" w:cs="宋体"/>
          <w:b/>
          <w:bCs/>
          <w:color w:val="000000" w:themeColor="text1"/>
          <w:szCs w:val="44"/>
          <w:highlight w:val="none"/>
          <w14:textFill>
            <w14:solidFill>
              <w14:schemeClr w14:val="tx1"/>
            </w14:solidFill>
          </w14:textFill>
        </w:rPr>
        <w:t xml:space="preserve">二、</w:t>
      </w:r>
      <w:bookmarkEnd w:id="9"/>
      <w:r>
        <w:rPr>
          <w:rFonts w:hint="eastAsia" w:ascii="宋体" w:hAnsi="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13" w:name="_Toc96347853"/>
      <w:r/>
      <w:bookmarkStart w:id="14" w:name="_Toc80264699"/>
      <w:r/>
      <w:bookmarkStart w:id="15" w:name="_Toc80792690"/>
      <w:r/>
      <w:bookmarkStart w:id="16" w:name="_Toc93909067"/>
      <w:r>
        <w:rPr>
          <w:rFonts w:hint="eastAsia" w:ascii="宋体" w:hAnsi="宋体" w:cs="宋体"/>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2.1.1具有独立承担民事责任的能力，投标人提供在有效经营期内的营业执照、法人授权书（法人直接参与投标的可不提供）、法人身份证复印件、投标人代表身份证复印件；</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2.1.2具有良好的商业信誉和健全的财务会计制度，提供上年度财务报表复印件（即2024年度财务报表或2025年度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2.1.3具有履行合同所必需的设备和专业技术能力，投标人提供具备履行合同所必需的设备和专业技术能力的书面声明（由供应商根据项目需求提供材料）；</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2.1.4有依法缴纳税收和社会保障资金的良好记录，投标人提供递交投标文件截止时间前六个月内至少一个月依法缴纳税收及缴纳社会保障资金的证明材料。投标人依法享受缓缴、免缴的，提供证明材料；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2.1.5</w:t>
      </w:r>
      <w:r>
        <w:rPr>
          <w:rFonts w:hint="eastAsia" w:ascii="宋体" w:hAnsi="宋体" w:cs="宋体"/>
          <w:bCs/>
          <w:color w:val="000000" w:themeColor="text1"/>
          <w:szCs w:val="21"/>
          <w:highlight w:val="none"/>
          <w14:textFill>
            <w14:solidFill>
              <w14:schemeClr w14:val="tx1"/>
            </w14:solidFill>
          </w14:textFill>
        </w:rPr>
        <w:t xml:space="preserve">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2.1.6法律、行政法规规定的其他条件。</w:t>
      </w:r>
      <w:r/>
    </w:p>
    <w:p>
      <w:pPr>
        <w:ind w:firstLine="21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w:t>
      </w:r>
      <w:bookmarkStart w:id="17" w:name="_Toc35393635"/>
      <w:r/>
      <w:r/>
    </w:p>
    <w:p>
      <w:pPr>
        <w:numPr>
          <w:ilvl w:val="0"/>
          <w:numId w:val="0"/>
        </w:numPr>
        <w:ind w:firstLine="210"/>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 1、</w:t>
      </w:r>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rFonts w:hint="eastAsia" w:ascii="宋体" w:hAnsi="宋体" w:cs="宋体"/>
          <w:bCs/>
          <w:color w:val="000000" w:themeColor="text1"/>
          <w:szCs w:val="21"/>
          <w:highlight w:val="none"/>
          <w14:textFill>
            <w14:solidFill>
              <w14:schemeClr w14:val="tx1"/>
            </w14:solidFill>
          </w14:textFill>
        </w:rPr>
        <w:t xml:space="preserve">。供应商在成交后，应按采购文件要求，将上述由信用承诺书替代的证明材料提交采购人或采购代理机构核验。经核验无误后，由采购人或采购代理机构发出成交通知书。</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其中不适用信用承诺的情形：</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1）供应商被列入严重失信主体名单；</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2）被相关监督部门作出行政处罚且尚处在处罚有效期内；</w:t>
      </w:r>
      <w:r/>
    </w:p>
    <w:p>
      <w:pPr>
        <w:numPr>
          <w:ilvl w:val="0"/>
          <w:numId w:val="0"/>
        </w:numPr>
        <w:ind w:left="0" w:firstLine="420"/>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2.2.1中小企业政策：■本项目不面向中小企业预留采购份额</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2.3本项目的特定资格要求：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2.3.1供应商存在下列情形的不得参加本次招标活动：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2.3.1.1单位负责人为同一人或者存在直接控股、管理关系的不同供应商，不得参加同一合同项下的政府采购活动。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2.3.1.2除单一来源项目外，凡为采购项目提供整体设计、规范编制或者项目管理、监理、检测等服务的供应商不得再参加本项目的采购活动。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通过“信用中国”网站（http://www.creditchina.gov.cn）、中国政府采购网（www.ccgp.gov.cn）查询供应商在响应截止时间前的信用记录，通过以上查询渠道，供应商未被列入失信被执行人、重大税收违法失信主体、政府采购严重违法失信行为记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2.3.3其他资格要求：</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（1）若供应商为食品销售企业</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须具有行业主管部门颁发的《食品经营许可证》</w:t>
      </w:r>
      <w:r>
        <w:rPr>
          <w:rFonts w:hint="eastAsia" w:ascii="宋体" w:hAnsi="宋体" w:cs="宋体"/>
          <w:bCs/>
          <w:color w:val="000000" w:themeColor="text1"/>
          <w:szCs w:val="21"/>
          <w:highlight w:val="none"/>
          <w:lang w:val="en-US" w:eastAsia="zh-CN"/>
          <w14:textFill>
            <w14:solidFill>
              <w14:schemeClr w14:val="tx1"/>
            </w14:solidFill>
          </w14:textFill>
        </w:rPr>
        <w:t xml:space="preserve">或仅销售预包装食品经营者备案凭证</w:t>
      </w:r>
      <w:r>
        <w:rPr>
          <w:rFonts w:hint="eastAsia" w:ascii="宋体" w:hAnsi="宋体" w:cs="宋体"/>
          <w:bCs/>
          <w:color w:val="000000" w:themeColor="text1"/>
          <w:szCs w:val="21"/>
          <w:highlight w:val="none"/>
          <w14:textFill>
            <w14:solidFill>
              <w14:schemeClr w14:val="tx1"/>
            </w14:solidFill>
          </w14:textFill>
        </w:rPr>
        <w:t xml:space="preserve">（提供证书复印件）；</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（2）若供应商为食品生产企业</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须具有行业主管部门颁发的《食品生产许可证》（提供证书复印件）。</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line="360" w:lineRule="auto"/>
        <w:rPr>
          <w:rFonts w:ascii="宋体" w:hAnsi="宋体" w:cs="宋体"/>
          <w:bCs/>
          <w:color w:val="000000" w:themeColor="text1"/>
          <w:szCs w:val="21"/>
          <w:highlight w:val="none"/>
          <w14:textFill>
            <w14:solidFill>
              <w14:schemeClr w14:val="tx1"/>
            </w14:solidFill>
          </w14:textFill>
        </w:rPr>
      </w:pPr>
      <w:r/>
      <w:bookmarkStart w:id="18" w:name="_Toc80264700"/>
      <w:r>
        <w:rPr>
          <w:rFonts w:hint="eastAsia" w:ascii="宋体" w:hAnsi="宋体" w:cs="宋体"/>
          <w:bCs/>
          <w:color w:val="000000" w:themeColor="text1"/>
          <w:szCs w:val="21"/>
          <w:highlight w:val="none"/>
          <w14:textFill>
            <w14:solidFill>
              <w14:schemeClr w14:val="tx1"/>
            </w14:solidFill>
          </w14:textFill>
        </w:rPr>
        <w:t xml:space="preserve">时间：自本公告发布之日起5个工作日</w:t>
      </w:r>
      <w:r/>
    </w:p>
    <w:p>
      <w:pPr>
        <w:ind w:firstLine="525"/>
        <w:spacing w:after="40" w:line="360" w:lineRule="auto"/>
        <w:rPr>
          <w:rFonts w:ascii="宋体" w:hAnsi="宋体" w:cs="宋体"/>
          <w:bCs/>
          <w:color w:val="000000" w:themeColor="text1"/>
          <w:szCs w:val="21"/>
          <w:highlight w:val="none"/>
          <w14:textFill>
            <w14:solidFill>
              <w14:schemeClr w14:val="tx1"/>
            </w14:solidFill>
          </w14:textFill>
        </w:rPr>
      </w:pPr>
      <w:r/>
      <w:bookmarkStart w:id="19" w:name="_Toc80792691"/>
      <w:r/>
      <w:bookmarkStart w:id="20" w:name="_Toc93909068"/>
      <w:r/>
      <w:bookmarkStart w:id="21" w:name="_Toc96347854"/>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获取地点：江苏政府采购网</w:t>
      </w:r>
      <w:r>
        <w:rPr>
          <w:rFonts w:hint="eastAsia" w:ascii="宋体" w:hAnsi="宋体" w:cs="宋体"/>
          <w:bCs/>
          <w:color w:val="000000" w:themeColor="text1"/>
          <w:szCs w:val="21"/>
          <w:highlight w:val="none"/>
          <w14:textFill>
            <w14:solidFill>
              <w14:schemeClr w14:val="tx1"/>
            </w14:solidFill>
          </w14:textFill>
        </w:rPr>
        <w:t xml:space="preserve">。</w:t>
      </w:r>
      <w:r/>
    </w:p>
    <w:p>
      <w:pPr>
        <w:ind w:firstLine="525"/>
        <w:spacing w:after="40" w:line="360" w:lineRule="auto"/>
        <w:rPr>
          <w:rFonts w:ascii="宋体" w:hAnsi="宋体" w:cs="宋体"/>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售价：0元。</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四、</w:t>
      </w:r>
      <w:bookmarkEnd w:id="18"/>
      <w:r/>
      <w:bookmarkEnd w:id="19"/>
      <w:r>
        <w:rPr>
          <w:rFonts w:hint="eastAsia" w:ascii="宋体" w:hAnsi="宋体" w:cs="宋体"/>
          <w:b/>
          <w:bCs/>
          <w:color w:val="000000" w:themeColor="text1"/>
          <w:szCs w:val="44"/>
          <w:highlight w:val="none"/>
          <w14:textFill>
            <w14:solidFill>
              <w14:schemeClr w14:val="tx1"/>
            </w14:solidFill>
          </w14:textFill>
        </w:rPr>
        <w:t xml:space="preserve">递交投标文件截止时间、开标时间和地点</w:t>
      </w:r>
      <w:bookmarkEnd w:id="20"/>
      <w:r/>
      <w:bookmarkEnd w:id="21"/>
      <w:r/>
      <w:r/>
    </w:p>
    <w:p>
      <w:pPr>
        <w:ind w:firstLine="525"/>
        <w:spacing w:after="40" w:line="360" w:lineRule="auto"/>
        <w:rPr>
          <w:rFonts w:ascii="宋体" w:hAnsi="宋体" w:cs="宋体"/>
          <w:bCs/>
          <w:color w:val="000000" w:themeColor="text1"/>
          <w:szCs w:val="21"/>
          <w:highlight w:val="none"/>
          <w14:textFill>
            <w14:solidFill>
              <w14:schemeClr w14:val="tx1"/>
            </w14:solidFill>
          </w14:textFill>
        </w:rPr>
      </w:pPr>
      <w:r/>
      <w:bookmarkStart w:id="22" w:name="_Toc80792693"/>
      <w:r/>
      <w:bookmarkStart w:id="23" w:name="_Toc96347855"/>
      <w:r/>
      <w:bookmarkStart w:id="24" w:name="_Toc93909069"/>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提交投标文件截止时间、开标</w:t>
      </w:r>
      <w:r>
        <w:rPr>
          <w:rFonts w:hint="eastAsia" w:ascii="宋体" w:hAnsi="宋体" w:cs="宋体"/>
          <w:bCs/>
          <w:color w:val="000000" w:themeColor="text1"/>
          <w:szCs w:val="21"/>
          <w:highlight w:val="none"/>
          <w14:textFill>
            <w14:solidFill>
              <w14:schemeClr w14:val="tx1"/>
            </w14:solidFill>
          </w14:textFill>
        </w:rPr>
        <w:t xml:space="preserve">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lang w:val="en-US" w:eastAsia="zh-CN"/>
          <w14:textFill>
            <w14:solidFill>
              <w14:schemeClr w14:val="tx1"/>
            </w14:solidFill>
          </w14:textFill>
        </w:rPr>
        <w:t xml:space="preserve">20</w:t>
      </w:r>
      <w:bookmarkStart w:id="360" w:name="_GoBack"/>
      <w:r/>
      <w:bookmarkEnd w:id="360"/>
      <w:r>
        <w:rPr>
          <w:rFonts w:hint="eastAsia" w:ascii="宋体" w:hAnsi="宋体" w:cs="宋体"/>
          <w:bCs/>
          <w:color w:val="000000" w:themeColor="text1"/>
          <w:szCs w:val="21"/>
          <w:highlight w:val="none"/>
          <w14:textFill>
            <w14:solidFill>
              <w14:schemeClr w14:val="tx1"/>
            </w14:solidFill>
          </w14:textFill>
        </w:rPr>
        <w:t xml:space="preserve">日</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30</w:t>
      </w:r>
      <w:r>
        <w:rPr>
          <w:rFonts w:hint="eastAsia" w:ascii="宋体" w:hAnsi="宋体" w:cs="宋体"/>
          <w:bCs/>
          <w:color w:val="000000" w:themeColor="text1"/>
          <w:szCs w:val="21"/>
          <w:highlight w:val="none"/>
          <w14:textFill>
            <w14:solidFill>
              <w14:schemeClr w14:val="tx1"/>
            </w14:solidFill>
          </w14:textFill>
        </w:rPr>
        <w:t xml:space="preserve">（北京时间）</w:t>
      </w:r>
      <w:r/>
    </w:p>
    <w:p>
      <w:pPr>
        <w:ind w:firstLine="525"/>
        <w:spacing w:after="40"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提交投标文件地点：江苏省政府采购管理交易系统（苏采云）（以下简称“苏采云”）（网址：</w:t>
      </w:r>
      <w:r>
        <w:rPr>
          <w:rFonts w:hint="eastAsia" w:ascii="Microsoft New Tai Lue" w:hAnsi="Microsoft New Tai Lue" w:cs="Microsoft New Tai Lue"/>
          <w:bCs/>
          <w:color w:val="000000" w:themeColor="text1"/>
          <w:szCs w:val="21"/>
          <w:highlight w:val="none"/>
          <w14:textFill>
            <w14:solidFill>
              <w14:schemeClr w14:val="tx1"/>
            </w14:solidFill>
          </w14:textFill>
        </w:rPr>
        <w:fldChar w:fldCharType="begin"/>
      </w:r>
      <w:r>
        <w:rPr>
          <w:rFonts w:hint="eastAsia" w:ascii="Microsoft New Tai Lue" w:hAnsi="Microsoft New Tai Lue" w:cs="Microsoft New Tai Lue"/>
          <w:bCs/>
          <w:color w:val="000000" w:themeColor="text1"/>
          <w:szCs w:val="21"/>
          <w:highlight w:val="none"/>
          <w14:textFill>
            <w14:solidFill>
              <w14:schemeClr w14:val="tx1"/>
            </w14:solidFill>
          </w14:textFill>
        </w:rPr>
        <w:instrText xml:space="preserve"> HYPERLINK "http://jszfcg.jsczt.cn/）" </w:instrText>
      </w:r>
      <w:r>
        <w:rPr>
          <w:rFonts w:hint="eastAsia" w:ascii="Microsoft New Tai Lue" w:hAnsi="Microsoft New Tai Lue" w:cs="Microsoft New Tai Lue"/>
          <w:bCs/>
          <w:color w:val="000000" w:themeColor="text1"/>
          <w:szCs w:val="21"/>
          <w:highlight w:val="none"/>
          <w14:textFill>
            <w14:solidFill>
              <w14:schemeClr w14:val="tx1"/>
            </w14:solidFill>
          </w14:textFill>
        </w:rPr>
        <w:fldChar w:fldCharType="separate"/>
      </w:r>
      <w:r>
        <w:rPr>
          <w:rStyle w:val="877"/>
          <w:rFonts w:hint="eastAsia" w:ascii="Microsoft New Tai Lue" w:hAnsi="Microsoft New Tai Lue" w:cs="Microsoft New Tai Lue"/>
          <w:bCs/>
          <w:color w:val="000000" w:themeColor="text1"/>
          <w:szCs w:val="21"/>
          <w:highlight w:val="none"/>
          <w14:textFill>
            <w14:solidFill>
              <w14:schemeClr w14:val="tx1"/>
            </w14:solidFill>
          </w14:textFill>
        </w:rPr>
        <w:t xml:space="preserve">http://jszfcg.jsczt.cn/）</w:t>
      </w:r>
      <w:r>
        <w:rPr>
          <w:rFonts w:hint="eastAsia" w:ascii="Microsoft New Tai Lue" w:hAnsi="Microsoft New Tai Lue" w:cs="Microsoft New Tai Lue"/>
          <w:bCs/>
          <w:color w:val="000000" w:themeColor="text1"/>
          <w:szCs w:val="21"/>
          <w:highlight w:val="none"/>
          <w14:textFill>
            <w14:solidFill>
              <w14:schemeClr w14:val="tx1"/>
            </w14:solidFill>
          </w14:textFill>
        </w:rPr>
        <w:fldChar w:fldCharType="end"/>
      </w:r>
      <w:r/>
    </w:p>
    <w:p>
      <w:pPr>
        <w:ind w:firstLine="525"/>
        <w:spacing w:after="40"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开标地点：</w:t>
      </w:r>
      <w:sdt>
        <w:sdtPr>
          <w15:appearance w15:val="boundingBox"/>
          <w:id w:val="934481194"/>
          <w:placeholder>
            <w:docPart w:val="{97867fe7-5d61-4f1b-9909-88ba0846745a}"/>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“苏采云”网上开标大厅</w:t>
          </w:r>
        </w:sdtContent>
      </w:sd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五、</w:t>
      </w:r>
      <w:bookmarkEnd w:id="22"/>
      <w:r>
        <w:rPr>
          <w:rFonts w:hint="eastAsia" w:ascii="宋体" w:hAnsi="宋体" w:cs="宋体"/>
          <w:b/>
          <w:bCs/>
          <w:color w:val="000000" w:themeColor="text1"/>
          <w:szCs w:val="44"/>
          <w:highlight w:val="none"/>
          <w14:textFill>
            <w14:solidFill>
              <w14:schemeClr w14:val="tx1"/>
            </w14:solidFill>
          </w14:textFill>
        </w:rPr>
        <w:t xml:space="preserve">公告期</w:t>
      </w:r>
      <w:bookmarkEnd w:id="23"/>
      <w:r/>
      <w:bookmarkEnd w:id="24"/>
      <w:r>
        <w:rPr>
          <w:rFonts w:hint="eastAsia" w:ascii="宋体" w:hAnsi="宋体" w:cs="宋体"/>
          <w:b/>
          <w:bCs/>
          <w:color w:val="000000" w:themeColor="text1"/>
          <w:szCs w:val="44"/>
          <w:highlight w:val="none"/>
          <w14:textFill>
            <w14:solidFill>
              <w14:schemeClr w14:val="tx1"/>
            </w14:solidFill>
          </w14:textFill>
        </w:rPr>
        <w:t xml:space="preserve">限</w:t>
      </w:r>
      <w:r/>
    </w:p>
    <w:p>
      <w:pPr>
        <w:ind w:firstLine="525"/>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自本公告发布之日起5个工作日。</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bookmarkStart w:id="25" w:name="_Toc93909070"/>
      <w:r/>
      <w:bookmarkStart w:id="26" w:name="_Toc96347856"/>
      <w:r>
        <w:rPr>
          <w:rFonts w:hint="eastAsia" w:ascii="宋体" w:hAnsi="宋体" w:cs="宋体"/>
          <w:b/>
          <w:bCs/>
          <w:color w:val="000000" w:themeColor="text1"/>
          <w:szCs w:val="44"/>
          <w:highlight w:val="none"/>
          <w14:textFill>
            <w14:solidFill>
              <w14:schemeClr w14:val="tx1"/>
            </w14:solidFill>
          </w14:textFill>
        </w:rPr>
        <w:t xml:space="preserve">六、其他补充事宜</w:t>
      </w:r>
      <w:bookmarkEnd w:id="25"/>
      <w:r/>
      <w:bookmarkEnd w:id="26"/>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27" w:name="_Toc80264702"/>
      <w:r/>
      <w:bookmarkStart w:id="28" w:name="_Toc80792694"/>
      <w:r/>
      <w:bookmarkStart w:id="29" w:name="_Toc93909071"/>
      <w:r/>
      <w:bookmarkStart w:id="30" w:name="_Toc96347857"/>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2、供应商诚信档案管理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color w:val="000000" w:themeColor="text1"/>
          <w:szCs w:val="21"/>
          <w:highlight w:val="none"/>
          <w14:textFill>
            <w14:solidFill>
              <w14:schemeClr w14:val="tx1"/>
            </w14:solidFill>
          </w14:textFill>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（1）符合国家相关规定的财务状况报告；</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（2）依法缴纳税收的证明材料；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（3）依法缴纳社会保障资金的证明材料；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（4）具备履行政府采购合同所必需的设备和专业技术能力的证明材料；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（5）参加政府采购活动前三年内在经营活动中没有重大违法记录的证明材料；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供应商涉及以下情形的，不适用信用承诺：</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（2）被相关监管部门作出行政处罚且尚在处罚有效期内；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2"/>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4、潜在供应商访问政府采购管理交易系统（苏采云）的网络地址和方法：</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（3）“CA数字证书”的办理材料以及供应商操作手册详见：http://jsxcmm.com/help/gys.html。</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firstLine="373"/>
        <w:spacing w:line="360" w:lineRule="auto"/>
        <w:rPr>
          <w:rFonts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七、</w:t>
      </w:r>
      <w:bookmarkEnd w:id="27"/>
      <w:r/>
      <w:bookmarkEnd w:id="28"/>
      <w:r>
        <w:rPr>
          <w:rFonts w:hint="eastAsia" w:ascii="宋体" w:hAnsi="宋体" w:cs="宋体"/>
          <w:b/>
          <w:bCs/>
          <w:color w:val="000000" w:themeColor="text1"/>
          <w:szCs w:val="44"/>
          <w:highlight w:val="none"/>
          <w14:textFill>
            <w14:solidFill>
              <w14:schemeClr w14:val="tx1"/>
            </w14:solidFill>
          </w14:textFill>
        </w:rPr>
        <w:t xml:space="preserve">对本次招标提出询问，请按以下方式联系。</w:t>
      </w:r>
      <w:bookmarkEnd w:id="29"/>
      <w:r/>
      <w:bookmarkEnd w:id="30"/>
      <w:r/>
      <w:r/>
    </w:p>
    <w:p>
      <w:pPr>
        <w:ind w:firstLine="525"/>
        <w:spacing w:line="360" w:lineRule="auto"/>
        <w:rPr>
          <w:rFonts w:hint="eastAsia" w:eastAsia="宋体"/>
          <w:color w:val="000000" w:themeColor="text1"/>
          <w:szCs w:val="21"/>
          <w:highlight w:val="none"/>
          <w14:textFill>
            <w14:solidFill>
              <w14:schemeClr w14:val="tx1"/>
            </w14:solidFill>
          </w14:textFill>
        </w:rPr>
      </w:pPr>
      <w:r/>
      <w:bookmarkStart w:id="31" w:name="_Toc28359085"/>
      <w:r>
        <w:rPr>
          <w:rFonts w:hint="eastAsia" w:eastAsia="宋体"/>
          <w:color w:val="000000" w:themeColor="text1"/>
          <w:szCs w:val="21"/>
          <w:highlight w:val="none"/>
          <w14:textFill>
            <w14:solidFill>
              <w14:schemeClr w14:val="tx1"/>
            </w14:solidFill>
          </w14:textFill>
        </w:rPr>
        <w:t xml:space="preserve">1．采购人信息</w:t>
      </w:r>
      <w:r/>
    </w:p>
    <w:p>
      <w:pPr>
        <w:ind w:firstLine="525"/>
        <w:spacing w:line="360" w:lineRule="auto"/>
        <w:rPr>
          <w:rFonts w:hint="eastAsia" w:eastAsia="宋体"/>
          <w:color w:val="000000" w:themeColor="text1"/>
          <w:szCs w:val="21"/>
          <w:highlight w:val="none"/>
          <w14:textFill>
            <w14:solidFill>
              <w14:schemeClr w14:val="tx1"/>
            </w14:solidFill>
          </w14:textFill>
        </w:rPr>
      </w:pPr>
      <w:r>
        <w:rPr>
          <w:rFonts w:hint="eastAsia" w:eastAsia="宋体"/>
          <w:color w:val="000000" w:themeColor="text1"/>
          <w:szCs w:val="21"/>
          <w:highlight w:val="none"/>
          <w14:textFill>
            <w14:solidFill>
              <w14:schemeClr w14:val="tx1"/>
            </w14:solidFill>
          </w14:textFill>
        </w:rPr>
        <w:t xml:space="preserve">名 称：南京市儿童医院</w:t>
      </w:r>
      <w:r/>
    </w:p>
    <w:p>
      <w:pPr>
        <w:ind w:firstLine="525"/>
        <w:spacing w:line="360" w:lineRule="auto"/>
        <w:rPr>
          <w:rFonts w:hint="eastAsia" w:eastAsia="宋体"/>
          <w:color w:val="000000" w:themeColor="text1"/>
          <w:szCs w:val="21"/>
          <w:highlight w:val="none"/>
          <w14:textFill>
            <w14:solidFill>
              <w14:schemeClr w14:val="tx1"/>
            </w14:solidFill>
          </w14:textFill>
        </w:rPr>
      </w:pPr>
      <w:r>
        <w:rPr>
          <w:rFonts w:hint="eastAsia" w:eastAsia="宋体"/>
          <w:color w:val="000000" w:themeColor="text1"/>
          <w:szCs w:val="21"/>
          <w:highlight w:val="none"/>
          <w14:textFill>
            <w14:solidFill>
              <w14:schemeClr w14:val="tx1"/>
            </w14:solidFill>
          </w14:textFill>
        </w:rPr>
        <w:t xml:space="preserve">地 址：</w:t>
      </w:r>
      <w:r>
        <w:rPr>
          <w:rFonts w:hint="eastAsia" w:ascii="宋体" w:hAnsi="宋体" w:cs="宋体"/>
          <w:color w:val="000000" w:themeColor="text1"/>
          <w:szCs w:val="21"/>
          <w:highlight w:val="none"/>
          <w14:textFill>
            <w14:solidFill>
              <w14:schemeClr w14:val="tx1"/>
            </w14:solidFill>
          </w14:textFill>
        </w:rPr>
        <w:t xml:space="preserve">南京市建邺区江东南路8号</w:t>
      </w:r>
      <w:r/>
    </w:p>
    <w:p>
      <w:pPr>
        <w:ind w:firstLine="525"/>
        <w:spacing w:line="360" w:lineRule="auto"/>
        <w:rPr>
          <w:rFonts w:hint="default" w:eastAsia="宋体"/>
          <w:color w:val="000000" w:themeColor="text1"/>
          <w:szCs w:val="21"/>
          <w:highlight w:val="none"/>
          <w:lang w:val="en-US" w:eastAsia="zh-CN"/>
          <w14:textFill>
            <w14:solidFill>
              <w14:schemeClr w14:val="tx1"/>
            </w14:solidFill>
          </w14:textFill>
        </w:rPr>
      </w:pPr>
      <w:r>
        <w:rPr>
          <w:rFonts w:hint="eastAsia" w:eastAsia="宋体"/>
          <w:color w:val="000000" w:themeColor="text1"/>
          <w:szCs w:val="21"/>
          <w:highlight w:val="none"/>
          <w14:textFill>
            <w14:solidFill>
              <w14:schemeClr w14:val="tx1"/>
            </w14:solidFill>
          </w14:textFill>
        </w:rPr>
        <w:t xml:space="preserve">联系人：</w:t>
      </w:r>
      <w:r>
        <w:rPr>
          <w:rFonts w:hint="eastAsia" w:eastAsia="宋体"/>
          <w:color w:val="000000" w:themeColor="text1"/>
          <w:szCs w:val="21"/>
          <w:highlight w:val="none"/>
          <w:lang w:val="en-US" w:eastAsia="zh-CN"/>
          <w14:textFill>
            <w14:solidFill>
              <w14:schemeClr w14:val="tx1"/>
            </w14:solidFill>
          </w14:textFill>
        </w:rPr>
        <w:t xml:space="preserve">黄老师</w:t>
      </w:r>
      <w:r/>
    </w:p>
    <w:p>
      <w:pPr>
        <w:ind w:firstLine="525"/>
        <w:spacing w:line="360" w:lineRule="auto"/>
        <w:rPr>
          <w:rFonts w:hint="eastAsia" w:eastAsia="宋体"/>
          <w:color w:val="000000" w:themeColor="text1"/>
          <w:szCs w:val="21"/>
          <w:highlight w:val="none"/>
          <w14:textFill>
            <w14:solidFill>
              <w14:schemeClr w14:val="tx1"/>
            </w14:solidFill>
          </w14:textFill>
        </w:rPr>
      </w:pPr>
      <w:r>
        <w:rPr>
          <w:rFonts w:hint="eastAsia" w:eastAsia="宋体"/>
          <w:color w:val="000000" w:themeColor="text1"/>
          <w:szCs w:val="21"/>
          <w:highlight w:val="none"/>
          <w14:textFill>
            <w14:solidFill>
              <w14:schemeClr w14:val="tx1"/>
            </w14:solidFill>
          </w14:textFill>
        </w:rPr>
        <w:t xml:space="preserve">联系方式：</w:t>
      </w:r>
      <w:r>
        <w:rPr>
          <w:rFonts w:hint="eastAsia" w:eastAsia="宋体"/>
          <w:color w:val="000000" w:themeColor="text1"/>
          <w:szCs w:val="21"/>
          <w:highlight w:val="none"/>
          <w:lang w:val="en-US" w:eastAsia="zh-CN"/>
          <w14:textFill>
            <w14:solidFill>
              <w14:schemeClr w14:val="tx1"/>
            </w14:solidFill>
          </w14:textFill>
        </w:rPr>
        <w:t xml:space="preserve"> </w:t>
      </w:r>
      <w:r>
        <w:rPr>
          <w:rFonts w:hint="eastAsia" w:eastAsia="宋体"/>
          <w:color w:val="000000" w:themeColor="text1"/>
          <w:szCs w:val="21"/>
          <w:highlight w:val="none"/>
          <w14:textFill>
            <w14:solidFill>
              <w14:schemeClr w14:val="tx1"/>
            </w14:solidFill>
          </w14:textFill>
        </w:rPr>
        <w:t xml:space="preserve">025-52862967</w:t>
      </w:r>
      <w:r/>
    </w:p>
    <w:p>
      <w:pPr>
        <w:ind w:firstLine="525"/>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w:t>
      </w:r>
      <w:r>
        <w:rPr>
          <w:rFonts w:hint="eastAsia"/>
          <w:color w:val="000000" w:themeColor="text1"/>
          <w:szCs w:val="21"/>
          <w:highlight w:val="none"/>
          <w14:textFill>
            <w14:solidFill>
              <w14:schemeClr w14:val="tx1"/>
            </w14:solidFill>
          </w14:textFill>
        </w:rPr>
        <w:t xml:space="preserve">南京市雨花台区宁双路19号云密城C栋3楼305室</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杨小莉</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马翊然、</w:t>
      </w:r>
      <w:r>
        <w:rPr>
          <w:rFonts w:hint="eastAsia" w:ascii="宋体" w:hAnsi="宋体" w:cs="宋体"/>
          <w:color w:val="000000" w:themeColor="text1"/>
          <w:szCs w:val="21"/>
          <w:highlight w:val="none"/>
          <w14:textFill>
            <w14:solidFill>
              <w14:schemeClr w14:val="tx1"/>
            </w14:solidFill>
          </w14:textFill>
        </w:rPr>
        <w:t xml:space="preserve">呼禹、宗超</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rFonts w:hint="eastAsia" w:ascii="宋体" w:hAnsi="宋体" w:cs="宋体"/>
          <w:color w:val="000000" w:themeColor="text1"/>
          <w:szCs w:val="21"/>
          <w:highlight w:val="none"/>
          <w:lang w:val="en-US" w:eastAsia="zh-CN"/>
          <w14:textFill>
            <w14:solidFill>
              <w14:schemeClr w14:val="tx1"/>
            </w14:solidFill>
          </w14:textFill>
        </w:rPr>
        <w:t xml:space="preserve">18021508706</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18761879918、13851876930</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w:t>
      </w:r>
      <w:r>
        <w:rPr>
          <w:rFonts w:hint="eastAsia" w:ascii="宋体" w:hAnsi="宋体" w:cs="宋体"/>
          <w:color w:val="000000" w:themeColor="text1"/>
          <w:szCs w:val="21"/>
          <w:highlight w:val="none"/>
          <w:lang w:val="en-US" w:eastAsia="zh-CN"/>
          <w14:textFill>
            <w14:solidFill>
              <w14:schemeClr w14:val="tx1"/>
            </w14:solidFill>
          </w14:textFill>
        </w:rPr>
        <w:t xml:space="preserve">杨小莉</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马翊然、</w:t>
      </w:r>
      <w:r>
        <w:rPr>
          <w:rFonts w:hint="eastAsia" w:ascii="宋体" w:hAnsi="宋体" w:cs="宋体"/>
          <w:color w:val="000000" w:themeColor="text1"/>
          <w:szCs w:val="21"/>
          <w:highlight w:val="none"/>
          <w14:textFill>
            <w14:solidFill>
              <w14:schemeClr w14:val="tx1"/>
            </w14:solidFill>
          </w14:textFill>
        </w:rPr>
        <w:t xml:space="preserve">呼禹</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szCs w:val="21"/>
          <w:highlight w:val="none"/>
          <w:lang w:val="en-US" w:eastAsia="zh-CN"/>
          <w14:textFill>
            <w14:solidFill>
              <w14:schemeClr w14:val="tx1"/>
            </w14:solidFill>
          </w14:textFill>
        </w:rPr>
        <w:t xml:space="preserve">18021508706</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r/>
      <w:bookmarkEnd w:id="31"/>
      <w:r/>
      <w:r/>
    </w:p>
    <w:p>
      <w:pPr>
        <w:pStyle w:val="84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9"/>
        <w:rPr>
          <w:rFonts w:ascii="宋体" w:hAnsi="宋体" w:cs="宋体"/>
          <w:color w:val="000000" w:themeColor="text1"/>
          <w:highlight w:val="none"/>
          <w14:textFill>
            <w14:solidFill>
              <w14:schemeClr w14:val="tx1"/>
            </w14:solidFill>
          </w14:textFill>
        </w:rPr>
      </w:pPr>
      <w:r/>
      <w:bookmarkStart w:id="32" w:name="_Toc107246212"/>
      <w:r>
        <w:rPr>
          <w:rFonts w:hint="eastAsia" w:ascii="宋体" w:hAnsi="宋体" w:cs="宋体"/>
          <w:color w:val="000000" w:themeColor="text1"/>
          <w:highlight w:val="none"/>
          <w14:textFill>
            <w14:solidFill>
              <w14:schemeClr w14:val="tx1"/>
            </w14:solidFill>
          </w14:textFill>
        </w:rPr>
        <w:t xml:space="preserve">第二章  供应商须知</w:t>
      </w:r>
      <w:bookmarkEnd w:id="6"/>
      <w:r/>
      <w:bookmarkEnd w:id="32"/>
      <w:r/>
      <w:r/>
    </w:p>
    <w:p>
      <w:pPr>
        <w:ind w:firstLine="569"/>
        <w:jc w:val="cente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供应商须知前附表</w:t>
      </w:r>
      <w:r/>
    </w:p>
    <w:p>
      <w:pPr>
        <w:ind w:firstLine="372"/>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本表是对《供应商须知》正文的具体补充和修改，如有矛盾，以本《前附表》为准。</w:t>
      </w:r>
      <w:r/>
    </w:p>
    <w:p>
      <w:pPr>
        <w:ind w:firstLine="372"/>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标记“</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839"/>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tcPr>
          <w:p>
            <w:pPr>
              <w:pStyle w:val="1101"/>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序号</w:t>
            </w:r>
            <w:r/>
          </w:p>
        </w:tc>
        <w:tc>
          <w:tcPr>
            <w:tcW w:w="850" w:type="dxa"/>
            <w:vAlign w:val="center"/>
            <w:textDirection w:val="lrTb"/>
            <w:noWrap/>
          </w:tcPr>
          <w:p>
            <w:pPr>
              <w:pStyle w:val="1101"/>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条款号</w:t>
            </w:r>
            <w:r/>
          </w:p>
        </w:tc>
        <w:tc>
          <w:tcPr>
            <w:tcW w:w="2835" w:type="dxa"/>
            <w:vAlign w:val="center"/>
            <w:textDirection w:val="lrTb"/>
            <w:noWrap/>
          </w:tcPr>
          <w:p>
            <w:pPr>
              <w:pStyle w:val="1101"/>
              <w:ind w:firstLine="373"/>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条款名称</w:t>
            </w:r>
            <w:r/>
          </w:p>
        </w:tc>
        <w:tc>
          <w:tcPr>
            <w:tcW w:w="4982" w:type="dxa"/>
            <w:vAlign w:val="center"/>
            <w:textDirection w:val="lrTb"/>
            <w:noWrap/>
          </w:tcPr>
          <w:p>
            <w:pPr>
              <w:pStyle w:val="1101"/>
              <w:ind w:firstLine="373"/>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tcPr>
          <w:p>
            <w:pPr>
              <w:pStyle w:val="110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w:t>
            </w:r>
            <w:r/>
          </w:p>
        </w:tc>
        <w:tc>
          <w:tcPr>
            <w:tcW w:w="850" w:type="dxa"/>
            <w:vAlign w:val="center"/>
            <w:textDirection w:val="lrTb"/>
            <w:noWrap/>
          </w:tcPr>
          <w:p>
            <w:pPr>
              <w:pStyle w:val="110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2835" w:type="dxa"/>
            <w:vAlign w:val="center"/>
            <w:textDirection w:val="lrTb"/>
            <w:noWrap/>
          </w:tcPr>
          <w:p>
            <w:pPr>
              <w:pStyle w:val="110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采购人</w:t>
            </w:r>
            <w:r/>
          </w:p>
        </w:tc>
        <w:tc>
          <w:tcPr>
            <w:tcW w:w="4982" w:type="dxa"/>
            <w:vAlign w:val="center"/>
            <w:textDirection w:val="lrTb"/>
            <w:noWrap/>
          </w:tcPr>
          <w:p>
            <w:pPr>
              <w:pStyle w:val="1098"/>
              <w:spacing w:before="160" w:line="276"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称：南京市儿童医院</w:t>
            </w:r>
            <w:r/>
          </w:p>
          <w:p>
            <w:pPr>
              <w:pStyle w:val="1098"/>
              <w:spacing w:before="160" w:line="276"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南京市建邺区江东南路8号</w:t>
            </w:r>
            <w:r/>
          </w:p>
          <w:p>
            <w:pPr>
              <w:pStyle w:val="1098"/>
              <w:spacing w:before="160" w:line="276"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黄老师 </w:t>
            </w:r>
            <w:r>
              <w:rPr>
                <w:rFonts w:hint="eastAsia"/>
                <w:color w:val="000000" w:themeColor="text1"/>
                <w:highlight w:val="none"/>
                <w:lang w:val="en-US" w:eastAsia="zh-CN"/>
                <w14:textFill>
                  <w14:solidFill>
                    <w14:schemeClr w14:val="tx1"/>
                  </w14:solidFill>
                </w14:textFill>
              </w:rPr>
              <w:t xml:space="preserve"> </w:t>
            </w:r>
            <w:r/>
          </w:p>
          <w:p>
            <w:pPr>
              <w:pStyle w:val="1098"/>
              <w:spacing w:before="160" w:line="276"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联系方式：</w:t>
            </w: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025-52862967</w:t>
            </w:r>
            <w:r>
              <w:rPr>
                <w:rFonts w:hint="eastAsia"/>
                <w:color w:val="000000" w:themeColor="text1"/>
                <w:highlight w:val="none"/>
                <w:lang w:val="en-US" w:eastAsia="zh-CN"/>
                <w14:textFill>
                  <w14:solidFill>
                    <w14:schemeClr w14:val="tx1"/>
                  </w14:solidFill>
                </w14:textFill>
              </w:rPr>
              <w:t xml:space="preserve"> </w:t>
            </w:r>
            <w:r/>
          </w:p>
        </w:tc>
      </w:tr>
      <w:tr>
        <w:trPr>
          <w:jc w:val="center"/>
        </w:trPr>
        <w:tc>
          <w:tcPr>
            <w:tcW w:w="675" w:type="dxa"/>
            <w:vAlign w:val="center"/>
            <w:textDirection w:val="lrTb"/>
            <w:noWrap/>
          </w:tcPr>
          <w:p>
            <w:pPr>
              <w:pStyle w:val="110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w:t>
            </w:r>
            <w:r/>
          </w:p>
        </w:tc>
        <w:tc>
          <w:tcPr>
            <w:tcW w:w="850" w:type="dxa"/>
            <w:vAlign w:val="center"/>
            <w:textDirection w:val="lrTb"/>
            <w:noWrap/>
          </w:tcPr>
          <w:p>
            <w:pPr>
              <w:pStyle w:val="110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2835" w:type="dxa"/>
            <w:vAlign w:val="center"/>
            <w:textDirection w:val="lrTb"/>
            <w:noWrap/>
          </w:tcPr>
          <w:p>
            <w:pPr>
              <w:pStyle w:val="110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tcPr>
          <w:p>
            <w:pPr>
              <w:pStyle w:val="1098"/>
              <w:spacing w:before="160" w:line="276"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 ：江苏省招标中心有限公司</w:t>
            </w:r>
            <w:r/>
          </w:p>
          <w:p>
            <w:pPr>
              <w:pStyle w:val="1098"/>
              <w:spacing w:before="160" w:line="276"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 ：南京市雨花台区宁双路19号云密城C栋3楼305室</w:t>
            </w:r>
            <w:r/>
          </w:p>
          <w:p>
            <w:pPr>
              <w:pStyle w:val="1098"/>
              <w:spacing w:before="160" w:line="276"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杨小莉</w:t>
            </w:r>
            <w:r>
              <w:rPr>
                <w:rFonts w:hint="eastAsia"/>
                <w:color w:val="000000" w:themeColor="text1"/>
                <w:sz w:val="21"/>
                <w:szCs w:val="21"/>
                <w:highlight w:val="none"/>
                <w:lang w:val="en-US" w:bidi="ar-SA"/>
                <w14:textFill>
                  <w14:solidFill>
                    <w14:schemeClr w14:val="tx1"/>
                  </w14:solidFill>
                </w14:textFill>
              </w:rPr>
              <w:t xml:space="preserve">、呼禹、宗超</w:t>
            </w:r>
            <w:r/>
          </w:p>
          <w:p>
            <w:pPr>
              <w:pStyle w:val="1098"/>
              <w:spacing w:before="160" w:line="276" w:lineRule="auto"/>
              <w:rPr>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rFonts w:hint="eastAsia"/>
                <w:color w:val="000000" w:themeColor="text1"/>
                <w:sz w:val="21"/>
                <w:szCs w:val="21"/>
                <w:highlight w:val="none"/>
                <w:lang w:val="en-US" w:eastAsia="zh-CN" w:bidi="ar-SA"/>
                <w14:textFill>
                  <w14:solidFill>
                    <w14:schemeClr w14:val="tx1"/>
                  </w14:solidFill>
                </w14:textFill>
              </w:rPr>
              <w:t xml:space="preserve">18021508706</w:t>
            </w:r>
            <w:r>
              <w:rPr>
                <w:rFonts w:hint="eastAsia"/>
                <w:color w:val="000000" w:themeColor="text1"/>
                <w:sz w:val="21"/>
                <w:szCs w:val="21"/>
                <w:highlight w:val="none"/>
                <w:lang w:val="en-US" w:bidi="ar-SA"/>
                <w14:textFill>
                  <w14:solidFill>
                    <w14:schemeClr w14:val="tx1"/>
                  </w14:solidFill>
                </w14:textFill>
              </w:rPr>
              <w:t xml:space="preserve">、18761879918、13851876930</w:t>
            </w:r>
            <w:r/>
          </w:p>
        </w:tc>
      </w:tr>
      <w:tr>
        <w:trPr>
          <w:jc w:val="center"/>
          <w:trHeight w:val="510"/>
        </w:trPr>
        <w:tc>
          <w:tcPr>
            <w:tcW w:w="675" w:type="dxa"/>
            <w:vAlign w:val="center"/>
            <w:textDirection w:val="lrTb"/>
            <w:noWrap/>
          </w:tcPr>
          <w:p>
            <w:pPr>
              <w:pStyle w:val="110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w:t>
            </w:r>
            <w:r/>
          </w:p>
        </w:tc>
        <w:tc>
          <w:tcPr>
            <w:tcW w:w="850" w:type="dxa"/>
            <w:vAlign w:val="center"/>
            <w:textDirection w:val="lrTb"/>
            <w:noWrap/>
          </w:tcPr>
          <w:p>
            <w:pPr>
              <w:pStyle w:val="110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2835" w:type="dxa"/>
            <w:vAlign w:val="center"/>
            <w:textDirection w:val="lrTb"/>
            <w:noWrap/>
          </w:tcPr>
          <w:p>
            <w:pPr>
              <w:pStyle w:val="1101"/>
              <w:jc w:val="left"/>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tcPr>
          <w:p>
            <w:pPr>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tcPr>
          <w:p>
            <w:pPr>
              <w:pStyle w:val="110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850" w:type="dxa"/>
            <w:vAlign w:val="center"/>
            <w:textDirection w:val="lrTb"/>
            <w:noWrap/>
          </w:tcPr>
          <w:p>
            <w:pPr>
              <w:pStyle w:val="110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8.1</w:t>
            </w:r>
            <w:r/>
          </w:p>
        </w:tc>
        <w:tc>
          <w:tcPr>
            <w:tcW w:w="2835" w:type="dxa"/>
            <w:vAlign w:val="center"/>
            <w:textDirection w:val="lrTb"/>
            <w:noWrap/>
          </w:tcPr>
          <w:p>
            <w:pPr>
              <w:spacing w:line="276"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tcPr>
          <w:p>
            <w:pPr>
              <w:spacing w:line="276"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■不组织</w:t>
            </w:r>
            <w:r/>
          </w:p>
        </w:tc>
      </w:tr>
      <w:tr>
        <w:trPr>
          <w:jc w:val="center"/>
          <w:trHeight w:val="510"/>
        </w:trPr>
        <w:tc>
          <w:tcPr>
            <w:tcW w:w="675" w:type="dxa"/>
            <w:vAlign w:val="center"/>
            <w:textDirection w:val="lrTb"/>
            <w:noWrap/>
          </w:tcPr>
          <w:p>
            <w:pPr>
              <w:pStyle w:val="110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5</w:t>
            </w:r>
            <w:r/>
          </w:p>
        </w:tc>
        <w:tc>
          <w:tcPr>
            <w:tcW w:w="850" w:type="dxa"/>
            <w:vAlign w:val="center"/>
            <w:textDirection w:val="lrTb"/>
            <w:noWrap/>
          </w:tcPr>
          <w:p>
            <w:pPr>
              <w:pStyle w:val="110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9.1</w:t>
            </w:r>
            <w:r/>
          </w:p>
        </w:tc>
        <w:tc>
          <w:tcPr>
            <w:tcW w:w="2835" w:type="dxa"/>
            <w:vAlign w:val="center"/>
            <w:textDirection w:val="lrTb"/>
            <w:noWrap/>
          </w:tcPr>
          <w:p>
            <w:pPr>
              <w:pStyle w:val="110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tcPr>
          <w:p>
            <w:pPr>
              <w:spacing w:line="276"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■不召开</w:t>
            </w:r>
            <w:r/>
          </w:p>
        </w:tc>
      </w:tr>
      <w:tr>
        <w:trPr>
          <w:jc w:val="center"/>
          <w:trHeight w:val="510"/>
        </w:trPr>
        <w:tc>
          <w:tcPr>
            <w:tcW w:w="675" w:type="dxa"/>
            <w:vAlign w:val="center"/>
            <w:textDirection w:val="lrTb"/>
            <w:noWrap/>
          </w:tcPr>
          <w:p>
            <w:pPr>
              <w:pStyle w:val="110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w:t>
            </w:r>
            <w:r/>
          </w:p>
        </w:tc>
        <w:tc>
          <w:tcPr>
            <w:tcW w:w="850" w:type="dxa"/>
            <w:vAlign w:val="center"/>
            <w:textDirection w:val="lrTb"/>
            <w:noWrap/>
          </w:tcPr>
          <w:p>
            <w:pPr>
              <w:pStyle w:val="110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10.1</w:t>
            </w:r>
            <w:r/>
          </w:p>
        </w:tc>
        <w:tc>
          <w:tcPr>
            <w:tcW w:w="2835" w:type="dxa"/>
            <w:vAlign w:val="center"/>
            <w:textDirection w:val="lrTb"/>
            <w:noWrap/>
          </w:tcPr>
          <w:p>
            <w:pPr>
              <w:pStyle w:val="110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联合体投标</w:t>
            </w:r>
            <w:r/>
          </w:p>
        </w:tc>
        <w:tc>
          <w:tcPr>
            <w:tcW w:w="4982" w:type="dxa"/>
            <w:vAlign w:val="center"/>
            <w:textDirection w:val="lrTb"/>
            <w:noWrap/>
          </w:tcPr>
          <w:p>
            <w:pPr>
              <w:spacing w:line="27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■不接受</w:t>
            </w:r>
            <w:r/>
          </w:p>
        </w:tc>
      </w:tr>
      <w:tr>
        <w:trPr>
          <w:jc w:val="center"/>
          <w:trHeight w:val="772"/>
        </w:trPr>
        <w:tc>
          <w:tcPr>
            <w:tcW w:w="675" w:type="dxa"/>
            <w:vAlign w:val="center"/>
            <w:textDirection w:val="lrTb"/>
            <w:noWrap/>
          </w:tcPr>
          <w:p>
            <w:pPr>
              <w:pStyle w:val="110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7</w:t>
            </w:r>
            <w:r/>
          </w:p>
        </w:tc>
        <w:tc>
          <w:tcPr>
            <w:tcW w:w="850" w:type="dxa"/>
            <w:vAlign w:val="center"/>
            <w:textDirection w:val="lrTb"/>
            <w:noWrap/>
          </w:tcPr>
          <w:p>
            <w:pPr>
              <w:pStyle w:val="110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11.1</w:t>
            </w:r>
            <w:r/>
          </w:p>
        </w:tc>
        <w:tc>
          <w:tcPr>
            <w:tcW w:w="2835" w:type="dxa"/>
            <w:vAlign w:val="center"/>
            <w:textDirection w:val="lrTb"/>
            <w:noWrap/>
          </w:tcPr>
          <w:p>
            <w:pPr>
              <w:pStyle w:val="110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分包</w:t>
            </w:r>
            <w:r/>
          </w:p>
        </w:tc>
        <w:tc>
          <w:tcPr>
            <w:tcW w:w="4982" w:type="dxa"/>
            <w:vAlign w:val="center"/>
            <w:textDirection w:val="lrTb"/>
            <w:noWrap/>
          </w:tcPr>
          <w:p>
            <w:pPr>
              <w:spacing w:line="27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本项目的非主体、非关键性工作是否允许分包：</w:t>
            </w:r>
            <w:r/>
          </w:p>
          <w:p>
            <w:pPr>
              <w:spacing w:line="276"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■不允许</w:t>
            </w:r>
            <w:r/>
          </w:p>
        </w:tc>
      </w:tr>
      <w:tr>
        <w:trPr>
          <w:jc w:val="center"/>
          <w:trHeight w:val="283"/>
        </w:trPr>
        <w:tc>
          <w:tcPr>
            <w:tcW w:w="675" w:type="dxa"/>
            <w:vAlign w:val="center"/>
            <w:textDirection w:val="lrTb"/>
            <w:noWrap/>
          </w:tcPr>
          <w:p>
            <w:pPr>
              <w:pStyle w:val="110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w:t>
            </w:r>
            <w:r/>
          </w:p>
        </w:tc>
        <w:tc>
          <w:tcPr>
            <w:tcW w:w="850" w:type="dxa"/>
            <w:vAlign w:val="center"/>
            <w:textDirection w:val="lrTb"/>
            <w:noWrap/>
          </w:tcPr>
          <w:p>
            <w:pPr>
              <w:pStyle w:val="110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12.1</w:t>
            </w:r>
            <w:r/>
          </w:p>
        </w:tc>
        <w:tc>
          <w:tcPr>
            <w:tcW w:w="2835" w:type="dxa"/>
            <w:vAlign w:val="center"/>
            <w:textDirection w:val="lrTb"/>
            <w:noWrap/>
          </w:tcPr>
          <w:p>
            <w:pPr>
              <w:pStyle w:val="110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样品</w:t>
            </w:r>
            <w:r/>
          </w:p>
        </w:tc>
        <w:tc>
          <w:tcPr>
            <w:tcW w:w="4982" w:type="dxa"/>
            <w:vAlign w:val="center"/>
            <w:textDirection w:val="lrTb"/>
            <w:noWrap/>
          </w:tcPr>
          <w:p>
            <w:pPr>
              <w:pStyle w:val="846"/>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投标样品递交：■不需要。</w:t>
            </w:r>
            <w:r/>
          </w:p>
        </w:tc>
      </w:tr>
      <w:tr>
        <w:trPr>
          <w:jc w:val="center"/>
          <w:trHeight w:val="734"/>
        </w:trPr>
        <w:tc>
          <w:tcPr>
            <w:tcW w:w="675" w:type="dxa"/>
            <w:vAlign w:val="center"/>
            <w:textDirection w:val="lrTb"/>
            <w:noWrap/>
          </w:tcPr>
          <w:p>
            <w:pPr>
              <w:pStyle w:val="110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w:t>
            </w:r>
            <w:r/>
          </w:p>
        </w:tc>
        <w:tc>
          <w:tcPr>
            <w:tcW w:w="850" w:type="dxa"/>
            <w:vAlign w:val="center"/>
            <w:textDirection w:val="lrTb"/>
            <w:noWrap/>
          </w:tcPr>
          <w:p>
            <w:pPr>
              <w:pStyle w:val="1101"/>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13.1</w:t>
            </w:r>
            <w:r/>
          </w:p>
        </w:tc>
        <w:tc>
          <w:tcPr>
            <w:tcW w:w="2835" w:type="dxa"/>
            <w:vAlign w:val="center"/>
            <w:textDirection w:val="lrTb"/>
            <w:noWrap/>
          </w:tcPr>
          <w:p>
            <w:pPr>
              <w:pStyle w:val="110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w:t>
            </w:r>
            <w:r/>
          </w:p>
        </w:tc>
        <w:tc>
          <w:tcPr>
            <w:tcW w:w="850"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14.1</w:t>
            </w:r>
            <w:r/>
          </w:p>
        </w:tc>
        <w:tc>
          <w:tcPr>
            <w:tcW w:w="2835" w:type="dxa"/>
            <w:vAlign w:val="center"/>
            <w:textDirection w:val="lrTb"/>
            <w:noWrap/>
          </w:tcPr>
          <w:p>
            <w:pPr>
              <w:pStyle w:val="1101"/>
              <w:jc w:val="left"/>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采购预算</w:t>
            </w:r>
            <w:r/>
          </w:p>
        </w:tc>
        <w:tc>
          <w:tcPr>
            <w:tcW w:w="4982" w:type="dxa"/>
            <w:vAlign w:val="center"/>
            <w:textDirection w:val="lrTb"/>
            <w:noWrap/>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w:t>
            </w:r>
            <w:r/>
          </w:p>
        </w:tc>
        <w:tc>
          <w:tcPr>
            <w:tcW w:w="850"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14.2</w:t>
            </w:r>
            <w:r/>
          </w:p>
        </w:tc>
        <w:tc>
          <w:tcPr>
            <w:tcW w:w="2835" w:type="dxa"/>
            <w:vAlign w:val="center"/>
            <w:textDirection w:val="lrTb"/>
            <w:noWrap/>
          </w:tcPr>
          <w:p>
            <w:pPr>
              <w:pStyle w:val="1101"/>
              <w:jc w:val="left"/>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w:t>
            </w:r>
            <w:r/>
          </w:p>
        </w:tc>
        <w:tc>
          <w:tcPr>
            <w:tcW w:w="850"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15.1</w:t>
            </w:r>
            <w:r/>
          </w:p>
        </w:tc>
        <w:tc>
          <w:tcPr>
            <w:tcW w:w="2835" w:type="dxa"/>
            <w:vAlign w:val="center"/>
            <w:textDirection w:val="lrTb"/>
            <w:noWrap/>
          </w:tcPr>
          <w:p>
            <w:pPr>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tcPr>
          <w:p>
            <w:pPr>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90"/>
        </w:trPr>
        <w:tc>
          <w:tcPr>
            <w:tcW w:w="675"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w:t>
            </w:r>
            <w:r/>
          </w:p>
        </w:tc>
        <w:tc>
          <w:tcPr>
            <w:tcW w:w="850"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20.5</w:t>
            </w:r>
            <w:r/>
          </w:p>
        </w:tc>
        <w:tc>
          <w:tcPr>
            <w:tcW w:w="2835" w:type="dxa"/>
            <w:vAlign w:val="center"/>
            <w:textDirection w:val="lrTb"/>
            <w:noWrap/>
          </w:tcPr>
          <w:p>
            <w:pPr>
              <w:pStyle w:val="1101"/>
              <w:jc w:val="left"/>
              <w:spacing w:line="360" w:lineRule="auto"/>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w:t>
            </w:r>
            <w:r>
              <w:rPr>
                <w:rFonts w:hint="eastAsia" w:hAnsi="宋体" w:cs="宋体"/>
                <w:b/>
                <w:color w:val="000000" w:themeColor="text1"/>
                <w:sz w:val="21"/>
                <w:highlight w:val="none"/>
                <w14:textFill>
                  <w14:solidFill>
                    <w14:schemeClr w14:val="tx1"/>
                  </w14:solidFill>
                </w14:textFill>
              </w:rPr>
              <w:t xml:space="preserve">投标报价</w:t>
            </w:r>
            <w:r/>
          </w:p>
        </w:tc>
        <w:tc>
          <w:tcPr>
            <w:tcW w:w="4982" w:type="dxa"/>
            <w:vAlign w:val="center"/>
            <w:textDirection w:val="lrTb"/>
            <w:noWrap/>
          </w:tcPr>
          <w:p>
            <w:pPr>
              <w:pStyle w:val="1112"/>
              <w:contextualSpacing/>
              <w:ind w:firstLine="0"/>
              <w:jc w:val="left"/>
              <w:spacing w:line="360" w:lineRule="auto"/>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投标报价</w:t>
            </w:r>
            <w:r>
              <w:rPr>
                <w:rFonts w:hint="eastAsia"/>
                <w:b/>
                <w:color w:val="000000" w:themeColor="text1"/>
                <w:highlight w:val="none"/>
                <w14:textFill>
                  <w14:solidFill>
                    <w14:schemeClr w14:val="tx1"/>
                  </w14:solidFill>
                </w14:textFill>
              </w:rPr>
              <w:t xml:space="preserve">要求：详见招标文件第四章</w:t>
            </w:r>
            <w:r>
              <w:rPr>
                <w:rFonts w:hint="eastAsia"/>
                <w:b/>
                <w:color w:val="000000" w:themeColor="text1"/>
                <w:highlight w:val="none"/>
                <w:lang w:eastAsia="zh-CN"/>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采购需求</w:t>
            </w:r>
            <w:r>
              <w:rPr>
                <w:rFonts w:hint="eastAsia"/>
                <w:b/>
                <w:color w:val="000000" w:themeColor="text1"/>
                <w:highlight w:val="none"/>
                <w:lang w:eastAsia="zh-CN"/>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“五、价格核算及结算”。</w:t>
            </w:r>
            <w:r/>
          </w:p>
        </w:tc>
      </w:tr>
      <w:tr>
        <w:trPr>
          <w:jc w:val="center"/>
          <w:trHeight w:val="656"/>
        </w:trPr>
        <w:tc>
          <w:tcPr>
            <w:tcW w:w="675"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w:t>
            </w:r>
            <w:r/>
          </w:p>
        </w:tc>
        <w:tc>
          <w:tcPr>
            <w:tcW w:w="850"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21.1</w:t>
            </w:r>
            <w:r/>
          </w:p>
        </w:tc>
        <w:tc>
          <w:tcPr>
            <w:tcW w:w="2835" w:type="dxa"/>
            <w:vAlign w:val="center"/>
            <w:textDirection w:val="lrTb"/>
            <w:noWrap/>
          </w:tcPr>
          <w:p>
            <w:pPr>
              <w:pStyle w:val="110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投标有效期</w:t>
            </w:r>
            <w:r/>
          </w:p>
        </w:tc>
        <w:tc>
          <w:tcPr>
            <w:tcW w:w="4982" w:type="dxa"/>
            <w:vAlign w:val="center"/>
            <w:textDirection w:val="lrTb"/>
            <w:noWrap/>
          </w:tcPr>
          <w:p>
            <w:pPr>
              <w:pStyle w:val="1101"/>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w:t>
            </w:r>
            <w:r/>
          </w:p>
        </w:tc>
        <w:tc>
          <w:tcPr>
            <w:tcW w:w="850"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22.1</w:t>
            </w:r>
            <w:r/>
          </w:p>
        </w:tc>
        <w:tc>
          <w:tcPr>
            <w:tcW w:w="2835" w:type="dxa"/>
            <w:vAlign w:val="center"/>
            <w:textDirection w:val="lrTb"/>
            <w:noWrap/>
          </w:tcPr>
          <w:p>
            <w:pPr>
              <w:pStyle w:val="110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投标保证金</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■不需要</w:t>
            </w:r>
            <w:r/>
          </w:p>
        </w:tc>
      </w:tr>
      <w:tr>
        <w:trPr>
          <w:jc w:val="center"/>
          <w:trHeight w:val="656"/>
        </w:trPr>
        <w:tc>
          <w:tcPr>
            <w:tcW w:w="675"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16</w:t>
            </w:r>
            <w:r/>
          </w:p>
        </w:tc>
        <w:tc>
          <w:tcPr>
            <w:tcW w:w="850"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23.1</w:t>
            </w:r>
            <w:r/>
          </w:p>
        </w:tc>
        <w:tc>
          <w:tcPr>
            <w:tcW w:w="2835" w:type="dxa"/>
            <w:vAlign w:val="center"/>
            <w:textDirection w:val="lrTb"/>
            <w:noWrap/>
          </w:tcPr>
          <w:p>
            <w:pPr>
              <w:pStyle w:val="110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tcPr>
          <w:p>
            <w:pPr>
              <w:pStyle w:val="1101"/>
              <w:spacing w:line="360" w:lineRule="auto"/>
              <w:rPr>
                <w:rFonts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不适用</w:t>
            </w:r>
            <w:r/>
          </w:p>
        </w:tc>
      </w:tr>
      <w:tr>
        <w:trPr>
          <w:jc w:val="center"/>
          <w:trHeight w:val="1292"/>
        </w:trPr>
        <w:tc>
          <w:tcPr>
            <w:tcW w:w="675"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17</w:t>
            </w:r>
            <w:r/>
          </w:p>
        </w:tc>
        <w:tc>
          <w:tcPr>
            <w:tcW w:w="850"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24.1</w:t>
            </w:r>
            <w:r/>
          </w:p>
        </w:tc>
        <w:tc>
          <w:tcPr>
            <w:tcW w:w="2835" w:type="dxa"/>
            <w:vAlign w:val="center"/>
            <w:textDirection w:val="lrTb"/>
            <w:noWrap/>
          </w:tcPr>
          <w:p>
            <w:pPr>
              <w:pStyle w:val="110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18</w:t>
            </w:r>
            <w:r/>
          </w:p>
        </w:tc>
        <w:tc>
          <w:tcPr>
            <w:tcW w:w="850"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25.1</w:t>
            </w:r>
            <w:r/>
          </w:p>
        </w:tc>
        <w:tc>
          <w:tcPr>
            <w:tcW w:w="2835" w:type="dxa"/>
            <w:vAlign w:val="center"/>
            <w:textDirection w:val="lrTb"/>
            <w:noWrap/>
          </w:tcPr>
          <w:p>
            <w:pPr>
              <w:pStyle w:val="110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tcPr>
          <w:p>
            <w:pPr>
              <w:pStyle w:val="110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19</w:t>
            </w:r>
            <w:r/>
          </w:p>
        </w:tc>
        <w:tc>
          <w:tcPr>
            <w:tcW w:w="850"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28.1</w:t>
            </w:r>
            <w:r/>
          </w:p>
        </w:tc>
        <w:tc>
          <w:tcPr>
            <w:tcW w:w="2835" w:type="dxa"/>
            <w:vAlign w:val="center"/>
            <w:textDirection w:val="lrTb"/>
            <w:noWrap/>
          </w:tcPr>
          <w:p>
            <w:pPr>
              <w:pStyle w:val="110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tcPr>
          <w:p>
            <w:pPr>
              <w:pStyle w:val="110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w:t>
            </w:r>
            <w:r/>
          </w:p>
        </w:tc>
        <w:tc>
          <w:tcPr>
            <w:tcW w:w="850"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29.2.1</w:t>
            </w:r>
            <w:r/>
          </w:p>
        </w:tc>
        <w:tc>
          <w:tcPr>
            <w:tcW w:w="2835" w:type="dxa"/>
            <w:vAlign w:val="center"/>
            <w:textDirection w:val="lrTb"/>
            <w:noWrap/>
          </w:tcPr>
          <w:p>
            <w:pPr>
              <w:pStyle w:val="1101"/>
              <w:jc w:val="left"/>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信用查询</w:t>
            </w:r>
            <w:r/>
          </w:p>
        </w:tc>
        <w:tc>
          <w:tcPr>
            <w:tcW w:w="4982" w:type="dxa"/>
            <w:vAlign w:val="center"/>
            <w:textDirection w:val="lrTb"/>
            <w:noWrap/>
          </w:tcPr>
          <w:p>
            <w:pPr>
              <w:pStyle w:val="1101"/>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850"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30.1.1</w:t>
            </w:r>
            <w:r/>
          </w:p>
        </w:tc>
        <w:tc>
          <w:tcPr>
            <w:tcW w:w="2835" w:type="dxa"/>
            <w:vAlign w:val="center"/>
            <w:textDirection w:val="lrTb"/>
            <w:noWrap/>
          </w:tcPr>
          <w:p>
            <w:pPr>
              <w:pStyle w:val="110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评标委员会</w:t>
            </w:r>
            <w:r/>
          </w:p>
        </w:tc>
        <w:tc>
          <w:tcPr>
            <w:tcW w:w="4982" w:type="dxa"/>
            <w:vAlign w:val="center"/>
            <w:textDirection w:val="lrTb"/>
            <w:noWrap/>
          </w:tcPr>
          <w:p>
            <w:pPr>
              <w:pStyle w:val="1101"/>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5人及以上单数。</w:t>
            </w:r>
            <w:r/>
          </w:p>
        </w:tc>
      </w:tr>
      <w:tr>
        <w:trPr>
          <w:jc w:val="center"/>
          <w:trHeight w:val="656"/>
        </w:trPr>
        <w:tc>
          <w:tcPr>
            <w:tcW w:w="675"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850"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30.5.3</w:t>
            </w:r>
            <w:r/>
          </w:p>
        </w:tc>
        <w:tc>
          <w:tcPr>
            <w:tcW w:w="2835" w:type="dxa"/>
            <w:vAlign w:val="center"/>
            <w:textDirection w:val="lrTb"/>
            <w:noWrap/>
          </w:tcPr>
          <w:p>
            <w:pPr>
              <w:pStyle w:val="1101"/>
              <w:jc w:val="left"/>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核心产品</w:t>
            </w:r>
            <w:r>
              <w:rPr>
                <w:rFonts w:hint="eastAsia" w:hAnsi="宋体" w:cs="宋体"/>
                <w:color w:val="000000" w:themeColor="text1"/>
                <w:sz w:val="21"/>
                <w:highlight w:val="none"/>
                <w14:textFill>
                  <w14:solidFill>
                    <w14:schemeClr w14:val="tx1"/>
                  </w14:solidFill>
                </w14:textFill>
              </w:rPr>
              <w:tab/>
            </w:r>
            <w:r/>
          </w:p>
        </w:tc>
        <w:tc>
          <w:tcPr>
            <w:tcW w:w="4982" w:type="dxa"/>
            <w:vAlign w:val="center"/>
            <w:textDirection w:val="lrTb"/>
            <w:noWrap/>
          </w:tcPr>
          <w:p>
            <w:pPr>
              <w:pStyle w:val="1101"/>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lang w:val="en-US" w:eastAsia="zh-CN"/>
                <w14:textFill>
                  <w14:solidFill>
                    <w14:schemeClr w14:val="tx1"/>
                  </w14:solidFill>
                </w14:textFill>
              </w:rPr>
              <w:t xml:space="preserve">无</w:t>
            </w:r>
            <w:r/>
          </w:p>
        </w:tc>
      </w:tr>
      <w:tr>
        <w:trPr>
          <w:jc w:val="center"/>
          <w:trHeight w:val="922"/>
        </w:trPr>
        <w:tc>
          <w:tcPr>
            <w:tcW w:w="675"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w:t>
            </w:r>
            <w:r/>
          </w:p>
        </w:tc>
        <w:tc>
          <w:tcPr>
            <w:tcW w:w="850" w:type="dxa"/>
            <w:vAlign w:val="center"/>
            <w:textDirection w:val="lrTb"/>
            <w:noWrap/>
          </w:tcPr>
          <w:p>
            <w:pPr>
              <w:pStyle w:val="1101"/>
              <w:jc w:val="center"/>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31.3</w:t>
            </w:r>
            <w:r/>
          </w:p>
        </w:tc>
        <w:tc>
          <w:tcPr>
            <w:tcW w:w="2835" w:type="dxa"/>
            <w:vAlign w:val="center"/>
            <w:textDirection w:val="lrTb"/>
            <w:noWrap/>
          </w:tcPr>
          <w:p>
            <w:pPr>
              <w:pStyle w:val="1101"/>
              <w:jc w:val="left"/>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w:t>
            </w:r>
            <w:r/>
          </w:p>
        </w:tc>
        <w:tc>
          <w:tcPr>
            <w:tcW w:w="850"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31.4</w:t>
            </w:r>
            <w:r/>
          </w:p>
        </w:tc>
        <w:tc>
          <w:tcPr>
            <w:tcW w:w="2835" w:type="dxa"/>
            <w:vAlign w:val="center"/>
            <w:textDirection w:val="lrTb"/>
            <w:noWrap/>
          </w:tcPr>
          <w:p>
            <w:pPr>
              <w:pStyle w:val="1101"/>
              <w:jc w:val="left"/>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公告媒体</w:t>
            </w:r>
            <w:r/>
          </w:p>
        </w:tc>
        <w:tc>
          <w:tcPr>
            <w:tcW w:w="4982" w:type="dxa"/>
            <w:vAlign w:val="center"/>
            <w:textDirection w:val="lrTb"/>
            <w:noWrap/>
          </w:tcPr>
          <w:p>
            <w:pPr>
              <w:pStyle w:val="1101"/>
              <w:jc w:val="left"/>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《南京公共采购信息网》（https://njgc.jfh.com/）、《江苏政府采购网》（http://www.ccgp-jiangsu.gov.cn/）</w:t>
            </w:r>
            <w:r/>
          </w:p>
        </w:tc>
      </w:tr>
      <w:tr>
        <w:trPr>
          <w:jc w:val="center"/>
          <w:trHeight w:val="387"/>
        </w:trPr>
        <w:tc>
          <w:tcPr>
            <w:tcW w:w="675"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w:t>
            </w:r>
            <w:r/>
          </w:p>
        </w:tc>
        <w:tc>
          <w:tcPr>
            <w:tcW w:w="850"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35.1</w:t>
            </w:r>
            <w:r/>
          </w:p>
        </w:tc>
        <w:tc>
          <w:tcPr>
            <w:tcW w:w="2835"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履约保证金</w:t>
            </w:r>
            <w:r/>
          </w:p>
        </w:tc>
        <w:tc>
          <w:tcPr>
            <w:tcW w:w="4982" w:type="dxa"/>
            <w:vAlign w:val="center"/>
            <w:textDirection w:val="lrTb"/>
            <w:noWrap/>
          </w:tcPr>
          <w:p>
            <w:pPr>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■本项目中标供应商须于合同协议签订后的5个工作日内缴纳履约保证金人民币伍万元。</w:t>
            </w:r>
            <w:r/>
          </w:p>
        </w:tc>
      </w:tr>
      <w:tr>
        <w:trPr>
          <w:jc w:val="center"/>
          <w:trHeight w:val="656"/>
        </w:trPr>
        <w:tc>
          <w:tcPr>
            <w:tcW w:w="675"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26</w:t>
            </w:r>
            <w:r/>
          </w:p>
        </w:tc>
        <w:tc>
          <w:tcPr>
            <w:tcW w:w="850"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36.1</w:t>
            </w:r>
            <w:r/>
          </w:p>
        </w:tc>
        <w:tc>
          <w:tcPr>
            <w:tcW w:w="2835" w:type="dxa"/>
            <w:vAlign w:val="center"/>
            <w:textDirection w:val="lrTb"/>
            <w:noWrap/>
          </w:tcPr>
          <w:p>
            <w:pPr>
              <w:ind w:left="-533" w:firstLine="533"/>
              <w:jc w:val="left"/>
              <w:spacing w:line="27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供应商对采购文件的</w:t>
            </w:r>
            <w:r>
              <w:rPr>
                <w:rFonts w:hint="eastAsia" w:hAnsi="宋体" w:cs="宋体"/>
                <w:color w:val="000000" w:themeColor="text1"/>
                <w:highlight w:val="none"/>
                <w14:textFill>
                  <w14:solidFill>
                    <w14:schemeClr w14:val="tx1"/>
                  </w14:solidFill>
                </w14:textFill>
              </w:rPr>
              <w:t xml:space="preserve">询问</w:t>
            </w:r>
            <w:r/>
          </w:p>
        </w:tc>
        <w:tc>
          <w:tcPr>
            <w:tcW w:w="4982" w:type="dxa"/>
            <w:vAlign w:val="center"/>
            <w:textDirection w:val="lrTb"/>
            <w:noWrap/>
          </w:tcPr>
          <w:p>
            <w:pPr>
              <w:pStyle w:val="851"/>
              <w:spacing w:line="360" w:lineRule="auto"/>
              <w:rPr>
                <w:rFonts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时间：递交投标文件截止时间前15日。</w:t>
            </w:r>
            <w:r/>
          </w:p>
          <w:p>
            <w:pPr>
              <w:pStyle w:val="851"/>
              <w:spacing w:line="360" w:lineRule="auto"/>
              <w:rPr>
                <w:rFonts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cs="宋体"/>
                <w:bCs/>
                <w:color w:val="000000" w:themeColor="text1"/>
                <w:highlight w:val="none"/>
                <w:u w:val="single"/>
                <w:lang w:val="en-US" w:eastAsia="zh-CN"/>
                <w14:textFill>
                  <w14:solidFill>
                    <w14:schemeClr w14:val="tx1"/>
                  </w14:solidFill>
                </w14:textFill>
              </w:rPr>
              <w:t xml:space="preserve">18761879918</w:t>
            </w:r>
            <w:r>
              <w:rPr>
                <w:rFonts w:hint="eastAsia" w:hAnsi="宋体" w:cs="宋体"/>
                <w:bCs/>
                <w:color w:val="000000" w:themeColor="text1"/>
                <w:highlight w:val="none"/>
                <w:u w:val="single"/>
                <w14:textFill>
                  <w14:solidFill>
                    <w14:schemeClr w14:val="tx1"/>
                  </w14:solidFill>
                </w14:textFill>
              </w:rPr>
              <w:t xml:space="preserve">@163.com</w:t>
            </w:r>
            <w:r>
              <w:rPr>
                <w:rFonts w:hint="eastAsia" w:hAnsi="宋体" w:cs="宋体"/>
                <w:bCs/>
                <w:color w:val="000000" w:themeColor="text1"/>
                <w:highlight w:val="none"/>
                <w14:textFill>
                  <w14:solidFill>
                    <w14:schemeClr w14:val="tx1"/>
                  </w14:solidFill>
                </w14:textFill>
              </w:rPr>
              <w:t xml:space="preserve">邮箱）通知采购代理机构。</w:t>
            </w:r>
            <w:r/>
          </w:p>
        </w:tc>
      </w:tr>
      <w:tr>
        <w:trPr>
          <w:jc w:val="center"/>
          <w:trHeight w:val="1980"/>
        </w:trPr>
        <w:tc>
          <w:tcPr>
            <w:tcW w:w="675"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27</w:t>
            </w:r>
            <w:r/>
          </w:p>
        </w:tc>
        <w:tc>
          <w:tcPr>
            <w:tcW w:w="850"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37.1</w:t>
            </w:r>
            <w:r/>
          </w:p>
        </w:tc>
        <w:tc>
          <w:tcPr>
            <w:tcW w:w="2835" w:type="dxa"/>
            <w:vAlign w:val="center"/>
            <w:textDirection w:val="lrTb"/>
            <w:noWrap/>
          </w:tcPr>
          <w:p>
            <w:pPr>
              <w:ind w:left="-533" w:firstLine="533"/>
              <w:jc w:val="left"/>
              <w:spacing w:line="27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供应商对采购文件提出的</w:t>
            </w:r>
            <w:r/>
          </w:p>
          <w:p>
            <w:pPr>
              <w:ind w:left="-533" w:firstLine="533"/>
              <w:jc w:val="left"/>
              <w:spacing w:line="27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w:t>
            </w:r>
            <w:r/>
          </w:p>
        </w:tc>
        <w:tc>
          <w:tcPr>
            <w:tcW w:w="4982" w:type="dxa"/>
            <w:vAlign w:val="center"/>
            <w:textDirection w:val="lrTb"/>
            <w:noWrap/>
          </w:tcPr>
          <w:p>
            <w:pPr>
              <w:pStyle w:val="851"/>
              <w:spacing w:line="360" w:lineRule="auto"/>
              <w:rPr>
                <w:rFonts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形式：以书面形式通知采购代理机构。如采用邮件形式（盖章扫描件及WPS兼容格式文件发至</w:t>
            </w:r>
            <w:r>
              <w:rPr>
                <w:rFonts w:hint="eastAsia" w:hAnsi="宋体" w:cs="宋体"/>
                <w:bCs/>
                <w:color w:val="000000" w:themeColor="text1"/>
                <w:highlight w:val="none"/>
                <w:u w:val="single"/>
                <w:lang w:val="en-US" w:eastAsia="zh-CN"/>
                <w14:textFill>
                  <w14:solidFill>
                    <w14:schemeClr w14:val="tx1"/>
                  </w14:solidFill>
                </w14:textFill>
              </w:rPr>
              <w:t xml:space="preserve">18761879918</w:t>
            </w:r>
            <w:r>
              <w:rPr>
                <w:rFonts w:hint="eastAsia" w:hAnsi="宋体" w:cs="宋体"/>
                <w:bCs/>
                <w:color w:val="000000" w:themeColor="text1"/>
                <w:highlight w:val="none"/>
                <w:u w:val="single"/>
                <w14:textFill>
                  <w14:solidFill>
                    <w14:schemeClr w14:val="tx1"/>
                  </w14:solidFill>
                </w14:textFill>
              </w:rPr>
              <w:t xml:space="preserve">@163.com</w:t>
            </w:r>
            <w:r>
              <w:rPr>
                <w:rFonts w:hint="eastAsia" w:hAnsi="宋体" w:cs="宋体"/>
                <w:bCs/>
                <w:color w:val="000000" w:themeColor="text1"/>
                <w:highlight w:val="none"/>
                <w14:textFill>
                  <w14:solidFill>
                    <w14:schemeClr w14:val="tx1"/>
                  </w14:solidFill>
                </w14:textFill>
              </w:rPr>
              <w:t xml:space="preserve">邮箱）通知，采购代理机构将以邮件形式进行答复。</w:t>
            </w:r>
            <w:r/>
          </w:p>
        </w:tc>
      </w:tr>
      <w:tr>
        <w:trPr>
          <w:jc w:val="center"/>
          <w:trHeight w:val="2909"/>
        </w:trPr>
        <w:tc>
          <w:tcPr>
            <w:tcW w:w="675"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w:t>
            </w:r>
            <w:r/>
          </w:p>
        </w:tc>
        <w:tc>
          <w:tcPr>
            <w:tcW w:w="850" w:type="dxa"/>
            <w:vAlign w:val="center"/>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38.1</w:t>
            </w:r>
            <w:r/>
          </w:p>
        </w:tc>
        <w:tc>
          <w:tcPr>
            <w:tcW w:w="2835" w:type="dxa"/>
            <w:vAlign w:val="center"/>
            <w:textDirection w:val="lrTb"/>
            <w:noWrap/>
          </w:tcPr>
          <w:p>
            <w:pPr>
              <w:pStyle w:val="110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tcPr>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中标人在领取中标通知书前</w:t>
            </w:r>
            <w:r>
              <w:rPr>
                <w:rFonts w:hint="eastAsia" w:hAnsi="宋体" w:cs="宋体"/>
                <w:bCs/>
                <w:color w:val="000000" w:themeColor="text1"/>
                <w:highlight w:val="none"/>
                <w:lang w:val="en-US" w:eastAsia="zh-CN"/>
                <w14:textFill>
                  <w14:solidFill>
                    <w14:schemeClr w14:val="tx1"/>
                  </w14:solidFill>
                </w14:textFill>
              </w:rPr>
              <w:t xml:space="preserve">应</w:t>
            </w:r>
            <w:r>
              <w:rPr>
                <w:rFonts w:hint="eastAsia" w:hAnsi="宋体" w:cs="宋体"/>
                <w:bCs/>
                <w:color w:val="000000" w:themeColor="text1"/>
                <w:highlight w:val="none"/>
                <w14:textFill>
                  <w14:solidFill>
                    <w14:schemeClr w14:val="tx1"/>
                  </w14:solidFill>
                </w14:textFill>
              </w:rPr>
              <w:t xml:space="preserve">向采购代理机构缴纳采购代理服务费。本项目按</w:t>
            </w:r>
            <w:r>
              <w:rPr>
                <w:rFonts w:hint="eastAsia" w:hAnsi="宋体" w:cs="宋体"/>
                <w:bCs/>
                <w:color w:val="000000" w:themeColor="text1"/>
                <w:highlight w:val="none"/>
                <w:lang w:val="en-US" w:eastAsia="zh-CN"/>
                <w14:textFill>
                  <w14:solidFill>
                    <w14:schemeClr w14:val="tx1"/>
                  </w14:solidFill>
                </w14:textFill>
              </w:rPr>
              <w:t xml:space="preserve">项目</w:t>
            </w:r>
            <w:r>
              <w:rPr>
                <w:rFonts w:hint="eastAsia" w:hAnsi="宋体" w:cs="宋体"/>
                <w:bCs/>
                <w:color w:val="000000" w:themeColor="text1"/>
                <w:highlight w:val="none"/>
                <w14:textFill>
                  <w14:solidFill>
                    <w14:schemeClr w14:val="tx1"/>
                  </w14:solidFill>
                </w14:textFill>
              </w:rPr>
              <w:t xml:space="preserve">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p>
            <w:pPr>
              <w:jc w:val="left"/>
              <w:spacing w:line="360" w:lineRule="auto"/>
              <w:rPr>
                <w:rFonts w:hint="eastAsia" w:hAnsi="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投标费用</w:t>
            </w:r>
            <w:r/>
          </w:p>
          <w:p>
            <w:pPr>
              <w:jc w:val="left"/>
              <w:spacing w:line="360" w:lineRule="auto"/>
              <w:rPr>
                <w:rFonts w:hint="eastAsia" w:hAnsi="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1.投标人应自行承担所有与参加投标有关的费用，无论投标过程中的做法和结果如何，江苏省招标中心有限公司（以下简称代理机构）在任何情况下均无义务和责任承担这些费用。</w:t>
            </w:r>
            <w:r/>
          </w:p>
          <w:p>
            <w:pPr>
              <w:jc w:val="left"/>
              <w:spacing w:line="360" w:lineRule="auto"/>
              <w:rPr>
                <w:rFonts w:hint="eastAsia" w:hAnsi="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2.本项目预算已包含本次招标服务费，故服务费由中标人支付。</w:t>
            </w:r>
            <w:r/>
          </w:p>
          <w:p>
            <w:pPr>
              <w:jc w:val="left"/>
              <w:spacing w:line="360" w:lineRule="auto"/>
              <w:rPr>
                <w:rFonts w:hint="eastAsia" w:hAnsi="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3.本次招标采购代理机构不收取标书工本费。</w:t>
            </w:r>
            <w:r/>
          </w:p>
          <w:p>
            <w:pPr>
              <w:pStyle w:val="851"/>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4.招标服务费收费标准：中标人向采购代理机构支付招标服务费，服务费标准按</w:t>
            </w:r>
            <w:r>
              <w:rPr>
                <w:rFonts w:hint="eastAsia" w:hAnsi="宋体" w:cs="宋体"/>
                <w:bCs/>
                <w:color w:val="000000" w:themeColor="text1"/>
                <w:highlight w:val="none"/>
                <w14:textFill>
                  <w14:solidFill>
                    <w14:schemeClr w14:val="tx1"/>
                  </w14:solidFill>
                </w14:textFill>
              </w:rPr>
              <w:t xml:space="preserve">下表中货物类型标准的40%</w:t>
            </w:r>
            <w:r>
              <w:rPr>
                <w:rFonts w:hint="eastAsia" w:hAnsi="宋体" w:cs="宋体"/>
                <w:bCs/>
                <w:color w:val="000000" w:themeColor="text1"/>
                <w:highlight w:val="none"/>
                <w:lang w:val="en-US" w:eastAsia="zh-CN"/>
                <w14:textFill>
                  <w14:solidFill>
                    <w14:schemeClr w14:val="tx1"/>
                  </w14:solidFill>
                </w14:textFill>
              </w:rPr>
              <w:t xml:space="preserve">计取</w:t>
            </w:r>
            <w:r>
              <w:rPr>
                <w:rFonts w:hint="eastAsia" w:hAnsi="宋体" w:cs="宋体"/>
                <w:bCs/>
                <w:color w:val="000000" w:themeColor="text1"/>
                <w:highlight w:val="none"/>
                <w14:textFill>
                  <w14:solidFill>
                    <w14:schemeClr w14:val="tx1"/>
                  </w14:solidFill>
                </w14:textFill>
              </w:rPr>
              <w:t xml:space="preserve">。</w:t>
            </w:r>
            <w:r/>
          </w:p>
          <w:tbl>
            <w:tblPr>
              <w:tblStyle w:val="8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80"/>
              <w:gridCol w:w="992"/>
              <w:gridCol w:w="992"/>
              <w:gridCol w:w="992"/>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中标金额（万元）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货物招标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服务招标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工程招标</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100以下</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100-500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0.7%</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500-1000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0.45%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1000-5000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0.35%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5000-10000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10000-100000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1000000以上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r>
            <w:tr>
              <w:trPr/>
              <w:tc>
                <w:tcPr>
                  <w:gridSpan w:val="4"/>
                  <w:tcBorders>
                    <w:top w:val="single" w:color="000000" w:sz="4" w:space="0"/>
                    <w:left w:val="single" w:color="000000" w:sz="4" w:space="0"/>
                    <w:bottom w:val="single" w:color="000000" w:sz="4" w:space="0"/>
                    <w:right w:val="single" w:color="000000" w:sz="4" w:space="0"/>
                  </w:tcBorders>
                  <w:tcMar>
                    <w:left w:w="108" w:type="dxa"/>
                    <w:right w:w="108" w:type="dxa"/>
                  </w:tcMar>
                  <w:tcW w:w="4757"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说明：招标代理服务收费按差额定律累进法计算。</w:t>
                  </w:r>
                  <w:r/>
                </w:p>
              </w:tc>
            </w:tr>
          </w:tbl>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r>
            <w:r/>
          </w:p>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5.代理服务费汇入账户：</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收款人：江苏省招标中心有限公司</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人民币帐号为：7321810182600023404</w:t>
            </w:r>
            <w:r/>
          </w:p>
          <w:p>
            <w:pPr>
              <w:pStyle w:val="851"/>
              <w:spacing w:line="360" w:lineRule="auto"/>
              <w:rPr>
                <w:rFonts w:hAnsi="宋体" w:cs="宋体"/>
                <w:bCs/>
                <w:color w:val="000000" w:themeColor="text1"/>
                <w:highlight w:val="none"/>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开户银行：中信银行南京江苏路支行</w:t>
            </w:r>
            <w:r/>
          </w:p>
        </w:tc>
      </w:tr>
      <w:tr>
        <w:trPr>
          <w:jc w:val="center"/>
          <w:trHeight w:val="600"/>
        </w:trPr>
        <w:tc>
          <w:tcPr>
            <w:tcW w:w="675" w:type="dxa"/>
            <w:vAlign w:val="center"/>
            <w:vMerge w:val="restart"/>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tcPr>
          <w:p>
            <w:pPr>
              <w:pStyle w:val="1101"/>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tcPr>
          <w:p>
            <w:pPr>
              <w:pStyle w:val="1101"/>
              <w:jc w:val="left"/>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其他规定</w:t>
            </w:r>
            <w:r/>
          </w:p>
        </w:tc>
        <w:tc>
          <w:tcPr>
            <w:tcW w:w="4982" w:type="dxa"/>
            <w:vAlign w:val="center"/>
            <w:textDirection w:val="lrTb"/>
            <w:noWrap/>
          </w:tcPr>
          <w:p>
            <w:pPr>
              <w:pStyle w:val="851"/>
              <w:spacing w:line="360" w:lineRule="auto"/>
              <w:rPr>
                <w:rFonts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采购项目类型：货物</w:t>
            </w:r>
            <w:r/>
          </w:p>
        </w:tc>
      </w:tr>
      <w:tr>
        <w:trPr>
          <w:jc w:val="center"/>
          <w:trHeight w:val="552"/>
        </w:trPr>
        <w:tc>
          <w:tcPr>
            <w:tcW w:w="675" w:type="dxa"/>
            <w:vAlign w:val="center"/>
            <w:vMerge w:val="continue"/>
            <w:textDirection w:val="lrTb"/>
            <w:noWrap/>
          </w:tcPr>
          <w:p>
            <w:pPr>
              <w:pStyle w:val="1101"/>
              <w:ind w:firstLine="372"/>
              <w:jc w:val="center"/>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1101"/>
              <w:ind w:firstLine="372"/>
              <w:jc w:val="center"/>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1101"/>
              <w:ind w:firstLine="372"/>
              <w:jc w:val="left"/>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851"/>
              <w:spacing w:line="360" w:lineRule="auto"/>
              <w:rPr>
                <w:rFonts w:hint="eastAsia" w:hAnsi="宋体" w:eastAsia="宋体" w:cs="宋体"/>
                <w:bCs/>
                <w:color w:val="000000" w:themeColor="text1"/>
                <w:highlight w:val="none"/>
                <w:lang w:val="en-US" w:eastAsia="zh-CN"/>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标的对应的中小企业划分标准所属行业：农、林、牧、渔业</w:t>
            </w:r>
            <w:r/>
          </w:p>
        </w:tc>
      </w:tr>
      <w:tr>
        <w:trPr>
          <w:jc w:val="center"/>
          <w:trHeight w:val="656"/>
        </w:trPr>
        <w:tc>
          <w:tcPr>
            <w:tcW w:w="675" w:type="dxa"/>
            <w:vAlign w:val="center"/>
            <w:vMerge w:val="continue"/>
            <w:textDirection w:val="lrTb"/>
            <w:noWrap/>
          </w:tcPr>
          <w:p>
            <w:pPr>
              <w:pStyle w:val="1101"/>
              <w:ind w:firstLine="372"/>
              <w:jc w:val="center"/>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1101"/>
              <w:ind w:firstLine="372"/>
              <w:jc w:val="center"/>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1101"/>
              <w:ind w:firstLine="372"/>
              <w:jc w:val="left"/>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1101"/>
              <w:spacing w:line="360" w:lineRule="auto"/>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其他规定：</w:t>
            </w:r>
            <w:r>
              <w:rPr>
                <w:rFonts w:hint="eastAsia" w:hAnsi="宋体" w:cs="宋体"/>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tcPr>
          <w:p>
            <w:pPr>
              <w:pStyle w:val="1101"/>
              <w:ind w:firstLine="372"/>
              <w:jc w:val="center"/>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1101"/>
              <w:ind w:firstLine="372"/>
              <w:jc w:val="center"/>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1101"/>
              <w:ind w:firstLine="372"/>
              <w:jc w:val="left"/>
              <w:spacing w:line="360" w:lineRule="auto"/>
              <w:rPr>
                <w:rFonts w:hAnsi="宋体" w:cs="宋体"/>
                <w:color w:val="000000" w:themeColor="text1"/>
                <w:sz w:val="21"/>
                <w:highlight w:val="none"/>
                <w14:textFill>
                  <w14:solidFill>
                    <w14:schemeClr w14:val="tx1"/>
                  </w14:solidFill>
                </w14:textFill>
              </w:rPr>
            </w:pPr>
            <w:r>
              <w:rPr>
                <w:rFonts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1101"/>
              <w:numPr>
                <w:ilvl w:val="0"/>
                <w:numId w:val="0"/>
              </w:numPr>
              <w:spacing w:line="360" w:lineRule="auto"/>
              <w:rPr>
                <w:rFonts w:hint="eastAsia" w:hAnsi="宋体" w:cs="Courier New"/>
                <w:b/>
                <w:bCs/>
                <w:color w:val="000000" w:themeColor="text1"/>
                <w:sz w:val="21"/>
                <w:highlight w:val="none"/>
                <w14:textFill>
                  <w14:solidFill>
                    <w14:schemeClr w14:val="tx1"/>
                  </w14:solidFill>
                </w14:textFill>
              </w:rPr>
            </w:pPr>
            <w:r>
              <w:rPr>
                <w:rFonts w:hint="eastAsia" w:hAnsi="宋体" w:cs="Courier New"/>
                <w:b/>
                <w:bCs/>
                <w:color w:val="000000" w:themeColor="text1"/>
                <w:sz w:val="21"/>
                <w:highlight w:val="none"/>
                <w14:textFill>
                  <w14:solidFill>
                    <w14:schemeClr w14:val="tx1"/>
                  </w14:solidFill>
                </w14:textFill>
              </w:rPr>
              <w:t xml:space="preserve">异常低价处理：</w:t>
            </w:r>
            <w:r/>
          </w:p>
          <w:p>
            <w:pPr>
              <w:pStyle w:val="1101"/>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 （一）采购评审中出现下列情形之一的，评审委员会应当启动异常低价投标（响应）审查程序：</w:t>
            </w:r>
            <w:r/>
          </w:p>
          <w:p>
            <w:pPr>
              <w:pStyle w:val="1101"/>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101"/>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101"/>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3.投标（响应）报价低于采购项目最高限价45%的，即投标（响应）报价&lt;采购项目最高限价×45%（未设定最高限价的采购项目，以采购项目预算金额作为最高限价）；</w:t>
            </w:r>
            <w:r/>
          </w:p>
          <w:p>
            <w:pPr>
              <w:pStyle w:val="1101"/>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4.评审委员会基于专业判断，认为供应商报价过低，有可能影响产品质量或者不能诚信履约的其他情形。</w:t>
            </w:r>
            <w:r/>
          </w:p>
          <w:p>
            <w:pPr>
              <w:pStyle w:val="1101"/>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（二）评审委员会启动异常低价投标（响应）审查后，属于前述第1项至第4项情形的，将要求相关供应商在评审现场合理的时间内</w:t>
            </w:r>
            <w:r>
              <w:rPr>
                <w:rFonts w:hint="eastAsia" w:hAnsi="宋体" w:cs="Courier New"/>
                <w:color w:val="000000" w:themeColor="text1"/>
                <w:sz w:val="21"/>
                <w:highlight w:val="none"/>
                <w:lang w:eastAsia="zh-CN"/>
                <w14:textFill>
                  <w14:solidFill>
                    <w14:schemeClr w14:val="tx1"/>
                  </w14:solidFill>
                </w14:textFill>
              </w:rPr>
              <w:t xml:space="preserve">（</w:t>
            </w:r>
            <w:r>
              <w:rPr>
                <w:rFonts w:hint="eastAsia" w:hAnsi="宋体" w:cs="Courier New"/>
                <w:color w:val="000000" w:themeColor="text1"/>
                <w:sz w:val="21"/>
                <w:highlight w:val="none"/>
                <w:lang w:val="en-US" w:eastAsia="zh-CN"/>
                <w14:textFill>
                  <w14:solidFill>
                    <w14:schemeClr w14:val="tx1"/>
                  </w14:solidFill>
                </w14:textFill>
              </w:rPr>
              <w:t xml:space="preserve">不少于30分钟</w:t>
            </w:r>
            <w:r>
              <w:rPr>
                <w:rFonts w:hint="eastAsia" w:hAnsi="宋体" w:cs="Courier New"/>
                <w:color w:val="000000" w:themeColor="text1"/>
                <w:sz w:val="21"/>
                <w:highlight w:val="none"/>
                <w:lang w:eastAsia="zh-CN"/>
                <w14:textFill>
                  <w14:solidFill>
                    <w14:schemeClr w14:val="tx1"/>
                  </w14:solidFill>
                </w14:textFill>
              </w:rPr>
              <w:t xml:space="preserve">）</w:t>
            </w:r>
            <w:r>
              <w:rPr>
                <w:rFonts w:hint="eastAsia" w:hAnsi="宋体" w:cs="Courier New"/>
                <w:color w:val="000000" w:themeColor="text1"/>
                <w:sz w:val="21"/>
                <w:highlight w:val="none"/>
                <w14:textFill>
                  <w14:solidFill>
                    <w14:schemeClr w14:val="tx1"/>
                  </w14:solidFill>
                </w14:textFill>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101"/>
              <w:spacing w:line="360" w:lineRule="auto"/>
              <w:rPr>
                <w:rFonts w:hAnsi="宋体" w:cs="宋体"/>
                <w:bCs/>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　　评审委员会依据专业经验，参考同类项目中标（成交）价格、类似产品市场价格水平、行业人工费用标准、国家有关部门指导行业协会发布的行业平均成本等情况，对报价合理性进行判断。</w:t>
            </w:r>
            <w:r>
              <w:rPr>
                <w:rFonts w:hint="eastAsia" w:hAnsi="宋体" w:cs="Courier New"/>
                <w:b/>
                <w:bCs/>
                <w:color w:val="000000" w:themeColor="text1"/>
                <w:sz w:val="21"/>
                <w:highlight w:val="none"/>
                <w14:textFill>
                  <w14:solidFill>
                    <w14:schemeClr w14:val="tx1"/>
                  </w14:solidFill>
                </w14:textFill>
              </w:rPr>
              <w:t xml:space="preserve">投标（响应）供应商不能提供书面说明、证明材料，或者提供的书面说明、证明材料不能证明其报价合理性的，评审委员会应当将其作为无效投标（响应）处理。</w:t>
            </w:r>
            <w:r/>
          </w:p>
        </w:tc>
      </w:tr>
    </w:tbl>
    <w:p>
      <w:pPr>
        <w:ind w:firstLine="372"/>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51"/>
        <w:ind w:firstLine="1633"/>
        <w:spacing w:line="360" w:lineRule="auto"/>
        <w:rPr>
          <w:rFonts w:hAnsi="宋体" w:cs="宋体"/>
          <w:b/>
          <w:bCs/>
          <w:color w:val="000000" w:themeColor="text1"/>
          <w:spacing w:val="100"/>
          <w:sz w:val="72"/>
          <w:highlight w:val="none"/>
          <w14:textFill>
            <w14:solidFill>
              <w14:schemeClr w14:val="tx1"/>
            </w14:solidFill>
          </w14:textFill>
        </w:rPr>
        <w:sectPr>
          <w:footerReference w:type="default" r:id="rId13"/>
          <w:footnotePr/>
          <w:endnotePr/>
          <w:type w:val="nextPage"/>
          <w:pgSz w:w="11906" w:h="16838" w:orient="portrait"/>
          <w:pgMar w:top="1474" w:right="1531" w:bottom="1474" w:left="1531" w:header="737" w:footer="992" w:gutter="0"/>
          <w:pgNumType w:start="1"/>
          <w:cols w:num="1" w:sep="0" w:space="720" w:equalWidth="1"/>
          <w:docGrid w:linePitch="360"/>
        </w:sectPr>
      </w:pPr>
      <w:r>
        <w:rPr>
          <w:rFonts w:hAnsi="宋体" w:cs="宋体"/>
          <w:b/>
          <w:bCs/>
          <w:color w:val="000000" w:themeColor="text1"/>
          <w:spacing w:val="100"/>
          <w:sz w:val="72"/>
          <w:highlight w:val="none"/>
          <w14:textFill>
            <w14:solidFill>
              <w14:schemeClr w14:val="tx1"/>
            </w14:solidFill>
          </w14:textFill>
        </w:rPr>
      </w:r>
      <w:r/>
    </w:p>
    <w:p>
      <w:pPr>
        <w:pStyle w:val="869"/>
        <w:ind w:firstLine="569"/>
        <w:rPr>
          <w:rFonts w:ascii="宋体" w:hAnsi="宋体" w:cs="宋体"/>
          <w:color w:val="000000" w:themeColor="text1"/>
          <w:highlight w:val="none"/>
          <w14:textFill>
            <w14:solidFill>
              <w14:schemeClr w14:val="tx1"/>
            </w14:solidFill>
          </w14:textFill>
        </w:rPr>
      </w:pPr>
      <w:r/>
      <w:bookmarkStart w:id="33" w:name="_Toc100905199"/>
      <w:r/>
      <w:bookmarkStart w:id="34" w:name="_Toc104560837"/>
      <w:r/>
      <w:bookmarkStart w:id="35" w:name="_Toc107246213"/>
      <w:r/>
      <w:bookmarkStart w:id="36" w:name="_Toc103848526"/>
      <w:r>
        <w:rPr>
          <w:rFonts w:hint="eastAsia" w:ascii="宋体" w:hAnsi="宋体" w:cs="宋体"/>
          <w:color w:val="000000" w:themeColor="text1"/>
          <w:highlight w:val="none"/>
          <w14:textFill>
            <w14:solidFill>
              <w14:schemeClr w14:val="tx1"/>
            </w14:solidFill>
          </w14:textFill>
        </w:rPr>
        <w:t xml:space="preserve">供应商须知</w:t>
      </w:r>
      <w:bookmarkEnd w:id="33"/>
      <w:r/>
      <w:bookmarkEnd w:id="34"/>
      <w:r/>
      <w:bookmarkEnd w:id="35"/>
      <w:r/>
      <w:bookmarkEnd w:id="36"/>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37" w:name="_Toc80264706"/>
      <w:r/>
      <w:bookmarkStart w:id="38" w:name="_Toc107246214"/>
      <w:r>
        <w:rPr>
          <w:rFonts w:hint="eastAsia" w:ascii="宋体" w:hAnsi="宋体" w:cs="宋体"/>
          <w:color w:val="000000" w:themeColor="text1"/>
          <w:highlight w:val="none"/>
          <w14:textFill>
            <w14:solidFill>
              <w14:schemeClr w14:val="tx1"/>
            </w14:solidFill>
          </w14:textFill>
        </w:rPr>
        <w:t xml:space="preserve">一．</w:t>
      </w:r>
      <w:bookmarkEnd w:id="37"/>
      <w:r>
        <w:rPr>
          <w:rFonts w:hint="eastAsia" w:ascii="宋体" w:hAnsi="宋体" w:cs="宋体"/>
          <w:color w:val="000000" w:themeColor="text1"/>
          <w:highlight w:val="none"/>
          <w14:textFill>
            <w14:solidFill>
              <w14:schemeClr w14:val="tx1"/>
            </w14:solidFill>
          </w14:textFill>
        </w:rPr>
        <w:t xml:space="preserve">总则</w:t>
      </w:r>
      <w:bookmarkEnd w:id="38"/>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39" w:name="_Toc107246215"/>
      <w:r/>
      <w:bookmarkStart w:id="40" w:name="_Toc104560839"/>
      <w:r/>
      <w:bookmarkStart w:id="41" w:name="_Toc103848528"/>
      <w:r/>
      <w:bookmarkStart w:id="42" w:name="_Toc100905201"/>
      <w:r/>
      <w:bookmarkStart w:id="43" w:name="_Toc96347862"/>
      <w:r>
        <w:rPr>
          <w:rFonts w:hint="eastAsia" w:ascii="宋体" w:hAnsi="宋体" w:cs="宋体"/>
          <w:color w:val="000000" w:themeColor="text1"/>
          <w:highlight w:val="none"/>
          <w14:textFill>
            <w14:solidFill>
              <w14:schemeClr w14:val="tx1"/>
            </w14:solidFill>
          </w14:textFill>
        </w:rPr>
        <w:t xml:space="preserve">1.采购方式</w:t>
      </w:r>
      <w:bookmarkEnd w:id="39"/>
      <w:r/>
      <w:bookmarkEnd w:id="40"/>
      <w:r/>
      <w:bookmarkEnd w:id="41"/>
      <w:r/>
      <w:bookmarkEnd w:id="42"/>
      <w:r/>
      <w:bookmarkEnd w:id="43"/>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44" w:name="_Toc107246216"/>
      <w:r/>
      <w:bookmarkStart w:id="45" w:name="_Toc96347863"/>
      <w:r/>
      <w:bookmarkStart w:id="46" w:name="_Toc104560840"/>
      <w:r/>
      <w:bookmarkStart w:id="47" w:name="_Toc100905202"/>
      <w:r/>
      <w:bookmarkStart w:id="48" w:name="_Toc103848529"/>
      <w:r>
        <w:rPr>
          <w:rFonts w:hint="eastAsia" w:ascii="宋体" w:hAnsi="宋体" w:cs="宋体"/>
          <w:color w:val="000000" w:themeColor="text1"/>
          <w:highlight w:val="none"/>
          <w14:textFill>
            <w14:solidFill>
              <w14:schemeClr w14:val="tx1"/>
            </w14:solidFill>
          </w14:textFill>
        </w:rPr>
        <w:t xml:space="preserve">2.定义</w:t>
      </w:r>
      <w:bookmarkEnd w:id="44"/>
      <w:r/>
      <w:bookmarkEnd w:id="45"/>
      <w:r/>
      <w:bookmarkEnd w:id="46"/>
      <w:r/>
      <w:bookmarkEnd w:id="47"/>
      <w:r/>
      <w:bookmarkEnd w:id="48"/>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2.3“采购方”是指采购人和</w:t>
      </w:r>
      <w:r>
        <w:rPr>
          <w:rFonts w:hint="eastAsia" w:ascii="宋体" w:hAnsi="宋体" w:cs="宋体"/>
          <w:color w:val="000000" w:themeColor="text1"/>
          <w:szCs w:val="21"/>
          <w:highlight w:val="none"/>
          <w14:textFill>
            <w14:solidFill>
              <w14:schemeClr w14:val="tx1"/>
            </w14:solidFill>
          </w14:textFill>
        </w:rPr>
        <w:t xml:space="preserve">采购代理机构的合称。</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评标委员会</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货物</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节能产品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或者</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环保产品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进口产品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是指通过中国海关报关验放进入中国境内且产自关境外的产品。</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49" w:name="_Toc104560841"/>
      <w:r/>
      <w:bookmarkStart w:id="50" w:name="_Toc107246217"/>
      <w:r/>
      <w:bookmarkStart w:id="51" w:name="_Toc103848530"/>
      <w:r/>
      <w:bookmarkStart w:id="52" w:name="_Toc96347864"/>
      <w:r/>
      <w:bookmarkStart w:id="53" w:name="_Toc100905203"/>
      <w:r>
        <w:rPr>
          <w:rFonts w:hint="eastAsia" w:ascii="宋体" w:hAnsi="宋体" w:cs="宋体"/>
          <w:color w:val="000000" w:themeColor="text1"/>
          <w:highlight w:val="none"/>
          <w14:textFill>
            <w14:solidFill>
              <w14:schemeClr w14:val="tx1"/>
            </w14:solidFill>
          </w14:textFill>
        </w:rPr>
        <w:t xml:space="preserve">3.适用法律</w:t>
      </w:r>
      <w:bookmarkEnd w:id="49"/>
      <w:r/>
      <w:bookmarkEnd w:id="50"/>
      <w:r/>
      <w:bookmarkEnd w:id="51"/>
      <w:r/>
      <w:bookmarkEnd w:id="52"/>
      <w:r/>
      <w:bookmarkEnd w:id="53"/>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54" w:name="_Toc100905204"/>
      <w:r>
        <w:rPr>
          <w:rFonts w:hint="eastAsia" w:ascii="宋体" w:hAnsi="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55" w:name="_Toc103848531"/>
      <w:r/>
      <w:bookmarkStart w:id="56" w:name="_Toc104560842"/>
      <w:r/>
      <w:bookmarkStart w:id="57" w:name="_Toc107246218"/>
      <w:r>
        <w:rPr>
          <w:rFonts w:hint="eastAsia" w:ascii="宋体" w:hAnsi="宋体" w:cs="宋体"/>
          <w:color w:val="000000" w:themeColor="text1"/>
          <w:highlight w:val="none"/>
          <w14:textFill>
            <w14:solidFill>
              <w14:schemeClr w14:val="tx1"/>
            </w14:solidFill>
          </w14:textFill>
        </w:rPr>
        <w:t xml:space="preserve">4.</w:t>
      </w:r>
      <w:bookmarkEnd w:id="55"/>
      <w:r>
        <w:rPr>
          <w:rFonts w:hint="eastAsia" w:ascii="宋体" w:hAnsi="宋体" w:cs="宋体"/>
          <w:color w:val="000000" w:themeColor="text1"/>
          <w:highlight w:val="none"/>
          <w14:textFill>
            <w14:solidFill>
              <w14:schemeClr w14:val="tx1"/>
            </w14:solidFill>
          </w14:textFill>
        </w:rPr>
        <w:t xml:space="preserve">政府采购政策（包括但不限于下列具体政策要求）</w:t>
      </w:r>
      <w:bookmarkEnd w:id="56"/>
      <w:r/>
      <w:bookmarkEnd w:id="57"/>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4.1.1.1中小企业是</w:t>
      </w:r>
      <w:r>
        <w:rPr>
          <w:rFonts w:hint="eastAsia" w:ascii="宋体" w:hAnsi="宋体" w:cs="宋体"/>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4.4未按要求提供相关材料的，不享受相关政策。</w:t>
      </w:r>
      <w:bookmarkEnd w:id="54"/>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58" w:name="_Toc104560843"/>
      <w:r/>
      <w:bookmarkStart w:id="59" w:name="_Toc103848532"/>
      <w:r/>
      <w:bookmarkStart w:id="60" w:name="_Toc96347865"/>
      <w:r/>
      <w:bookmarkStart w:id="61" w:name="_Toc100905205"/>
      <w:r/>
      <w:bookmarkStart w:id="62" w:name="_Toc107246219"/>
      <w:r>
        <w:rPr>
          <w:rFonts w:hint="eastAsia" w:ascii="宋体" w:hAnsi="宋体" w:cs="宋体"/>
          <w:color w:val="000000" w:themeColor="text1"/>
          <w:highlight w:val="none"/>
          <w14:textFill>
            <w14:solidFill>
              <w14:schemeClr w14:val="tx1"/>
            </w14:solidFill>
          </w14:textFill>
        </w:rPr>
        <w:t xml:space="preserve">5.相关费用</w:t>
      </w:r>
      <w:bookmarkEnd w:id="58"/>
      <w:r/>
      <w:bookmarkEnd w:id="59"/>
      <w:r/>
      <w:bookmarkEnd w:id="60"/>
      <w:r/>
      <w:bookmarkEnd w:id="61"/>
      <w:r/>
      <w:bookmarkEnd w:id="62"/>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bookmarkStart w:id="63" w:name="_Toc80264707"/>
      <w:r>
        <w:rPr>
          <w:rFonts w:hint="eastAsia" w:ascii="宋体" w:hAnsi="宋体" w:cs="宋体"/>
          <w:color w:val="000000" w:themeColor="text1"/>
          <w:szCs w:val="21"/>
          <w:highlight w:val="none"/>
          <w14:textFill>
            <w14:solidFill>
              <w14:schemeClr w14:val="tx1"/>
            </w14:solidFill>
          </w14:textFill>
        </w:rPr>
        <w:t xml:space="preserve">参加投标活动的供应商应自行承担所有与参加投标有关的费用，无论投标过程中的做法和结果如何，采购人在任何情况下均无义务和责任承担这些费用。</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64" w:name="_Toc103848533"/>
      <w:r/>
      <w:bookmarkStart w:id="65" w:name="_Toc100905206"/>
      <w:r/>
      <w:bookmarkStart w:id="66" w:name="_Toc107246220"/>
      <w:r/>
      <w:bookmarkStart w:id="67" w:name="_Toc104560844"/>
      <w:r/>
      <w:bookmarkStart w:id="68" w:name="_Toc96347866"/>
      <w:r>
        <w:rPr>
          <w:rFonts w:hint="eastAsia" w:ascii="宋体" w:hAnsi="宋体" w:cs="宋体"/>
          <w:color w:val="000000" w:themeColor="text1"/>
          <w:highlight w:val="none"/>
          <w14:textFill>
            <w14:solidFill>
              <w14:schemeClr w14:val="tx1"/>
            </w14:solidFill>
          </w14:textFill>
        </w:rPr>
        <w:t xml:space="preserve">6.保密</w:t>
      </w:r>
      <w:bookmarkEnd w:id="64"/>
      <w:r/>
      <w:bookmarkEnd w:id="65"/>
      <w:r/>
      <w:bookmarkEnd w:id="66"/>
      <w:r/>
      <w:bookmarkEnd w:id="67"/>
      <w:r/>
      <w:bookmarkEnd w:id="68"/>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69" w:name="_Toc96347867"/>
      <w:r/>
      <w:bookmarkStart w:id="70" w:name="_Toc100905207"/>
      <w:r>
        <w:rPr>
          <w:rFonts w:hint="eastAsia" w:ascii="宋体" w:hAnsi="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71" w:name="_Toc107246221"/>
      <w:r/>
      <w:bookmarkStart w:id="72" w:name="_Toc104560845"/>
      <w:r/>
      <w:bookmarkStart w:id="73" w:name="_Toc103848534"/>
      <w:r>
        <w:rPr>
          <w:rFonts w:hint="eastAsia" w:ascii="宋体" w:hAnsi="宋体" w:cs="宋体"/>
          <w:color w:val="000000" w:themeColor="text1"/>
          <w:highlight w:val="none"/>
          <w14:textFill>
            <w14:solidFill>
              <w14:schemeClr w14:val="tx1"/>
            </w14:solidFill>
          </w14:textFill>
        </w:rPr>
        <w:t xml:space="preserve">7.语言文字、计量单位</w:t>
      </w:r>
      <w:bookmarkEnd w:id="69"/>
      <w:r/>
      <w:bookmarkEnd w:id="70"/>
      <w:r/>
      <w:bookmarkEnd w:id="71"/>
      <w:r/>
      <w:bookmarkEnd w:id="72"/>
      <w:r/>
      <w:bookmarkEnd w:id="73"/>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74" w:name="_Toc107246222"/>
      <w:r/>
      <w:bookmarkStart w:id="75" w:name="_Toc96347868"/>
      <w:r/>
      <w:bookmarkStart w:id="76" w:name="_Toc100905208"/>
      <w:r/>
      <w:bookmarkStart w:id="77" w:name="_Toc103848535"/>
      <w:r/>
      <w:bookmarkStart w:id="78" w:name="_Toc104560846"/>
      <w:r>
        <w:rPr>
          <w:rFonts w:hint="eastAsia" w:ascii="宋体" w:hAnsi="宋体" w:cs="宋体"/>
          <w:color w:val="000000" w:themeColor="text1"/>
          <w:highlight w:val="none"/>
          <w14:textFill>
            <w14:solidFill>
              <w14:schemeClr w14:val="tx1"/>
            </w14:solidFill>
          </w14:textFill>
        </w:rPr>
        <w:t xml:space="preserve">8.现场考察</w:t>
      </w:r>
      <w:bookmarkEnd w:id="74"/>
      <w:r/>
      <w:bookmarkEnd w:id="75"/>
      <w:r/>
      <w:bookmarkEnd w:id="76"/>
      <w:r/>
      <w:bookmarkEnd w:id="77"/>
      <w:r/>
      <w:bookmarkEnd w:id="78"/>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规定现场考察的，供应商须按照</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8.2供应商不按照</w:t>
      </w:r>
      <w:r>
        <w:rPr>
          <w:rFonts w:hint="eastAsia" w:ascii="宋体" w:hAnsi="宋体" w:cs="宋体"/>
          <w:bCs/>
          <w:color w:val="000000" w:themeColor="text1"/>
          <w:szCs w:val="21"/>
          <w:highlight w:val="none"/>
          <w14:textFill>
            <w14:solidFill>
              <w14:schemeClr w14:val="tx1"/>
            </w14:solidFill>
          </w14:textFill>
        </w:rPr>
        <w:t xml:space="preserve">本须知的规定</w:t>
      </w:r>
      <w:r>
        <w:rPr>
          <w:rFonts w:hint="eastAsia" w:ascii="宋体" w:hAnsi="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79" w:name="_Toc107246223"/>
      <w:r/>
      <w:bookmarkStart w:id="80" w:name="_Toc102117275"/>
      <w:r>
        <w:rPr>
          <w:rFonts w:hint="eastAsia" w:ascii="宋体" w:hAnsi="宋体" w:cs="宋体"/>
          <w:color w:val="000000" w:themeColor="text1"/>
          <w:highlight w:val="none"/>
          <w14:textFill>
            <w14:solidFill>
              <w14:schemeClr w14:val="tx1"/>
            </w14:solidFill>
          </w14:textFill>
        </w:rPr>
        <w:t xml:space="preserve">9.开标前答疑会</w:t>
      </w:r>
      <w:bookmarkEnd w:id="79"/>
      <w:r/>
      <w:bookmarkEnd w:id="80"/>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9.2供应商应按</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81" w:name="_Toc100905210"/>
      <w:r/>
      <w:bookmarkStart w:id="82" w:name="_Toc104560847"/>
      <w:r/>
      <w:bookmarkStart w:id="83" w:name="_Toc103848536"/>
      <w:r/>
      <w:bookmarkStart w:id="84" w:name="_Toc107246224"/>
      <w:r/>
      <w:bookmarkStart w:id="85" w:name="_Toc96347869"/>
      <w:r>
        <w:rPr>
          <w:rFonts w:hint="eastAsia" w:ascii="宋体" w:hAnsi="宋体" w:cs="宋体"/>
          <w:color w:val="000000" w:themeColor="text1"/>
          <w:szCs w:val="21"/>
          <w:highlight w:val="none"/>
          <w14:textFill>
            <w14:solidFill>
              <w14:schemeClr w14:val="tx1"/>
            </w14:solidFill>
          </w14:textFill>
        </w:rPr>
        <w:t xml:space="preserve">10.联合体投标</w:t>
      </w:r>
      <w:bookmarkEnd w:id="81"/>
      <w:r/>
      <w:bookmarkEnd w:id="82"/>
      <w:r/>
      <w:bookmarkEnd w:id="83"/>
      <w:r/>
      <w:bookmarkEnd w:id="84"/>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86" w:name="_Toc103848537"/>
      <w:r/>
      <w:bookmarkStart w:id="87" w:name="_Toc104560848"/>
      <w:r/>
      <w:bookmarkStart w:id="88" w:name="_Toc107246225"/>
      <w:r/>
      <w:bookmarkStart w:id="89" w:name="_Toc100905213"/>
      <w:r/>
      <w:bookmarkStart w:id="90" w:name="_Toc100905211"/>
      <w:r>
        <w:rPr>
          <w:rFonts w:hint="eastAsia" w:ascii="宋体" w:hAnsi="宋体" w:cs="宋体"/>
          <w:color w:val="000000" w:themeColor="text1"/>
          <w:highlight w:val="none"/>
          <w14:textFill>
            <w14:solidFill>
              <w14:schemeClr w14:val="tx1"/>
            </w14:solidFill>
          </w14:textFill>
        </w:rPr>
        <w:t xml:space="preserve">11.分包</w:t>
      </w:r>
      <w:bookmarkEnd w:id="86"/>
      <w:r/>
      <w:bookmarkEnd w:id="87"/>
      <w:r/>
      <w:bookmarkEnd w:id="88"/>
      <w:r/>
      <w:bookmarkEnd w:id="89"/>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91" w:name="_Toc107246226"/>
      <w:r/>
      <w:bookmarkStart w:id="92" w:name="_Toc104560849"/>
      <w:r>
        <w:rPr>
          <w:rFonts w:hint="eastAsia" w:ascii="宋体" w:hAnsi="宋体" w:cs="宋体"/>
          <w:color w:val="000000" w:themeColor="text1"/>
          <w:highlight w:val="none"/>
          <w14:textFill>
            <w14:solidFill>
              <w14:schemeClr w14:val="tx1"/>
            </w14:solidFill>
          </w14:textFill>
        </w:rPr>
        <w:t xml:space="preserve">12.样品</w:t>
      </w:r>
      <w:bookmarkEnd w:id="91"/>
      <w:r/>
      <w:bookmarkEnd w:id="92"/>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12.1本项目是否要求供应商提供样品，以及样品制作的标准和要求、是否需要随样品提交相关检测报告、样品的提交要求等详见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5"/>
      <w:r/>
      <w:bookmarkEnd w:id="90"/>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93" w:name="_Toc104560850"/>
      <w:r/>
      <w:bookmarkStart w:id="94" w:name="_Toc107246227"/>
      <w:r/>
      <w:bookmarkStart w:id="95" w:name="_Toc103848538"/>
      <w:r/>
      <w:bookmarkStart w:id="96" w:name="_Toc100905214"/>
      <w:r>
        <w:rPr>
          <w:rFonts w:hint="eastAsia" w:ascii="宋体" w:hAnsi="宋体" w:cs="宋体"/>
          <w:color w:val="000000" w:themeColor="text1"/>
          <w:highlight w:val="none"/>
          <w14:textFill>
            <w14:solidFill>
              <w14:schemeClr w14:val="tx1"/>
            </w14:solidFill>
          </w14:textFill>
        </w:rPr>
        <w:t xml:space="preserve">13.采购进口产品</w:t>
      </w:r>
      <w:bookmarkEnd w:id="93"/>
      <w:r/>
      <w:bookmarkEnd w:id="94"/>
      <w:r/>
      <w:bookmarkEnd w:id="95"/>
      <w:r/>
      <w:bookmarkEnd w:id="96"/>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97" w:name="_Toc107246228"/>
      <w:r/>
      <w:bookmarkStart w:id="98" w:name="_Toc104560851"/>
      <w:r>
        <w:rPr>
          <w:rFonts w:hint="eastAsia" w:ascii="宋体" w:hAnsi="宋体" w:cs="宋体"/>
          <w:color w:val="000000" w:themeColor="text1"/>
          <w:highlight w:val="none"/>
          <w14:textFill>
            <w14:solidFill>
              <w14:schemeClr w14:val="tx1"/>
            </w14:solidFill>
          </w14:textFill>
        </w:rPr>
        <w:t xml:space="preserve">14.采购项目预算及最高限价</w:t>
      </w:r>
      <w:bookmarkEnd w:id="97"/>
      <w:r/>
      <w:bookmarkEnd w:id="98"/>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14.2本项目最高限价要求见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99" w:name="_Toc104560852"/>
      <w:r/>
      <w:bookmarkStart w:id="100" w:name="_Toc107246229"/>
      <w:r>
        <w:rPr>
          <w:rFonts w:hint="eastAsia" w:ascii="宋体" w:hAnsi="宋体" w:cs="宋体"/>
          <w:color w:val="000000" w:themeColor="text1"/>
          <w:highlight w:val="none"/>
          <w14:textFill>
            <w14:solidFill>
              <w14:schemeClr w14:val="tx1"/>
            </w14:solidFill>
          </w14:textFill>
        </w:rPr>
        <w:t xml:space="preserve">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 xml:space="preserve">资格条件</w:t>
      </w:r>
      <w:bookmarkEnd w:id="99"/>
      <w:r/>
      <w:bookmarkEnd w:id="100"/>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w:t>
      </w:r>
      <w:r>
        <w:rPr>
          <w:rFonts w:hint="eastAsia" w:ascii="宋体" w:hAnsi="宋体" w:cs="宋体"/>
          <w:bCs/>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资格条件见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101" w:name="_Toc107246230"/>
      <w:r>
        <w:rPr>
          <w:rFonts w:hint="eastAsia" w:ascii="宋体" w:hAnsi="宋体" w:cs="宋体"/>
          <w:color w:val="000000" w:themeColor="text1"/>
          <w:highlight w:val="none"/>
          <w14:textFill>
            <w14:solidFill>
              <w14:schemeClr w14:val="tx1"/>
            </w14:solidFill>
          </w14:textFill>
        </w:rPr>
        <w:t xml:space="preserve">二．招标文件</w:t>
      </w:r>
      <w:bookmarkEnd w:id="63"/>
      <w:r/>
      <w:bookmarkEnd w:id="101"/>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102" w:name="_Toc104560854"/>
      <w:r/>
      <w:bookmarkStart w:id="103" w:name="_Toc96347871"/>
      <w:r/>
      <w:bookmarkStart w:id="104" w:name="_Toc103848540"/>
      <w:r/>
      <w:bookmarkStart w:id="105" w:name="_Toc100905217"/>
      <w:r/>
      <w:bookmarkStart w:id="106" w:name="_Toc107246231"/>
      <w:r>
        <w:rPr>
          <w:rFonts w:hint="eastAsia" w:ascii="宋体" w:hAnsi="宋体" w:cs="宋体"/>
          <w:color w:val="000000" w:themeColor="text1"/>
          <w:highlight w:val="none"/>
          <w14:textFill>
            <w14:solidFill>
              <w14:schemeClr w14:val="tx1"/>
            </w14:solidFill>
          </w14:textFill>
        </w:rPr>
        <w:t xml:space="preserve">16.招标文件的构成</w:t>
      </w:r>
      <w:bookmarkEnd w:id="102"/>
      <w:r/>
      <w:bookmarkEnd w:id="103"/>
      <w:r/>
      <w:bookmarkEnd w:id="104"/>
      <w:r/>
      <w:bookmarkEnd w:id="105"/>
      <w:r/>
      <w:bookmarkEnd w:id="106"/>
      <w:r/>
      <w:r/>
    </w:p>
    <w:p>
      <w:pPr>
        <w:pStyle w:val="1101"/>
        <w:ind w:firstLine="420"/>
        <w:rPr>
          <w:rFonts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16.1招标文件各章节的内容如下：</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第一章：招标公告</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第二章：供应商须知</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第四章：采购需求</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w:t>
      </w:r>
      <w:bookmarkStart w:id="107" w:name="_Toc96347872"/>
      <w:r>
        <w:rPr>
          <w:rFonts w:hint="eastAsia" w:ascii="宋体" w:hAnsi="宋体" w:cs="宋体"/>
          <w:color w:val="000000" w:themeColor="text1"/>
          <w:szCs w:val="21"/>
          <w:highlight w:val="none"/>
          <w14:textFill>
            <w14:solidFill>
              <w14:schemeClr w14:val="tx1"/>
            </w14:solidFill>
          </w14:textFill>
        </w:rPr>
        <w:t xml:space="preserve">投标文件格式</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中国政府采购网”发布的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文件不一致</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14:textFill>
            <w14:solidFill>
              <w14:schemeClr w14:val="tx1"/>
            </w14:solidFill>
          </w14:textFill>
        </w:rPr>
        <w:t xml:space="preserve">上述网站</w:t>
      </w:r>
      <w:r>
        <w:rPr>
          <w:rFonts w:hint="eastAsia" w:ascii="宋体" w:hAnsi="宋体" w:cs="宋体"/>
          <w:color w:val="000000" w:themeColor="text1"/>
          <w:szCs w:val="21"/>
          <w:highlight w:val="none"/>
          <w:lang w:val="zh-CN"/>
          <w14:textFill>
            <w14:solidFill>
              <w14:schemeClr w14:val="tx1"/>
            </w14:solidFill>
          </w14:textFill>
        </w:rPr>
        <w:t xml:space="preserve">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文件为准。</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★招标文件中标注</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16.3</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07"/>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108" w:name="_Toc104560855"/>
      <w:r/>
      <w:bookmarkStart w:id="109" w:name="_Toc103848541"/>
      <w:r/>
      <w:bookmarkStart w:id="110" w:name="_Toc96347873"/>
      <w:r/>
      <w:bookmarkStart w:id="111" w:name="_Toc107246232"/>
      <w:r/>
      <w:bookmarkStart w:id="112" w:name="_Toc100905218"/>
      <w:r>
        <w:rPr>
          <w:rFonts w:hint="eastAsia" w:ascii="宋体" w:hAnsi="宋体" w:cs="宋体"/>
          <w:color w:val="000000" w:themeColor="text1"/>
          <w:highlight w:val="none"/>
          <w14:textFill>
            <w14:solidFill>
              <w14:schemeClr w14:val="tx1"/>
            </w14:solidFill>
          </w14:textFill>
        </w:rPr>
        <w:t xml:space="preserve">17.招标文件的澄清或者修改</w:t>
      </w:r>
      <w:bookmarkEnd w:id="108"/>
      <w:r/>
      <w:bookmarkEnd w:id="109"/>
      <w:r/>
      <w:bookmarkEnd w:id="110"/>
      <w:r/>
      <w:bookmarkEnd w:id="111"/>
      <w:r/>
      <w:bookmarkEnd w:id="112"/>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113" w:name="_Toc100905219"/>
      <w:r>
        <w:rPr>
          <w:rFonts w:hint="eastAsia" w:ascii="宋体" w:hAnsi="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17.3供应商应在提交投标文件截止时间前，关注原公告媒体有关本项目的更正公告，根据更正公告内容自行决定是否需要重新制作和提交投标文件，并承担由此产生的相应责任。</w:t>
      </w:r>
      <w:bookmarkEnd w:id="113"/>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114" w:name="_Toc91836558"/>
      <w:r/>
      <w:bookmarkStart w:id="115" w:name="_Toc107246233"/>
      <w:r/>
      <w:bookmarkStart w:id="116" w:name="_Toc104560856"/>
      <w:r/>
      <w:bookmarkStart w:id="117" w:name="_Toc80264708"/>
      <w:r>
        <w:rPr>
          <w:rFonts w:hint="eastAsia" w:ascii="宋体" w:hAnsi="宋体" w:cs="宋体"/>
          <w:color w:val="000000" w:themeColor="text1"/>
          <w:highlight w:val="none"/>
          <w14:textFill>
            <w14:solidFill>
              <w14:schemeClr w14:val="tx1"/>
            </w14:solidFill>
          </w14:textFill>
        </w:rPr>
        <w:t xml:space="preserve">三．投标文件</w:t>
      </w:r>
      <w:bookmarkEnd w:id="114"/>
      <w:r/>
      <w:bookmarkEnd w:id="115"/>
      <w:r/>
      <w:bookmarkEnd w:id="116"/>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118" w:name="_Toc104560857"/>
      <w:r/>
      <w:bookmarkStart w:id="119" w:name="_Toc107246234"/>
      <w:r/>
      <w:bookmarkStart w:id="120" w:name="_Toc103848543"/>
      <w:r/>
      <w:bookmarkStart w:id="121" w:name="_Toc100905221"/>
      <w:r/>
      <w:bookmarkStart w:id="122" w:name="_Toc96347875"/>
      <w:r>
        <w:rPr>
          <w:rFonts w:hint="eastAsia" w:ascii="宋体" w:hAnsi="宋体" w:cs="宋体"/>
          <w:color w:val="000000" w:themeColor="text1"/>
          <w:highlight w:val="none"/>
          <w14:textFill>
            <w14:solidFill>
              <w14:schemeClr w14:val="tx1"/>
            </w14:solidFill>
          </w14:textFill>
        </w:rPr>
        <w:t xml:space="preserve">18.投标文件的组成</w:t>
      </w:r>
      <w:bookmarkEnd w:id="118"/>
      <w:r/>
      <w:bookmarkEnd w:id="119"/>
      <w:r/>
      <w:bookmarkEnd w:id="120"/>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18.2</w:t>
      </w:r>
      <w:r>
        <w:rPr>
          <w:rFonts w:hint="eastAsia" w:ascii="宋体" w:hAnsi="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（7）供应商具备投标资格的证明文件（</w:t>
      </w:r>
      <w:r>
        <w:rPr>
          <w:rFonts w:hint="eastAsia" w:ascii="宋体" w:hAnsi="宋体" w:cs="宋体"/>
          <w:color w:val="000000" w:themeColor="text1"/>
          <w:highlight w:val="none"/>
          <w14:textFill>
            <w14:solidFill>
              <w14:schemeClr w14:val="tx1"/>
            </w14:solidFill>
          </w14:textFill>
        </w:rPr>
        <w:t xml:space="preserve">如为南京市政府采购项目，则供应商应按照公告要求提供</w:t>
      </w:r>
      <w:r>
        <w:rPr>
          <w:rFonts w:hint="eastAsia" w:ascii="宋体" w:hAnsi="宋体" w:cs="宋体"/>
          <w:color w:val="000000" w:themeColor="text1"/>
          <w:szCs w:val="21"/>
          <w:highlight w:val="none"/>
          <w14:textFill>
            <w14:solidFill>
              <w14:schemeClr w14:val="tx1"/>
            </w14:solidFill>
          </w14:textFill>
        </w:rPr>
        <w:t xml:space="preserve">）：</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（a）供应商为企业（包括合伙企业）的，应提供有效的“营业执照”。</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（b）供应商为事业单位的，应提供有效的“事业单位法人证书”。</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（c）供应商是非企业机构的，应提供有效的“执业许可证”、“登记证书”等证明文件。</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（d）供应商是个体工商户的，应提供有效的“个体工商户营业执照”。</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（e）供应商是自然人的，应提供有效的自然人身份证明。</w:t>
      </w:r>
      <w:r/>
    </w:p>
    <w:p>
      <w:pPr>
        <w:ind w:firstLine="52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（7-7）无不良信用记录承诺函（供应商自行查询适用），格式见附件。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（8）《南京市政府采购供应商信用记录表暨信用承诺书》（如需）</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（9）投标保证金（如需），格式见附件。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（10）联合体协议书（如需），格式见附件。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（11）分包意向协议（如需），格式见附件。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（12）公章授权书（如需），格式见附件。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（13）供应商参加远程异地开标仪式须知（如需），格式见附件。</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（3）供应商售后服务承诺（如需）。</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18.4.1投标文件的其他部分由供应商根据编制投标文件需要提供的其他相关文件组成。</w:t>
      </w:r>
      <w:r/>
    </w:p>
    <w:p>
      <w:pPr>
        <w:pStyle w:val="829"/>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123" w:name="_Toc107246235"/>
      <w:r/>
      <w:bookmarkStart w:id="124" w:name="_Toc104560858"/>
      <w:r>
        <w:rPr>
          <w:rFonts w:hint="eastAsia" w:ascii="宋体" w:hAnsi="宋体" w:cs="宋体"/>
          <w:color w:val="000000" w:themeColor="text1"/>
          <w:highlight w:val="none"/>
          <w14:textFill>
            <w14:solidFill>
              <w14:schemeClr w14:val="tx1"/>
            </w14:solidFill>
          </w14:textFill>
        </w:rPr>
        <w:t xml:space="preserve">19.投标文件编制的原则</w:t>
      </w:r>
      <w:bookmarkEnd w:id="123"/>
      <w:r/>
      <w:bookmarkEnd w:id="124"/>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19.1</w:t>
      </w:r>
      <w:r>
        <w:rPr>
          <w:rFonts w:hint="eastAsia" w:ascii="宋体" w:hAnsi="宋体" w:cs="宋体"/>
          <w:color w:val="000000" w:themeColor="text1"/>
          <w:szCs w:val="21"/>
          <w:highlight w:val="none"/>
          <w14:textFill>
            <w14:solidFill>
              <w14:schemeClr w14:val="tx1"/>
            </w14:solidFill>
          </w14:textFill>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19.2</w:t>
      </w:r>
      <w:r>
        <w:rPr>
          <w:rFonts w:hint="eastAsia" w:ascii="宋体" w:hAnsi="宋体" w:cs="宋体"/>
          <w:color w:val="000000" w:themeColor="text1"/>
          <w:szCs w:val="21"/>
          <w:highlight w:val="none"/>
          <w14:textFill>
            <w14:solidFill>
              <w14:schemeClr w14:val="tx1"/>
            </w14:solidFill>
          </w14:textFill>
        </w:rPr>
        <w:t xml:space="preserve">供应商必须保证投标文件所提供的全部资料真实可靠。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19.3</w:t>
      </w:r>
      <w:r>
        <w:rPr>
          <w:rFonts w:hint="eastAsia" w:ascii="宋体" w:hAnsi="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829"/>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125" w:name="_Toc107246236"/>
      <w:r>
        <w:rPr>
          <w:rFonts w:hint="eastAsia" w:ascii="宋体" w:hAnsi="宋体" w:cs="宋体"/>
          <w:color w:val="000000" w:themeColor="text1"/>
          <w:highlight w:val="none"/>
          <w14:textFill>
            <w14:solidFill>
              <w14:schemeClr w14:val="tx1"/>
            </w14:solidFill>
          </w14:textFill>
        </w:rPr>
        <w:t xml:space="preserve">20.投标报价</w:t>
      </w:r>
      <w:bookmarkEnd w:id="125"/>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20.2</w:t>
      </w:r>
      <w:r>
        <w:rPr>
          <w:rFonts w:hint="eastAsia" w:ascii="宋体" w:hAnsi="宋体" w:cs="宋体"/>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20.3</w:t>
      </w:r>
      <w:r>
        <w:rPr>
          <w:rFonts w:hint="eastAsia" w:ascii="宋体" w:hAnsi="宋体" w:cs="宋体"/>
          <w:color w:val="000000" w:themeColor="text1"/>
          <w:szCs w:val="21"/>
          <w:highlight w:val="none"/>
          <w14:textFill>
            <w14:solidFill>
              <w14:schemeClr w14:val="tx1"/>
            </w14:solidFill>
          </w14:textFill>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20.4供应商要按开标一览表、分项报价表的内容填写投标报价及其它事项。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 xml:space="preserve">★开标一览表须加盖公章或电子公章。</w:t>
      </w:r>
      <w:r>
        <w:rPr>
          <w:rFonts w:hint="eastAsia" w:ascii="宋体" w:hAnsi="宋体" w:cs="宋体"/>
          <w:bCs/>
          <w:color w:val="000000" w:themeColor="text1"/>
          <w:szCs w:val="21"/>
          <w:highlight w:val="none"/>
          <w14:textFill>
            <w14:solidFill>
              <w14:schemeClr w14:val="tx1"/>
            </w14:solidFill>
          </w14:textFill>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20.5</w:t>
      </w:r>
      <w:r>
        <w:rPr>
          <w:rFonts w:hint="eastAsia" w:ascii="宋体" w:hAnsi="宋体" w:cs="宋体"/>
          <w:color w:val="000000" w:themeColor="text1"/>
          <w:szCs w:val="21"/>
          <w:highlight w:val="none"/>
          <w14:textFill>
            <w14:solidFill>
              <w14:schemeClr w14:val="tx1"/>
            </w14:solidFill>
          </w14:textFill>
        </w:rPr>
        <w:t xml:space="preserve">投标报价的其他要求见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bookmarkEnd w:id="121"/>
      <w:r/>
      <w:bookmarkEnd w:id="122"/>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126" w:name="_Toc107246237"/>
      <w:r/>
      <w:bookmarkStart w:id="127" w:name="_Toc103848545"/>
      <w:r/>
      <w:bookmarkStart w:id="128" w:name="_Toc104560859"/>
      <w:r/>
      <w:bookmarkStart w:id="129" w:name="_Toc100905224"/>
      <w:r/>
      <w:bookmarkStart w:id="130" w:name="_Toc96347878"/>
      <w:r/>
      <w:bookmarkStart w:id="131" w:name="_Toc100905223"/>
      <w:r/>
      <w:bookmarkStart w:id="132" w:name="_Toc103848544"/>
      <w:r>
        <w:rPr>
          <w:rFonts w:hint="eastAsia" w:ascii="宋体" w:hAnsi="宋体" w:cs="宋体"/>
          <w:color w:val="000000" w:themeColor="text1"/>
          <w:highlight w:val="none"/>
          <w14:textFill>
            <w14:solidFill>
              <w14:schemeClr w14:val="tx1"/>
            </w14:solidFill>
          </w14:textFill>
        </w:rPr>
        <w:t xml:space="preserve">21.投标有效期</w:t>
      </w:r>
      <w:bookmarkEnd w:id="126"/>
      <w:r/>
      <w:bookmarkEnd w:id="127"/>
      <w:r/>
      <w:bookmarkEnd w:id="128"/>
      <w:r/>
      <w:bookmarkEnd w:id="129"/>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21.1投标有效期见</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，在此期间投标文件对供应商具有法律约束力，以保证采购人有足够的时间完成评标、定标以及签订合同。投标有效期从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133" w:name="_Toc107246238"/>
      <w:r/>
      <w:bookmarkStart w:id="134" w:name="_Toc104560860"/>
      <w:r>
        <w:rPr>
          <w:rFonts w:hint="eastAsia" w:ascii="宋体" w:hAnsi="宋体" w:cs="宋体"/>
          <w:color w:val="000000" w:themeColor="text1"/>
          <w:highlight w:val="none"/>
          <w14:textFill>
            <w14:solidFill>
              <w14:schemeClr w14:val="tx1"/>
            </w14:solidFill>
          </w14:textFill>
        </w:rPr>
        <w:t xml:space="preserve">22.投标保证金</w:t>
      </w:r>
      <w:bookmarkEnd w:id="130"/>
      <w:r/>
      <w:bookmarkEnd w:id="131"/>
      <w:r/>
      <w:bookmarkEnd w:id="132"/>
      <w:r/>
      <w:bookmarkEnd w:id="133"/>
      <w:r/>
      <w:bookmarkEnd w:id="134"/>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135" w:name="_Toc420657357"/>
      <w:r/>
      <w:bookmarkStart w:id="136" w:name="_Toc420487862"/>
      <w:r/>
      <w:bookmarkStart w:id="137" w:name="_Toc68159552"/>
      <w:r/>
      <w:bookmarkStart w:id="138" w:name="_Toc519241651"/>
      <w:r/>
      <w:bookmarkStart w:id="139" w:name="_Toc466452044"/>
      <w:r/>
      <w:bookmarkStart w:id="140" w:name="_Toc96347879"/>
      <w:r>
        <w:rPr>
          <w:rFonts w:hint="eastAsia" w:ascii="宋体" w:hAnsi="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规定交纳投标保证金的，供应商应以支票、汇票、本票或金融机构、担保机构出具的保函等非现金形式，在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cs="宋体"/>
          <w:b/>
          <w:color w:val="000000" w:themeColor="text1"/>
          <w:szCs w:val="21"/>
          <w:highlight w:val="none"/>
          <w14:textFill>
            <w14:solidFill>
              <w14:schemeClr w14:val="tx1"/>
            </w14:solidFill>
          </w14:textFill>
        </w:rPr>
        <w:t xml:space="preserve">★供应商未按规定缴纳投标保证金的或</w:t>
      </w:r>
      <w:r>
        <w:rPr>
          <w:rFonts w:hint="eastAsia" w:ascii="宋体" w:hAnsi="宋体" w:cs="宋体"/>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22.4未中标的供应商的投标保证金，将在中标通知书发出后5个工作日内退还，但因供应商自身原因导致无法及时退还的除外。</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22.5中标的供应商的投标保证金，将在政府采购合同签订后5个工作日内退还中标人。</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22.6供应商有以下情形之一的，投标保证金可以不予退还（本款仅适用于要求递交投标保证金的项目）：</w:t>
      </w:r>
      <w:bookmarkEnd w:id="135"/>
      <w:r/>
      <w:bookmarkEnd w:id="136"/>
      <w:r/>
      <w:bookmarkEnd w:id="137"/>
      <w:r/>
      <w:bookmarkEnd w:id="138"/>
      <w:r/>
      <w:bookmarkEnd w:id="139"/>
      <w:r/>
      <w:bookmarkEnd w:id="140"/>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bookmarkStart w:id="141" w:name="_Toc100905225"/>
      <w:r/>
      <w:bookmarkStart w:id="142" w:name="_Toc96347880"/>
      <w:r/>
      <w:bookmarkStart w:id="143" w:name="_Toc104560861"/>
      <w:r/>
      <w:bookmarkStart w:id="144" w:name="_Toc103848546"/>
      <w:r>
        <w:rPr>
          <w:rFonts w:hint="eastAsia" w:ascii="宋体" w:hAnsi="宋体" w:cs="宋体"/>
          <w:color w:val="000000" w:themeColor="text1"/>
          <w:szCs w:val="21"/>
          <w:highlight w:val="none"/>
          <w14:textFill>
            <w14:solidFill>
              <w14:schemeClr w14:val="tx1"/>
            </w14:solidFill>
          </w14:textFill>
        </w:rPr>
        <w:t xml:space="preserve">（1）供应商在招标文件规定的投标有效期内撤销其投标文件；</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（2）供应商在投标文件中提供虚假材料的；</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（3）供应商在本次采购活动中存在恶意串通行为的；</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145" w:name="_Toc107246239"/>
      <w:r>
        <w:rPr>
          <w:rFonts w:hint="eastAsia" w:ascii="宋体" w:hAnsi="宋体" w:cs="宋体"/>
          <w:color w:val="000000" w:themeColor="text1"/>
          <w:highlight w:val="none"/>
          <w14:textFill>
            <w14:solidFill>
              <w14:schemeClr w14:val="tx1"/>
            </w14:solidFill>
          </w14:textFill>
        </w:rPr>
        <w:t xml:space="preserve">23.投标文件的制作和签署</w:t>
      </w:r>
      <w:bookmarkEnd w:id="141"/>
      <w:r/>
      <w:bookmarkEnd w:id="142"/>
      <w:r/>
      <w:bookmarkEnd w:id="143"/>
      <w:r/>
      <w:bookmarkEnd w:id="144"/>
      <w:r/>
      <w:bookmarkEnd w:id="145"/>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46" w:name="_Toc107246240"/>
      <w:r>
        <w:rPr>
          <w:rFonts w:ascii="Microsoft New Tai Lue" w:hAnsi="Microsoft New Tai Lue" w:cs="Microsoft New Tai Lue"/>
          <w:bCs/>
          <w:color w:val="000000" w:themeColor="text1"/>
          <w:szCs w:val="21"/>
          <w:highlight w:val="none"/>
          <w14:textFill>
            <w14:solidFill>
              <w14:schemeClr w14:val="tx1"/>
            </w14:solidFill>
          </w14:textFill>
        </w:rPr>
        <w:t xml:space="preserve">23.1</w:t>
      </w:r>
      <w:r>
        <w:rPr>
          <w:rFonts w:hint="eastAsia" w:ascii="Arial" w:hAnsi="Arial" w:cs="Arial"/>
          <w:color w:val="000000" w:themeColor="text1"/>
          <w:szCs w:val="21"/>
          <w:highlight w:val="none"/>
          <w14:textFill>
            <w14:solidFill>
              <w14:schemeClr w14:val="tx1"/>
            </w14:solidFill>
          </w14:textFill>
        </w:rPr>
        <w:t xml:space="preserve">供应商</w:t>
      </w:r>
      <w:r>
        <w:rPr>
          <w:rFonts w:ascii="Arial" w:hAnsi="Arial" w:cs="Arial"/>
          <w:color w:val="000000" w:themeColor="text1"/>
          <w:szCs w:val="21"/>
          <w:highlight w:val="none"/>
          <w14:textFill>
            <w14:solidFill>
              <w14:schemeClr w14:val="tx1"/>
            </w14:solidFill>
          </w14:textFill>
        </w:rPr>
        <w:t xml:space="preserve">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 xml:space="preserve">招标代理机构拒绝接收提交</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文件截止时间后上传的任何电子</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投标文件</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或电子公章</w:t>
      </w:r>
      <w:r>
        <w:rPr>
          <w:rFonts w:ascii="Microsoft New Tai Lue" w:hAnsi="Microsoft New Tai Lue" w:cs="Microsoft New Tai Lue"/>
          <w:bCs/>
          <w:color w:val="000000" w:themeColor="text1"/>
          <w:szCs w:val="21"/>
          <w:highlight w:val="none"/>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，如供应商为自然人可不加盖公章，仅由本人签字）。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
          <w:color w:val="000000" w:themeColor="text1"/>
          <w:szCs w:val="21"/>
          <w:highlight w:val="none"/>
          <w14:textFill>
            <w14:solidFill>
              <w14:schemeClr w14:val="tx1"/>
            </w14:solidFill>
          </w14:textFill>
        </w:rPr>
        <w:t xml:space="preserve">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如</w:t>
      </w:r>
      <w:r>
        <w:rPr>
          <w:rFonts w:ascii="Microsoft New Tai Lue" w:hAnsi="Microsoft New Tai Lue" w:cs="Microsoft New Tai Lue"/>
          <w:b/>
          <w:color w:val="000000" w:themeColor="text1"/>
          <w:szCs w:val="21"/>
          <w:highlight w:val="none"/>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
          <w:color w:val="000000" w:themeColor="text1"/>
          <w:szCs w:val="21"/>
          <w:highlight w:val="none"/>
          <w14:textFill>
            <w14:solidFill>
              <w14:schemeClr w14:val="tx1"/>
            </w14:solidFill>
          </w14:textFill>
        </w:rPr>
        <w:t xml:space="preserve">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，否则不予认可</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p>
    <w:p>
      <w:pPr>
        <w:ind w:firstLine="420"/>
        <w:spacing w:before="156" w:after="4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bookmarkEnd w:id="146"/>
      <w:r/>
      <w:r/>
    </w:p>
    <w:p>
      <w:pPr>
        <w:pStyle w:val="829"/>
        <w:ind w:left="0" w:right="210" w:firstLine="373"/>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47" w:name="_Toc107246241"/>
      <w:r/>
      <w:bookmarkStart w:id="148" w:name="_Toc100905226"/>
      <w:r/>
      <w:bookmarkStart w:id="149" w:name="_Toc103848548"/>
      <w:r/>
      <w:bookmarkStart w:id="150" w:name="_Toc96347881"/>
      <w:r/>
      <w:bookmarkStart w:id="151" w:name="_Toc104560863"/>
      <w:r>
        <w:rPr>
          <w:rFonts w:hint="eastAsia" w:ascii="宋体" w:hAnsi="宋体" w:cs="宋体"/>
          <w:color w:val="000000" w:themeColor="text1"/>
          <w:highlight w:val="none"/>
          <w14:textFill>
            <w14:solidFill>
              <w14:schemeClr w14:val="tx1"/>
            </w14:solidFill>
          </w14:textFill>
        </w:rPr>
        <w:t xml:space="preserve">24.</w:t>
      </w:r>
      <w:bookmarkEnd w:id="147"/>
      <w:r/>
      <w:bookmarkEnd w:id="148"/>
      <w:r/>
      <w:bookmarkEnd w:id="149"/>
      <w:r/>
      <w:bookmarkEnd w:id="150"/>
      <w:r/>
      <w:bookmarkEnd w:id="151"/>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投标文件的递交</w:t>
      </w:r>
      <w:bookmarkStart w:id="152" w:name="_Toc46219699"/>
      <w:r/>
      <w:bookmarkStart w:id="153" w:name="_Toc19963"/>
      <w:r/>
      <w:bookmarkStart w:id="154" w:name="_Toc38931614"/>
      <w:r/>
      <w:bookmarkStart w:id="155" w:name="_Toc11952"/>
      <w:r/>
      <w:bookmarkStart w:id="156" w:name="_Toc11464"/>
      <w:r/>
      <w:bookmarkStart w:id="157" w:name="_Toc38933357"/>
      <w:r/>
      <w:bookmarkStart w:id="158" w:name="_Toc96347882"/>
      <w:r/>
      <w:bookmarkStart w:id="159" w:name="_Toc100905227"/>
      <w:r/>
      <w:bookmarkStart w:id="160" w:name="_Toc46939510"/>
      <w:r/>
      <w:bookmarkStart w:id="161" w:name="_Toc103848549"/>
      <w:r/>
      <w:bookmarkStart w:id="162" w:name="_Toc5042"/>
      <w:r/>
      <w:bookmarkStart w:id="163" w:name="_Toc91399404"/>
      <w:r/>
      <w:bookmarkStart w:id="164" w:name="_Toc97561941"/>
      <w:r/>
      <w:bookmarkStart w:id="165" w:name="_Toc48151397"/>
      <w:r/>
      <w:bookmarkStart w:id="166" w:name="_Toc40202948"/>
      <w:r/>
      <w:bookmarkStart w:id="167" w:name="_Toc89586904"/>
      <w:r/>
      <w:bookmarkStart w:id="168" w:name="_Toc469850063"/>
      <w:r/>
      <w:bookmarkStart w:id="169" w:name="_Toc51928343"/>
      <w:r/>
      <w:bookmarkStart w:id="170" w:name="_Toc46960670"/>
      <w:r/>
      <w:bookmarkStart w:id="171" w:name="_Toc4536"/>
      <w:r/>
      <w:bookmarkStart w:id="172" w:name="_Toc50528805"/>
      <w:r/>
      <w:bookmarkStart w:id="173" w:name="_Toc38931800"/>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174" w:name="_Toc104560864"/>
      <w:r/>
      <w:bookmarkStart w:id="175" w:name="_Toc107246242"/>
      <w:r>
        <w:rPr>
          <w:rFonts w:hint="eastAsia" w:ascii="宋体" w:hAnsi="宋体" w:cs="宋体"/>
          <w:color w:val="000000" w:themeColor="text1"/>
          <w:highlight w:val="none"/>
          <w14:textFill>
            <w14:solidFill>
              <w14:schemeClr w14:val="tx1"/>
            </w14:solidFill>
          </w14:textFill>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cs="宋体"/>
          <w:color w:val="000000" w:themeColor="text1"/>
          <w:highlight w:val="none"/>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76"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25.1供应商</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25.2供应商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应充分考虑网络环境、网络带宽等因素可能对投标产生的影响，如因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自身原因造成的电子投标文件解密不成功的，做无效投标处理。</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177" w:name="_Toc103848550"/>
      <w:r/>
      <w:bookmarkStart w:id="178" w:name="_Toc107246243"/>
      <w:r/>
      <w:bookmarkStart w:id="179" w:name="_Toc100905228"/>
      <w:r/>
      <w:bookmarkStart w:id="180" w:name="_Toc104560865"/>
      <w:r>
        <w:rPr>
          <w:rFonts w:hint="eastAsia" w:ascii="宋体" w:hAnsi="宋体" w:cs="宋体"/>
          <w:color w:val="000000" w:themeColor="text1"/>
          <w:highlight w:val="none"/>
          <w14:textFill>
            <w14:solidFill>
              <w14:schemeClr w14:val="tx1"/>
            </w14:solidFill>
          </w14:textFill>
        </w:rPr>
        <w:t xml:space="preserve">26.投标文件的修改和撤回</w:t>
      </w:r>
      <w:bookmarkEnd w:id="117"/>
      <w:r/>
      <w:bookmarkEnd w:id="176"/>
      <w:r/>
      <w:bookmarkEnd w:id="177"/>
      <w:r/>
      <w:bookmarkEnd w:id="178"/>
      <w:r/>
      <w:bookmarkEnd w:id="179"/>
      <w:r/>
      <w:bookmarkEnd w:id="180"/>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81"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26.1供应商在递交投标文件后，可以修改或撤回其投标文件，但这种修改和撤回，必须在规定的投标截止时间前，以书面形式通知采购方。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26.2供应商对投标文件的补充、修改的内容应当按照采购文件要求签署、盖章、密封后，作为投标文件的组成部分。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26.3 在投标截止时间之后，供应商不得对其投标文件作任何修改。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在投标截止时间至采购文件中规定的投标有效期满之间的这段时间内，供应商不得撤回其投标。</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182" w:name="_Toc103848551"/>
      <w:r/>
      <w:bookmarkStart w:id="183" w:name="_Toc104560866"/>
      <w:r/>
      <w:bookmarkStart w:id="184" w:name="_Toc107246244"/>
      <w:r>
        <w:rPr>
          <w:rFonts w:hint="eastAsia" w:ascii="宋体" w:hAnsi="宋体" w:cs="宋体"/>
          <w:color w:val="000000" w:themeColor="text1"/>
          <w:highlight w:val="none"/>
          <w14:textFill>
            <w14:solidFill>
              <w14:schemeClr w14:val="tx1"/>
            </w14:solidFill>
          </w14:textFill>
        </w:rPr>
        <w:t xml:space="preserve">27.诚实信用</w:t>
      </w:r>
      <w:bookmarkEnd w:id="182"/>
      <w:r/>
      <w:bookmarkEnd w:id="183"/>
      <w:r/>
      <w:bookmarkEnd w:id="184"/>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27.1供应商应当遵循公平竞争的原则，不得恶意串通，不得妨碍其他供应商的竞争行为，不得损害采购人或者其他供应商的合法权益。</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27.2在评标过程中发现供应商有上述情形的，评标委员会应当认定其投标无效，并书面报告本级财政部门。</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185" w:name="_Toc107246245"/>
      <w:r>
        <w:rPr>
          <w:rFonts w:hint="eastAsia" w:ascii="宋体" w:hAnsi="宋体" w:cs="宋体"/>
          <w:color w:val="000000" w:themeColor="text1"/>
          <w:highlight w:val="none"/>
          <w14:textFill>
            <w14:solidFill>
              <w14:schemeClr w14:val="tx1"/>
            </w14:solidFill>
          </w14:textFill>
        </w:rPr>
        <w:t xml:space="preserve">五．开标和评标</w:t>
      </w:r>
      <w:bookmarkEnd w:id="185"/>
      <w:r/>
      <w:bookmarkStart w:id="186" w:name="_Toc96347885"/>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187" w:name="_Toc104560868"/>
      <w:r/>
      <w:bookmarkStart w:id="188" w:name="_Toc107246246"/>
      <w:r/>
      <w:bookmarkStart w:id="189" w:name="_Toc103848553"/>
      <w:r/>
      <w:bookmarkStart w:id="190" w:name="_Toc100905230"/>
      <w:r>
        <w:rPr>
          <w:rFonts w:hint="eastAsia" w:ascii="宋体" w:hAnsi="宋体" w:cs="宋体"/>
          <w:color w:val="000000" w:themeColor="text1"/>
          <w:highlight w:val="none"/>
          <w14:textFill>
            <w14:solidFill>
              <w14:schemeClr w14:val="tx1"/>
            </w14:solidFill>
          </w14:textFill>
        </w:rPr>
        <w:t xml:space="preserve">28.开标</w:t>
      </w:r>
      <w:bookmarkEnd w:id="186"/>
      <w:r/>
      <w:bookmarkEnd w:id="187"/>
      <w:r/>
      <w:bookmarkEnd w:id="188"/>
      <w:r/>
      <w:bookmarkEnd w:id="189"/>
      <w:r/>
      <w:bookmarkEnd w:id="190"/>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191" w:name="_Toc107246247"/>
      <w:r/>
      <w:bookmarkStart w:id="192" w:name="_Toc100905231"/>
      <w:r>
        <w:rPr>
          <w:rFonts w:hint="eastAsia" w:ascii="宋体" w:hAnsi="宋体" w:cs="宋体"/>
          <w:bCs/>
          <w:color w:val="000000" w:themeColor="text1"/>
          <w:szCs w:val="21"/>
          <w:highlight w:val="none"/>
          <w14:textFill>
            <w14:solidFill>
              <w14:schemeClr w14:val="tx1"/>
            </w14:solidFill>
          </w14:textFill>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供应商在开标过程中涉及到的投标文件解密、开标结果确认等工作，应按照《操作手册》规定执行。</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28.3供应商不足3家的，不得开标。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28.6供应商未参加开标的，视同认可开标结果。</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29.资格性审查</w:t>
      </w:r>
      <w:bookmarkEnd w:id="191"/>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193" w:name="_Toc104560869"/>
      <w:r/>
      <w:bookmarkStart w:id="194" w:name="_Toc103848554"/>
      <w:r>
        <w:rPr>
          <w:rFonts w:hint="eastAsia" w:ascii="宋体" w:hAnsi="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29.2</w:t>
      </w:r>
      <w:r>
        <w:rPr>
          <w:rFonts w:hint="eastAsia" w:ascii="宋体" w:hAnsi="宋体" w:cs="宋体"/>
          <w:b/>
          <w:color w:val="000000" w:themeColor="text1"/>
          <w:szCs w:val="21"/>
          <w:highlight w:val="none"/>
          <w14:textFill>
            <w14:solidFill>
              <w14:schemeClr w14:val="tx1"/>
            </w14:solidFill>
          </w14:textFill>
        </w:rPr>
        <w:t xml:space="preserve">供应商不具备招标文件规定的供应商资格条件的</w:t>
      </w:r>
      <w:r>
        <w:rPr>
          <w:rFonts w:hint="eastAsia" w:ascii="宋体" w:hAnsi="宋体" w:cs="宋体"/>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29.3已经进行资格预审的，可以不再对供应商资格进行审查，资格预审合格的供应商在评标阶段资格发生变化的，应当通知采购方。</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195" w:name="_Toc107246248"/>
      <w:r>
        <w:rPr>
          <w:rFonts w:hint="eastAsia" w:ascii="宋体" w:hAnsi="宋体" w:cs="宋体"/>
          <w:color w:val="000000" w:themeColor="text1"/>
          <w:highlight w:val="none"/>
          <w14:textFill>
            <w14:solidFill>
              <w14:schemeClr w14:val="tx1"/>
            </w14:solidFill>
          </w14:textFill>
        </w:rPr>
        <w:t xml:space="preserve">30.评标</w:t>
      </w:r>
      <w:bookmarkEnd w:id="193"/>
      <w:r/>
      <w:bookmarkEnd w:id="194"/>
      <w:r/>
      <w:bookmarkEnd w:id="195"/>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196" w:name="_Toc103848555"/>
      <w:r/>
      <w:bookmarkStart w:id="197" w:name="_Toc104560870"/>
      <w:r/>
      <w:bookmarkStart w:id="198" w:name="_Toc107246249"/>
      <w:r>
        <w:rPr>
          <w:rFonts w:hint="eastAsia" w:ascii="宋体" w:hAnsi="宋体" w:cs="宋体"/>
          <w:color w:val="000000" w:themeColor="text1"/>
          <w:highlight w:val="none"/>
          <w14:textFill>
            <w14:solidFill>
              <w14:schemeClr w14:val="tx1"/>
            </w14:solidFill>
          </w14:textFill>
        </w:rPr>
        <w:t xml:space="preserve">30.1评标委员会</w:t>
      </w:r>
      <w:bookmarkEnd w:id="196"/>
      <w:r/>
      <w:bookmarkEnd w:id="197"/>
      <w:r/>
      <w:bookmarkEnd w:id="198"/>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bCs/>
          <w:color w:val="000000" w:themeColor="text1"/>
          <w:szCs w:val="21"/>
          <w:highlight w:val="none"/>
          <w14:textFill>
            <w14:solidFill>
              <w14:schemeClr w14:val="tx1"/>
            </w14:solidFill>
          </w14:textFill>
        </w:rPr>
        <w:t xml:space="preserve">，负责具体评标事务，并独立履行职责。</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199" w:name="_Toc104560871"/>
      <w:r/>
      <w:bookmarkStart w:id="200" w:name="_Toc103848556"/>
      <w:r/>
      <w:bookmarkStart w:id="201" w:name="_Toc107246250"/>
      <w:r>
        <w:rPr>
          <w:rFonts w:hint="eastAsia" w:ascii="宋体" w:hAnsi="宋体" w:cs="宋体"/>
          <w:color w:val="000000" w:themeColor="text1"/>
          <w:highlight w:val="none"/>
          <w14:textFill>
            <w14:solidFill>
              <w14:schemeClr w14:val="tx1"/>
            </w14:solidFill>
          </w14:textFill>
        </w:rPr>
        <w:t xml:space="preserve">30.2</w:t>
      </w:r>
      <w:bookmarkEnd w:id="199"/>
      <w:r/>
      <w:bookmarkEnd w:id="200"/>
      <w:r>
        <w:rPr>
          <w:rFonts w:hint="eastAsia" w:ascii="宋体" w:hAnsi="宋体" w:cs="宋体"/>
          <w:color w:val="000000" w:themeColor="text1"/>
          <w:highlight w:val="none"/>
          <w14:textFill>
            <w14:solidFill>
              <w14:schemeClr w14:val="tx1"/>
            </w14:solidFill>
          </w14:textFill>
        </w:rPr>
        <w:t xml:space="preserve">符合性审查</w:t>
      </w:r>
      <w:bookmarkEnd w:id="201"/>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192"/>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202" w:name="_Toc107246251"/>
      <w:r/>
      <w:bookmarkStart w:id="203" w:name="_Toc103848557"/>
      <w:r/>
      <w:bookmarkStart w:id="204" w:name="_Toc104560872"/>
      <w:r>
        <w:rPr>
          <w:rFonts w:hint="eastAsia" w:ascii="宋体" w:hAnsi="宋体" w:cs="宋体"/>
          <w:bCs/>
          <w:color w:val="000000" w:themeColor="text1"/>
          <w:szCs w:val="21"/>
          <w:highlight w:val="none"/>
          <w14:textFill>
            <w14:solidFill>
              <w14:schemeClr w14:val="tx1"/>
            </w14:solidFill>
          </w14:textFill>
        </w:rPr>
        <w:t xml:space="preserve">（1）供应商在“苏采云”系统规定的时间内未成功解密电子投标文件的；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（2）供应商未按照招标文件要求上传电子投标文件的；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（3）同一供应商提交两个（含两个）以上不同的投标报价的；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（9）现行法律、法规、规章和招标文件规定的其他无效情形。</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30.3投标文件澄清</w:t>
      </w:r>
      <w:bookmarkEnd w:id="202"/>
      <w:r/>
      <w:bookmarkEnd w:id="203"/>
      <w:r/>
      <w:bookmarkEnd w:id="204"/>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30.3.1对于投标文件中含义不明确、同类问题表述不一致或者有明显文字和计算错误的内容，评标委员会应当以书面形式要求供应商作出必要的澄清、说明或者补正。</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30.3.3评标委员会不接受供应商主动提出的澄清、说明。</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205" w:name="_Toc107246252"/>
      <w:r>
        <w:rPr>
          <w:rFonts w:hint="eastAsia" w:ascii="宋体" w:hAnsi="宋体" w:cs="宋体"/>
          <w:color w:val="000000" w:themeColor="text1"/>
          <w:highlight w:val="none"/>
          <w14:textFill>
            <w14:solidFill>
              <w14:schemeClr w14:val="tx1"/>
            </w14:solidFill>
          </w14:textFill>
        </w:rPr>
        <w:t xml:space="preserve">30.4</w:t>
      </w:r>
      <w:bookmarkEnd w:id="205"/>
      <w:r>
        <w:rPr>
          <w:rFonts w:hint="eastAsia" w:ascii="宋体" w:hAnsi="宋体" w:cs="宋体"/>
          <w:color w:val="000000" w:themeColor="text1"/>
          <w:highlight w:val="none"/>
          <w14:textFill>
            <w14:solidFill>
              <w14:schemeClr w14:val="tx1"/>
            </w14:solidFill>
          </w14:textFill>
        </w:rPr>
        <w:t xml:space="preserve">报价修正</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同时出现两种以上不一致的，按照前款规定的顺序修正。修正后的报价按照上述规定经供应商确认后产生约束力，供应商不确认的，其投标无效。</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206" w:name="_Toc107246253"/>
      <w:r/>
      <w:bookmarkStart w:id="207" w:name="_Toc103848558"/>
      <w:r/>
      <w:bookmarkStart w:id="208" w:name="_Toc104560873"/>
      <w:r>
        <w:rPr>
          <w:rFonts w:hint="eastAsia" w:ascii="宋体" w:hAnsi="宋体" w:cs="宋体"/>
          <w:color w:val="000000" w:themeColor="text1"/>
          <w:highlight w:val="none"/>
          <w14:textFill>
            <w14:solidFill>
              <w14:schemeClr w14:val="tx1"/>
            </w14:solidFill>
          </w14:textFill>
        </w:rPr>
        <w:t xml:space="preserve">30.5同品牌多家供应商处理原则</w:t>
      </w:r>
      <w:bookmarkEnd w:id="206"/>
      <w:r/>
      <w:bookmarkEnd w:id="207"/>
      <w:r/>
      <w:bookmarkEnd w:id="20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。多家供应商提供的核心产品品牌相同的，按前两款规定处理。</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209" w:name="_Toc103848559"/>
      <w:r/>
      <w:bookmarkStart w:id="210" w:name="_Toc104560874"/>
      <w:r/>
      <w:bookmarkStart w:id="211" w:name="_Toc107246254"/>
      <w:r>
        <w:rPr>
          <w:rFonts w:hint="eastAsia" w:ascii="宋体" w:hAnsi="宋体" w:cs="宋体"/>
          <w:color w:val="000000" w:themeColor="text1"/>
          <w:highlight w:val="none"/>
          <w14:textFill>
            <w14:solidFill>
              <w14:schemeClr w14:val="tx1"/>
            </w14:solidFill>
          </w14:textFill>
        </w:rPr>
        <w:t xml:space="preserve">30.6比较与评价</w:t>
      </w:r>
      <w:bookmarkEnd w:id="209"/>
      <w:r/>
      <w:bookmarkEnd w:id="210"/>
      <w:r/>
      <w:bookmarkEnd w:id="21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212" w:name="_Toc107246255"/>
      <w:r>
        <w:rPr>
          <w:rFonts w:hint="eastAsia" w:ascii="宋体" w:hAnsi="宋体" w:cs="宋体"/>
          <w:color w:val="000000" w:themeColor="text1"/>
          <w:highlight w:val="none"/>
          <w14:textFill>
            <w14:solidFill>
              <w14:schemeClr w14:val="tx1"/>
            </w14:solidFill>
          </w14:textFill>
        </w:rPr>
        <w:t xml:space="preserve">30.7编写评标报告</w:t>
      </w:r>
      <w:bookmarkEnd w:id="21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829"/>
        <w:ind w:left="0" w:right="210" w:firstLine="373"/>
        <w:spacing w:line="360" w:lineRule="auto"/>
        <w:tabs>
          <w:tab w:val="left" w:pos="5882" w:leader="none"/>
        </w:tabs>
        <w:rPr>
          <w:rFonts w:ascii="宋体" w:hAnsi="宋体" w:cs="宋体"/>
          <w:color w:val="000000" w:themeColor="text1"/>
          <w:highlight w:val="none"/>
          <w14:textFill>
            <w14:solidFill>
              <w14:schemeClr w14:val="tx1"/>
            </w14:solidFill>
          </w14:textFill>
        </w:rPr>
      </w:pPr>
      <w:r/>
      <w:bookmarkStart w:id="213" w:name="_Toc104560876"/>
      <w:r/>
      <w:bookmarkStart w:id="214" w:name="_Toc103848561"/>
      <w:r/>
      <w:bookmarkStart w:id="215" w:name="_Toc107246256"/>
      <w:r>
        <w:rPr>
          <w:rFonts w:hint="eastAsia" w:ascii="宋体" w:hAnsi="宋体" w:cs="宋体"/>
          <w:color w:val="000000" w:themeColor="text1"/>
          <w:highlight w:val="none"/>
          <w14:textFill>
            <w14:solidFill>
              <w14:schemeClr w14:val="tx1"/>
            </w14:solidFill>
          </w14:textFill>
        </w:rPr>
        <w:t xml:space="preserve">30.8评标过程的保密</w:t>
      </w:r>
      <w:bookmarkEnd w:id="213"/>
      <w:r/>
      <w:bookmarkEnd w:id="214"/>
      <w:r/>
      <w:bookmarkEnd w:id="215"/>
      <w:r>
        <w:rPr>
          <w:rFonts w:hint="eastAsia" w:ascii="宋体" w:hAnsi="宋体" w:cs="宋体"/>
          <w:color w:val="000000" w:themeColor="text1"/>
          <w:highlight w:val="none"/>
          <w14:textFill>
            <w14:solidFill>
              <w14:schemeClr w14:val="tx1"/>
            </w14:solidFill>
          </w14:textFill>
        </w:rPr>
        <w:tab/>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216" w:name="_Toc107246257"/>
      <w:r>
        <w:rPr>
          <w:rFonts w:hint="eastAsia" w:ascii="宋体" w:hAnsi="宋体" w:cs="宋体"/>
          <w:color w:val="000000" w:themeColor="text1"/>
          <w:highlight w:val="none"/>
          <w14:textFill>
            <w14:solidFill>
              <w14:schemeClr w14:val="tx1"/>
            </w14:solidFill>
          </w14:textFill>
        </w:rPr>
        <w:t xml:space="preserve">六．确定中标</w:t>
      </w:r>
      <w:bookmarkEnd w:id="216"/>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217" w:name="_Toc103848563"/>
      <w:r/>
      <w:bookmarkStart w:id="218" w:name="_Toc104560878"/>
      <w:r/>
      <w:bookmarkStart w:id="219" w:name="_Toc107246258"/>
      <w:r>
        <w:rPr>
          <w:rFonts w:hint="eastAsia" w:ascii="宋体" w:hAnsi="宋体" w:cs="宋体"/>
          <w:color w:val="000000" w:themeColor="text1"/>
          <w:highlight w:val="none"/>
          <w14:textFill>
            <w14:solidFill>
              <w14:schemeClr w14:val="tx1"/>
            </w14:solidFill>
          </w14:textFill>
        </w:rPr>
        <w:t xml:space="preserve">31.确定中标</w:t>
      </w:r>
      <w:bookmarkEnd w:id="217"/>
      <w:r/>
      <w:bookmarkEnd w:id="218"/>
      <w:r>
        <w:rPr>
          <w:rFonts w:hint="eastAsia" w:ascii="宋体" w:hAnsi="宋体" w:cs="宋体"/>
          <w:color w:val="000000" w:themeColor="text1"/>
          <w:highlight w:val="none"/>
          <w14:textFill>
            <w14:solidFill>
              <w14:schemeClr w14:val="tx1"/>
            </w14:solidFill>
          </w14:textFill>
        </w:rPr>
        <w:t xml:space="preserve">人</w:t>
      </w:r>
      <w:bookmarkEnd w:id="219"/>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highlight w:val="none"/>
          <w:lang w:val="zh-CN"/>
          <w14:textFill>
            <w14:solidFill>
              <w14:schemeClr w14:val="tx1"/>
            </w14:solidFill>
          </w14:textFill>
        </w:rPr>
      </w:pPr>
      <w:r/>
      <w:bookmarkStart w:id="220" w:name="_Toc107246259"/>
      <w:r/>
      <w:bookmarkStart w:id="221" w:name="_Toc104560879"/>
      <w:r/>
      <w:bookmarkStart w:id="222" w:name="_Toc103848564"/>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32.中标通知书</w:t>
      </w:r>
      <w:bookmarkEnd w:id="220"/>
      <w:r/>
      <w:bookmarkEnd w:id="221"/>
      <w:r/>
      <w:bookmarkEnd w:id="22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w:t>
      </w:r>
      <w:bookmarkStart w:id="223" w:name="_Toc104560875"/>
      <w:r/>
      <w:bookmarkStart w:id="224" w:name="_Toc103848560"/>
      <w:r>
        <w:rPr>
          <w:rFonts w:hint="eastAsia" w:ascii="宋体" w:hAnsi="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225" w:name="_Toc107246260"/>
      <w:r>
        <w:rPr>
          <w:rFonts w:hint="eastAsia" w:ascii="宋体" w:hAnsi="宋体" w:cs="宋体"/>
          <w:color w:val="000000" w:themeColor="text1"/>
          <w:highlight w:val="none"/>
          <w14:textFill>
            <w14:solidFill>
              <w14:schemeClr w14:val="tx1"/>
            </w14:solidFill>
          </w14:textFill>
        </w:rPr>
        <w:t xml:space="preserve">33.废标</w:t>
      </w:r>
      <w:bookmarkEnd w:id="223"/>
      <w:r/>
      <w:bookmarkEnd w:id="224"/>
      <w:r/>
      <w:bookmarkEnd w:id="225"/>
      <w:r/>
      <w:r/>
    </w:p>
    <w:p>
      <w:pPr>
        <w:ind w:firstLine="316"/>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bookmarkStart w:id="226" w:name="_Toc104560880"/>
      <w:r/>
      <w:bookmarkStart w:id="227" w:name="_Toc103848565"/>
      <w:r/>
      <w:bookmarkStart w:id="228" w:name="_Toc107246261"/>
      <w:r/>
      <w:bookmarkStart w:id="229" w:name="_Toc513029237"/>
      <w:r/>
      <w:bookmarkStart w:id="230" w:name="_Toc20823309"/>
      <w:r/>
      <w:bookmarkStart w:id="231" w:name="_Toc16938553"/>
      <w:r>
        <w:rPr>
          <w:rFonts w:hint="eastAsia" w:ascii="宋体" w:hAnsi="宋体" w:cs="宋体"/>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（4）因重大变故，采购任务取消的。</w:t>
      </w:r>
      <w:r/>
    </w:p>
    <w:p>
      <w:pPr>
        <w:pStyle w:val="829"/>
        <w:ind w:left="0" w:right="210" w:firstLine="373"/>
        <w:spacing w:line="360" w:lineRule="auto"/>
        <w:rPr>
          <w:rFonts w:hint="eastAsia" w:ascii="宋体" w:hAnsi="宋体" w:cs="宋体"/>
          <w:b w:val="0"/>
          <w:bCs w:val="0"/>
          <w:color w:val="000000" w:themeColor="text1"/>
          <w:szCs w:val="21"/>
          <w:highlight w:val="none"/>
          <w14:textFill>
            <w14:solidFill>
              <w14:schemeClr w14:val="tx1"/>
            </w14:solidFill>
          </w14:textFill>
        </w:rPr>
      </w:pPr>
      <w:r>
        <w:rPr>
          <w:rFonts w:hint="eastAsia" w:ascii="宋体" w:hAnsi="宋体" w:cs="宋体"/>
          <w:b w:val="0"/>
          <w:bCs w:val="0"/>
          <w:color w:val="000000" w:themeColor="text1"/>
          <w:szCs w:val="21"/>
          <w:highlight w:val="none"/>
          <w14:textFill>
            <w14:solidFill>
              <w14:schemeClr w14:val="tx1"/>
            </w14:solidFill>
          </w14:textFill>
        </w:rPr>
        <w:t xml:space="preserve">33.2废标后，采购人将废标理由通知所有投标人。</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34.签订合同</w:t>
      </w:r>
      <w:bookmarkEnd w:id="226"/>
      <w:r/>
      <w:bookmarkEnd w:id="227"/>
      <w:r/>
      <w:bookmarkEnd w:id="22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829"/>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32" w:name="_Toc107246262"/>
      <w:r/>
      <w:bookmarkStart w:id="233" w:name="_Toc103848567"/>
      <w:r/>
      <w:bookmarkStart w:id="234" w:name="_Toc104560881"/>
      <w:r>
        <w:rPr>
          <w:rFonts w:hint="eastAsia" w:ascii="宋体" w:hAnsi="宋体" w:cs="宋体"/>
          <w:color w:val="000000" w:themeColor="text1"/>
          <w:szCs w:val="21"/>
          <w:highlight w:val="none"/>
          <w14:textFill>
            <w14:solidFill>
              <w14:schemeClr w14:val="tx1"/>
            </w14:solidFill>
          </w14:textFill>
        </w:rPr>
        <w:t xml:space="preserve">35.履约保证金</w:t>
      </w:r>
      <w:bookmarkEnd w:id="232"/>
      <w:r/>
      <w:bookmarkEnd w:id="233"/>
      <w:r/>
      <w:bookmarkEnd w:id="234"/>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规定交纳履约保证金的，中标人在签订采购合同</w:t>
      </w:r>
      <w:r>
        <w:rPr>
          <w:rFonts w:hint="eastAsia" w:hAnsi="宋体" w:cs="宋体"/>
          <w:bCs/>
          <w:color w:val="000000" w:themeColor="text1"/>
          <w:sz w:val="21"/>
          <w:highlight w:val="none"/>
          <w14:textFill>
            <w14:solidFill>
              <w14:schemeClr w14:val="tx1"/>
            </w14:solidFill>
          </w14:textFill>
        </w:rPr>
        <w:t xml:space="preserve">后的5个工作日内</w:t>
      </w:r>
      <w:r>
        <w:rPr>
          <w:rFonts w:hint="eastAsia" w:ascii="宋体" w:hAnsi="宋体" w:cs="宋体"/>
          <w:color w:val="000000" w:themeColor="text1"/>
          <w:szCs w:val="21"/>
          <w:highlight w:val="none"/>
          <w14:textFill>
            <w14:solidFill>
              <w14:schemeClr w14:val="tx1"/>
            </w14:solidFill>
          </w14:textFill>
        </w:rPr>
        <w:t xml:space="preserve">，向采购人提交履约保证金。联合体成交的，履约保证金以联合体各方或联合体中牵头人的名义提交。</w:t>
      </w:r>
      <w:r/>
    </w:p>
    <w:p>
      <w:pPr>
        <w:ind w:firstLine="42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35.3中标人没有按照</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的规定提交履约保证金的，</w:t>
      </w:r>
      <w:r>
        <w:rPr>
          <w:rFonts w:hint="eastAsia" w:ascii="宋体" w:hAnsi="宋体" w:cs="宋体"/>
          <w:color w:val="000000" w:themeColor="text1"/>
          <w:szCs w:val="21"/>
          <w:highlight w:val="none"/>
          <w:lang w:val="en-US" w:eastAsia="zh-CN"/>
          <w14:textFill>
            <w14:solidFill>
              <w14:schemeClr w14:val="tx1"/>
            </w14:solidFill>
          </w14:textFill>
        </w:rPr>
        <w:t xml:space="preserve">合同</w:t>
      </w:r>
      <w:r>
        <w:rPr>
          <w:rFonts w:hint="eastAsia" w:ascii="宋体" w:hAnsi="宋体" w:cs="宋体"/>
          <w:color w:val="000000" w:themeColor="text1"/>
          <w:szCs w:val="21"/>
          <w:highlight w:val="none"/>
          <w14:textFill>
            <w14:solidFill>
              <w14:schemeClr w14:val="tx1"/>
            </w14:solidFill>
          </w14:textFill>
        </w:rPr>
        <w:t xml:space="preserve">协议不生效。</w:t>
      </w:r>
      <w:bookmarkEnd w:id="229"/>
      <w:r/>
      <w:bookmarkEnd w:id="230"/>
      <w:r/>
      <w:bookmarkEnd w:id="231"/>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235" w:name="_Toc107246263"/>
      <w:r>
        <w:rPr>
          <w:rFonts w:hint="eastAsia" w:ascii="宋体" w:hAnsi="宋体" w:cs="宋体"/>
          <w:color w:val="000000" w:themeColor="text1"/>
          <w:highlight w:val="none"/>
          <w14:textFill>
            <w14:solidFill>
              <w14:schemeClr w14:val="tx1"/>
            </w14:solidFill>
          </w14:textFill>
        </w:rPr>
        <w:t xml:space="preserve">七．</w:t>
      </w:r>
      <w:bookmarkStart w:id="236" w:name="_Toc103848569"/>
      <w:r>
        <w:rPr>
          <w:rFonts w:hint="eastAsia" w:ascii="宋体" w:hAnsi="宋体" w:cs="宋体"/>
          <w:color w:val="000000" w:themeColor="text1"/>
          <w:highlight w:val="none"/>
          <w14:textFill>
            <w14:solidFill>
              <w14:schemeClr w14:val="tx1"/>
            </w14:solidFill>
          </w14:textFill>
        </w:rPr>
        <w:t xml:space="preserve">询问与质疑</w:t>
      </w:r>
      <w:bookmarkEnd w:id="235"/>
      <w:r/>
      <w:bookmarkEnd w:id="236"/>
      <w:r/>
      <w:r/>
    </w:p>
    <w:p>
      <w:pPr>
        <w:pStyle w:val="829"/>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37" w:name="_Toc107246264"/>
      <w:r/>
      <w:bookmarkStart w:id="238" w:name="_Toc104560883"/>
      <w:r/>
      <w:bookmarkStart w:id="239" w:name="_Toc102117305"/>
      <w:r>
        <w:rPr>
          <w:rFonts w:hint="eastAsia" w:ascii="宋体" w:hAnsi="宋体" w:cs="宋体"/>
          <w:color w:val="000000" w:themeColor="text1"/>
          <w:szCs w:val="21"/>
          <w:highlight w:val="none"/>
          <w14:textFill>
            <w14:solidFill>
              <w14:schemeClr w14:val="tx1"/>
            </w14:solidFill>
          </w14:textFill>
        </w:rPr>
        <w:t xml:space="preserve">36.询问</w:t>
      </w:r>
      <w:bookmarkEnd w:id="237"/>
      <w:r/>
      <w:bookmarkEnd w:id="238"/>
      <w:r/>
      <w:bookmarkEnd w:id="239"/>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829"/>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40" w:name="_Toc104560884"/>
      <w:r/>
      <w:bookmarkStart w:id="241" w:name="_Toc102117306"/>
      <w:r/>
      <w:bookmarkStart w:id="242" w:name="_Toc107246265"/>
      <w:r>
        <w:rPr>
          <w:rFonts w:hint="eastAsia" w:ascii="宋体" w:hAnsi="宋体" w:cs="宋体"/>
          <w:color w:val="000000" w:themeColor="text1"/>
          <w:szCs w:val="21"/>
          <w:highlight w:val="none"/>
          <w14:textFill>
            <w14:solidFill>
              <w14:schemeClr w14:val="tx1"/>
            </w14:solidFill>
          </w14:textFill>
        </w:rPr>
        <w:t xml:space="preserve">37.质疑</w:t>
      </w:r>
      <w:bookmarkEnd w:id="240"/>
      <w:r/>
      <w:bookmarkEnd w:id="241"/>
      <w:r/>
      <w:bookmarkEnd w:id="24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37.3质疑函应使用财政部制定的范本文件。</w:t>
      </w:r>
      <w:r/>
    </w:p>
    <w:p>
      <w:pPr>
        <w:pStyle w:val="829"/>
        <w:ind w:left="0" w:right="210" w:firstLine="373"/>
        <w:spacing w:line="360" w:lineRule="auto"/>
        <w:rPr>
          <w:rFonts w:ascii="宋体" w:hAnsi="宋体" w:cs="宋体"/>
          <w:color w:val="000000" w:themeColor="text1"/>
          <w:highlight w:val="none"/>
          <w14:textFill>
            <w14:solidFill>
              <w14:schemeClr w14:val="tx1"/>
            </w14:solidFill>
          </w14:textFill>
        </w:rPr>
      </w:pPr>
      <w:r/>
      <w:bookmarkStart w:id="243" w:name="_Toc107246266"/>
      <w:r>
        <w:rPr>
          <w:rFonts w:hint="eastAsia" w:ascii="宋体" w:hAnsi="宋体" w:cs="宋体"/>
          <w:color w:val="000000" w:themeColor="text1"/>
          <w:highlight w:val="none"/>
          <w14:textFill>
            <w14:solidFill>
              <w14:schemeClr w14:val="tx1"/>
            </w14:solidFill>
          </w14:textFill>
        </w:rPr>
        <w:t xml:space="preserve">八．其他</w:t>
      </w:r>
      <w:bookmarkEnd w:id="243"/>
      <w:r/>
      <w:r/>
    </w:p>
    <w:p>
      <w:pPr>
        <w:pStyle w:val="829"/>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44" w:name="_Toc104560886"/>
      <w:r/>
      <w:bookmarkStart w:id="245" w:name="_Toc103848572"/>
      <w:r/>
      <w:bookmarkStart w:id="246" w:name="_Toc107246267"/>
      <w:r>
        <w:rPr>
          <w:rFonts w:hint="eastAsia" w:ascii="宋体" w:hAnsi="宋体" w:cs="宋体"/>
          <w:color w:val="000000" w:themeColor="text1"/>
          <w:szCs w:val="21"/>
          <w:highlight w:val="none"/>
          <w14:textFill>
            <w14:solidFill>
              <w14:schemeClr w14:val="tx1"/>
            </w14:solidFill>
          </w14:textFill>
        </w:rPr>
        <w:t xml:space="preserve">38.招标代理服务费</w:t>
      </w:r>
      <w:bookmarkEnd w:id="244"/>
      <w:r/>
      <w:bookmarkEnd w:id="245"/>
      <w:r/>
      <w:bookmarkEnd w:id="246"/>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38.1中标人是否交纳投招标代理服务费及相关要求见</w:t>
      </w:r>
      <w:r>
        <w:rPr>
          <w:rFonts w:hint="eastAsia" w:ascii="宋体" w:hAnsi="宋体" w:cs="宋体"/>
          <w:b/>
          <w:color w:val="000000" w:themeColor="text1"/>
          <w:szCs w:val="21"/>
          <w:highlight w:val="none"/>
          <w14:textFill>
            <w14:solidFill>
              <w14:schemeClr w14:val="tx1"/>
            </w14:solidFill>
          </w14:textFill>
        </w:rPr>
        <w:t xml:space="preserve">供应商须知前附表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29"/>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47" w:name="_Toc107246268"/>
      <w:r/>
      <w:bookmarkStart w:id="248" w:name="_Toc104560887"/>
      <w:r/>
      <w:bookmarkStart w:id="249" w:name="_Toc103848573"/>
      <w:r>
        <w:rPr>
          <w:rFonts w:hint="eastAsia" w:ascii="宋体" w:hAnsi="宋体" w:cs="宋体"/>
          <w:color w:val="000000" w:themeColor="text1"/>
          <w:szCs w:val="21"/>
          <w:highlight w:val="none"/>
          <w14:textFill>
            <w14:solidFill>
              <w14:schemeClr w14:val="tx1"/>
            </w14:solidFill>
          </w14:textFill>
        </w:rPr>
        <w:t xml:space="preserve">39.其他规定</w:t>
      </w:r>
      <w:bookmarkEnd w:id="247"/>
      <w:r/>
      <w:bookmarkEnd w:id="248"/>
      <w:r/>
      <w:bookmarkEnd w:id="249"/>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39.1投标文件的其他规定见</w:t>
      </w:r>
      <w:r>
        <w:rPr>
          <w:rFonts w:hint="eastAsia" w:ascii="宋体" w:hAnsi="宋体" w:cs="宋体"/>
          <w:b/>
          <w:color w:val="000000" w:themeColor="text1"/>
          <w:szCs w:val="21"/>
          <w:highlight w:val="none"/>
          <w14:textFill>
            <w14:solidFill>
              <w14:schemeClr w14:val="tx1"/>
            </w14:solidFill>
          </w14:textFill>
        </w:rPr>
        <w:t xml:space="preserve">供应商须知前附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829"/>
        <w:ind w:left="0" w:right="210" w:firstLine="373"/>
        <w:spacing w:line="360" w:lineRule="auto"/>
        <w:rPr>
          <w:rFonts w:ascii="宋体" w:hAnsi="宋体" w:cs="宋体"/>
          <w:color w:val="000000" w:themeColor="text1"/>
          <w:szCs w:val="21"/>
          <w:highlight w:val="none"/>
          <w14:textFill>
            <w14:solidFill>
              <w14:schemeClr w14:val="tx1"/>
            </w14:solidFill>
          </w14:textFill>
        </w:rPr>
      </w:pPr>
      <w:r/>
      <w:bookmarkStart w:id="250" w:name="_Toc107246269"/>
      <w:r/>
      <w:bookmarkStart w:id="251" w:name="_Toc103848574"/>
      <w:r/>
      <w:bookmarkStart w:id="252" w:name="_Toc104560888"/>
      <w:r>
        <w:rPr>
          <w:rFonts w:hint="eastAsia" w:ascii="宋体" w:hAnsi="宋体" w:cs="宋体"/>
          <w:color w:val="000000" w:themeColor="text1"/>
          <w:szCs w:val="21"/>
          <w:highlight w:val="none"/>
          <w14:textFill>
            <w14:solidFill>
              <w14:schemeClr w14:val="tx1"/>
            </w14:solidFill>
          </w14:textFill>
        </w:rPr>
        <w:t xml:space="preserve">40.文件解释权</w:t>
      </w:r>
      <w:bookmarkEnd w:id="250"/>
      <w:r/>
      <w:bookmarkEnd w:id="251"/>
      <w:r/>
      <w:bookmarkEnd w:id="25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40.1本招标文件的解释权归采购人（或采购代理机构）所有。</w:t>
      </w:r>
      <w:bookmarkEnd w:id="181"/>
      <w:r/>
      <w:r/>
    </w:p>
    <w:p>
      <w:pPr>
        <w:pStyle w:val="869"/>
        <w:numPr>
          <w:ilvl w:val="0"/>
          <w:numId w:val="2"/>
        </w:numPr>
        <w:ind w:firstLine="567"/>
        <w:rPr>
          <w:rFonts w:ascii="宋体" w:hAnsi="宋体" w:cs="宋体"/>
          <w:color w:val="000000" w:themeColor="text1"/>
          <w:highlight w:val="none"/>
          <w14:textFill>
            <w14:solidFill>
              <w14:schemeClr w14:val="tx1"/>
            </w14:solidFill>
          </w14:textFill>
        </w:rPr>
      </w:pPr>
      <w:r/>
      <w:bookmarkStart w:id="253" w:name="_Toc91836563"/>
      <w:r>
        <w:rPr>
          <w:rFonts w:hint="eastAsia" w:ascii="宋体" w:hAnsi="宋体" w:cs="宋体"/>
          <w:color w:val="000000" w:themeColor="text1"/>
          <w:highlight w:val="none"/>
          <w14:textFill>
            <w14:solidFill>
              <w14:schemeClr w14:val="tx1"/>
            </w14:solidFill>
          </w14:textFill>
        </w:rPr>
        <w:br w:type="page" w:clear="all"/>
      </w:r>
      <w:bookmarkStart w:id="254" w:name="_Toc107246270"/>
      <w:r>
        <w:rPr>
          <w:rFonts w:hint="eastAsia" w:ascii="宋体" w:hAnsi="宋体" w:cs="宋体"/>
          <w:color w:val="000000" w:themeColor="text1"/>
          <w:highlight w:val="none"/>
          <w14:textFill>
            <w14:solidFill>
              <w14:schemeClr w14:val="tx1"/>
            </w14:solidFill>
          </w14:textFill>
        </w:rPr>
        <w:t xml:space="preserve">政府采购合同条款</w:t>
      </w:r>
      <w:bookmarkEnd w:id="253"/>
      <w:r>
        <w:rPr>
          <w:rFonts w:hint="eastAsia" w:ascii="宋体" w:hAnsi="宋体" w:cs="宋体"/>
          <w:color w:val="000000" w:themeColor="text1"/>
          <w:highlight w:val="none"/>
          <w14:textFill>
            <w14:solidFill>
              <w14:schemeClr w14:val="tx1"/>
            </w14:solidFill>
          </w14:textFill>
        </w:rPr>
        <w:t xml:space="preserve">及格式</w:t>
      </w:r>
      <w:bookmarkEnd w:id="254"/>
      <w:r>
        <w:rPr>
          <w:rFonts w:hint="eastAsia"/>
          <w:color w:val="000000" w:themeColor="text1"/>
          <w:highlight w:val="none"/>
          <w14:textFill>
            <w14:solidFill>
              <w14:schemeClr w14:val="tx1"/>
            </w14:solidFill>
          </w14:textFill>
        </w:rPr>
        <w:t xml:space="preserve">（参考）</w:t>
      </w:r>
      <w:r/>
    </w:p>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（以下为中标后签订本项目合同的通用条款，供应商不得提出实质性修改，关于专用条款将由采购人与供应商结合本项目具体情况协商后签订）</w:t>
      </w:r>
      <w:r/>
    </w:p>
    <w:p>
      <w:pPr>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2"/>
        <w:jc w:val="center"/>
        <w:spacing w:line="360" w:lineRule="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合同条款</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（注：本合同仅为框架性条款，中标后需按招标文件及投标文件情况进行细化，招标文件、投标文件及本条款均作为合同的重要组成部分）</w:t>
      </w:r>
      <w:r/>
    </w:p>
    <w:p>
      <w:pPr>
        <w:ind w:firstLine="422"/>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南京市儿童医院膳食中心米面油采购协议</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甲方：南京市儿童医院</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根据《中华人民共和国政府采购法》、《中华人民共和国民法典》及    XXX采购项目（采购编号：）的《采购文件》及乙方的《响应文件》及成交通知书，甲乙双方就甲方经营的医院食堂所需要的米面油供应配送签订本协议。</w:t>
      </w:r>
      <w:r/>
    </w:p>
    <w:p>
      <w:pPr>
        <w:numPr>
          <w:ilvl w:val="0"/>
          <w:numId w:val="3"/>
        </w:num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品种、规格、单价：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1、合同期内采购产品清单内品种价格不得调整。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2、合同期内根据采购人实际需要，所需采购产品在清单内没有对应报价的，乙方应根据市场行情提前 10 日书面报价向甲方提供产品报价。甲方将同时进行市场询价，南京市发改委网站（http://fgw.nanjing.gov.cn）价格信息栏“南京市部分农贸市场主副食品周平均价格水平”有相关价格的，以网站最新报价为基准价格；市发改委未公布价格的食材产品，甲方将进行市场询价，以甲方周边3个市场价格的零售价均价作为基准价格；</w:t>
      </w:r>
      <w:r>
        <w:rPr>
          <w:rFonts w:hint="eastAsia" w:ascii="宋体" w:hAnsi="宋体" w:cs="宋体"/>
          <w:color w:val="000000" w:themeColor="text1"/>
          <w:szCs w:val="21"/>
          <w:highlight w:val="none"/>
          <w:lang w:val="en-US" w:eastAsia="zh-CN"/>
          <w14:textFill>
            <w14:solidFill>
              <w14:schemeClr w14:val="tx1"/>
            </w14:solidFill>
          </w14:textFill>
        </w:rPr>
        <w:t xml:space="preserve">供货价格=基准价格×（1-优惠率），供货价格与供货商所报商品的单价“取低”作为最终的核算价格</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本协议所列采购产品单价包括了包装、运输</w:t>
      </w:r>
      <w:r>
        <w:rPr>
          <w:rFonts w:hint="eastAsia" w:ascii="宋体" w:hAnsi="宋体" w:cs="宋体"/>
          <w:color w:val="000000" w:themeColor="text1"/>
          <w:highlight w:val="none"/>
          <w14:textFill>
            <w14:solidFill>
              <w14:schemeClr w14:val="tx1"/>
            </w14:solidFill>
          </w14:textFill>
        </w:rPr>
        <w:t xml:space="preserve">（送达卸货到甲方指定地点）、上下力、保险、利润、税金、政策性规费等所有费用。</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采购产品清单如下表：</w:t>
      </w:r>
      <w:r/>
    </w:p>
    <w:tbl>
      <w:tblPr>
        <w:tblStyle w:val="839"/>
        <w:tblW w:w="48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
        <w:gridCol w:w="1869"/>
        <w:gridCol w:w="1959"/>
        <w:gridCol w:w="1832"/>
        <w:gridCol w:w="1699"/>
      </w:tblGrid>
      <w:tr>
        <w:trPr>
          <w:trHeight w:val="840"/>
        </w:trPr>
        <w:tc>
          <w:tcPr>
            <w:shd w:val="clear" w:color="auto" w:fill="auto"/>
            <w:tcW w:w="58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序号</w:t>
            </w:r>
            <w:r/>
          </w:p>
        </w:tc>
        <w:tc>
          <w:tcPr>
            <w:shd w:val="clear" w:color="auto" w:fill="auto"/>
            <w:tcW w:w="1121"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品种</w:t>
            </w:r>
            <w:r/>
          </w:p>
        </w:tc>
        <w:tc>
          <w:tcPr>
            <w:shd w:val="clear" w:color="auto" w:fill="auto"/>
            <w:tcW w:w="117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品牌</w:t>
            </w:r>
            <w:r/>
          </w:p>
        </w:tc>
        <w:tc>
          <w:tcPr>
            <w:shd w:val="clear" w:color="auto" w:fill="auto"/>
            <w:tcW w:w="109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规格</w:t>
            </w:r>
            <w:r/>
          </w:p>
        </w:tc>
        <w:tc>
          <w:tcPr>
            <w:shd w:val="clear" w:color="auto" w:fill="auto"/>
            <w:tcW w:w="1019" w:type="pct"/>
            <w:vAlign w:val="center"/>
            <w:textDirection w:val="lrTb"/>
            <w:noWrap w:val="false"/>
          </w:tcPr>
          <w:p>
            <w:pPr>
              <w:jc w:val="center"/>
              <w:rPr>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单价（元）</w:t>
            </w:r>
            <w:r/>
          </w:p>
        </w:tc>
      </w:tr>
      <w:tr>
        <w:trPr>
          <w:trHeight w:val="840"/>
        </w:trPr>
        <w:tc>
          <w:tcPr>
            <w:shd w:val="clear" w:color="auto" w:fill="auto"/>
            <w:tcW w:w="58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w:t>
            </w:r>
            <w:r/>
          </w:p>
        </w:tc>
        <w:tc>
          <w:tcPr>
            <w:shd w:val="clear" w:color="auto" w:fill="auto"/>
            <w:tcW w:w="1121"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大豆油</w:t>
            </w:r>
            <w:r/>
          </w:p>
        </w:tc>
        <w:tc>
          <w:tcPr>
            <w:shd w:val="clear" w:color="auto" w:fill="auto"/>
            <w:tcW w:w="117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109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10L/桶</w:t>
            </w:r>
            <w:r/>
          </w:p>
        </w:tc>
        <w:tc>
          <w:tcPr>
            <w:shd w:val="clear" w:color="auto" w:fill="auto"/>
            <w:tcW w:w="101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8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2</w:t>
            </w:r>
            <w:r/>
          </w:p>
        </w:tc>
        <w:tc>
          <w:tcPr>
            <w:shd w:val="clear" w:color="auto" w:fill="auto"/>
            <w:tcW w:w="1121"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大米</w:t>
            </w:r>
            <w:r/>
          </w:p>
        </w:tc>
        <w:tc>
          <w:tcPr>
            <w:shd w:val="clear" w:color="auto" w:fill="auto"/>
            <w:tcW w:w="117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109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25kg/袋</w:t>
            </w:r>
            <w:r/>
          </w:p>
        </w:tc>
        <w:tc>
          <w:tcPr>
            <w:shd w:val="clear" w:color="auto" w:fill="auto"/>
            <w:tcW w:w="101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8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3</w:t>
            </w:r>
            <w:r/>
          </w:p>
        </w:tc>
        <w:tc>
          <w:tcPr>
            <w:shd w:val="clear" w:color="auto" w:fill="auto"/>
            <w:tcW w:w="1121"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中筋（馒头）粉</w:t>
            </w:r>
            <w:r/>
          </w:p>
        </w:tc>
        <w:tc>
          <w:tcPr>
            <w:shd w:val="clear" w:color="auto" w:fill="auto"/>
            <w:tcW w:w="117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109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25kg/袋</w:t>
            </w:r>
            <w:r/>
          </w:p>
        </w:tc>
        <w:tc>
          <w:tcPr>
            <w:shd w:val="clear" w:color="auto" w:fill="auto"/>
            <w:tcW w:w="101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8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4</w:t>
            </w:r>
            <w:r/>
          </w:p>
        </w:tc>
        <w:tc>
          <w:tcPr>
            <w:shd w:val="clear" w:color="auto" w:fill="auto"/>
            <w:tcW w:w="1121"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面包粉</w:t>
            </w:r>
            <w:r/>
          </w:p>
        </w:tc>
        <w:tc>
          <w:tcPr>
            <w:shd w:val="clear" w:color="auto" w:fill="auto"/>
            <w:tcW w:w="117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109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25kg/袋</w:t>
            </w:r>
            <w:r/>
          </w:p>
        </w:tc>
        <w:tc>
          <w:tcPr>
            <w:shd w:val="clear" w:color="auto" w:fill="auto"/>
            <w:tcW w:w="101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8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5</w:t>
            </w:r>
            <w:r/>
          </w:p>
        </w:tc>
        <w:tc>
          <w:tcPr>
            <w:shd w:val="clear" w:color="auto" w:fill="auto"/>
            <w:tcW w:w="1121"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花生油</w:t>
            </w:r>
            <w:r/>
          </w:p>
        </w:tc>
        <w:tc>
          <w:tcPr>
            <w:shd w:val="clear" w:color="auto" w:fill="auto"/>
            <w:tcW w:w="117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109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5L/桶</w:t>
            </w:r>
            <w:r/>
          </w:p>
        </w:tc>
        <w:tc>
          <w:tcPr>
            <w:shd w:val="clear" w:color="auto" w:fill="auto"/>
            <w:tcW w:w="101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8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6</w:t>
            </w:r>
            <w:r/>
          </w:p>
        </w:tc>
        <w:tc>
          <w:tcPr>
            <w:shd w:val="clear" w:color="auto" w:fill="auto"/>
            <w:tcW w:w="1121"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大黄豆</w:t>
            </w:r>
            <w:r/>
          </w:p>
        </w:tc>
        <w:tc>
          <w:tcPr>
            <w:shd w:val="clear" w:color="auto" w:fill="auto"/>
            <w:tcW w:w="117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109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斤</w:t>
            </w:r>
            <w:r/>
          </w:p>
        </w:tc>
        <w:tc>
          <w:tcPr>
            <w:shd w:val="clear" w:color="auto" w:fill="auto"/>
            <w:tcW w:w="101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8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7</w:t>
            </w:r>
            <w:r/>
          </w:p>
        </w:tc>
        <w:tc>
          <w:tcPr>
            <w:shd w:val="clear" w:color="auto" w:fill="auto"/>
            <w:tcW w:w="1121"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红豆</w:t>
            </w:r>
            <w:r/>
          </w:p>
        </w:tc>
        <w:tc>
          <w:tcPr>
            <w:shd w:val="clear" w:color="auto" w:fill="auto"/>
            <w:tcW w:w="117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109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斤</w:t>
            </w:r>
            <w:r/>
          </w:p>
        </w:tc>
        <w:tc>
          <w:tcPr>
            <w:shd w:val="clear" w:color="auto" w:fill="auto"/>
            <w:tcW w:w="101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8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8</w:t>
            </w:r>
            <w:r/>
          </w:p>
        </w:tc>
        <w:tc>
          <w:tcPr>
            <w:shd w:val="clear" w:color="auto" w:fill="auto"/>
            <w:tcW w:w="1121"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普糯米</w:t>
            </w:r>
            <w:r/>
          </w:p>
        </w:tc>
        <w:tc>
          <w:tcPr>
            <w:shd w:val="clear" w:color="auto" w:fill="auto"/>
            <w:tcW w:w="117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109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斤</w:t>
            </w:r>
            <w:r/>
          </w:p>
        </w:tc>
        <w:tc>
          <w:tcPr>
            <w:shd w:val="clear" w:color="auto" w:fill="auto"/>
            <w:tcW w:w="101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8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9</w:t>
            </w:r>
            <w:r/>
          </w:p>
        </w:tc>
        <w:tc>
          <w:tcPr>
            <w:shd w:val="clear" w:color="auto" w:fill="auto"/>
            <w:tcW w:w="1121"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大米</w:t>
            </w:r>
            <w:r/>
          </w:p>
        </w:tc>
        <w:tc>
          <w:tcPr>
            <w:shd w:val="clear" w:color="auto" w:fill="auto"/>
            <w:tcW w:w="117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109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10kg/袋</w:t>
            </w:r>
            <w:r/>
          </w:p>
        </w:tc>
        <w:tc>
          <w:tcPr>
            <w:shd w:val="clear" w:color="auto" w:fill="auto"/>
            <w:tcW w:w="101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8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10</w:t>
            </w:r>
            <w:r/>
          </w:p>
        </w:tc>
        <w:tc>
          <w:tcPr>
            <w:shd w:val="clear" w:color="auto" w:fill="auto"/>
            <w:tcW w:w="1121"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长粒香</w:t>
            </w:r>
            <w:r/>
          </w:p>
        </w:tc>
        <w:tc>
          <w:tcPr>
            <w:shd w:val="clear" w:color="auto" w:fill="auto"/>
            <w:tcW w:w="117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109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5kg/袋</w:t>
            </w:r>
            <w:r/>
          </w:p>
        </w:tc>
        <w:tc>
          <w:tcPr>
            <w:shd w:val="clear" w:color="auto" w:fill="auto"/>
            <w:tcW w:w="101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8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11</w:t>
            </w:r>
            <w:r/>
          </w:p>
        </w:tc>
        <w:tc>
          <w:tcPr>
            <w:shd w:val="clear" w:color="auto" w:fill="auto"/>
            <w:tcW w:w="1121"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葵花籽油</w:t>
            </w:r>
            <w:r/>
          </w:p>
        </w:tc>
        <w:tc>
          <w:tcPr>
            <w:shd w:val="clear" w:color="auto" w:fill="auto"/>
            <w:tcW w:w="117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109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5L/桶</w:t>
            </w:r>
            <w:r/>
          </w:p>
        </w:tc>
        <w:tc>
          <w:tcPr>
            <w:shd w:val="clear" w:color="auto" w:fill="auto"/>
            <w:tcW w:w="101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8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12</w:t>
            </w:r>
            <w:r/>
          </w:p>
        </w:tc>
        <w:tc>
          <w:tcPr>
            <w:shd w:val="clear" w:color="auto" w:fill="auto"/>
            <w:tcW w:w="1121"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小米</w:t>
            </w:r>
            <w:r/>
          </w:p>
        </w:tc>
        <w:tc>
          <w:tcPr>
            <w:shd w:val="clear" w:color="auto" w:fill="auto"/>
            <w:tcW w:w="117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　</w:t>
            </w:r>
            <w:r/>
          </w:p>
        </w:tc>
        <w:tc>
          <w:tcPr>
            <w:shd w:val="clear" w:color="auto" w:fill="auto"/>
            <w:tcW w:w="109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斤</w:t>
            </w:r>
            <w:r/>
          </w:p>
        </w:tc>
        <w:tc>
          <w:tcPr>
            <w:shd w:val="clear" w:color="auto" w:fill="auto"/>
            <w:tcW w:w="101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86" w:type="pct"/>
            <w:vAlign w:val="center"/>
            <w:textDirection w:val="lrTb"/>
            <w:noWrap w:val="false"/>
          </w:tcPr>
          <w:p>
            <w:pPr>
              <w:jc w:val="center"/>
              <w:rPr>
                <w:rFonts w:hint="eastAsia"/>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13</w:t>
            </w:r>
            <w:r/>
          </w:p>
        </w:tc>
        <w:tc>
          <w:tcPr>
            <w:gridSpan w:val="4"/>
            <w:shd w:val="clear" w:color="auto" w:fill="auto"/>
            <w:tcW w:w="4414" w:type="pct"/>
            <w:vAlign w:val="center"/>
            <w:textDirection w:val="lrTb"/>
            <w:noWrap w:val="false"/>
          </w:tcPr>
          <w:p>
            <w:pPr>
              <w:jc w:val="center"/>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备注：实际采购包含但不限于上述食材，以实际供货品种、数量结算</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米面油产品品质不得低于清单同类标准，品牌需经甲方书面确认。</w:t>
            </w:r>
            <w:r/>
          </w:p>
        </w:tc>
      </w:tr>
    </w:tbl>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二、质量标准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1、乙方所供应配送的粮油质量必须达到国家规定的标准，所有产品来源均必须可追溯, 有正规质检报告。如果乙方交付的货品违反本条关于食品安全的约定，甲方有权拒收相应货品并有权解除本协议。</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如乙方所提供的货物不符合以上约定，乙方应主动上门调换或收回退回的货品或者无条件接受甲方降价、减重、退货（由甲方视具体情况而决定处理方案），并于当天送达质量合格的相同品种货物，确保实现甲方正常计划使用需求，如乙方未能及时换货影响甲方餐厅运营，甲方有权紧急自行采购，且因此所产生的损失优先从</w:t>
      </w:r>
      <w:r>
        <w:rPr>
          <w:rFonts w:hint="eastAsia" w:ascii="宋体" w:hAnsi="宋体" w:cs="宋体"/>
          <w:color w:val="000000" w:themeColor="text1"/>
          <w:szCs w:val="21"/>
          <w:highlight w:val="none"/>
          <w:lang w:val="en-US" w:eastAsia="zh-CN"/>
          <w14:textFill>
            <w14:solidFill>
              <w14:schemeClr w14:val="tx1"/>
            </w14:solidFill>
          </w14:textFill>
        </w:rPr>
        <w:t xml:space="preserve">乙方已缴纳的</w:t>
      </w:r>
      <w:r>
        <w:rPr>
          <w:rFonts w:hint="eastAsia" w:ascii="宋体" w:hAnsi="宋体" w:cs="宋体"/>
          <w:color w:val="000000" w:themeColor="text1"/>
          <w:szCs w:val="21"/>
          <w:highlight w:val="none"/>
          <w14:textFill>
            <w14:solidFill>
              <w14:schemeClr w14:val="tx1"/>
            </w14:solidFill>
          </w14:textFill>
        </w:rPr>
        <w:t xml:space="preserve">履约保证金中扣除，不足的由乙方另外赔偿。</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3、保质期：乙方承诺提供的产品在到达甲方时，粮油类剩余保存期不少于原有保质期的三分之二，否则甲方有权拒收或退回。</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4、为确保商品质量安全，乙方应向甲方提供以下材料；</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（1）营业执照等公司资质材料；</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（2）所供产品质量合格证明等质量证明材料；</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（3）原厂授权资料。</w:t>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三、服务内容</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1、乙方提供的米面油类货品，甲方根据实际需要每日17:30以前向乙方提交订单，订单内容包括品名、价格、数量、规格、计量单位、送货时间和地点等内容。乙方当日 19:00 前书面确认库存；缺货须同步提供同等品质替代方案，未提前报备视为违约。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2、如发现乙方因价格原因，人为降低食材质量和品质，一经发现立即终止协议。</w:t>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四、交货时间、地点和运输方式</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应将甲方所定货物按照指定时间免费（包括免除配送费、运输费、上力费、卸车费、过路过桥费等）送至合同履行地即甲方的收货地点（南京市广州路72号、江东南路8号），运输过程中（甲方接收货物前）如发生货物丢失、毁损、交通事故或其它意外事故的，乙方负责赔偿，相关损失由乙方自行承担。乙方运输车辆进入医院，必须接受甲方的统一管理，发生任何人员与设施的损伤，均由乙方承担责任。</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2、乙方不得延迟送货，每发生一次因延迟造成甲方损失的，甲方可以从货款中扣除该批货值的10%作为违约金。但乙方取得甲方同意的延迟送货除外。</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3、乙方将商品运达交货地点后，甲方负责清点接货，如因运输过程中发生短少事件以及安全事故等，由乙方负责处理，甲方不承担任何责任。</w:t>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五、验收标准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1、乙方每次交付货品时，应当通知甲方联系人或联系人委托的人员及相关指定验收人员当面称重、清点、验收货品，并签字确认以上相关信息。销售随货明细清单一式两份，同时作为支付货款凭证。</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提供的全部货物均应按标准保护措施进行包装。该包装应适应于运输、防变质、防腐、防交叉污染和防野蛮装卸，以确保货物安全无损运抵指定现场。由于包装不善所引起的货物损坏和损失均由乙方承担。每件包装箱应附质量合格标识。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3、乙方需提供质量检验证明或检测报告的货品，须按甲方要求提供相关证明，以便甲方索证记录。</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甲方将在乙方货物到货后立即组织验收，如果货物的数量、质量和规格与甲方要求不符，或货物有缺陷，或在质量保证期内发现货物是有缺陷的，包括潜在缺陷或使用不符合要求的材料，乙方应当立即按照要求给予更换，如乙方未能及时换货影响甲方餐厅运营，甲方有权紧急自行采购，且因此所产生的损失优先从甲方履约保证金中扣除，不足的由乙方另外赔偿。</w:t>
      </w:r>
      <w:r/>
    </w:p>
    <w:p>
      <w:pPr>
        <w:ind w:firstLine="420"/>
        <w:jc w:val="left"/>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双方当场签字仅代表外观、数量验收，货物内在质量、隐性变质、添加剂超标等问题，甲方在保质期内仍可追责。</w:t>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六、付款条件及保证金</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1、甲方只对经甲方授权的联系人书面确认的货款单负有付款义务。</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货款结算方式为月结，乙方需于次月2日前向甲方提供正式发票及结算清单，在收到乙方根据双方书面确认的数额（销售随货明细清单及验收入库单）出具的符合规定的发票后30日内，甲方应当支付货款。如果乙方违反本协议约定，甲方有权拒绝或延迟付款。若发票户名、开户行、账号与乙方单位不一致，甲方不付款。</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本</w:t>
      </w:r>
      <w:r>
        <w:rPr>
          <w:rFonts w:hint="eastAsia" w:hAnsi="宋体" w:cs="宋体"/>
          <w:bCs/>
          <w:color w:val="000000" w:themeColor="text1"/>
          <w:sz w:val="21"/>
          <w:highlight w:val="none"/>
          <w14:textFill>
            <w14:solidFill>
              <w14:schemeClr w14:val="tx1"/>
            </w14:solidFill>
          </w14:textFill>
        </w:rPr>
        <w:t xml:space="preserve">协议签订后的5个工作日内</w:t>
      </w:r>
      <w:r>
        <w:rPr>
          <w:rFonts w:hint="eastAsia" w:ascii="宋体" w:hAnsi="宋体" w:cs="宋体"/>
          <w:color w:val="000000" w:themeColor="text1"/>
          <w:szCs w:val="21"/>
          <w:highlight w:val="none"/>
          <w14:textFill>
            <w14:solidFill>
              <w14:schemeClr w14:val="tx1"/>
            </w14:solidFill>
          </w14:textFill>
        </w:rPr>
        <w:t xml:space="preserve">，乙方交纳履约保证金伍万元整，</w:t>
      </w:r>
      <w:r>
        <w:rPr>
          <w:rFonts w:hint="eastAsia" w:ascii="宋体" w:hAnsi="宋体" w:cs="宋体"/>
          <w:color w:val="000000" w:themeColor="text1"/>
          <w:szCs w:val="21"/>
          <w:highlight w:val="none"/>
          <w:lang w:val="en-US" w:eastAsia="zh-CN"/>
          <w14:textFill>
            <w14:solidFill>
              <w14:schemeClr w14:val="tx1"/>
            </w14:solidFill>
          </w14:textFill>
        </w:rPr>
        <w:t xml:space="preserve">若因乙方原因造成</w:t>
      </w:r>
      <w:r>
        <w:rPr>
          <w:rFonts w:hint="eastAsia" w:ascii="宋体" w:hAnsi="宋体" w:cs="宋体"/>
          <w:color w:val="000000" w:themeColor="text1"/>
          <w:szCs w:val="21"/>
          <w:highlight w:val="none"/>
          <w14:textFill>
            <w14:solidFill>
              <w14:schemeClr w14:val="tx1"/>
            </w14:solidFill>
          </w14:textFill>
        </w:rPr>
        <w:t xml:space="preserve">甲方</w:t>
      </w:r>
      <w:r>
        <w:rPr>
          <w:rFonts w:hint="eastAsia" w:ascii="宋体" w:hAnsi="宋体" w:cs="宋体"/>
          <w:color w:val="000000" w:themeColor="text1"/>
          <w:szCs w:val="21"/>
          <w:highlight w:val="none"/>
          <w:lang w:val="en-US" w:eastAsia="zh-CN"/>
          <w14:textFill>
            <w14:solidFill>
              <w14:schemeClr w14:val="tx1"/>
            </w14:solidFill>
          </w14:textFill>
        </w:rPr>
        <w:t xml:space="preserve">损失的，甲方</w:t>
      </w:r>
      <w:r>
        <w:rPr>
          <w:rFonts w:hint="eastAsia" w:ascii="宋体" w:hAnsi="宋体" w:cs="宋体"/>
          <w:color w:val="000000" w:themeColor="text1"/>
          <w:szCs w:val="21"/>
          <w:highlight w:val="none"/>
          <w14:textFill>
            <w14:solidFill>
              <w14:schemeClr w14:val="tx1"/>
            </w14:solidFill>
          </w14:textFill>
        </w:rPr>
        <w:t xml:space="preserve">可</w:t>
      </w:r>
      <w:r>
        <w:rPr>
          <w:rFonts w:hint="eastAsia" w:ascii="宋体" w:hAnsi="宋体" w:cs="宋体"/>
          <w:color w:val="000000" w:themeColor="text1"/>
          <w:szCs w:val="21"/>
          <w:highlight w:val="none"/>
          <w:lang w:val="en-US" w:eastAsia="zh-CN"/>
          <w14:textFill>
            <w14:solidFill>
              <w14:schemeClr w14:val="tx1"/>
            </w14:solidFill>
          </w14:textFill>
        </w:rPr>
        <w:t xml:space="preserve">在履约保证金内</w:t>
      </w:r>
      <w:r>
        <w:rPr>
          <w:rFonts w:hint="eastAsia" w:ascii="宋体" w:hAnsi="宋体" w:cs="宋体"/>
          <w:color w:val="000000" w:themeColor="text1"/>
          <w:szCs w:val="21"/>
          <w:highlight w:val="none"/>
          <w14:textFill>
            <w14:solidFill>
              <w14:schemeClr w14:val="tx1"/>
            </w14:solidFill>
          </w14:textFill>
        </w:rPr>
        <w:t xml:space="preserve">直接抵扣违约金、质检费、应急采购差价、食品安全赔偿</w:t>
      </w:r>
      <w:r>
        <w:rPr>
          <w:rFonts w:hint="eastAsia" w:ascii="宋体" w:hAnsi="宋体" w:cs="宋体"/>
          <w:color w:val="000000" w:themeColor="text1"/>
          <w:szCs w:val="21"/>
          <w:highlight w:val="none"/>
          <w:lang w:val="en-US" w:eastAsia="zh-CN"/>
          <w14:textFill>
            <w14:solidFill>
              <w14:schemeClr w14:val="tx1"/>
            </w14:solidFill>
          </w14:textFill>
        </w:rPr>
        <w:t xml:space="preserve">等</w:t>
      </w:r>
      <w:r>
        <w:rPr>
          <w:rFonts w:hint="eastAsia" w:ascii="宋体" w:hAnsi="宋体" w:cs="宋体"/>
          <w:color w:val="000000" w:themeColor="text1"/>
          <w:szCs w:val="21"/>
          <w:highlight w:val="none"/>
          <w14:textFill>
            <w14:solidFill>
              <w14:schemeClr w14:val="tx1"/>
            </w14:solidFill>
          </w14:textFill>
        </w:rPr>
        <w:t xml:space="preserve">各类损失；保证金抵扣后不足部分，乙方收到甲方通知 3 日内补足；合同到期且 3 个月追溯期内无质量、违约纠纷，甲方无息退还保证金；</w:t>
      </w:r>
      <w:r>
        <w:rPr>
          <w:rFonts w:hint="eastAsia" w:ascii="宋体" w:hAnsi="宋体" w:cs="宋体"/>
          <w:color w:val="000000" w:themeColor="text1"/>
          <w:highlight w:val="none"/>
          <w14:textFill>
            <w14:solidFill>
              <w14:schemeClr w14:val="tx1"/>
            </w14:solidFill>
          </w14:textFill>
        </w:rPr>
        <w:t xml:space="preserve">乙方不支付履约保证金的，本协议不生效。</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4、如乙方未履行协议规定，甲方有权从履约保证金中取得补偿。</w:t>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七、违约责任</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因乙方配送不及时导致伙食供应延误的，且乙方采取补救措施仍然造成甲方不良影响的，甲方有权终止协议，并扣除全部履约保证金；发生上述情形未对甲方造成不良影响，甲方可一次性扣除保证金的10％作为违约金，发生三次甲方有权终止本协议，并扣除全部履约保证金。如甲方需临时补货的，乙方应在双方约定的时间内无条件把指定的货品送至指定地点，否则甲方有权终止协议，并扣除全部履约保证金；</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若因食品质量问题导致的食品安全和食物中毒等事故（经市场监督管理、卫生防疫部门鉴定），由此造成的全部经济损失和法律责任由乙方承担全部责任，主要包括食物中毒人员医疗费、误工费、事故处理费等，直至追究刑事责任通过法律途径解决。同时甲方有权取消其供应资格。</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凡乙方向甲方提供产品发生质量问题，影响食用，第一次扣除当日全部货款；第二次扣除当日货款和全部履约保证金的一半；如出现第三次，除扣除当日货款、全部履约保证金外，甲方有权终止协议,乙方三年内不得参加甲方组织粮油类产品招标。</w:t>
      </w:r>
      <w:r/>
    </w:p>
    <w:p>
      <w:pPr>
        <w:ind w:firstLine="420"/>
        <w:jc w:val="both"/>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甲方不定期对乙方所供货物的质量送质检部门检测，如发现货物质量检测结果与招标文件和本合同规定的质量不符合，有权根据货物供给数量扣除货款，并扣除保证金的10％作为违约金，必要时甲方有权解除本协议。</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5、乙方提供假冒伪劣产品的，乙方按该批次所购商品或服务金额的10倍向甲方支付违约金。</w:t>
      </w:r>
      <w:r/>
    </w:p>
    <w:p>
      <w:pPr>
        <w:ind w:firstLine="420"/>
        <w:jc w:val="left"/>
        <w:spacing w:line="360" w:lineRule="auto"/>
        <w:rPr>
          <w:rFonts w:ascii="宋体" w:hAnsi="宋体" w:cs="宋体"/>
          <w:b/>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6、乙方分包、转包或交由他人履行的，甲方有权解除本协议。</w:t>
      </w:r>
      <w:r/>
    </w:p>
    <w:p>
      <w:pPr>
        <w:ind w:firstLine="420"/>
        <w:jc w:val="left"/>
        <w:spacing w:line="360" w:lineRule="auto"/>
        <w:rPr>
          <w:rFonts w:ascii="宋体" w:hAnsi="宋体" w:cs="宋体"/>
          <w:b/>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7、本协议因乙方违约甲方解除的，履约保证金全额没收，造成损失的另行赔偿。</w:t>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八、争议的解决</w:t>
      </w:r>
      <w:r/>
    </w:p>
    <w:p>
      <w:pPr>
        <w:pStyle w:val="847"/>
        <w:rPr>
          <w:rFonts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t xml:space="preserve">1、因货物质量问题发生争议的，应当邀请国家认可的质检机构对货物质量进行检测，经检测符合标准的，检测费由甲方承担，不符合标准的，检测费由乙方承担，并根据违约责任进行处罚。</w:t>
      </w:r>
      <w:r/>
    </w:p>
    <w:p>
      <w:pPr>
        <w:pStyle w:val="847"/>
        <w:rPr>
          <w:rFonts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t xml:space="preserve">2、因履行本协议引起的或与本协议有关的争议，甲乙双方应首先通过友好协商解决，如果协商不能解决争议，则采取以下方式解决争议：向甲方所在地人民法院提起诉讼。</w:t>
      </w:r>
      <w:r/>
    </w:p>
    <w:p>
      <w:pPr>
        <w:ind w:firstLine="42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九、协议生效及其他</w:t>
      </w:r>
      <w:r/>
    </w:p>
    <w:p>
      <w:pPr>
        <w:pStyle w:val="847"/>
        <w:rPr>
          <w:rFonts w:hAnsi="宋体" w:cs="宋体"/>
          <w:color w:val="000000" w:themeColor="text1"/>
          <w:szCs w:val="21"/>
          <w:highlight w:val="none"/>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t xml:space="preserve">本协议壹式伍份，甲方执肆份，乙方执壹份，合同期限为壹年，三个月试用期，如试用期考评得分低于80分或出现累计两次送货延迟、一次质量抽检不合格等客观违约情形的，视为考评不合格，如试用期考评不合格，甲方有权终止合同。协议期限：     年    月    日至     年    月     日。</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甲方（盖章）：南京市儿童医院                乙方（盖章）：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法定代表人：</w:t>
      </w:r>
      <w:r>
        <w:rPr>
          <w:rFonts w:hint="eastAsia" w:ascii="宋体" w:hAnsi="宋体" w:cs="宋体"/>
          <w:color w:val="000000" w:themeColor="text1"/>
          <w:sz w:val="24"/>
          <w:highlight w:val="none"/>
          <w14:textFill>
            <w14:solidFill>
              <w14:schemeClr w14:val="tx1"/>
            </w14:solidFill>
          </w14:textFill>
        </w:rPr>
        <w:t xml:space="preserve">（签字）</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户名：南京市儿童医院                        户名：</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开户行：中国农业银行南京市广州路支行        开户行：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账号：10100301040000177                     账号： </w:t>
      </w:r>
      <w:r/>
    </w:p>
    <w:p>
      <w:pPr>
        <w:ind w:firstLine="73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年     月      日                            年     月     日</w:t>
      </w:r>
      <w:r/>
    </w:p>
    <w:p>
      <w:pPr>
        <w:ind w:firstLine="73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5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附件：</w:t>
      </w:r>
      <w:r/>
    </w:p>
    <w:p>
      <w:pPr>
        <w:jc w:val="left"/>
        <w:spacing w:line="5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评价表</w:t>
      </w:r>
      <w:r/>
    </w:p>
    <w:p>
      <w:pPr>
        <w:jc w:val="left"/>
        <w:spacing w:line="500" w:lineRule="exact"/>
        <w:rPr>
          <w:rFonts w:hint="eastAsia" w:ascii="宋体" w:hAnsi="宋体"/>
          <w:b/>
          <w:color w:val="000000" w:themeColor="text1"/>
          <w:sz w:val="28"/>
          <w:szCs w:val="28"/>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2、医疗卫生机构廉洁购销合同</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br w:type="page" w:clear="all"/>
      </w:r>
      <w:r/>
    </w:p>
    <w:p>
      <w:pPr>
        <w:jc w:val="left"/>
        <w:spacing w:line="360" w:lineRule="auto"/>
        <w:rPr>
          <w:rFonts w:ascii="宋体" w:hAnsi="宋体"/>
          <w:color w:val="000000" w:themeColor="text1"/>
          <w:sz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附件1：考核评价表</w:t>
      </w:r>
      <w:r/>
    </w:p>
    <w:p>
      <w:pPr>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南京市儿童医院膳食中心食堂物资供应商评价表</w:t>
      </w:r>
      <w:r/>
    </w:p>
    <w:tbl>
      <w:tblPr>
        <w:tblStyle w:val="839"/>
        <w:tblpPr w:horzAnchor="margin" w:tblpX="-459" w:vertAnchor="text" w:tblpY="179" w:leftFromText="180" w:topFromText="0" w:rightFromText="180" w:bottomFromText="0"/>
        <w:tblW w:w="9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48"/>
        <w:gridCol w:w="4709"/>
        <w:gridCol w:w="1146"/>
        <w:gridCol w:w="1621"/>
      </w:tblGrid>
      <w:tr>
        <w:trPr>
          <w:trHeight w:val="378"/>
        </w:trPr>
        <w:tc>
          <w:tcPr>
            <w:tcW w:w="2048" w:type="dxa"/>
            <w:vAlign w:val="top"/>
            <w:textDirection w:val="lrTb"/>
            <w:noWrap/>
          </w:tcPr>
          <w:p>
            <w:pPr>
              <w:jc w:val="center"/>
              <w:rPr>
                <w:rFonts w:ascii="宋体" w:hAnsi="宋体"/>
                <w:b/>
                <w:color w:val="000000" w:themeColor="text1"/>
                <w:szCs w:val="18"/>
                <w:highlight w:val="none"/>
                <w14:textFill>
                  <w14:solidFill>
                    <w14:schemeClr w14:val="tx1"/>
                  </w14:solidFill>
                </w14:textFill>
              </w:rPr>
            </w:pPr>
            <w:r>
              <w:rPr>
                <w:rFonts w:hint="eastAsia" w:ascii="宋体" w:hAnsi="宋体" w:cs="Yu Gothic Light"/>
                <w:b/>
                <w:color w:val="000000" w:themeColor="text1"/>
                <w:szCs w:val="18"/>
                <w:highlight w:val="none"/>
                <w14:textFill>
                  <w14:solidFill>
                    <w14:schemeClr w14:val="tx1"/>
                  </w14:solidFill>
                </w14:textFill>
              </w:rPr>
              <w:t xml:space="preserve">供应商名称</w:t>
            </w:r>
            <w:r/>
          </w:p>
        </w:tc>
        <w:tc>
          <w:tcPr>
            <w:tcW w:w="4709" w:type="dxa"/>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41" w:type="dxa"/>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Yu Gothic Light"/>
                <w:b/>
                <w:color w:val="000000" w:themeColor="text1"/>
                <w:sz w:val="22"/>
                <w:szCs w:val="20"/>
                <w:highlight w:val="none"/>
                <w14:textFill>
                  <w14:solidFill>
                    <w14:schemeClr w14:val="tx1"/>
                  </w14:solidFill>
                </w14:textFill>
              </w:rPr>
              <w:t xml:space="preserve">考核期限</w:t>
            </w:r>
            <w:r/>
          </w:p>
        </w:tc>
        <w:tc>
          <w:tcPr>
            <w:tcW w:w="1621" w:type="dxa"/>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78"/>
        </w:trPr>
        <w:tc>
          <w:tcPr>
            <w:tcW w:w="2048" w:type="dxa"/>
            <w:vAlign w:val="top"/>
            <w:textDirection w:val="lrTb"/>
            <w:noWrap/>
          </w:tcPr>
          <w:p>
            <w:pPr>
              <w:jc w:val="center"/>
              <w:rPr>
                <w:rFonts w:ascii="宋体" w:hAnsi="宋体" w:cs="Yu Gothic Light"/>
                <w:b/>
                <w:color w:val="000000" w:themeColor="text1"/>
                <w:szCs w:val="18"/>
                <w:highlight w:val="none"/>
                <w14:textFill>
                  <w14:solidFill>
                    <w14:schemeClr w14:val="tx1"/>
                  </w14:solidFill>
                </w14:textFill>
              </w:rPr>
            </w:pPr>
            <w:r>
              <w:rPr>
                <w:rFonts w:hint="eastAsia" w:ascii="宋体" w:hAnsi="宋体" w:cs="Yu Gothic Light"/>
                <w:b/>
                <w:color w:val="000000" w:themeColor="text1"/>
                <w:szCs w:val="18"/>
                <w:highlight w:val="none"/>
                <w14:textFill>
                  <w14:solidFill>
                    <w14:schemeClr w14:val="tx1"/>
                  </w14:solidFill>
                </w14:textFill>
              </w:rPr>
              <w:t xml:space="preserve">供应货品</w:t>
            </w:r>
            <w:r/>
          </w:p>
        </w:tc>
        <w:tc>
          <w:tcPr>
            <w:tcW w:w="4709" w:type="dxa"/>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41" w:type="dxa"/>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Yu Gothic Light"/>
                <w:b/>
                <w:color w:val="000000" w:themeColor="text1"/>
                <w:sz w:val="22"/>
                <w:szCs w:val="20"/>
                <w:highlight w:val="none"/>
                <w14:textFill>
                  <w14:solidFill>
                    <w14:schemeClr w14:val="tx1"/>
                  </w14:solidFill>
                </w14:textFill>
              </w:rPr>
              <w:t xml:space="preserve">总分</w:t>
            </w:r>
            <w:r/>
          </w:p>
        </w:tc>
        <w:tc>
          <w:tcPr>
            <w:tcW w:w="1621" w:type="dxa"/>
            <w:vAlign w:val="center"/>
            <w:textDirection w:val="lrTb"/>
            <w:noWrap/>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60"/>
        </w:trPr>
        <w:tc>
          <w:tcPr>
            <w:tcW w:w="2048" w:type="dxa"/>
            <w:vAlign w:val="center"/>
            <w:textDirection w:val="lrTb"/>
            <w:noWrap/>
          </w:tcPr>
          <w:p>
            <w:pPr>
              <w:ind w:firstLine="422"/>
              <w:rPr>
                <w:rFonts w:ascii="宋体" w:hAnsi="宋体"/>
                <w:b/>
                <w:color w:val="000000" w:themeColor="text1"/>
                <w:szCs w:val="21"/>
                <w:highlight w:val="none"/>
                <w14:textFill>
                  <w14:solidFill>
                    <w14:schemeClr w14:val="tx1"/>
                  </w14:solidFill>
                </w14:textFill>
              </w:rPr>
            </w:pPr>
            <w:r>
              <w:rPr>
                <w:rFonts w:hint="eastAsia" w:ascii="宋体" w:hAnsi="宋体" w:cs="Yu Gothic Light"/>
                <w:b/>
                <w:color w:val="000000" w:themeColor="text1"/>
                <w:szCs w:val="21"/>
                <w:highlight w:val="none"/>
                <w14:textFill>
                  <w14:solidFill>
                    <w14:schemeClr w14:val="tx1"/>
                  </w14:solidFill>
                </w14:textFill>
              </w:rPr>
              <w:t xml:space="preserve">指  标</w:t>
            </w:r>
            <w:r/>
          </w:p>
        </w:tc>
        <w:tc>
          <w:tcPr>
            <w:tcW w:w="4704" w:type="dxa"/>
            <w:vAlign w:val="center"/>
            <w:textDirection w:val="lrTb"/>
            <w:noWrap/>
          </w:tcPr>
          <w:p>
            <w:pPr>
              <w:ind w:firstLine="560"/>
              <w:jc w:val="center"/>
              <w:rPr>
                <w:rFonts w:ascii="宋体" w:hAnsi="宋体"/>
                <w:b/>
                <w:color w:val="000000" w:themeColor="text1"/>
                <w:sz w:val="22"/>
                <w:highlight w:val="none"/>
                <w14:textFill>
                  <w14:solidFill>
                    <w14:schemeClr w14:val="tx1"/>
                  </w14:solidFill>
                </w14:textFill>
              </w:rPr>
            </w:pPr>
            <w:r>
              <w:rPr>
                <w:rFonts w:hint="eastAsia" w:ascii="宋体" w:hAnsi="宋体" w:cs="Yu Gothic Light"/>
                <w:b/>
                <w:color w:val="000000" w:themeColor="text1"/>
                <w:sz w:val="22"/>
                <w:highlight w:val="none"/>
                <w14:textFill>
                  <w14:solidFill>
                    <w14:schemeClr w14:val="tx1"/>
                  </w14:solidFill>
                </w14:textFill>
              </w:rPr>
              <w:t xml:space="preserve">评价描述说明</w:t>
            </w:r>
            <w:r/>
          </w:p>
        </w:tc>
        <w:tc>
          <w:tcPr>
            <w:tcW w:w="1146" w:type="dxa"/>
            <w:vAlign w:val="center"/>
            <w:textDirection w:val="lrTb"/>
            <w:noWrap/>
          </w:tcPr>
          <w:p>
            <w:pPr>
              <w:ind w:firstLine="221"/>
              <w:rPr>
                <w:rFonts w:ascii="宋体" w:hAnsi="宋体"/>
                <w:b/>
                <w:color w:val="000000" w:themeColor="text1"/>
                <w:sz w:val="22"/>
                <w:highlight w:val="none"/>
                <w14:textFill>
                  <w14:solidFill>
                    <w14:schemeClr w14:val="tx1"/>
                  </w14:solidFill>
                </w14:textFill>
              </w:rPr>
            </w:pPr>
            <w:r>
              <w:rPr>
                <w:rFonts w:hint="eastAsia" w:ascii="宋体" w:hAnsi="宋体" w:cs="Yu Gothic Light"/>
                <w:b/>
                <w:color w:val="000000" w:themeColor="text1"/>
                <w:sz w:val="22"/>
                <w:highlight w:val="none"/>
                <w14:textFill>
                  <w14:solidFill>
                    <w14:schemeClr w14:val="tx1"/>
                  </w14:solidFill>
                </w14:textFill>
              </w:rPr>
              <w:t xml:space="preserve">得 分</w:t>
            </w:r>
            <w:r/>
          </w:p>
        </w:tc>
        <w:tc>
          <w:tcPr>
            <w:tcW w:w="1621" w:type="dxa"/>
            <w:vAlign w:val="center"/>
            <w:textDirection w:val="lrTb"/>
            <w:noWrap/>
          </w:tcPr>
          <w:p>
            <w:pPr>
              <w:ind w:firstLine="221"/>
              <w:rPr>
                <w:rFonts w:ascii="宋体" w:hAnsi="宋体"/>
                <w:color w:val="000000" w:themeColor="text1"/>
                <w:sz w:val="22"/>
                <w:highlight w:val="none"/>
                <w14:textFill>
                  <w14:solidFill>
                    <w14:schemeClr w14:val="tx1"/>
                  </w14:solidFill>
                </w14:textFill>
              </w:rPr>
            </w:pPr>
            <w:r>
              <w:rPr>
                <w:rFonts w:hint="eastAsia" w:ascii="宋体" w:hAnsi="宋体" w:cs="Yu Gothic Light"/>
                <w:b/>
                <w:color w:val="000000" w:themeColor="text1"/>
                <w:sz w:val="22"/>
                <w:highlight w:val="none"/>
                <w14:textFill>
                  <w14:solidFill>
                    <w14:schemeClr w14:val="tx1"/>
                  </w14:solidFill>
                </w14:textFill>
              </w:rPr>
              <w:t xml:space="preserve">备 注</w:t>
            </w:r>
            <w:r/>
          </w:p>
        </w:tc>
      </w:tr>
      <w:tr>
        <w:trPr>
          <w:trHeight w:val="974"/>
        </w:trPr>
        <w:tc>
          <w:tcPr>
            <w:tcW w:w="2048" w:type="dxa"/>
            <w:vAlign w:val="center"/>
            <w:textDirection w:val="lrTb"/>
            <w:noWrap/>
          </w:tcPr>
          <w:p>
            <w:pPr>
              <w:jc w:val="center"/>
              <w:rPr>
                <w:rFonts w:ascii="宋体" w:hAnsi="宋体" w:cs="Yu Gothic Light"/>
                <w:b/>
                <w:color w:val="000000" w:themeColor="text1"/>
                <w:sz w:val="20"/>
                <w:szCs w:val="18"/>
                <w:highlight w:val="none"/>
                <w14:textFill>
                  <w14:solidFill>
                    <w14:schemeClr w14:val="tx1"/>
                  </w14:solidFill>
                </w14:textFill>
              </w:rPr>
            </w:pPr>
            <w:r>
              <w:rPr>
                <w:rFonts w:hint="eastAsia" w:ascii="宋体" w:hAnsi="宋体" w:cs="Yu Gothic Light"/>
                <w:b/>
                <w:color w:val="000000" w:themeColor="text1"/>
                <w:sz w:val="20"/>
                <w:szCs w:val="18"/>
                <w:highlight w:val="none"/>
                <w14:textFill>
                  <w14:solidFill>
                    <w14:schemeClr w14:val="tx1"/>
                  </w14:solidFill>
                </w14:textFill>
              </w:rPr>
              <w:t xml:space="preserve">送货及时性评价</w:t>
            </w:r>
            <w:r/>
          </w:p>
          <w:p>
            <w:pPr>
              <w:jc w:val="center"/>
              <w:rPr>
                <w:rFonts w:ascii="宋体" w:hAnsi="宋体"/>
                <w:b/>
                <w:color w:val="000000" w:themeColor="text1"/>
                <w:sz w:val="20"/>
                <w:szCs w:val="18"/>
                <w:highlight w:val="none"/>
                <w14:textFill>
                  <w14:solidFill>
                    <w14:schemeClr w14:val="tx1"/>
                  </w14:solidFill>
                </w14:textFill>
              </w:rPr>
            </w:pPr>
            <w:r>
              <w:rPr>
                <w:rFonts w:hint="eastAsia" w:ascii="宋体" w:hAnsi="宋体" w:cs="Yu Gothic Light"/>
                <w:b/>
                <w:color w:val="000000" w:themeColor="text1"/>
                <w:sz w:val="20"/>
                <w:szCs w:val="18"/>
                <w:highlight w:val="none"/>
                <w14:textFill>
                  <w14:solidFill>
                    <w14:schemeClr w14:val="tx1"/>
                  </w14:solidFill>
                </w14:textFill>
              </w:rPr>
              <w:t xml:space="preserve">（20分）</w:t>
            </w:r>
            <w:r/>
          </w:p>
        </w:tc>
        <w:tc>
          <w:tcPr>
            <w:tcW w:w="4704" w:type="dxa"/>
            <w:vAlign w:val="top"/>
            <w:textDirection w:val="lrTb"/>
            <w:noWrap/>
          </w:tcPr>
          <w:p>
            <w:pPr>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1.几乎总是早于约定时间或在约定时间及时送到，得18-20分；</w:t>
            </w:r>
            <w:r/>
          </w:p>
          <w:p>
            <w:pPr>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2.偶尔比约定时间晚，但不耽误食堂工作，得16-17分；</w:t>
            </w:r>
            <w:r/>
          </w:p>
          <w:p>
            <w:pPr>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3.送货经常不守时，耽误食堂工作，得15分以下。</w:t>
            </w:r>
            <w:r/>
          </w:p>
        </w:tc>
        <w:tc>
          <w:tcPr>
            <w:tcW w:w="1146" w:type="dxa"/>
            <w:vAlign w:val="top"/>
            <w:textDirection w:val="lrTb"/>
            <w:noWrap/>
          </w:tcPr>
          <w:p>
            <w:pPr>
              <w:ind w:firstLine="360"/>
              <w:rPr>
                <w:rFonts w:ascii="宋体" w:hAnsi="宋体"/>
                <w:color w:val="000000" w:themeColor="text1"/>
                <w:sz w:val="15"/>
                <w:szCs w:val="15"/>
                <w:highlight w:val="none"/>
                <w14:textFill>
                  <w14:solidFill>
                    <w14:schemeClr w14:val="tx1"/>
                  </w14:solidFill>
                </w14:textFill>
              </w:rPr>
            </w:pPr>
            <w:r>
              <w:rPr>
                <w:rFonts w:ascii="宋体" w:hAnsi="宋体"/>
                <w:color w:val="000000" w:themeColor="text1"/>
                <w:sz w:val="15"/>
                <w:szCs w:val="15"/>
                <w:highlight w:val="none"/>
                <w14:textFill>
                  <w14:solidFill>
                    <w14:schemeClr w14:val="tx1"/>
                  </w14:solidFill>
                </w14:textFill>
              </w:rPr>
            </w:r>
            <w:r/>
          </w:p>
        </w:tc>
        <w:tc>
          <w:tcPr>
            <w:tcW w:w="1621" w:type="dxa"/>
            <w:vAlign w:val="top"/>
            <w:textDirection w:val="lrTb"/>
            <w:noWrap/>
          </w:tcPr>
          <w:p>
            <w:pPr>
              <w:ind w:firstLine="360"/>
              <w:rPr>
                <w:rFonts w:ascii="宋体" w:hAnsi="宋体"/>
                <w:color w:val="000000" w:themeColor="text1"/>
                <w:sz w:val="15"/>
                <w:szCs w:val="15"/>
                <w:highlight w:val="none"/>
                <w14:textFill>
                  <w14:solidFill>
                    <w14:schemeClr w14:val="tx1"/>
                  </w14:solidFill>
                </w14:textFill>
              </w:rPr>
            </w:pPr>
            <w:r>
              <w:rPr>
                <w:rFonts w:ascii="宋体" w:hAnsi="宋体"/>
                <w:color w:val="000000" w:themeColor="text1"/>
                <w:sz w:val="15"/>
                <w:szCs w:val="15"/>
                <w:highlight w:val="none"/>
                <w14:textFill>
                  <w14:solidFill>
                    <w14:schemeClr w14:val="tx1"/>
                  </w14:solidFill>
                </w14:textFill>
              </w:rPr>
            </w:r>
            <w:r/>
          </w:p>
        </w:tc>
      </w:tr>
      <w:tr>
        <w:trPr>
          <w:trHeight w:val="1258"/>
        </w:trPr>
        <w:tc>
          <w:tcPr>
            <w:tcW w:w="2048" w:type="dxa"/>
            <w:vAlign w:val="center"/>
            <w:textDirection w:val="lrTb"/>
            <w:noWrap/>
          </w:tcPr>
          <w:p>
            <w:pPr>
              <w:jc w:val="center"/>
              <w:rPr>
                <w:rFonts w:ascii="宋体" w:hAnsi="宋体" w:cs="Yu Gothic Light"/>
                <w:b/>
                <w:color w:val="000000" w:themeColor="text1"/>
                <w:sz w:val="20"/>
                <w:szCs w:val="18"/>
                <w:highlight w:val="none"/>
                <w14:textFill>
                  <w14:solidFill>
                    <w14:schemeClr w14:val="tx1"/>
                  </w14:solidFill>
                </w14:textFill>
              </w:rPr>
            </w:pPr>
            <w:r>
              <w:rPr>
                <w:rFonts w:hint="eastAsia" w:ascii="宋体" w:hAnsi="宋体" w:cs="Yu Gothic Light"/>
                <w:b/>
                <w:color w:val="000000" w:themeColor="text1"/>
                <w:sz w:val="20"/>
                <w:szCs w:val="18"/>
                <w:highlight w:val="none"/>
                <w14:textFill>
                  <w14:solidFill>
                    <w14:schemeClr w14:val="tx1"/>
                  </w14:solidFill>
                </w14:textFill>
              </w:rPr>
              <w:t xml:space="preserve">物资质量评价</w:t>
            </w:r>
            <w:r/>
          </w:p>
          <w:p>
            <w:pPr>
              <w:jc w:val="center"/>
              <w:rPr>
                <w:rFonts w:ascii="宋体" w:hAnsi="宋体" w:cs="Yu Gothic Light"/>
                <w:b/>
                <w:color w:val="000000" w:themeColor="text1"/>
                <w:sz w:val="20"/>
                <w:szCs w:val="18"/>
                <w:highlight w:val="none"/>
                <w14:textFill>
                  <w14:solidFill>
                    <w14:schemeClr w14:val="tx1"/>
                  </w14:solidFill>
                </w14:textFill>
              </w:rPr>
            </w:pPr>
            <w:r>
              <w:rPr>
                <w:rFonts w:hint="eastAsia" w:ascii="宋体" w:hAnsi="宋体" w:cs="Yu Gothic Light"/>
                <w:b/>
                <w:color w:val="000000" w:themeColor="text1"/>
                <w:sz w:val="20"/>
                <w:szCs w:val="18"/>
                <w:highlight w:val="none"/>
                <w14:textFill>
                  <w14:solidFill>
                    <w14:schemeClr w14:val="tx1"/>
                  </w14:solidFill>
                </w14:textFill>
              </w:rPr>
              <w:t xml:space="preserve">（20分）</w:t>
            </w:r>
            <w:r/>
          </w:p>
        </w:tc>
        <w:tc>
          <w:tcPr>
            <w:tcW w:w="4704" w:type="dxa"/>
            <w:vAlign w:val="top"/>
            <w:textDirection w:val="lrTb"/>
            <w:noWrap/>
          </w:tcPr>
          <w:p>
            <w:pPr>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1.物资新鲜，所有物资均能按要求提供质检报告，得18-20分；</w:t>
            </w:r>
            <w:r/>
          </w:p>
          <w:p>
            <w:pPr>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2.经常送存货来，但都可使用，未变质，影响口感，质检报告提供不及时或有缺项，得16-17分；</w:t>
            </w:r>
            <w:r/>
          </w:p>
          <w:p>
            <w:pPr>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3.时常送变质食品，经常不能提供质检报告，得15分以下。</w:t>
            </w:r>
            <w:r/>
          </w:p>
        </w:tc>
        <w:tc>
          <w:tcPr>
            <w:tcW w:w="1146" w:type="dxa"/>
            <w:vAlign w:val="top"/>
            <w:textDirection w:val="lrTb"/>
            <w:noWrap/>
          </w:tcPr>
          <w:p>
            <w:pPr>
              <w:ind w:firstLine="360"/>
              <w:rPr>
                <w:rFonts w:ascii="宋体" w:hAnsi="宋体"/>
                <w:color w:val="000000" w:themeColor="text1"/>
                <w:sz w:val="15"/>
                <w:szCs w:val="15"/>
                <w:highlight w:val="none"/>
                <w14:textFill>
                  <w14:solidFill>
                    <w14:schemeClr w14:val="tx1"/>
                  </w14:solidFill>
                </w14:textFill>
              </w:rPr>
            </w:pPr>
            <w:r>
              <w:rPr>
                <w:rFonts w:ascii="宋体" w:hAnsi="宋体"/>
                <w:color w:val="000000" w:themeColor="text1"/>
                <w:sz w:val="15"/>
                <w:szCs w:val="15"/>
                <w:highlight w:val="none"/>
                <w14:textFill>
                  <w14:solidFill>
                    <w14:schemeClr w14:val="tx1"/>
                  </w14:solidFill>
                </w14:textFill>
              </w:rPr>
            </w:r>
            <w:r/>
          </w:p>
        </w:tc>
        <w:tc>
          <w:tcPr>
            <w:tcW w:w="1621" w:type="dxa"/>
            <w:vAlign w:val="top"/>
            <w:textDirection w:val="lrTb"/>
            <w:noWrap/>
          </w:tcPr>
          <w:p>
            <w:pPr>
              <w:ind w:firstLine="360"/>
              <w:rPr>
                <w:rFonts w:ascii="宋体" w:hAnsi="宋体"/>
                <w:color w:val="000000" w:themeColor="text1"/>
                <w:sz w:val="15"/>
                <w:szCs w:val="15"/>
                <w:highlight w:val="none"/>
                <w14:textFill>
                  <w14:solidFill>
                    <w14:schemeClr w14:val="tx1"/>
                  </w14:solidFill>
                </w14:textFill>
              </w:rPr>
            </w:pPr>
            <w:r>
              <w:rPr>
                <w:rFonts w:ascii="宋体" w:hAnsi="宋体"/>
                <w:color w:val="000000" w:themeColor="text1"/>
                <w:sz w:val="15"/>
                <w:szCs w:val="15"/>
                <w:highlight w:val="none"/>
                <w14:textFill>
                  <w14:solidFill>
                    <w14:schemeClr w14:val="tx1"/>
                  </w14:solidFill>
                </w14:textFill>
              </w:rPr>
            </w:r>
            <w:r/>
          </w:p>
        </w:tc>
      </w:tr>
      <w:tr>
        <w:trPr>
          <w:trHeight w:val="973"/>
        </w:trPr>
        <w:tc>
          <w:tcPr>
            <w:tcW w:w="2048" w:type="dxa"/>
            <w:vAlign w:val="center"/>
            <w:textDirection w:val="lrTb"/>
            <w:noWrap/>
          </w:tcPr>
          <w:p>
            <w:pPr>
              <w:jc w:val="center"/>
              <w:rPr>
                <w:rFonts w:ascii="宋体" w:hAnsi="宋体" w:cs="Yu Gothic Light"/>
                <w:b/>
                <w:color w:val="000000" w:themeColor="text1"/>
                <w:sz w:val="20"/>
                <w:szCs w:val="18"/>
                <w:highlight w:val="none"/>
                <w14:textFill>
                  <w14:solidFill>
                    <w14:schemeClr w14:val="tx1"/>
                  </w14:solidFill>
                </w14:textFill>
              </w:rPr>
            </w:pPr>
            <w:r>
              <w:rPr>
                <w:rFonts w:hint="eastAsia" w:ascii="宋体" w:hAnsi="宋体" w:cs="Yu Gothic Light"/>
                <w:b/>
                <w:color w:val="000000" w:themeColor="text1"/>
                <w:sz w:val="20"/>
                <w:szCs w:val="18"/>
                <w:highlight w:val="none"/>
                <w14:textFill>
                  <w14:solidFill>
                    <w14:schemeClr w14:val="tx1"/>
                  </w14:solidFill>
                </w14:textFill>
              </w:rPr>
              <w:t xml:space="preserve">物品数量符合评价</w:t>
            </w:r>
            <w:r/>
          </w:p>
          <w:p>
            <w:pPr>
              <w:jc w:val="center"/>
              <w:rPr>
                <w:rFonts w:ascii="宋体" w:hAnsi="宋体" w:cs="Yu Gothic Light"/>
                <w:b/>
                <w:color w:val="000000" w:themeColor="text1"/>
                <w:sz w:val="20"/>
                <w:szCs w:val="18"/>
                <w:highlight w:val="none"/>
                <w14:textFill>
                  <w14:solidFill>
                    <w14:schemeClr w14:val="tx1"/>
                  </w14:solidFill>
                </w14:textFill>
              </w:rPr>
            </w:pPr>
            <w:r>
              <w:rPr>
                <w:rFonts w:hint="eastAsia" w:ascii="宋体" w:hAnsi="宋体" w:cs="Yu Gothic Light"/>
                <w:b/>
                <w:color w:val="000000" w:themeColor="text1"/>
                <w:sz w:val="20"/>
                <w:szCs w:val="18"/>
                <w:highlight w:val="none"/>
                <w14:textFill>
                  <w14:solidFill>
                    <w14:schemeClr w14:val="tx1"/>
                  </w14:solidFill>
                </w14:textFill>
              </w:rPr>
              <w:t xml:space="preserve">（20分）</w:t>
            </w:r>
            <w:r/>
          </w:p>
        </w:tc>
        <w:tc>
          <w:tcPr>
            <w:tcW w:w="4704" w:type="dxa"/>
            <w:vAlign w:val="top"/>
            <w:textDirection w:val="lrTb"/>
            <w:noWrap/>
          </w:tcPr>
          <w:p>
            <w:pPr>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1.重量总是足称，不缺斤少两，得18-20分；</w:t>
            </w:r>
            <w:r/>
          </w:p>
          <w:p>
            <w:pPr>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2.偶尔有重量不合格现象，但有证据显示不是有意的，得16-17分；</w:t>
            </w:r>
            <w:r/>
          </w:p>
          <w:p>
            <w:pPr>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3.重量经常不达标，有意缺斤短两者，得15分以下。</w:t>
            </w:r>
            <w:r/>
          </w:p>
        </w:tc>
        <w:tc>
          <w:tcPr>
            <w:tcW w:w="1146" w:type="dxa"/>
            <w:vAlign w:val="top"/>
            <w:textDirection w:val="lrTb"/>
            <w:noWrap/>
          </w:tcPr>
          <w:p>
            <w:pPr>
              <w:ind w:firstLine="360"/>
              <w:rPr>
                <w:rFonts w:ascii="宋体" w:hAnsi="宋体"/>
                <w:color w:val="000000" w:themeColor="text1"/>
                <w:sz w:val="15"/>
                <w:szCs w:val="15"/>
                <w:highlight w:val="none"/>
                <w14:textFill>
                  <w14:solidFill>
                    <w14:schemeClr w14:val="tx1"/>
                  </w14:solidFill>
                </w14:textFill>
              </w:rPr>
            </w:pPr>
            <w:r>
              <w:rPr>
                <w:rFonts w:ascii="宋体" w:hAnsi="宋体"/>
                <w:color w:val="000000" w:themeColor="text1"/>
                <w:sz w:val="15"/>
                <w:szCs w:val="15"/>
                <w:highlight w:val="none"/>
                <w14:textFill>
                  <w14:solidFill>
                    <w14:schemeClr w14:val="tx1"/>
                  </w14:solidFill>
                </w14:textFill>
              </w:rPr>
            </w:r>
            <w:r/>
          </w:p>
        </w:tc>
        <w:tc>
          <w:tcPr>
            <w:tcW w:w="1621" w:type="dxa"/>
            <w:vAlign w:val="top"/>
            <w:textDirection w:val="lrTb"/>
            <w:noWrap/>
          </w:tcPr>
          <w:p>
            <w:pPr>
              <w:ind w:firstLine="360"/>
              <w:rPr>
                <w:rFonts w:ascii="宋体" w:hAnsi="宋体"/>
                <w:color w:val="000000" w:themeColor="text1"/>
                <w:sz w:val="15"/>
                <w:szCs w:val="15"/>
                <w:highlight w:val="none"/>
                <w14:textFill>
                  <w14:solidFill>
                    <w14:schemeClr w14:val="tx1"/>
                  </w14:solidFill>
                </w14:textFill>
              </w:rPr>
            </w:pPr>
            <w:r>
              <w:rPr>
                <w:rFonts w:ascii="宋体" w:hAnsi="宋体"/>
                <w:color w:val="000000" w:themeColor="text1"/>
                <w:sz w:val="15"/>
                <w:szCs w:val="15"/>
                <w:highlight w:val="none"/>
                <w14:textFill>
                  <w14:solidFill>
                    <w14:schemeClr w14:val="tx1"/>
                  </w14:solidFill>
                </w14:textFill>
              </w:rPr>
            </w:r>
            <w:r/>
          </w:p>
        </w:tc>
      </w:tr>
      <w:tr>
        <w:trPr>
          <w:trHeight w:val="972"/>
        </w:trPr>
        <w:tc>
          <w:tcPr>
            <w:tcW w:w="2048" w:type="dxa"/>
            <w:vAlign w:val="center"/>
            <w:textDirection w:val="lrTb"/>
            <w:noWrap/>
          </w:tcPr>
          <w:p>
            <w:pPr>
              <w:jc w:val="center"/>
              <w:rPr>
                <w:rFonts w:ascii="宋体" w:hAnsi="宋体" w:cs="Yu Gothic Light"/>
                <w:b/>
                <w:color w:val="000000" w:themeColor="text1"/>
                <w:sz w:val="20"/>
                <w:szCs w:val="18"/>
                <w:highlight w:val="none"/>
                <w14:textFill>
                  <w14:solidFill>
                    <w14:schemeClr w14:val="tx1"/>
                  </w14:solidFill>
                </w14:textFill>
              </w:rPr>
            </w:pPr>
            <w:r>
              <w:rPr>
                <w:rFonts w:hint="eastAsia" w:ascii="宋体" w:hAnsi="宋体" w:cs="Yu Gothic Light"/>
                <w:b/>
                <w:color w:val="000000" w:themeColor="text1"/>
                <w:sz w:val="20"/>
                <w:szCs w:val="18"/>
                <w:highlight w:val="none"/>
                <w14:textFill>
                  <w14:solidFill>
                    <w14:schemeClr w14:val="tx1"/>
                  </w14:solidFill>
                </w14:textFill>
              </w:rPr>
              <w:t xml:space="preserve">现场卫生整洁维护</w:t>
            </w:r>
            <w:r/>
          </w:p>
          <w:p>
            <w:pPr>
              <w:jc w:val="center"/>
              <w:rPr>
                <w:rFonts w:ascii="宋体" w:hAnsi="宋体" w:cs="Yu Gothic Light"/>
                <w:b/>
                <w:color w:val="000000" w:themeColor="text1"/>
                <w:sz w:val="20"/>
                <w:szCs w:val="18"/>
                <w:highlight w:val="none"/>
                <w14:textFill>
                  <w14:solidFill>
                    <w14:schemeClr w14:val="tx1"/>
                  </w14:solidFill>
                </w14:textFill>
              </w:rPr>
            </w:pPr>
            <w:r>
              <w:rPr>
                <w:rFonts w:hint="eastAsia" w:ascii="宋体" w:hAnsi="宋体" w:cs="Yu Gothic Light"/>
                <w:b/>
                <w:color w:val="000000" w:themeColor="text1"/>
                <w:sz w:val="20"/>
                <w:szCs w:val="18"/>
                <w:highlight w:val="none"/>
                <w14:textFill>
                  <w14:solidFill>
                    <w14:schemeClr w14:val="tx1"/>
                  </w14:solidFill>
                </w14:textFill>
              </w:rPr>
              <w:t xml:space="preserve">（20分）</w:t>
            </w:r>
            <w:r/>
          </w:p>
        </w:tc>
        <w:tc>
          <w:tcPr>
            <w:tcW w:w="4704" w:type="dxa"/>
            <w:vAlign w:val="top"/>
            <w:textDirection w:val="lrTb"/>
            <w:noWrap/>
          </w:tcPr>
          <w:p>
            <w:pPr>
              <w:numPr>
                <w:ilvl w:val="0"/>
                <w:numId w:val="4"/>
              </w:numPr>
              <w:rPr>
                <w:rFonts w:ascii="宋体" w:hAnsi="宋体" w:cs="Yu Gothic Light"/>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送货现场卫生干净、送货后外包装及时清理、车辆按照规定停放、送货或加工完成后，对现场使用的工具能清洗并按规定摆放。得18-20分；</w:t>
            </w:r>
            <w:r/>
          </w:p>
          <w:p>
            <w:pPr>
              <w:numPr>
                <w:ilvl w:val="0"/>
                <w:numId w:val="4"/>
              </w:numPr>
              <w:rPr>
                <w:rFonts w:ascii="宋体" w:hAnsi="宋体" w:cs="Yu Gothic Light"/>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送货现场卫生较差、送货后外包装清理不及时、车辆未按照规定停放，影响其他车辆的出入、送货或加工完成后，对现场使用的工具清洗不及时。得16-17分；</w:t>
            </w:r>
            <w:r/>
          </w:p>
          <w:p>
            <w:pPr>
              <w:numPr>
                <w:ilvl w:val="0"/>
                <w:numId w:val="4"/>
              </w:numPr>
              <w:rPr>
                <w:rFonts w:ascii="宋体" w:hAnsi="宋体" w:cs="Yu Gothic Light"/>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送货现场卫生很差、送货后外包装清理很不及时、车辆经常未按照规定停放、送货或加工完成后，对现场使用的工具总是不能及时清洗和按规定摆放。得15分以下.</w:t>
            </w:r>
            <w:r/>
          </w:p>
        </w:tc>
        <w:tc>
          <w:tcPr>
            <w:tcW w:w="1146" w:type="dxa"/>
            <w:vAlign w:val="top"/>
            <w:textDirection w:val="lrTb"/>
            <w:noWrap/>
          </w:tcPr>
          <w:p>
            <w:pPr>
              <w:ind w:firstLine="360"/>
              <w:rPr>
                <w:rFonts w:ascii="宋体" w:hAnsi="宋体"/>
                <w:color w:val="000000" w:themeColor="text1"/>
                <w:sz w:val="15"/>
                <w:szCs w:val="15"/>
                <w:highlight w:val="none"/>
                <w14:textFill>
                  <w14:solidFill>
                    <w14:schemeClr w14:val="tx1"/>
                  </w14:solidFill>
                </w14:textFill>
              </w:rPr>
            </w:pPr>
            <w:r>
              <w:rPr>
                <w:rFonts w:ascii="宋体" w:hAnsi="宋体"/>
                <w:color w:val="000000" w:themeColor="text1"/>
                <w:sz w:val="15"/>
                <w:szCs w:val="15"/>
                <w:highlight w:val="none"/>
                <w14:textFill>
                  <w14:solidFill>
                    <w14:schemeClr w14:val="tx1"/>
                  </w14:solidFill>
                </w14:textFill>
              </w:rPr>
            </w:r>
            <w:r/>
          </w:p>
        </w:tc>
        <w:tc>
          <w:tcPr>
            <w:tcW w:w="1621" w:type="dxa"/>
            <w:vAlign w:val="top"/>
            <w:textDirection w:val="lrTb"/>
            <w:noWrap/>
          </w:tcPr>
          <w:p>
            <w:pPr>
              <w:ind w:firstLine="360"/>
              <w:rPr>
                <w:rFonts w:ascii="宋体" w:hAnsi="宋体"/>
                <w:color w:val="000000" w:themeColor="text1"/>
                <w:sz w:val="15"/>
                <w:szCs w:val="15"/>
                <w:highlight w:val="none"/>
                <w14:textFill>
                  <w14:solidFill>
                    <w14:schemeClr w14:val="tx1"/>
                  </w14:solidFill>
                </w14:textFill>
              </w:rPr>
            </w:pPr>
            <w:r>
              <w:rPr>
                <w:rFonts w:ascii="宋体" w:hAnsi="宋体"/>
                <w:color w:val="000000" w:themeColor="text1"/>
                <w:sz w:val="15"/>
                <w:szCs w:val="15"/>
                <w:highlight w:val="none"/>
                <w14:textFill>
                  <w14:solidFill>
                    <w14:schemeClr w14:val="tx1"/>
                  </w14:solidFill>
                </w14:textFill>
              </w:rPr>
            </w:r>
            <w:r/>
          </w:p>
        </w:tc>
      </w:tr>
      <w:tr>
        <w:trPr>
          <w:trHeight w:val="1498"/>
        </w:trPr>
        <w:tc>
          <w:tcPr>
            <w:tcW w:w="2048" w:type="dxa"/>
            <w:vAlign w:val="center"/>
            <w:textDirection w:val="lrTb"/>
            <w:noWrap/>
          </w:tcPr>
          <w:p>
            <w:pPr>
              <w:jc w:val="center"/>
              <w:rPr>
                <w:rFonts w:ascii="宋体" w:hAnsi="宋体" w:cs="Yu Gothic Light"/>
                <w:b/>
                <w:color w:val="000000" w:themeColor="text1"/>
                <w:sz w:val="20"/>
                <w:szCs w:val="18"/>
                <w:highlight w:val="none"/>
                <w14:textFill>
                  <w14:solidFill>
                    <w14:schemeClr w14:val="tx1"/>
                  </w14:solidFill>
                </w14:textFill>
              </w:rPr>
            </w:pPr>
            <w:r>
              <w:rPr>
                <w:rFonts w:hint="eastAsia" w:ascii="宋体" w:hAnsi="宋体" w:cs="Yu Gothic Light"/>
                <w:b/>
                <w:color w:val="000000" w:themeColor="text1"/>
                <w:sz w:val="20"/>
                <w:szCs w:val="18"/>
                <w:highlight w:val="none"/>
                <w14:textFill>
                  <w14:solidFill>
                    <w14:schemeClr w14:val="tx1"/>
                  </w14:solidFill>
                </w14:textFill>
              </w:rPr>
              <w:t xml:space="preserve">服务态度评价</w:t>
            </w:r>
            <w:r/>
          </w:p>
          <w:p>
            <w:pPr>
              <w:jc w:val="center"/>
              <w:rPr>
                <w:rFonts w:ascii="宋体" w:hAnsi="宋体" w:cs="Yu Gothic Light"/>
                <w:b/>
                <w:color w:val="000000" w:themeColor="text1"/>
                <w:sz w:val="20"/>
                <w:szCs w:val="18"/>
                <w:highlight w:val="none"/>
                <w14:textFill>
                  <w14:solidFill>
                    <w14:schemeClr w14:val="tx1"/>
                  </w14:solidFill>
                </w14:textFill>
              </w:rPr>
            </w:pPr>
            <w:r>
              <w:rPr>
                <w:rFonts w:hint="eastAsia" w:ascii="宋体" w:hAnsi="宋体" w:cs="Yu Gothic Light"/>
                <w:b/>
                <w:color w:val="000000" w:themeColor="text1"/>
                <w:sz w:val="20"/>
                <w:szCs w:val="18"/>
                <w:highlight w:val="none"/>
                <w14:textFill>
                  <w14:solidFill>
                    <w14:schemeClr w14:val="tx1"/>
                  </w14:solidFill>
                </w14:textFill>
              </w:rPr>
              <w:t xml:space="preserve">（20分）</w:t>
            </w:r>
            <w:r/>
          </w:p>
        </w:tc>
        <w:tc>
          <w:tcPr>
            <w:tcW w:w="4704" w:type="dxa"/>
            <w:vAlign w:val="top"/>
            <w:textDirection w:val="lrTb"/>
            <w:noWrap/>
          </w:tcPr>
          <w:p>
            <w:pPr>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1.乙方与甲方能及时沟通，态度良好、诚恳，有问题能及时改正，得18-20分；</w:t>
            </w:r>
            <w:r/>
          </w:p>
          <w:p>
            <w:pPr>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2.态度一般，但与之合作基本不影响食堂工作，有问题整改稍有拖延，得16-17分；</w:t>
            </w:r>
            <w:r/>
          </w:p>
          <w:p>
            <w:pPr>
              <w:rPr>
                <w:rFonts w:ascii="宋体" w:hAnsi="宋体"/>
                <w:color w:val="000000" w:themeColor="text1"/>
                <w:sz w:val="18"/>
                <w:szCs w:val="16"/>
                <w:highlight w:val="none"/>
                <w14:textFill>
                  <w14:solidFill>
                    <w14:schemeClr w14:val="tx1"/>
                  </w14:solidFill>
                </w14:textFill>
              </w:rPr>
            </w:pPr>
            <w:r>
              <w:rPr>
                <w:rFonts w:hint="eastAsia" w:ascii="宋体" w:hAnsi="宋体" w:cs="Yu Gothic Light"/>
                <w:color w:val="000000" w:themeColor="text1"/>
                <w:sz w:val="18"/>
                <w:szCs w:val="16"/>
                <w:highlight w:val="none"/>
                <w14:textFill>
                  <w14:solidFill>
                    <w14:schemeClr w14:val="tx1"/>
                  </w14:solidFill>
                </w14:textFill>
              </w:rPr>
              <w:t xml:space="preserve">3.态度恶劣，有欺诈、怠慢行为，影响食堂工作，有问题严重拖延整改，得15分以下。</w:t>
            </w:r>
            <w:r/>
          </w:p>
        </w:tc>
        <w:tc>
          <w:tcPr>
            <w:tcW w:w="1146" w:type="dxa"/>
            <w:vAlign w:val="top"/>
            <w:textDirection w:val="lrTb"/>
            <w:noWrap/>
          </w:tcPr>
          <w:p>
            <w:pPr>
              <w:ind w:firstLine="360"/>
              <w:rPr>
                <w:rFonts w:ascii="宋体" w:hAnsi="宋体"/>
                <w:color w:val="000000" w:themeColor="text1"/>
                <w:sz w:val="15"/>
                <w:szCs w:val="15"/>
                <w:highlight w:val="none"/>
                <w14:textFill>
                  <w14:solidFill>
                    <w14:schemeClr w14:val="tx1"/>
                  </w14:solidFill>
                </w14:textFill>
              </w:rPr>
            </w:pPr>
            <w:r>
              <w:rPr>
                <w:rFonts w:ascii="宋体" w:hAnsi="宋体"/>
                <w:color w:val="000000" w:themeColor="text1"/>
                <w:sz w:val="15"/>
                <w:szCs w:val="15"/>
                <w:highlight w:val="none"/>
                <w14:textFill>
                  <w14:solidFill>
                    <w14:schemeClr w14:val="tx1"/>
                  </w14:solidFill>
                </w14:textFill>
              </w:rPr>
            </w:r>
            <w:r/>
          </w:p>
        </w:tc>
        <w:tc>
          <w:tcPr>
            <w:tcW w:w="1621" w:type="dxa"/>
            <w:vAlign w:val="top"/>
            <w:textDirection w:val="lrTb"/>
            <w:noWrap/>
          </w:tcPr>
          <w:p>
            <w:pPr>
              <w:ind w:firstLine="360"/>
              <w:rPr>
                <w:rFonts w:ascii="宋体" w:hAnsi="宋体"/>
                <w:color w:val="000000" w:themeColor="text1"/>
                <w:sz w:val="15"/>
                <w:szCs w:val="15"/>
                <w:highlight w:val="none"/>
                <w14:textFill>
                  <w14:solidFill>
                    <w14:schemeClr w14:val="tx1"/>
                  </w14:solidFill>
                </w14:textFill>
              </w:rPr>
            </w:pPr>
            <w:r>
              <w:rPr>
                <w:rFonts w:ascii="宋体" w:hAnsi="宋体"/>
                <w:color w:val="000000" w:themeColor="text1"/>
                <w:sz w:val="15"/>
                <w:szCs w:val="15"/>
                <w:highlight w:val="none"/>
                <w14:textFill>
                  <w14:solidFill>
                    <w14:schemeClr w14:val="tx1"/>
                  </w14:solidFill>
                </w14:textFill>
              </w:rPr>
            </w:r>
            <w:r/>
          </w:p>
        </w:tc>
      </w:tr>
      <w:tr>
        <w:trPr>
          <w:trHeight w:val="1505"/>
        </w:trPr>
        <w:tc>
          <w:tcPr>
            <w:tcW w:w="2048" w:type="dxa"/>
            <w:vAlign w:val="center"/>
            <w:textDirection w:val="lrTb"/>
            <w:noWrap/>
          </w:tcPr>
          <w:p>
            <w:pPr>
              <w:ind w:firstLine="480"/>
              <w:rPr>
                <w:rFonts w:ascii="宋体" w:hAnsi="宋体"/>
                <w:b/>
                <w:color w:val="000000" w:themeColor="text1"/>
                <w:sz w:val="20"/>
                <w:szCs w:val="18"/>
                <w:highlight w:val="none"/>
                <w14:textFill>
                  <w14:solidFill>
                    <w14:schemeClr w14:val="tx1"/>
                  </w14:solidFill>
                </w14:textFill>
              </w:rPr>
            </w:pPr>
            <w:r>
              <w:rPr>
                <w:rFonts w:hint="eastAsia" w:ascii="宋体" w:hAnsi="宋体" w:cs="Yu Gothic Light"/>
                <w:b/>
                <w:color w:val="000000" w:themeColor="text1"/>
                <w:sz w:val="20"/>
                <w:szCs w:val="18"/>
                <w:highlight w:val="none"/>
                <w14:textFill>
                  <w14:solidFill>
                    <w14:schemeClr w14:val="tx1"/>
                  </w14:solidFill>
                </w14:textFill>
              </w:rPr>
              <w:t xml:space="preserve">评价说明</w:t>
            </w:r>
            <w:r/>
          </w:p>
        </w:tc>
        <w:tc>
          <w:tcPr>
            <w:gridSpan w:val="3"/>
            <w:tcW w:w="7471" w:type="dxa"/>
            <w:vAlign w:val="top"/>
            <w:textDirection w:val="lrTb"/>
            <w:noWrap/>
          </w:tcPr>
          <w:p>
            <w:pPr>
              <w:rPr>
                <w:rFonts w:ascii="宋体" w:hAnsi="宋体"/>
                <w:b/>
                <w:bCs/>
                <w:color w:val="000000" w:themeColor="text1"/>
                <w:sz w:val="18"/>
                <w:szCs w:val="18"/>
                <w:highlight w:val="none"/>
                <w14:textFill>
                  <w14:solidFill>
                    <w14:schemeClr w14:val="tx1"/>
                  </w14:solidFill>
                </w14:textFill>
              </w:rPr>
            </w:pPr>
            <w:r>
              <w:rPr>
                <w:rFonts w:ascii="Wingdings 2" w:hAnsi="Wingdings 2" w:eastAsia="Wingdings 2" w:cs="Wingdings 2"/>
                <w:b/>
                <w:bCs/>
                <w:color w:val="000000" w:themeColor="text1"/>
                <w:sz w:val="18"/>
                <w:szCs w:val="18"/>
                <w:highlight w:val="none"/>
                <w14:textFill>
                  <w14:solidFill>
                    <w14:schemeClr w14:val="tx1"/>
                  </w14:solidFill>
                </w14:textFill>
              </w:rPr>
              <w:t xml:space="preserve">£</w:t>
            </w:r>
            <w:r>
              <w:rPr>
                <w:rFonts w:hint="eastAsia" w:ascii="宋体" w:hAnsi="宋体"/>
                <w:b/>
                <w:bCs/>
                <w:color w:val="000000" w:themeColor="text1"/>
                <w:sz w:val="18"/>
                <w:szCs w:val="18"/>
                <w:highlight w:val="none"/>
                <w14:textFill>
                  <w14:solidFill>
                    <w14:schemeClr w14:val="tx1"/>
                  </w14:solidFill>
                </w14:textFill>
              </w:rPr>
              <w:t xml:space="preserve">优秀：90-100分；</w:t>
            </w:r>
            <w:r/>
          </w:p>
          <w:p>
            <w:pPr>
              <w:rPr>
                <w:rFonts w:ascii="宋体" w:hAnsi="宋体"/>
                <w:b/>
                <w:bCs/>
                <w:color w:val="000000" w:themeColor="text1"/>
                <w:sz w:val="18"/>
                <w:szCs w:val="18"/>
                <w:highlight w:val="none"/>
                <w14:textFill>
                  <w14:solidFill>
                    <w14:schemeClr w14:val="tx1"/>
                  </w14:solidFill>
                </w14:textFill>
              </w:rPr>
            </w:pPr>
            <w:r>
              <w:rPr>
                <w:rFonts w:ascii="Wingdings 2" w:hAnsi="Wingdings 2" w:eastAsia="Wingdings 2" w:cs="Wingdings 2"/>
                <w:b/>
                <w:bCs/>
                <w:color w:val="000000" w:themeColor="text1"/>
                <w:sz w:val="18"/>
                <w:szCs w:val="18"/>
                <w:highlight w:val="none"/>
                <w14:textFill>
                  <w14:solidFill>
                    <w14:schemeClr w14:val="tx1"/>
                  </w14:solidFill>
                </w14:textFill>
              </w:rPr>
              <w:t xml:space="preserve">£</w:t>
            </w:r>
            <w:r>
              <w:rPr>
                <w:rFonts w:hint="eastAsia" w:ascii="宋体" w:hAnsi="宋体"/>
                <w:b/>
                <w:bCs/>
                <w:color w:val="000000" w:themeColor="text1"/>
                <w:sz w:val="18"/>
                <w:szCs w:val="18"/>
                <w:highlight w:val="none"/>
                <w14:textFill>
                  <w14:solidFill>
                    <w14:schemeClr w14:val="tx1"/>
                  </w14:solidFill>
                </w14:textFill>
              </w:rPr>
              <w:t xml:space="preserve">良好：80-89分；</w:t>
            </w:r>
            <w:r/>
          </w:p>
          <w:p>
            <w:pPr>
              <w:rPr>
                <w:rFonts w:ascii="宋体" w:hAnsi="宋体"/>
                <w:b/>
                <w:bCs/>
                <w:color w:val="000000" w:themeColor="text1"/>
                <w:sz w:val="18"/>
                <w:szCs w:val="18"/>
                <w:highlight w:val="none"/>
                <w14:textFill>
                  <w14:solidFill>
                    <w14:schemeClr w14:val="tx1"/>
                  </w14:solidFill>
                </w14:textFill>
              </w:rPr>
            </w:pPr>
            <w:r>
              <w:rPr>
                <w:rFonts w:ascii="Wingdings 2" w:hAnsi="Wingdings 2" w:eastAsia="Wingdings 2" w:cs="Wingdings 2"/>
                <w:b/>
                <w:bCs/>
                <w:color w:val="000000" w:themeColor="text1"/>
                <w:sz w:val="18"/>
                <w:szCs w:val="18"/>
                <w:highlight w:val="none"/>
                <w14:textFill>
                  <w14:solidFill>
                    <w14:schemeClr w14:val="tx1"/>
                  </w14:solidFill>
                </w14:textFill>
              </w:rPr>
              <w:t xml:space="preserve">£</w:t>
            </w:r>
            <w:r>
              <w:rPr>
                <w:rFonts w:hint="eastAsia" w:ascii="宋体" w:hAnsi="宋体"/>
                <w:b/>
                <w:bCs/>
                <w:color w:val="000000" w:themeColor="text1"/>
                <w:sz w:val="18"/>
                <w:szCs w:val="18"/>
                <w:highlight w:val="none"/>
                <w14:textFill>
                  <w14:solidFill>
                    <w14:schemeClr w14:val="tx1"/>
                  </w14:solidFill>
                </w14:textFill>
              </w:rPr>
              <w:t xml:space="preserve">不合格：0-79分。</w:t>
            </w:r>
            <w:r/>
          </w:p>
          <w:p>
            <w:pPr>
              <w:ind w:firstLine="361"/>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 w:val="18"/>
                <w:szCs w:val="18"/>
                <w:highlight w:val="none"/>
                <w14:textFill>
                  <w14:solidFill>
                    <w14:schemeClr w14:val="tx1"/>
                  </w14:solidFill>
                </w14:textFill>
              </w:rPr>
              <w:t xml:space="preserve">本项目采取三个月试用期，如试用期不合格，甲方有权无条件解除协议。</w:t>
            </w:r>
            <w:r/>
          </w:p>
        </w:tc>
      </w:tr>
    </w:tbl>
    <w:p>
      <w:pPr>
        <w:rPr>
          <w:rFonts w:ascii="宋体" w:hAnsi="宋体" w:cs="Yu Gothic Light"/>
          <w:b/>
          <w:color w:val="000000" w:themeColor="text1"/>
          <w:szCs w:val="20"/>
          <w:highlight w:val="none"/>
          <w14:textFill>
            <w14:solidFill>
              <w14:schemeClr w14:val="tx1"/>
            </w14:solidFill>
          </w14:textFill>
        </w:rPr>
      </w:pPr>
      <w:r>
        <w:rPr>
          <w:rFonts w:ascii="宋体" w:hAnsi="宋体" w:cs="Yu Gothic Light"/>
          <w:b/>
          <w:color w:val="000000" w:themeColor="text1"/>
          <w:szCs w:val="20"/>
          <w:highlight w:val="none"/>
          <w14:textFill>
            <w14:solidFill>
              <w14:schemeClr w14:val="tx1"/>
            </w14:solidFill>
          </w14:textFill>
        </w:rPr>
      </w:r>
      <w:r/>
    </w:p>
    <w:p>
      <w:pPr>
        <w:rPr>
          <w:rFonts w:ascii="宋体" w:hAnsi="宋体" w:cs="Yu Gothic Light"/>
          <w:color w:val="000000" w:themeColor="text1"/>
          <w:sz w:val="18"/>
          <w:szCs w:val="20"/>
          <w:highlight w:val="none"/>
          <w14:textFill>
            <w14:solidFill>
              <w14:schemeClr w14:val="tx1"/>
            </w14:solidFill>
          </w14:textFill>
        </w:rPr>
      </w:pPr>
      <w:r>
        <w:rPr>
          <w:rFonts w:hint="eastAsia" w:ascii="宋体" w:hAnsi="宋体" w:cs="Yu Gothic Light"/>
          <w:b/>
          <w:color w:val="000000" w:themeColor="text1"/>
          <w:szCs w:val="20"/>
          <w:highlight w:val="none"/>
          <w14:textFill>
            <w14:solidFill>
              <w14:schemeClr w14:val="tx1"/>
            </w14:solidFill>
          </w14:textFill>
        </w:rPr>
        <w:t xml:space="preserve">甲方盖章：                             乙方盖章：</w:t>
      </w:r>
      <w:r/>
    </w:p>
    <w:p>
      <w:pPr>
        <w:jc w:val="center"/>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center"/>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center"/>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center"/>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center"/>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p>
      <w:pPr>
        <w:jc w:val="center"/>
        <w:rPr>
          <w:rFonts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t xml:space="preserve">医疗卫生机构廉洁购销合同</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0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甲方（医疗卫生机构）：南京市儿童医院</w:t>
      </w:r>
      <w:r/>
    </w:p>
    <w:p>
      <w:pPr>
        <w:spacing w:line="30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乙方（企业及其代理人）：</w:t>
      </w:r>
      <w:r/>
    </w:p>
    <w:p>
      <w:pPr>
        <w:ind w:firstLine="420"/>
        <w:spacing w:line="30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为进一步加强医疗卫生行风建设，规范医疗卫生机构购销行为，有效防范商业贿赂行为，营造公平交易、诚实守信的购销环境，经甲、乙双方协商，同意签订本合同，并共同遵守：</w:t>
      </w:r>
      <w:r/>
    </w:p>
    <w:p>
      <w:pPr>
        <w:ind w:firstLine="420"/>
        <w:spacing w:line="30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一、甲乙双方按照《中华人民共和国民法典》及购销合同约定发生购销行为。</w:t>
      </w:r>
      <w:r/>
    </w:p>
    <w:p>
      <w:pPr>
        <w:ind w:firstLine="420"/>
        <w:spacing w:line="30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二、甲方应当严格执行购销合同项目的验收、入库制度，对产品及发票进行查验，不得违反有关规定合同外采购、违价采购、从非规定渠道采购。</w:t>
      </w:r>
      <w:r/>
    </w:p>
    <w:p>
      <w:pPr>
        <w:ind w:firstLine="420"/>
        <w:spacing w:line="30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r/>
    </w:p>
    <w:p>
      <w:pPr>
        <w:ind w:firstLine="420"/>
        <w:spacing w:line="30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四、乙方不得以回扣、宴请等方式影响甲方及甲方工作人员采购货物、服务的选择权，不得在学术和公务活动中提供旅游、超标准支付食宿费用。</w:t>
      </w:r>
      <w:r/>
    </w:p>
    <w:p>
      <w:pPr>
        <w:ind w:firstLine="420"/>
        <w:spacing w:line="30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五、乙方指定 </w:t>
      </w:r>
      <w:r>
        <w:rPr>
          <w:rFonts w:hint="eastAsia" w:ascii="宋体" w:hAnsi="宋体" w:cs="宋体"/>
          <w:color w:val="000000" w:themeColor="text1"/>
          <w:szCs w:val="21"/>
          <w:highlight w:val="none"/>
          <w:u w:val="single"/>
          <w14:textFill>
            <w14:solidFill>
              <w14:schemeClr w14:val="tx1"/>
            </w14:solidFill>
          </w14:textFill>
        </w:rPr>
        <w:t xml:space="preserve">          (身份证号：    手机号：   )</w:t>
      </w:r>
      <w:r>
        <w:rPr>
          <w:rFonts w:hint="eastAsia" w:ascii="宋体" w:hAnsi="宋体" w:cs="宋体"/>
          <w:color w:val="000000" w:themeColor="text1"/>
          <w:szCs w:val="21"/>
          <w:highlight w:val="none"/>
          <w14:textFill>
            <w14:solidFill>
              <w14:schemeClr w14:val="tx1"/>
            </w14:solidFill>
          </w14:textFill>
        </w:rPr>
        <w:t xml:space="preserve">作为销售代表洽谈业务。销售代表发生变更的，应一个月内书面通知甲方。销售代表必须在工作时间到甲方指定地点联系商谈，不得借故到甲方相关领导、部门负责人及相关工作人员家中访谈并提供任何好处费。</w:t>
      </w:r>
      <w:r/>
    </w:p>
    <w:p>
      <w:pPr>
        <w:ind w:firstLine="420"/>
        <w:spacing w:line="30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六、乙方如违反本合同，一经发现，甲方有权终止购销合同，并参照《国家卫生计生委关于建立医药购销领域商业贿赂不良记录的规定》（国卫法制发〔2013〕50号）相关规定予以惩戒。</w:t>
      </w:r>
      <w:r/>
    </w:p>
    <w:p>
      <w:pPr>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七、本合同作为采购项目：</w:t>
      </w:r>
      <w:r>
        <w:rPr>
          <w:rFonts w:hint="eastAsia" w:ascii="宋体" w:hAnsi="宋体" w:cs="宋体"/>
          <w:color w:val="000000" w:themeColor="text1"/>
          <w:szCs w:val="21"/>
          <w:highlight w:val="none"/>
          <w:u w:val="single"/>
          <w14:textFill>
            <w14:solidFill>
              <w14:schemeClr w14:val="tx1"/>
            </w14:solidFill>
          </w14:textFill>
        </w:rPr>
        <w:t xml:space="preserve">            采购项目（       ）</w:t>
      </w:r>
      <w:r>
        <w:rPr>
          <w:rFonts w:hint="eastAsia" w:ascii="宋体" w:hAnsi="宋体" w:cs="宋体"/>
          <w:color w:val="000000" w:themeColor="text1"/>
          <w:szCs w:val="21"/>
          <w:highlight w:val="none"/>
          <w14:textFill>
            <w14:solidFill>
              <w14:schemeClr w14:val="tx1"/>
            </w14:solidFill>
          </w14:textFill>
        </w:rPr>
        <w:t xml:space="preserve">购销合同的重要组成部分。</w:t>
      </w:r>
      <w:r/>
    </w:p>
    <w:p>
      <w:pPr>
        <w:ind w:firstLine="420"/>
        <w:spacing w:line="30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八、本合同自签订之日起生效；本合同一式三份，甲方两份（甲方纪律监督部门执一份）、乙方一份，具有同等法律效力。</w:t>
      </w:r>
      <w:r/>
    </w:p>
    <w:p>
      <w:pPr>
        <w:ind w:firstLine="420"/>
        <w:spacing w:line="30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spacing w:line="30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甲方（盖章）：                              乙方（盖章）：</w:t>
      </w:r>
      <w:r/>
    </w:p>
    <w:p>
      <w:pPr>
        <w:ind w:firstLine="420"/>
        <w:spacing w:line="30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法定代表人（负责人）：                      法定代表人（负责人）：</w:t>
      </w:r>
      <w:r/>
    </w:p>
    <w:p>
      <w:pPr>
        <w:ind w:firstLine="420"/>
        <w:spacing w:line="30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经办人签名：                                经办人签名：</w:t>
      </w:r>
      <w:r/>
    </w:p>
    <w:p>
      <w:pPr>
        <w:ind w:firstLine="945"/>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年    月    日                             年     月     日</w:t>
      </w:r>
      <w:r/>
    </w:p>
    <w:p>
      <w:pPr>
        <w:pStyle w:val="851"/>
        <w:spacing w:line="360" w:lineRule="auto"/>
        <w:rPr>
          <w:rFonts w:hint="eastAsia"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r>
      <w:r/>
    </w:p>
    <w:p>
      <w:pPr>
        <w:pStyle w:val="851"/>
        <w:spacing w:line="360" w:lineRule="auto"/>
        <w:rPr>
          <w:rFonts w:hint="eastAsia"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r>
      <w:r/>
    </w:p>
    <w:p>
      <w:pPr>
        <w:pStyle w:val="851"/>
        <w:spacing w:line="360" w:lineRule="auto"/>
        <w:rPr>
          <w:rFonts w:hAnsi="宋体" w:cs="宋体"/>
          <w:b/>
          <w:bCs/>
          <w:color w:val="000000" w:themeColor="text1"/>
          <w:sz w:val="24"/>
          <w:szCs w:val="24"/>
          <w:highlight w:val="none"/>
          <w14:textFill>
            <w14:solidFill>
              <w14:schemeClr w14:val="tx1"/>
            </w14:solidFill>
          </w14:textFill>
        </w:rPr>
      </w:pPr>
      <w:r>
        <w:rPr>
          <w:rFonts w:hAnsi="宋体" w:cs="宋体"/>
          <w:b/>
          <w:bCs/>
          <w:color w:val="000000" w:themeColor="text1"/>
          <w:sz w:val="24"/>
          <w:szCs w:val="24"/>
          <w:highlight w:val="none"/>
          <w14:textFill>
            <w14:solidFill>
              <w14:schemeClr w14:val="tx1"/>
            </w14:solidFill>
          </w14:textFill>
        </w:rPr>
      </w:r>
      <w:r/>
    </w:p>
    <w:p>
      <w:pPr>
        <w:pStyle w:val="851"/>
        <w:spacing w:line="360" w:lineRule="auto"/>
        <w:rPr>
          <w:rFonts w:hAnsi="宋体" w:cs="宋体"/>
          <w:b/>
          <w:bCs/>
          <w:color w:val="000000" w:themeColor="text1"/>
          <w:sz w:val="24"/>
          <w:szCs w:val="24"/>
          <w:highlight w:val="none"/>
          <w14:textFill>
            <w14:solidFill>
              <w14:schemeClr w14:val="tx1"/>
            </w14:solidFill>
          </w14:textFill>
        </w:rPr>
      </w:pPr>
      <w:r>
        <w:rPr>
          <w:rFonts w:hAnsi="宋体" w:cs="宋体"/>
          <w:b/>
          <w:bCs/>
          <w:color w:val="000000" w:themeColor="text1"/>
          <w:sz w:val="24"/>
          <w:szCs w:val="24"/>
          <w:highlight w:val="none"/>
          <w14:textFill>
            <w14:solidFill>
              <w14:schemeClr w14:val="tx1"/>
            </w14:solidFill>
          </w14:textFill>
        </w:rPr>
      </w:r>
      <w:r/>
    </w:p>
    <w:p>
      <w:pPr>
        <w:pStyle w:val="851"/>
        <w:spacing w:line="360" w:lineRule="auto"/>
        <w:rPr>
          <w:rFonts w:hAnsi="宋体" w:cs="宋体"/>
          <w:b/>
          <w:bCs/>
          <w:color w:val="000000" w:themeColor="text1"/>
          <w:sz w:val="24"/>
          <w:szCs w:val="24"/>
          <w:highlight w:val="none"/>
          <w14:textFill>
            <w14:solidFill>
              <w14:schemeClr w14:val="tx1"/>
            </w14:solidFill>
          </w14:textFill>
        </w:rPr>
      </w:pPr>
      <w:r>
        <w:rPr>
          <w:rFonts w:hAnsi="宋体" w:cs="宋体"/>
          <w:b/>
          <w:bCs/>
          <w:color w:val="000000" w:themeColor="text1"/>
          <w:sz w:val="24"/>
          <w:szCs w:val="24"/>
          <w:highlight w:val="none"/>
          <w14:textFill>
            <w14:solidFill>
              <w14:schemeClr w14:val="tx1"/>
            </w14:solidFill>
          </w14:textFill>
        </w:rPr>
      </w:r>
      <w:r/>
    </w:p>
    <w:p>
      <w:pPr>
        <w:ind w:firstLine="420"/>
        <w:spacing w:line="384" w:lineRule="auto"/>
        <w:rPr>
          <w:rFonts w:ascii="宋体" w:hAnsi="宋体" w:cs="宋体"/>
          <w:color w:val="000000" w:themeColor="text1"/>
          <w:szCs w:val="2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color w:val="000000" w:themeColor="text1"/>
          <w:szCs w:val="21"/>
          <w:highlight w:val="none"/>
          <w14:textFill>
            <w14:solidFill>
              <w14:schemeClr w14:val="tx1"/>
            </w14:solidFill>
          </w14:textFill>
        </w:rPr>
      </w:r>
      <w:r/>
    </w:p>
    <w:p>
      <w:pPr>
        <w:ind w:firstLine="37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9"/>
        <w:numPr>
          <w:ilvl w:val="0"/>
          <w:numId w:val="2"/>
        </w:numPr>
        <w:ind w:firstLine="567"/>
        <w:rPr>
          <w:rFonts w:ascii="宋体" w:hAnsi="宋体" w:cs="宋体"/>
          <w:color w:val="000000" w:themeColor="text1"/>
          <w:highlight w:val="none"/>
          <w14:textFill>
            <w14:solidFill>
              <w14:schemeClr w14:val="tx1"/>
            </w14:solidFill>
          </w14:textFill>
        </w:rPr>
      </w:pPr>
      <w:r/>
      <w:bookmarkStart w:id="255" w:name="_Toc107246271"/>
      <w:r/>
      <w:bookmarkStart w:id="256" w:name="_Toc91836564"/>
      <w:r/>
      <w:bookmarkStart w:id="257" w:name="_Toc107246272"/>
      <w:r>
        <w:rPr>
          <w:rFonts w:hint="eastAsia" w:ascii="宋体" w:hAnsi="宋体" w:cs="宋体"/>
          <w:color w:val="000000" w:themeColor="text1"/>
          <w:highlight w:val="none"/>
          <w14:textFill>
            <w14:solidFill>
              <w14:schemeClr w14:val="tx1"/>
            </w14:solidFill>
          </w14:textFill>
        </w:rPr>
        <w:t xml:space="preserve">采购需求</w:t>
      </w:r>
      <w:bookmarkEnd w:id="255"/>
      <w:r/>
      <w:bookmarkEnd w:id="256"/>
      <w:r/>
      <w:r/>
    </w:p>
    <w:p>
      <w:pPr>
        <w:pStyle w:val="1138"/>
        <w:numPr>
          <w:ilvl w:val="0"/>
          <w:numId w:val="0"/>
        </w:numPr>
        <w:ind w:firstLine="211"/>
        <w:jc w:val="left"/>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一、</w:t>
      </w:r>
      <w:r>
        <w:rPr>
          <w:rFonts w:hint="eastAsia" w:ascii="宋体" w:hAnsi="宋体" w:eastAsia="宋体" w:cs="宋体"/>
          <w:bCs/>
          <w:color w:val="000000" w:themeColor="text1"/>
          <w:highlight w:val="none"/>
          <w14:textFill>
            <w14:solidFill>
              <w14:schemeClr w14:val="tx1"/>
            </w14:solidFill>
          </w14:textFill>
        </w:rPr>
        <w:t xml:space="preserve">项目概况</w:t>
      </w:r>
      <w:r/>
    </w:p>
    <w:p>
      <w:pPr>
        <w:pStyle w:val="1138"/>
        <w:numPr>
          <w:ilvl w:val="0"/>
          <w:numId w:val="5"/>
        </w:numPr>
        <w:keepLines w:val="0"/>
        <w:keepNext w:val="0"/>
        <w:pageBreakBefore w:val="0"/>
        <w:spacing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 xml:space="preserve">南京市儿童医院两院区（广州路院区、河西院区）食堂，供应职工及患者就餐，现遴选</w:t>
      </w:r>
      <w:r>
        <w:rPr>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米面油</w:t>
      </w:r>
      <w:r>
        <w:rPr>
          <w:rFonts w:hint="eastAsia" w:ascii="宋体" w:hAnsi="宋体" w:eastAsia="宋体" w:cs="宋体"/>
          <w:b w:val="0"/>
          <w:color w:val="000000" w:themeColor="text1"/>
          <w:sz w:val="24"/>
          <w:szCs w:val="24"/>
          <w:highlight w:val="none"/>
          <w14:textFill>
            <w14:solidFill>
              <w14:schemeClr w14:val="tx1"/>
            </w14:solidFill>
          </w14:textFill>
        </w:rPr>
        <w:t xml:space="preserve">等食材供应商，入围投标供应商</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sz w:val="24"/>
          <w:szCs w:val="24"/>
          <w:highlight w:val="none"/>
          <w14:textFill>
            <w14:solidFill>
              <w14:schemeClr w14:val="tx1"/>
            </w14:solidFill>
          </w14:textFill>
        </w:rPr>
        <w:t xml:space="preserve">家，供应广州路院区、河西院区上述食材。</w:t>
      </w:r>
      <w:r/>
    </w:p>
    <w:p>
      <w:pPr>
        <w:pStyle w:val="1138"/>
        <w:numPr>
          <w:ilvl w:val="0"/>
          <w:numId w:val="5"/>
        </w:numPr>
        <w:keepLines w:val="0"/>
        <w:keepNext w:val="0"/>
        <w:pageBreakBefore w:val="0"/>
        <w:spacing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 xml:space="preserve">合同期内，如果中标人放弃履行合同，需提前3个月告之采购人并保供至采购人寻得新的供应商。采购人保留追究原供应商责任的权力。对于拒不履行合同或恶意放弃合同的中标人，采购人将向相应部门反映相关情况。</w:t>
      </w:r>
      <w:r/>
    </w:p>
    <w:p>
      <w:pPr>
        <w:pStyle w:val="1138"/>
        <w:numPr>
          <w:ilvl w:val="0"/>
          <w:numId w:val="5"/>
        </w:numPr>
        <w:spacing w:line="360" w:lineRule="auto"/>
        <w:rPr>
          <w:rFonts w:cs="宋体"/>
          <w:b w:val="0"/>
          <w:color w:val="000000" w:themeColor="text1"/>
          <w:sz w:val="24"/>
          <w:szCs w:val="24"/>
          <w:highlight w:val="none"/>
          <w14:textFill>
            <w14:solidFill>
              <w14:schemeClr w14:val="tx1"/>
            </w14:solidFill>
          </w14:textFill>
        </w:rPr>
      </w:pPr>
      <w:r>
        <w:rPr>
          <w:rFonts w:hint="eastAsia" w:cs="宋体"/>
          <w:b w:val="0"/>
          <w:color w:val="000000" w:themeColor="text1"/>
          <w:sz w:val="24"/>
          <w:szCs w:val="24"/>
          <w:highlight w:val="none"/>
          <w14:textFill>
            <w14:solidFill>
              <w14:schemeClr w14:val="tx1"/>
            </w14:solidFill>
          </w14:textFill>
        </w:rPr>
        <w:t xml:space="preserve">采购需求：</w:t>
      </w:r>
      <w:r/>
    </w:p>
    <w:tbl>
      <w:tblPr>
        <w:tblStyle w:val="839"/>
        <w:tblW w:w="8839"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4711"/>
        <w:gridCol w:w="1806"/>
        <w:gridCol w:w="1655"/>
      </w:tblGrid>
      <w:tr>
        <w:trPr>
          <w:trHeight w:val="921"/>
        </w:trPr>
        <w:tc>
          <w:tcPr>
            <w:tcW w:w="6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4711"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项目内容</w:t>
            </w:r>
            <w:r/>
          </w:p>
        </w:tc>
        <w:tc>
          <w:tcPr>
            <w:tcW w:w="180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预计采购预算</w:t>
            </w:r>
            <w:r/>
          </w:p>
          <w:p>
            <w:pPr>
              <w:jc w:val="center"/>
              <w:widowControl/>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（万元人民币）</w:t>
            </w:r>
            <w:r/>
          </w:p>
        </w:tc>
        <w:tc>
          <w:tcPr>
            <w:tcW w:w="1655"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tc>
      </w:tr>
      <w:tr>
        <w:trPr>
          <w:trHeight w:val="930"/>
        </w:trPr>
        <w:tc>
          <w:tcPr>
            <w:tcW w:w="66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4711"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向南京市儿童医院两院区（广州路院区、河西院区）食堂，供应米面油等食材，满足供应职工及患者就餐</w:t>
            </w:r>
            <w:r/>
          </w:p>
        </w:tc>
        <w:tc>
          <w:tcPr>
            <w:tcW w:w="180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190</w:t>
            </w:r>
            <w:r/>
          </w:p>
        </w:tc>
        <w:tc>
          <w:tcPr>
            <w:tcW w:w="1655"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结算时按实际供货数量结算</w:t>
            </w:r>
            <w:r/>
          </w:p>
        </w:tc>
      </w:tr>
    </w:tbl>
    <w:p>
      <w:pPr>
        <w:pStyle w:val="1138"/>
        <w:ind w:left="0" w:firstLine="480"/>
        <w:spacing w:line="360" w:lineRule="auto"/>
        <w:rPr>
          <w:rFonts w:hint="eastAsia" w:cs="宋体"/>
          <w:b w:val="0"/>
          <w:color w:val="000000" w:themeColor="text1"/>
          <w:sz w:val="24"/>
          <w:szCs w:val="24"/>
          <w:highlight w:val="none"/>
          <w:lang w:eastAsia="zh-CN"/>
          <w14:textFill>
            <w14:solidFill>
              <w14:schemeClr w14:val="tx1"/>
            </w14:solidFill>
          </w14:textFill>
        </w:rPr>
      </w:pPr>
      <w:r>
        <w:rPr>
          <w:rFonts w:hint="eastAsia" w:cs="宋体"/>
          <w:b w:val="0"/>
          <w:color w:val="000000" w:themeColor="text1"/>
          <w:sz w:val="24"/>
          <w:szCs w:val="24"/>
          <w:highlight w:val="none"/>
          <w:lang w:val="en-US" w:eastAsia="zh-CN"/>
          <w14:textFill>
            <w14:solidFill>
              <w14:schemeClr w14:val="tx1"/>
            </w14:solidFill>
          </w14:textFill>
        </w:rPr>
        <w:t xml:space="preserve">4</w:t>
      </w:r>
      <w:r>
        <w:rPr>
          <w:rFonts w:hint="eastAsia" w:cs="宋体"/>
          <w:b w:val="0"/>
          <w:color w:val="000000" w:themeColor="text1"/>
          <w:sz w:val="24"/>
          <w:szCs w:val="24"/>
          <w:highlight w:val="none"/>
          <w14:textFill>
            <w14:solidFill>
              <w14:schemeClr w14:val="tx1"/>
            </w14:solidFill>
          </w14:textFill>
        </w:rPr>
        <w:t xml:space="preserve">、采购产品清单</w:t>
      </w:r>
      <w:r/>
    </w:p>
    <w:tbl>
      <w:tblPr>
        <w:tblStyle w:val="839"/>
        <w:tblW w:w="506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9"/>
        <w:gridCol w:w="1335"/>
        <w:gridCol w:w="2423"/>
        <w:gridCol w:w="1337"/>
        <w:gridCol w:w="1337"/>
        <w:gridCol w:w="1505"/>
      </w:tblGrid>
      <w:tr>
        <w:trPr>
          <w:trHeight w:val="840"/>
        </w:trPr>
        <w:tc>
          <w:tcPr>
            <w:shd w:val="clear" w:color="auto" w:fill="auto"/>
            <w:tcW w:w="56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序号</w:t>
            </w:r>
            <w:r/>
          </w:p>
        </w:tc>
        <w:tc>
          <w:tcPr>
            <w:shd w:val="clear" w:color="auto" w:fill="auto"/>
            <w:tcW w:w="74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品种</w:t>
            </w:r>
            <w:r/>
          </w:p>
        </w:tc>
        <w:tc>
          <w:tcPr>
            <w:shd w:val="clear" w:color="auto" w:fill="auto"/>
            <w:tcW w:w="135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参考品牌</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规格</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预计采购权重（%）</w:t>
            </w:r>
            <w:r/>
          </w:p>
        </w:tc>
        <w:tc>
          <w:tcPr>
            <w:shd w:val="clear" w:color="auto" w:fill="auto"/>
            <w:tcW w:w="840" w:type="pct"/>
            <w:vAlign w:val="center"/>
            <w:textDirection w:val="lrTb"/>
            <w:noWrap w:val="false"/>
          </w:tcPr>
          <w:p>
            <w:pPr>
              <w:jc w:val="center"/>
              <w:rPr>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单价（元）</w:t>
            </w:r>
            <w:r/>
          </w:p>
        </w:tc>
      </w:tr>
      <w:tr>
        <w:trPr>
          <w:trHeight w:val="840"/>
        </w:trPr>
        <w:tc>
          <w:tcPr>
            <w:shd w:val="clear" w:color="auto" w:fill="auto"/>
            <w:tcW w:w="56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w:t>
            </w:r>
            <w:r/>
          </w:p>
        </w:tc>
        <w:tc>
          <w:tcPr>
            <w:shd w:val="clear" w:color="auto" w:fill="auto"/>
            <w:tcW w:w="74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大豆油</w:t>
            </w:r>
            <w:r/>
          </w:p>
        </w:tc>
        <w:tc>
          <w:tcPr>
            <w:shd w:val="clear" w:color="auto" w:fill="auto"/>
            <w:tcW w:w="135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lang w:val="en-US" w:eastAsia="zh-CN"/>
                <w14:textFill>
                  <w14:solidFill>
                    <w14:schemeClr w14:val="tx1"/>
                  </w14:solidFill>
                </w14:textFill>
              </w:rPr>
              <w:t xml:space="preserve">等同或相当于</w:t>
            </w:r>
            <w:r>
              <w:rPr>
                <w:rFonts w:hint="eastAsia"/>
                <w:color w:val="000000" w:themeColor="text1"/>
                <w:sz w:val="20"/>
                <w:szCs w:val="20"/>
                <w:highlight w:val="none"/>
                <w14:textFill>
                  <w14:solidFill>
                    <w14:schemeClr w14:val="tx1"/>
                  </w14:solidFill>
                </w14:textFill>
              </w:rPr>
              <w:t xml:space="preserve">福临门、苏果、金龙鱼、鲁花、葵王</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10L/桶</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34%</w:t>
            </w:r>
            <w:r/>
          </w:p>
        </w:tc>
        <w:tc>
          <w:tcPr>
            <w:shd w:val="clear" w:color="auto" w:fill="auto"/>
            <w:tcW w:w="8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6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2</w:t>
            </w:r>
            <w:r/>
          </w:p>
        </w:tc>
        <w:tc>
          <w:tcPr>
            <w:shd w:val="clear" w:color="auto" w:fill="auto"/>
            <w:tcW w:w="74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大米</w:t>
            </w:r>
            <w:r/>
          </w:p>
        </w:tc>
        <w:tc>
          <w:tcPr>
            <w:shd w:val="clear" w:color="auto" w:fill="auto"/>
            <w:tcW w:w="135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lang w:val="en-US" w:eastAsia="zh-CN"/>
                <w14:textFill>
                  <w14:solidFill>
                    <w14:schemeClr w14:val="tx1"/>
                  </w14:solidFill>
                </w14:textFill>
              </w:rPr>
              <w:t xml:space="preserve">等同或相当于</w:t>
            </w:r>
            <w:r>
              <w:rPr>
                <w:rFonts w:hint="eastAsia"/>
                <w:color w:val="000000" w:themeColor="text1"/>
                <w:sz w:val="20"/>
                <w:szCs w:val="20"/>
                <w:highlight w:val="none"/>
                <w14:textFill>
                  <w14:solidFill>
                    <w14:schemeClr w14:val="tx1"/>
                  </w14:solidFill>
                </w14:textFill>
              </w:rPr>
              <w:t xml:space="preserve">昌旺、鹤鸣谷、宝金玉</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25kg/袋</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30%</w:t>
            </w:r>
            <w:r/>
          </w:p>
        </w:tc>
        <w:tc>
          <w:tcPr>
            <w:shd w:val="clear" w:color="auto" w:fill="auto"/>
            <w:tcW w:w="8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6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3</w:t>
            </w:r>
            <w:r/>
          </w:p>
        </w:tc>
        <w:tc>
          <w:tcPr>
            <w:shd w:val="clear" w:color="auto" w:fill="auto"/>
            <w:tcW w:w="74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中筋（馒头）粉</w:t>
            </w:r>
            <w:r/>
          </w:p>
        </w:tc>
        <w:tc>
          <w:tcPr>
            <w:shd w:val="clear" w:color="auto" w:fill="auto"/>
            <w:tcW w:w="135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lang w:val="en-US" w:eastAsia="zh-CN"/>
                <w14:textFill>
                  <w14:solidFill>
                    <w14:schemeClr w14:val="tx1"/>
                  </w14:solidFill>
                </w14:textFill>
              </w:rPr>
              <w:t xml:space="preserve">等同或相当于</w:t>
            </w:r>
            <w:r>
              <w:rPr>
                <w:rFonts w:hint="eastAsia"/>
                <w:color w:val="000000" w:themeColor="text1"/>
                <w:sz w:val="20"/>
                <w:szCs w:val="20"/>
                <w:highlight w:val="none"/>
                <w14:textFill>
                  <w14:solidFill>
                    <w14:schemeClr w14:val="tx1"/>
                  </w14:solidFill>
                </w14:textFill>
              </w:rPr>
              <w:t xml:space="preserve">金像、新良、金龙鱼、五得利</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25kg/袋</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18%</w:t>
            </w:r>
            <w:r/>
          </w:p>
        </w:tc>
        <w:tc>
          <w:tcPr>
            <w:shd w:val="clear" w:color="auto" w:fill="auto"/>
            <w:tcW w:w="8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6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4</w:t>
            </w:r>
            <w:r/>
          </w:p>
        </w:tc>
        <w:tc>
          <w:tcPr>
            <w:shd w:val="clear" w:color="auto" w:fill="auto"/>
            <w:tcW w:w="74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面包粉</w:t>
            </w:r>
            <w:r/>
          </w:p>
        </w:tc>
        <w:tc>
          <w:tcPr>
            <w:shd w:val="clear" w:color="auto" w:fill="auto"/>
            <w:tcW w:w="135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lang w:val="en-US" w:eastAsia="zh-CN"/>
                <w14:textFill>
                  <w14:solidFill>
                    <w14:schemeClr w14:val="tx1"/>
                  </w14:solidFill>
                </w14:textFill>
              </w:rPr>
              <w:t xml:space="preserve">等同或相当于</w:t>
            </w:r>
            <w:r>
              <w:rPr>
                <w:rFonts w:hint="eastAsia"/>
                <w:color w:val="000000" w:themeColor="text1"/>
                <w:sz w:val="20"/>
                <w:szCs w:val="20"/>
                <w:highlight w:val="none"/>
                <w14:textFill>
                  <w14:solidFill>
                    <w14:schemeClr w14:val="tx1"/>
                  </w14:solidFill>
                </w14:textFill>
              </w:rPr>
              <w:t xml:space="preserve">金像、新良、金龙鱼、五得利</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25kg/袋</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4%</w:t>
            </w:r>
            <w:r/>
          </w:p>
        </w:tc>
        <w:tc>
          <w:tcPr>
            <w:shd w:val="clear" w:color="auto" w:fill="auto"/>
            <w:tcW w:w="8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6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5</w:t>
            </w:r>
            <w:r/>
          </w:p>
        </w:tc>
        <w:tc>
          <w:tcPr>
            <w:shd w:val="clear" w:color="auto" w:fill="auto"/>
            <w:tcW w:w="74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花生油</w:t>
            </w:r>
            <w:r/>
          </w:p>
        </w:tc>
        <w:tc>
          <w:tcPr>
            <w:shd w:val="clear" w:color="auto" w:fill="auto"/>
            <w:tcW w:w="135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lang w:val="en-US" w:eastAsia="zh-CN"/>
                <w14:textFill>
                  <w14:solidFill>
                    <w14:schemeClr w14:val="tx1"/>
                  </w14:solidFill>
                </w14:textFill>
              </w:rPr>
              <w:t xml:space="preserve">等同或相当于</w:t>
            </w:r>
            <w:r>
              <w:rPr>
                <w:rFonts w:hint="eastAsia"/>
                <w:color w:val="000000" w:themeColor="text1"/>
                <w:sz w:val="20"/>
                <w:szCs w:val="20"/>
                <w:highlight w:val="none"/>
                <w14:textFill>
                  <w14:solidFill>
                    <w14:schemeClr w14:val="tx1"/>
                  </w14:solidFill>
                </w14:textFill>
              </w:rPr>
              <w:t xml:space="preserve">福临门、苏果、金龙鱼、鲁花、葵王</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5L/桶</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4%</w:t>
            </w:r>
            <w:r/>
          </w:p>
        </w:tc>
        <w:tc>
          <w:tcPr>
            <w:shd w:val="clear" w:color="auto" w:fill="auto"/>
            <w:tcW w:w="8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6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6</w:t>
            </w:r>
            <w:r/>
          </w:p>
        </w:tc>
        <w:tc>
          <w:tcPr>
            <w:shd w:val="clear" w:color="auto" w:fill="auto"/>
            <w:tcW w:w="74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大黄豆</w:t>
            </w:r>
            <w:r/>
          </w:p>
        </w:tc>
        <w:tc>
          <w:tcPr>
            <w:shd w:val="clear" w:color="auto" w:fill="auto"/>
            <w:tcW w:w="135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　</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斤</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2%</w:t>
            </w:r>
            <w:r/>
          </w:p>
        </w:tc>
        <w:tc>
          <w:tcPr>
            <w:shd w:val="clear" w:color="auto" w:fill="auto"/>
            <w:tcW w:w="8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6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7</w:t>
            </w:r>
            <w:r/>
          </w:p>
        </w:tc>
        <w:tc>
          <w:tcPr>
            <w:shd w:val="clear" w:color="auto" w:fill="auto"/>
            <w:tcW w:w="74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红豆</w:t>
            </w:r>
            <w:r/>
          </w:p>
        </w:tc>
        <w:tc>
          <w:tcPr>
            <w:shd w:val="clear" w:color="auto" w:fill="auto"/>
            <w:tcW w:w="135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　</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斤</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2%</w:t>
            </w:r>
            <w:r/>
          </w:p>
        </w:tc>
        <w:tc>
          <w:tcPr>
            <w:shd w:val="clear" w:color="auto" w:fill="auto"/>
            <w:tcW w:w="8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6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8</w:t>
            </w:r>
            <w:r/>
          </w:p>
        </w:tc>
        <w:tc>
          <w:tcPr>
            <w:shd w:val="clear" w:color="auto" w:fill="auto"/>
            <w:tcW w:w="74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普糯米</w:t>
            </w:r>
            <w:r/>
          </w:p>
        </w:tc>
        <w:tc>
          <w:tcPr>
            <w:shd w:val="clear" w:color="auto" w:fill="auto"/>
            <w:tcW w:w="135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　</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斤</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2%</w:t>
            </w:r>
            <w:r/>
          </w:p>
        </w:tc>
        <w:tc>
          <w:tcPr>
            <w:shd w:val="clear" w:color="auto" w:fill="auto"/>
            <w:tcW w:w="8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6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9</w:t>
            </w:r>
            <w:r/>
          </w:p>
        </w:tc>
        <w:tc>
          <w:tcPr>
            <w:shd w:val="clear" w:color="auto" w:fill="auto"/>
            <w:tcW w:w="74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大米</w:t>
            </w:r>
            <w:r/>
          </w:p>
        </w:tc>
        <w:tc>
          <w:tcPr>
            <w:shd w:val="clear" w:color="auto" w:fill="auto"/>
            <w:tcW w:w="135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lang w:val="en-US" w:eastAsia="zh-CN"/>
                <w14:textFill>
                  <w14:solidFill>
                    <w14:schemeClr w14:val="tx1"/>
                  </w14:solidFill>
                </w14:textFill>
              </w:rPr>
              <w:t xml:space="preserve">等同或相当于</w:t>
            </w:r>
            <w:r>
              <w:rPr>
                <w:rFonts w:hint="eastAsia"/>
                <w:color w:val="000000" w:themeColor="text1"/>
                <w:sz w:val="20"/>
                <w:szCs w:val="20"/>
                <w:highlight w:val="none"/>
                <w14:textFill>
                  <w14:solidFill>
                    <w14:schemeClr w14:val="tx1"/>
                  </w14:solidFill>
                </w14:textFill>
              </w:rPr>
              <w:t xml:space="preserve">昌旺、鹤鸣谷、宝金玉</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10kg/袋</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w:t>
            </w:r>
            <w:r/>
          </w:p>
        </w:tc>
        <w:tc>
          <w:tcPr>
            <w:shd w:val="clear" w:color="auto" w:fill="auto"/>
            <w:tcW w:w="8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6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10</w:t>
            </w:r>
            <w:r/>
          </w:p>
        </w:tc>
        <w:tc>
          <w:tcPr>
            <w:shd w:val="clear" w:color="auto" w:fill="auto"/>
            <w:tcW w:w="74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长粒香</w:t>
            </w:r>
            <w:r/>
          </w:p>
        </w:tc>
        <w:tc>
          <w:tcPr>
            <w:shd w:val="clear" w:color="auto" w:fill="auto"/>
            <w:tcW w:w="135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lang w:val="en-US" w:eastAsia="zh-CN"/>
                <w14:textFill>
                  <w14:solidFill>
                    <w14:schemeClr w14:val="tx1"/>
                  </w14:solidFill>
                </w14:textFill>
              </w:rPr>
              <w:t xml:space="preserve">等同或相当于</w:t>
            </w:r>
            <w:r>
              <w:rPr>
                <w:rFonts w:hint="eastAsia"/>
                <w:color w:val="000000" w:themeColor="text1"/>
                <w:sz w:val="20"/>
                <w:szCs w:val="20"/>
                <w:highlight w:val="none"/>
                <w14:textFill>
                  <w14:solidFill>
                    <w14:schemeClr w14:val="tx1"/>
                  </w14:solidFill>
                </w14:textFill>
              </w:rPr>
              <w:t xml:space="preserve">昌旺、鹤鸣谷、宝金玉</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5kg/袋</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w:t>
            </w:r>
            <w:r/>
          </w:p>
        </w:tc>
        <w:tc>
          <w:tcPr>
            <w:shd w:val="clear" w:color="auto" w:fill="auto"/>
            <w:tcW w:w="8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6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11</w:t>
            </w:r>
            <w:r/>
          </w:p>
        </w:tc>
        <w:tc>
          <w:tcPr>
            <w:shd w:val="clear" w:color="auto" w:fill="auto"/>
            <w:tcW w:w="74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葵花籽油</w:t>
            </w:r>
            <w:r/>
          </w:p>
        </w:tc>
        <w:tc>
          <w:tcPr>
            <w:shd w:val="clear" w:color="auto" w:fill="auto"/>
            <w:tcW w:w="135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lang w:val="en-US" w:eastAsia="zh-CN"/>
                <w14:textFill>
                  <w14:solidFill>
                    <w14:schemeClr w14:val="tx1"/>
                  </w14:solidFill>
                </w14:textFill>
              </w:rPr>
              <w:t xml:space="preserve">等同或相当于</w:t>
            </w:r>
            <w:r>
              <w:rPr>
                <w:rFonts w:hint="eastAsia"/>
                <w:color w:val="000000" w:themeColor="text1"/>
                <w:sz w:val="20"/>
                <w:szCs w:val="20"/>
                <w:highlight w:val="none"/>
                <w14:textFill>
                  <w14:solidFill>
                    <w14:schemeClr w14:val="tx1"/>
                  </w14:solidFill>
                </w14:textFill>
              </w:rPr>
              <w:t xml:space="preserve">福临门、苏果、金龙鱼、鲁花、葵王</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5L/桶</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w:t>
            </w:r>
            <w:r/>
          </w:p>
        </w:tc>
        <w:tc>
          <w:tcPr>
            <w:shd w:val="clear" w:color="auto" w:fill="auto"/>
            <w:tcW w:w="8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6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12</w:t>
            </w:r>
            <w:r/>
          </w:p>
        </w:tc>
        <w:tc>
          <w:tcPr>
            <w:shd w:val="clear" w:color="auto" w:fill="auto"/>
            <w:tcW w:w="746"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小米</w:t>
            </w:r>
            <w:r/>
          </w:p>
        </w:tc>
        <w:tc>
          <w:tcPr>
            <w:shd w:val="clear" w:color="auto" w:fill="auto"/>
            <w:tcW w:w="135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　</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斤</w:t>
            </w:r>
            <w:r/>
          </w:p>
        </w:tc>
        <w:tc>
          <w:tcPr>
            <w:shd w:val="clear" w:color="auto" w:fill="auto"/>
            <w:tcW w:w="74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w:t>
            </w:r>
            <w:r/>
          </w:p>
        </w:tc>
        <w:tc>
          <w:tcPr>
            <w:shd w:val="clear" w:color="auto" w:fill="auto"/>
            <w:tcW w:w="8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840"/>
        </w:trPr>
        <w:tc>
          <w:tcPr>
            <w:shd w:val="clear" w:color="auto" w:fill="auto"/>
            <w:tcW w:w="564"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gridSpan w:val="5"/>
            <w:shd w:val="clear" w:color="auto" w:fill="auto"/>
            <w:tcW w:w="4435" w:type="pct"/>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p>
            <w:pPr>
              <w:jc w:val="left"/>
              <w:spacing w:line="360" w:lineRule="auto"/>
              <w:widowControl/>
              <w:rPr>
                <w:rFonts w:hint="eastAsia" w:ascii="宋体" w:hAnsi="宋体" w:cs="宋体"/>
                <w:b/>
                <w:bCs/>
                <w:color w:val="000000" w:themeColor="text1"/>
                <w:szCs w:val="21"/>
                <w:highlight w:val="none"/>
                <w14:textFill>
                  <w14:solidFill>
                    <w14:schemeClr w14:val="tx1"/>
                  </w14:solidFill>
                </w14:textFill>
              </w:rPr>
            </w:pPr>
            <w:r/>
            <w:bookmarkStart w:id="258" w:name="OLE_LINK1"/>
            <w:r/>
            <w:bookmarkStart w:id="259" w:name="OLE_LINK2"/>
            <w:r>
              <w:rPr>
                <w:rFonts w:hint="eastAsia" w:ascii="宋体" w:hAnsi="宋体" w:cs="宋体"/>
                <w:b/>
                <w:bCs/>
                <w:color w:val="000000" w:themeColor="text1"/>
                <w:szCs w:val="21"/>
                <w:highlight w:val="none"/>
                <w14:textFill>
                  <w14:solidFill>
                    <w14:schemeClr w14:val="tx1"/>
                  </w14:solidFill>
                </w14:textFill>
              </w:rPr>
              <w:t xml:space="preserve">★</w:t>
            </w:r>
            <w:bookmarkEnd w:id="258"/>
            <w:r/>
            <w:bookmarkEnd w:id="259"/>
            <w:r>
              <w:rPr>
                <w:rFonts w:hint="eastAsia" w:ascii="宋体" w:hAnsi="宋体" w:cs="宋体"/>
                <w:b/>
                <w:bCs/>
                <w:color w:val="000000" w:themeColor="text1"/>
                <w:szCs w:val="21"/>
                <w:highlight w:val="none"/>
                <w14:textFill>
                  <w14:solidFill>
                    <w14:schemeClr w14:val="tx1"/>
                  </w14:solidFill>
                </w14:textFill>
              </w:rPr>
              <w:t xml:space="preserve">1、</w:t>
            </w:r>
            <w:bookmarkStart w:id="260" w:name="OLE_LINK3"/>
            <w:r>
              <w:rPr>
                <w:rFonts w:hint="eastAsia" w:ascii="宋体" w:hAnsi="宋体" w:cs="宋体"/>
                <w:b/>
                <w:bCs/>
                <w:color w:val="000000" w:themeColor="text1"/>
                <w:szCs w:val="21"/>
                <w:highlight w:val="none"/>
                <w14:textFill>
                  <w14:solidFill>
                    <w14:schemeClr w14:val="tx1"/>
                  </w14:solidFill>
                </w14:textFill>
              </w:rPr>
              <w:t xml:space="preserve">采购产品质量要求：</w:t>
            </w:r>
            <w:bookmarkEnd w:id="260"/>
            <w:r/>
            <w:r/>
          </w:p>
          <w:p>
            <w:pPr>
              <w:jc w:val="left"/>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①大米：优质、精碾加工；色泽清白或乳白，有光泽，米粒大小均匀，饱满光滑；无异常色泽和气味；符合国家大米的通用执行标准（GB/T1354）或地理标志产品标准。质量等级：碎米率、黄米粒、杂质水份符合一级大米标准。</w:t>
            </w:r>
            <w:r/>
          </w:p>
          <w:p>
            <w:pPr>
              <w:jc w:val="left"/>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②食用油：色泽淡黄色至橙黄色；澄清透明；具有产品应有的状态，无正常视力可见的外来异物，具有产品固有的香味，无异味。符合国家食用油通用标准、食用油产品标准；食用油等级：一级；生产原料：非转基因。</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③面粉：具有应有的色泽，色泽均匀；气味正常，无氧化哈败、霉变等异味；粉末状、无结块；无正常视力可见杂质；符合国家面粉执行标准；质量等级：水份、灰度、湿面筋、粗细度等符合特一级面粉要求。</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★2、供应商在投标文件中填写每项产品的单价</w:t>
            </w:r>
            <w:r>
              <w:rPr>
                <w:rFonts w:hint="eastAsia" w:ascii="宋体" w:hAnsi="宋体" w:cs="宋体"/>
                <w:color w:val="000000" w:themeColor="text1"/>
                <w:szCs w:val="21"/>
                <w:highlight w:val="none"/>
                <w14:textFill>
                  <w14:solidFill>
                    <w14:schemeClr w14:val="tx1"/>
                  </w14:solidFill>
                </w14:textFill>
              </w:rPr>
              <w:t xml:space="preserve">；</w:t>
            </w:r>
            <w:r/>
          </w:p>
          <w:p>
            <w:pPr>
              <w:jc w:val="left"/>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3、价格评分依据：</w:t>
            </w:r>
            <w:r/>
          </w:p>
          <w:p>
            <w:pPr>
              <w:jc w:val="left"/>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①采购清单内根据各项产品的权重，结合供应商报价，计算综合单价作为价格分计算依据（综合单价=∑投标人填报的各项单价</w:t>
            </w:r>
            <w:r>
              <w:rPr>
                <w:rFonts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采购权重）；</w:t>
            </w:r>
            <w:r/>
          </w:p>
          <w:p>
            <w:pPr>
              <w:jc w:val="left"/>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★4、供应商须对上述清单内所有产品进行报价（清单内品种、规格不得调整），不得选取部分产品进行报价（不得自行增加或删除品种），否则视为无效标；</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★5、供货清单的品种、规格和采购权重不得调整，否则视为无效标</w:t>
            </w:r>
            <w:r>
              <w:rPr>
                <w:rFonts w:hint="eastAsia" w:ascii="宋体" w:hAnsi="宋体" w:cs="宋体"/>
                <w:color w:val="000000" w:themeColor="text1"/>
                <w:szCs w:val="21"/>
                <w:highlight w:val="none"/>
                <w14:textFill>
                  <w14:solidFill>
                    <w14:schemeClr w14:val="tx1"/>
                  </w14:solidFill>
                </w14:textFill>
              </w:rPr>
              <w:t xml:space="preserve">；</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6、上述清单中的品牌均为参考品牌，供应商有权选择等同于采购产品质量要求的其他品牌产品；</w:t>
            </w:r>
            <w:r/>
          </w:p>
          <w:p>
            <w:pPr>
              <w:jc w:val="left"/>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7</w:t>
            </w:r>
            <w:r>
              <w:rPr>
                <w:rFonts w:hint="eastAsia" w:ascii="宋体" w:hAnsi="宋体" w:cs="宋体"/>
                <w:b/>
                <w:color w:val="000000" w:themeColor="text1"/>
                <w:szCs w:val="21"/>
                <w:highlight w:val="none"/>
                <w14:textFill>
                  <w14:solidFill>
                    <w14:schemeClr w14:val="tx1"/>
                  </w14:solidFill>
                </w14:textFill>
              </w:rPr>
              <w:t xml:space="preserve">、合同期内采购产品清单内品种价格不得调整。</w:t>
            </w:r>
            <w:r/>
          </w:p>
          <w:p>
            <w:pPr>
              <w:jc w:val="left"/>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8</w:t>
            </w:r>
            <w:r>
              <w:rPr>
                <w:rFonts w:hint="eastAsia" w:ascii="宋体" w:hAnsi="宋体" w:cs="宋体"/>
                <w:b/>
                <w:color w:val="000000" w:themeColor="text1"/>
                <w:szCs w:val="21"/>
                <w:highlight w:val="none"/>
                <w14:textFill>
                  <w14:solidFill>
                    <w14:schemeClr w14:val="tx1"/>
                  </w14:solidFill>
                </w14:textFill>
              </w:rPr>
              <w:t xml:space="preserve">、合同期内根据采购人实际需要，所需采购产品在清单内没有对应报价的，乙方应根据市场行情向甲方提供产品报价。甲方将同时进行市场询价，南京市发改委网站（http://fgw.nanjing.gov.cn）价格信息栏“南京市部分农贸市场主副食品周平均价格水平”有相关价格的，以网站最新报价为基准价格；市发改委未公布价格的食材产品，甲方将进行市场询价，以甲方周边3个市场价格的零售价均价作为基准价格；</w:t>
            </w:r>
            <w:r>
              <w:rPr>
                <w:rFonts w:hint="eastAsia" w:ascii="宋体" w:hAnsi="宋体" w:cs="宋体"/>
                <w:color w:val="000000" w:themeColor="text1"/>
                <w:szCs w:val="21"/>
                <w:highlight w:val="none"/>
                <w:lang w:val="en-US" w:eastAsia="zh-CN"/>
                <w14:textFill>
                  <w14:solidFill>
                    <w14:schemeClr w14:val="tx1"/>
                  </w14:solidFill>
                </w14:textFill>
              </w:rPr>
              <w:t xml:space="preserve">供货价格=基准价格×（1-优惠率），供货价格与供货商所报商品的单价“取低”作为最终的核算价格</w:t>
            </w:r>
            <w:r>
              <w:rPr>
                <w:rFonts w:hint="eastAsia" w:ascii="宋体" w:hAnsi="宋体" w:cs="宋体"/>
                <w:color w:val="000000" w:themeColor="text1"/>
                <w:szCs w:val="21"/>
                <w:highlight w:val="none"/>
                <w14:textFill>
                  <w14:solidFill>
                    <w14:schemeClr w14:val="tx1"/>
                  </w14:solidFill>
                </w14:textFill>
              </w:rPr>
              <w:t xml:space="preserve">。</w:t>
            </w:r>
            <w:r/>
          </w:p>
        </w:tc>
      </w:tr>
    </w:tbl>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p>
      <w:pPr>
        <w:numPr>
          <w:ilvl w:val="0"/>
          <w:numId w:val="6"/>
        </w:numPr>
        <w:jc w:val="left"/>
        <w:spacing w:line="360" w:lineRule="auto"/>
        <w:widowControl/>
        <w:rPr>
          <w:rFonts w:hint="eastAsia" w:cs="宋体"/>
          <w:b w:val="0"/>
          <w:color w:val="000000" w:themeColor="text1"/>
          <w:sz w:val="24"/>
          <w:szCs w:val="24"/>
          <w:highlight w:val="none"/>
          <w:u w:val="singl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实际采购包含但不限于上述食材，以实际供货品种、数量结算（以上目录供招标参考）</w:t>
      </w:r>
      <w:r/>
    </w:p>
    <w:p>
      <w:pPr>
        <w:pStyle w:val="1138"/>
        <w:numPr>
          <w:ilvl w:val="0"/>
          <w:numId w:val="7"/>
        </w:numPr>
        <w:ind w:left="0" w:firstLine="422"/>
        <w:jc w:val="left"/>
        <w:spacing w:line="360" w:lineRule="auto"/>
        <w:rPr>
          <w:rFonts w:cs="宋体"/>
          <w:bCs/>
          <w:color w:val="000000" w:themeColor="text1"/>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t xml:space="preserve">质量要求</w:t>
      </w:r>
      <w:r/>
    </w:p>
    <w:p>
      <w:pPr>
        <w:pStyle w:val="1138"/>
        <w:numPr>
          <w:ilvl w:val="0"/>
          <w:numId w:val="8"/>
        </w:numPr>
        <w:ind w:left="0" w:firstLine="420"/>
        <w:jc w:val="left"/>
        <w:spacing w:line="360" w:lineRule="auto"/>
        <w:rPr>
          <w:rFonts w:cs="宋体"/>
          <w:b w:val="0"/>
          <w:color w:val="000000" w:themeColor="text1"/>
          <w:highlight w:val="none"/>
          <w14:textFill>
            <w14:solidFill>
              <w14:schemeClr w14:val="tx1"/>
            </w14:solidFill>
          </w14:textFill>
        </w:rPr>
      </w:pPr>
      <w:r>
        <w:rPr>
          <w:rFonts w:hint="eastAsia" w:cs="宋体"/>
          <w:b w:val="0"/>
          <w:color w:val="000000" w:themeColor="text1"/>
          <w:highlight w:val="none"/>
          <w14:textFill>
            <w14:solidFill>
              <w14:schemeClr w14:val="tx1"/>
            </w14:solidFill>
          </w14:textFill>
        </w:rPr>
        <w:t xml:space="preserve">质量标准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1.1投标方保证供给招标人的商品符合国家相关质量标准，所有商品均具备应有的资质和检验检疫合格证。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 产品质量符合《中华人民共和国农产品质量安全法》、《中华人民共和国食品安全法》相关要求。遵守国家和各级主管部门对于食品流通的相关法律法规及国家检验检疫的要求，不得出售假冒伪劣、过期变质的产品，各种产品质量均符合国家有关标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 质量要求、技术标准、供方对质量负责的条件和期限以国家标准为准。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 通用质量要求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1.4.1禁止供应：腐败变质、油脂酸败、霉变、生虫、污秽不洁、混油异物或其他感官性状异常，对人体有害的。</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1.4.2禁止供应：含有毒、有害物质或被有害物质污染，对人身体健康有害的。</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1.4.3禁止供应：含有严重超出标准限量的农药残留、兽药残留、重金属、污染物质以及其他危害人体健康的。</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1.4.4禁止供应：未经动物部门检疫、检验或者检疫、检验不合格的肉类及其制品（如有）。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1.4.5禁止供应：病死、毒死或不明死因的禽、畜、兽、水产动物等及其制品（如有）。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1.4.6禁止供应：用非食品原料加工的，加入非食品用化学物质或将非食品当做食品的。</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1.4.7所供应配送的粮油质量必须达到国家规定标准，所有产品来源均必须可追溯，有正规质检报告。所供食材的生产日期需为近期，有效期不得少于保质期的五分之四。</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三、配送服务要求</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1、包装要求：</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1.1产品包装应符合中华人民共和国有关法律法规的规定及双方的约定，并确保产品安全、卫生地交付给采购人（投标人应当根据产品性质选择合适的运输车辆，确保产品及外包装的清洁卫生、无污染）。</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1.2产品包装应符合中华人民共和国法律、法规等有关标示的说明如产地、原材料、用途、警语、保质期及保质条件、生产日期等规定。包装物由投标人免费提供，并于24小时内回收相关的包装材料或容器。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运输及仓储条件：投标人承诺拥有合格的无尘冷藏存储场地和无尘冷藏运输设备。具有严格的防鼠、防虫、防潮、卫生、照明、温度、湿度等存储要求和相关设备。如因投标人仓储和运输过程中发生食品安全问题，由投标人承担全部责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1.4投标人承诺运输车辆、运输路线、运输安全，退换货、紧急要货等满足采购人要求。如因投标人原因耽误采购人使用，采购人有权追究投标人违约责任，并要求投标人赔偿相关损失。</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2、交提货时间、方式及地点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2.1订货时间：招标人至少需在送货前一天下午17:00前将订单</w:t>
      </w:r>
      <w:bookmarkStart w:id="261" w:name="_Hlk176438818"/>
      <w:r>
        <w:rPr>
          <w:rFonts w:hint="eastAsia" w:ascii="宋体" w:hAnsi="宋体" w:cs="宋体"/>
          <w:color w:val="000000" w:themeColor="text1"/>
          <w:szCs w:val="21"/>
          <w:highlight w:val="none"/>
          <w14:textFill>
            <w14:solidFill>
              <w14:schemeClr w14:val="tx1"/>
            </w14:solidFill>
          </w14:textFill>
        </w:rPr>
        <w:t xml:space="preserve">以邮件形式或传真等形式发给投标人，</w:t>
      </w:r>
      <w:bookmarkEnd w:id="261"/>
      <w:r>
        <w:rPr>
          <w:rFonts w:hint="eastAsia" w:ascii="宋体" w:hAnsi="宋体" w:cs="宋体"/>
          <w:color w:val="000000" w:themeColor="text1"/>
          <w:szCs w:val="21"/>
          <w:highlight w:val="none"/>
          <w14:textFill>
            <w14:solidFill>
              <w14:schemeClr w14:val="tx1"/>
            </w14:solidFill>
          </w14:textFill>
        </w:rPr>
        <w:t xml:space="preserve">投标人核对订单及检查库存，并在每次出货前1天下午19:00前将缺货及替代品项反馈给招标人，在征得招标人同意后修改订单。</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交货时间：依据采购人供货通知所要求的供货时间准时供货，当日订单食材、商品一次性送达，不允许分包给其他供应商及当日多次送货，否则视为违约。订单产品24小时内送至甲方指定地点，生鲜类供货商次日清晨7：00前送达。</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2.3交提货方式、地点及运费：投标人负责将货物送至采购人指定收货地点（南京市鼓楼区广州路72号、江东南路8号</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，并承担所有运输费。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 招标人如临时增加用餐人员或用餐方式临时调整等原因，需临时补充原料的,投标供应商应在约定时间内无条件把指定的原料送至指定的地点。中标供应商应满足采购方特殊情况采购及特定服务要求。</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四、验收要求</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产品送至指定地点，并经甲方指派人员点验、计量、签字后作为结算依据。双方共同对该批次产品的品牌、数量进行清点称重，确认产品数量与投标人送货单数量一致、无误差；双方共同对该批次产品质量进行验收。经检验产品数量与质量均无异议，双方共同在验收单上签字确认(验收单仅代表交接时抽检的数量与质量符合标准）。对于不合格货物，采购人可拒收，并只支付合格货物的货款，投标人需对不合格产品进行更换，不得耽误采购人使用，否则采购人有权追究投标人违约责任，并要求投标人赔偿相关损失。</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2、随货提供相应的检测检疫合格证明，该证明作为验收内容一部分。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3、明确质保期产品验收：</w:t>
      </w:r>
      <w:bookmarkStart w:id="262" w:name="_Hlk56435103"/>
      <w:r>
        <w:rPr>
          <w:rFonts w:hint="eastAsia" w:ascii="宋体" w:hAnsi="宋体" w:cs="宋体"/>
          <w:color w:val="000000" w:themeColor="text1"/>
          <w:szCs w:val="21"/>
          <w:highlight w:val="none"/>
          <w14:textFill>
            <w14:solidFill>
              <w14:schemeClr w14:val="tx1"/>
            </w14:solidFill>
          </w14:textFill>
        </w:rPr>
        <w:t xml:space="preserve">要求剩余保存期不少于原有保质期的五分之四，超过日期视为验收不合格。</w:t>
      </w:r>
      <w:bookmarkEnd w:id="262"/>
      <w:r/>
      <w:r/>
    </w:p>
    <w:p>
      <w:pPr>
        <w:pStyle w:val="871"/>
        <w:ind w:firstLine="420"/>
        <w:spacing w:after="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4、验收标准、方法及提出异议期限：交货地点当场验收，任何异议提出以双方书面签字为准。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5、采购方有权对物资进行抽检送检，检测不合格的，乙方承担检测费用及相应的违约责任。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6、同一种商品在价格参考体系中有不同品牌和规格的，由招标人指定品牌规格进行配送。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7、采购方在收到物资后，如发现损耗偏高、质量不达标以及其他有关非正常情况，应及时向供应商提出，供应商应负责解决问题， 并在当天上午规定时间前完成更换的配送，同时承担由此造成的各类损失和费用，同时招标人有权扣除履约保证金的5%/次作为处罚。</w:t>
      </w:r>
      <w:r/>
    </w:p>
    <w:p>
      <w:pPr>
        <w:pStyle w:val="871"/>
        <w:ind w:firstLine="420"/>
        <w:spacing w:after="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8、投标人应及时配送，因投标人不及时配送而造成的各类损失和费用（如招标人自行采购商品的费用以及运输交通等费用）由投标人承担，同时招标人有权扣除履约保证金的5%/次作为处罚。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847"/>
        <w:ind w:left="0" w:firstLine="211"/>
        <w:rPr>
          <w:rFonts w:hAnsi="宋体" w:cs="宋体"/>
          <w:b/>
          <w:bCs/>
          <w:color w:val="000000" w:themeColor="text1"/>
          <w:szCs w:val="21"/>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t xml:space="preserve">五、价格核算及结算</w:t>
      </w:r>
      <w:r/>
    </w:p>
    <w:p>
      <w:pPr>
        <w:pStyle w:val="871"/>
        <w:ind w:firstLine="420"/>
        <w:spacing w:after="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1、本次合同为单价合同，此次招标所提供的权重为预估权重，实际采购数量以签订合同后实际供货量为准。</w:t>
      </w:r>
      <w:r/>
    </w:p>
    <w:p>
      <w:pPr>
        <w:pStyle w:val="871"/>
        <w:ind w:firstLine="420"/>
        <w:spacing w:after="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2、每月凭定价单和验收单结算一次（节假日顺延），采用对公转账结算。投标人需提供与货款等额的正规发票，否则不予以结算。</w:t>
      </w:r>
      <w:r/>
    </w:p>
    <w:p>
      <w:pPr>
        <w:pStyle w:val="871"/>
        <w:ind w:firstLine="420"/>
        <w:spacing w:after="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3、其它报价要求详见本章“一、项目概况”“4、采购清单”。</w:t>
      </w:r>
      <w:r/>
    </w:p>
    <w:p>
      <w:pPr>
        <w:pStyle w:val="871"/>
        <w:ind w:firstLine="420"/>
        <w:spacing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8"/>
        <w:ind w:left="0" w:firstLine="422"/>
        <w:jc w:val="left"/>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六、其他要求</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1、投标供应商应认可甲方市场调查、认可甲方采取的同类比较、现场考察和满意度调查等方式的考核，评估其价格合理性、服务及时性和质量稳定性。</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2、签订合同前，投标供应商须提供营业执照（三证合一）、食品经营许可证（或食品生产许可证）、法人代表身份证等原件及涉及配送人员有关资料等供采购方查验，并提供加盖单位公章的复印件一份。</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3、采购渠道：投标供应商所供食材采购渠道应为正规途径采购，招标人有权要求提供供货渠道证明。</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4、提供进货制度，投标供应商与货物生产源头建有合法稳定的供销关系，包括食品质量管理制度（含进货溯源服务、检验证明以及仓储物流对接措施）等，确保所供货物生产、供应链完整、溯源可靠。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5、投标供应商需制定售后服务方案，售后服务方案包括但不限于服务承诺、响应时间、保障措施以及其他各方面的支持和配合情况等。</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6、投标供应商需制定应急预案，如出现恶劣天气及招标人有特殊需求等情况。</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在供货过程中，如出现质量问题或保质期不足的情况，招标人有权拒绝接受所提供的物品或食品。若因食品质量问题导致的食品安全和食物中毒等事故（经市场监督管理、卫生防疫部门鉴定），由此造成的全部经济损失和法律责任由投标供应商承担全部责任，主要包括食物中毒人员医疗费、误工费、事故处理费等，直至追究刑事责任通过法律途径解决。同时招标人有权取消其供应资格。</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8、投标供应商须建立健全食品安全管理制度和从业人员健康管理制度。需严格遵守采购方的管理规定，工作人员应服从管理，不得私自在加工区域逗留，不得有偷窃、夹带等违规情况，如经发现将严肃处理。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9、招标人根据国家食品相关法律法规索证索票，投标供应商在服务过程中，应根据招标人要求提供各类票证。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投标供应商要按照订购单中明确的数量、规格、大小等要求送货。如果确有特殊情况无法满足食堂送货需求，投标供应商应立即将无法送货理由反馈招标人，并提出合理参考意见。未征得招标人同意，投标供应商不得随意调整更改食堂送货需求，否则招标人将退货处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11、在项目的实施中，要明确项目经理1名，具有一定食品安全法律知识及食品管理技能的专职人员，具备较强的沟通能力和临时紧急配送调换的处置能力。整个项目团队的人员要相对稳定。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12、中标方签订合同之后的5个工作日</w:t>
      </w:r>
      <w:r>
        <w:rPr>
          <w:rFonts w:hint="eastAsia" w:ascii="宋体" w:hAnsi="宋体" w:cs="宋体"/>
          <w:color w:val="000000" w:themeColor="text1"/>
          <w:szCs w:val="21"/>
          <w:highlight w:val="none"/>
          <w:lang w:val="en-US" w:eastAsia="zh-CN"/>
          <w14:textFill>
            <w14:solidFill>
              <w14:schemeClr w14:val="tx1"/>
            </w14:solidFill>
          </w14:textFill>
        </w:rPr>
        <w:t xml:space="preserve">内</w:t>
      </w:r>
      <w:r>
        <w:rPr>
          <w:rFonts w:hint="eastAsia" w:ascii="宋体" w:hAnsi="宋体" w:cs="宋体"/>
          <w:color w:val="000000" w:themeColor="text1"/>
          <w:szCs w:val="21"/>
          <w:highlight w:val="none"/>
          <w14:textFill>
            <w14:solidFill>
              <w14:schemeClr w14:val="tx1"/>
            </w14:solidFill>
          </w14:textFill>
        </w:rPr>
        <w:t xml:space="preserve">须缴伍万元履约保证金，合同期满后无息退还。</w:t>
      </w:r>
      <w:r/>
    </w:p>
    <w:p>
      <w:pPr>
        <w:ind w:firstLine="4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rPr>
          <w:rFonts w:hint="eastAsia" w:ascii="宋体" w:hAnsi="宋体" w:cs="宋体"/>
          <w:color w:val="000000" w:themeColor="text1"/>
          <w:szCs w:val="21"/>
          <w:highlight w:val="none"/>
          <w:lang w:val="zh-CN"/>
          <w14:textFill>
            <w14:solidFill>
              <w14:schemeClr w14:val="tx1"/>
            </w14:solidFill>
          </w14:textFill>
        </w:rPr>
        <w:t xml:space="preserve">如中标供应商在项目实施期间出现违背投标时的承诺，或经营异常，或丧失商业信誉，或产品被曝光不合格或被政府部门取缔相关生产经营资格的情况，招标人有权直接解除合同并没收其履约保证金。</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69"/>
        <w:ind w:firstLine="569"/>
        <w:spacing w:line="48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第五章 评标方法与评标标准</w:t>
      </w:r>
      <w:bookmarkEnd w:id="257"/>
      <w:r/>
      <w:r/>
    </w:p>
    <w:p>
      <w:pPr>
        <w:jc w:val="left"/>
        <w:spacing w:line="360" w:lineRule="auto"/>
        <w:rPr>
          <w:rFonts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一、评标方法</w:t>
      </w:r>
      <w:r/>
    </w:p>
    <w:p>
      <w:pPr>
        <w:ind w:firstLine="420"/>
        <w:jc w:val="left"/>
        <w:spacing w:line="360" w:lineRule="auto"/>
        <w:rPr>
          <w:rFonts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评委会将对确定为实质性响应采购文件要求的投标文件进行评价和比较，评标采用综合评估法。</w:t>
      </w:r>
      <w:r/>
    </w:p>
    <w:p>
      <w:pPr>
        <w:jc w:val="left"/>
        <w:spacing w:line="360" w:lineRule="auto"/>
        <w:rPr>
          <w:rFonts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二、评标标准</w:t>
      </w:r>
      <w:r/>
    </w:p>
    <w:p>
      <w:pPr>
        <w:ind w:firstLine="420"/>
        <w:jc w:val="left"/>
        <w:spacing w:line="360" w:lineRule="auto"/>
        <w:rPr>
          <w:rFonts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本项目采用综合评估法确定中标候选人。评标委员会将按下列评分办法和标准进行评分，总分值为100分。</w:t>
      </w:r>
      <w:r/>
    </w:p>
    <w:tbl>
      <w:tblPr>
        <w:tblStyle w:val="839"/>
        <w:tblW w:w="85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17"/>
        <w:gridCol w:w="5981"/>
        <w:gridCol w:w="692"/>
      </w:tblGrid>
      <w:tr>
        <w:trPr>
          <w:trHeight w:val="576"/>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评分因素</w:t>
            </w:r>
            <w:r/>
          </w:p>
        </w:tc>
        <w:tc>
          <w:tcPr>
            <w:tcBorders>
              <w:top w:val="single" w:color="auto" w:sz="4" w:space="0"/>
              <w:left w:val="none" w:color="000000" w:sz="4" w:space="0"/>
              <w:bottom w:val="single" w:color="auto" w:sz="4" w:space="0"/>
              <w:right w:val="single" w:color="auto" w:sz="4" w:space="0"/>
            </w:tcBorders>
            <w:tcW w:w="5981" w:type="dxa"/>
            <w:vAlign w:val="center"/>
            <w:textDirection w:val="lrTb"/>
            <w:noWrap w:val="false"/>
          </w:tcPr>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评审标准</w:t>
            </w:r>
            <w:r/>
          </w:p>
        </w:tc>
        <w:tc>
          <w:tcPr>
            <w:tcBorders>
              <w:top w:val="single" w:color="auto" w:sz="4" w:space="0"/>
              <w:left w:val="none" w:color="000000" w:sz="4" w:space="0"/>
              <w:bottom w:val="single" w:color="auto" w:sz="4" w:space="0"/>
              <w:right w:val="single" w:color="auto" w:sz="4" w:space="0"/>
            </w:tcBorders>
            <w:tcW w:w="692" w:type="dxa"/>
            <w:vAlign w:val="center"/>
            <w:textDirection w:val="lrTb"/>
            <w:noWrap w:val="false"/>
          </w:tcPr>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分值</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9"/>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价格分</w:t>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（30分）</w:t>
            </w:r>
            <w:r/>
          </w:p>
        </w:tc>
        <w:tc>
          <w:tcPr>
            <w:tcBorders>
              <w:top w:val="single" w:color="auto" w:sz="4" w:space="0"/>
              <w:left w:val="none" w:color="000000" w:sz="4" w:space="0"/>
              <w:bottom w:val="single" w:color="auto" w:sz="4" w:space="0"/>
              <w:right w:val="single" w:color="auto" w:sz="4" w:space="0"/>
            </w:tcBorders>
            <w:tcW w:w="5981" w:type="dxa"/>
            <w:vAlign w:val="center"/>
            <w:textDirection w:val="lrTb"/>
            <w:noWrap w:val="false"/>
          </w:tcPr>
          <w:p>
            <w:pPr>
              <w:contextualSpacing/>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采用低价优先法计算，即满足采购文件要求且</w:t>
            </w:r>
            <w:r>
              <w:rPr>
                <w:rFonts w:hint="eastAsia" w:ascii="宋体" w:hAnsi="宋体" w:cs="宋体"/>
                <w:color w:val="000000" w:themeColor="text1"/>
                <w:szCs w:val="21"/>
                <w:highlight w:val="none"/>
                <w:lang w:val="en-US" w:eastAsia="zh-CN"/>
                <w14:textFill>
                  <w14:solidFill>
                    <w14:schemeClr w14:val="tx1"/>
                  </w14:solidFill>
                </w14:textFill>
              </w:rPr>
              <w:t xml:space="preserve">综合单价最低</w:t>
            </w:r>
            <w:r>
              <w:rPr>
                <w:rFonts w:hint="eastAsia" w:ascii="宋体" w:hAnsi="宋体" w:cs="宋体"/>
                <w:color w:val="000000" w:themeColor="text1"/>
                <w:szCs w:val="21"/>
                <w:highlight w:val="none"/>
                <w14:textFill>
                  <w14:solidFill>
                    <w14:schemeClr w14:val="tx1"/>
                  </w14:solidFill>
                </w14:textFill>
              </w:rPr>
              <w:t xml:space="preserve">的，作为评标基准</w:t>
            </w:r>
            <w:r>
              <w:rPr>
                <w:rFonts w:hint="eastAsia" w:ascii="宋体" w:hAnsi="宋体" w:cs="宋体"/>
                <w:color w:val="000000" w:themeColor="text1"/>
                <w:szCs w:val="21"/>
                <w:highlight w:val="none"/>
                <w:lang w:val="en-US" w:eastAsia="zh-CN"/>
                <w14:textFill>
                  <w14:solidFill>
                    <w14:schemeClr w14:val="tx1"/>
                  </w14:solidFill>
                </w14:textFill>
              </w:rPr>
              <w:t xml:space="preserve">价</w:t>
            </w:r>
            <w:r>
              <w:rPr>
                <w:rFonts w:hint="eastAsia" w:ascii="宋体" w:hAnsi="宋体" w:cs="宋体"/>
                <w:color w:val="000000" w:themeColor="text1"/>
                <w:szCs w:val="21"/>
                <w:highlight w:val="none"/>
                <w14:textFill>
                  <w14:solidFill>
                    <w14:schemeClr w14:val="tx1"/>
                  </w14:solidFill>
                </w14:textFill>
              </w:rPr>
              <w:t xml:space="preserve">，其价格分为满分30分。</w:t>
            </w:r>
            <w:r/>
          </w:p>
          <w:p>
            <w:pPr>
              <w:contextualSpacing/>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其他供应商的价格分统一按照下列公式计算:价格得分=评标</w:t>
            </w:r>
            <w:r>
              <w:rPr>
                <w:rFonts w:hint="eastAsia" w:ascii="宋体" w:hAnsi="宋体" w:cs="宋体"/>
                <w:color w:val="000000" w:themeColor="text1"/>
                <w:szCs w:val="21"/>
                <w:highlight w:val="none"/>
                <w:lang w:val="en-US" w:eastAsia="zh-CN"/>
                <w14:textFill>
                  <w14:solidFill>
                    <w14:schemeClr w14:val="tx1"/>
                  </w14:solidFill>
                </w14:textFill>
              </w:rPr>
              <w:t xml:space="preserve">基准价</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投标人评标价</w:t>
            </w:r>
            <w:r>
              <w:rPr>
                <w:rFonts w:hint="eastAsia" w:ascii="宋体" w:hAnsi="宋体" w:cs="宋体"/>
                <w:color w:val="000000" w:themeColor="text1"/>
                <w:szCs w:val="21"/>
                <w:highlight w:val="none"/>
                <w14:textFill>
                  <w14:solidFill>
                    <w14:schemeClr w14:val="tx1"/>
                  </w14:solidFill>
                </w14:textFill>
              </w:rPr>
              <w:t xml:space="preserve">×30（小数点保留两位）</w:t>
            </w:r>
            <w:r/>
          </w:p>
        </w:tc>
        <w:tc>
          <w:tcPr>
            <w:tcBorders>
              <w:top w:val="single" w:color="auto" w:sz="4" w:space="0"/>
              <w:left w:val="none" w:color="000000" w:sz="4" w:space="0"/>
              <w:bottom w:val="single" w:color="auto" w:sz="4" w:space="0"/>
              <w:right w:val="single" w:color="auto" w:sz="4" w:space="0"/>
            </w:tcBorders>
            <w:tcW w:w="692" w:type="dxa"/>
            <w:vAlign w:val="center"/>
            <w:textDirection w:val="lrTb"/>
            <w:noWrap w:val="false"/>
          </w:tcPr>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w:t>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tc>
      </w:tr>
      <w:tr>
        <w:trPr>
          <w:trHeight w:val="98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9"/>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业绩</w:t>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cs="宋体"/>
                <w:bCs/>
                <w:color w:val="000000" w:themeColor="text1"/>
                <w:szCs w:val="21"/>
                <w:highlight w:val="none"/>
                <w14:textFill>
                  <w14:solidFill>
                    <w14:schemeClr w14:val="tx1"/>
                  </w14:solidFill>
                </w14:textFill>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5981" w:type="dxa"/>
            <w:vAlign w:val="center"/>
            <w:textDirection w:val="lrTb"/>
            <w:noWrap w:val="false"/>
          </w:tcPr>
          <w:p>
            <w:pPr>
              <w:spacing w:line="360" w:lineRule="auto"/>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供应商提供近三年以来（自202</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年1月1日以来）与本项目类似供货业绩（</w:t>
            </w:r>
            <w:r>
              <w:rPr>
                <w:rFonts w:hint="eastAsia" w:ascii="宋体" w:hAnsi="宋体" w:cs="宋体"/>
                <w:b/>
                <w:color w:val="000000" w:themeColor="text1"/>
                <w:szCs w:val="21"/>
                <w:highlight w:val="none"/>
                <w14:textFill>
                  <w14:solidFill>
                    <w14:schemeClr w14:val="tx1"/>
                  </w14:solidFill>
                </w14:textFill>
              </w:rPr>
              <w:t xml:space="preserve">合同供货内容中须</w:t>
            </w:r>
            <w:r>
              <w:rPr>
                <w:rFonts w:hint="eastAsia" w:ascii="宋体" w:hAnsi="宋体" w:cs="宋体"/>
                <w:b/>
                <w:color w:val="000000" w:themeColor="text1"/>
                <w:szCs w:val="21"/>
                <w:highlight w:val="none"/>
                <w:lang w:val="en-US" w:eastAsia="zh-CN"/>
                <w14:textFill>
                  <w14:solidFill>
                    <w14:schemeClr w14:val="tx1"/>
                  </w14:solidFill>
                </w14:textFill>
              </w:rPr>
              <w:t xml:space="preserve">同时</w:t>
            </w:r>
            <w:r>
              <w:rPr>
                <w:rFonts w:hint="eastAsia" w:ascii="宋体" w:hAnsi="宋体" w:cs="宋体"/>
                <w:b/>
                <w:color w:val="000000" w:themeColor="text1"/>
                <w:szCs w:val="21"/>
                <w:highlight w:val="none"/>
                <w14:textFill>
                  <w14:solidFill>
                    <w14:schemeClr w14:val="tx1"/>
                  </w14:solidFill>
                </w14:textFill>
              </w:rPr>
              <w:t xml:space="preserve">包括</w:t>
            </w:r>
            <w:r>
              <w:rPr>
                <w:rFonts w:hint="eastAsia" w:ascii="宋体" w:hAnsi="宋体" w:cs="宋体"/>
                <w:b/>
                <w:color w:val="000000" w:themeColor="text1"/>
                <w:szCs w:val="21"/>
                <w:highlight w:val="none"/>
                <w:lang w:val="en-US" w:eastAsia="zh-CN"/>
                <w14:textFill>
                  <w14:solidFill>
                    <w14:schemeClr w14:val="tx1"/>
                  </w14:solidFill>
                </w14:textFill>
              </w:rPr>
              <w:t xml:space="preserve">大</w:t>
            </w:r>
            <w:r>
              <w:rPr>
                <w:rFonts w:hint="eastAsia" w:ascii="宋体" w:hAnsi="宋体" w:cs="宋体"/>
                <w:b/>
                <w:color w:val="000000" w:themeColor="text1"/>
                <w:szCs w:val="21"/>
                <w:highlight w:val="none"/>
                <w14:textFill>
                  <w14:solidFill>
                    <w14:schemeClr w14:val="tx1"/>
                  </w14:solidFill>
                </w14:textFill>
              </w:rPr>
              <w:t xml:space="preserve">米</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面</w:t>
            </w:r>
            <w:r>
              <w:rPr>
                <w:rFonts w:hint="eastAsia" w:ascii="宋体" w:hAnsi="宋体" w:cs="宋体"/>
                <w:b/>
                <w:color w:val="000000" w:themeColor="text1"/>
                <w:szCs w:val="21"/>
                <w:highlight w:val="none"/>
                <w:lang w:val="en-US" w:eastAsia="zh-CN"/>
                <w14:textFill>
                  <w14:solidFill>
                    <w14:schemeClr w14:val="tx1"/>
                  </w14:solidFill>
                </w14:textFill>
              </w:rPr>
              <w:t xml:space="preserve">粉、食用</w:t>
            </w:r>
            <w:r>
              <w:rPr>
                <w:rFonts w:hint="eastAsia" w:ascii="宋体" w:hAnsi="宋体" w:cs="宋体"/>
                <w:b/>
                <w:color w:val="000000" w:themeColor="text1"/>
                <w:szCs w:val="21"/>
                <w:highlight w:val="none"/>
                <w14:textFill>
                  <w14:solidFill>
                    <w14:schemeClr w14:val="tx1"/>
                  </w14:solidFill>
                </w14:textFill>
              </w:rPr>
              <w:t xml:space="preserve">油</w:t>
            </w:r>
            <w:r>
              <w:rPr>
                <w:rFonts w:hint="eastAsia" w:ascii="宋体" w:hAnsi="宋体" w:cs="宋体"/>
                <w:b/>
                <w:color w:val="000000" w:themeColor="text1"/>
                <w:szCs w:val="21"/>
                <w:highlight w:val="none"/>
                <w:lang w:val="en-US" w:eastAsia="zh-CN"/>
                <w14:textFill>
                  <w14:solidFill>
                    <w14:schemeClr w14:val="tx1"/>
                  </w14:solidFill>
                </w14:textFill>
              </w:rPr>
              <w:t xml:space="preserve">三类</w:t>
            </w:r>
            <w:r>
              <w:rPr>
                <w:rFonts w:hint="eastAsia" w:ascii="宋体" w:hAnsi="宋体" w:cs="宋体"/>
                <w:b/>
                <w:color w:val="000000" w:themeColor="text1"/>
                <w:szCs w:val="21"/>
                <w:highlight w:val="none"/>
                <w14:textFill>
                  <w14:solidFill>
                    <w14:schemeClr w14:val="tx1"/>
                  </w14:solidFill>
                </w14:textFill>
              </w:rPr>
              <w:t xml:space="preserve">产品</w:t>
            </w:r>
            <w:r>
              <w:rPr>
                <w:rFonts w:hint="eastAsia" w:ascii="宋体" w:hAnsi="宋体" w:cs="宋体"/>
                <w:b/>
                <w:color w:val="000000" w:themeColor="text1"/>
                <w:szCs w:val="21"/>
                <w:highlight w:val="none"/>
                <w:lang w:val="en-US" w:eastAsia="zh-CN"/>
                <w14:textFill>
                  <w14:solidFill>
                    <w14:schemeClr w14:val="tx1"/>
                  </w14:solidFill>
                </w14:textFill>
              </w:rPr>
              <w:t xml:space="preserve">缺一不可，上述供货内容以合同项下的发票明细为准</w:t>
            </w:r>
            <w:r>
              <w:rPr>
                <w:rFonts w:hint="eastAsia" w:ascii="宋体" w:hAnsi="宋体" w:cs="宋体"/>
                <w:bCs/>
                <w:color w:val="000000" w:themeColor="text1"/>
                <w:szCs w:val="21"/>
                <w:highlight w:val="none"/>
                <w14:textFill>
                  <w14:solidFill>
                    <w14:schemeClr w14:val="tx1"/>
                  </w14:solidFill>
                </w14:textFill>
              </w:rPr>
              <w:t xml:space="preserve">），每提供一份得3分，满分9分。</w:t>
            </w:r>
            <w:r/>
          </w:p>
          <w:p>
            <w:pPr>
              <w:spacing w:line="360" w:lineRule="auto"/>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注：本项需提供以下两项证明材料，缺一不得分：</w:t>
            </w:r>
            <w:r/>
          </w:p>
          <w:p>
            <w:pPr>
              <w:numPr>
                <w:ilvl w:val="0"/>
                <w:numId w:val="0"/>
              </w:numPr>
              <w:contextualSpacing/>
              <w:spacing w:line="360" w:lineRule="auto"/>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lang w:val="en-US" w:eastAsia="zh-CN" w:bidi="ar-SA"/>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合同复印件（</w:t>
            </w:r>
            <w:r>
              <w:rPr>
                <w:rFonts w:hint="eastAsia" w:ascii="宋体" w:hAnsi="宋体" w:cs="宋体"/>
                <w:b/>
                <w:color w:val="000000" w:themeColor="text1"/>
                <w:szCs w:val="21"/>
                <w:highlight w:val="none"/>
                <w14:textFill>
                  <w14:solidFill>
                    <w14:schemeClr w14:val="tx1"/>
                  </w14:solidFill>
                </w14:textFill>
              </w:rPr>
              <w:t xml:space="preserve">时间以合同签订时间为准</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同一采购单位的多份合同业绩，不重复计分</w:t>
            </w:r>
            <w:r>
              <w:rPr>
                <w:rFonts w:hint="eastAsia" w:ascii="宋体" w:hAnsi="宋体" w:cs="宋体"/>
                <w:bCs/>
                <w:color w:val="000000" w:themeColor="text1"/>
                <w:szCs w:val="21"/>
                <w:highlight w:val="none"/>
                <w14:textFill>
                  <w14:solidFill>
                    <w14:schemeClr w14:val="tx1"/>
                  </w14:solidFill>
                </w14:textFill>
              </w:rPr>
              <w:t xml:space="preserve">）；</w:t>
            </w:r>
            <w:r/>
          </w:p>
          <w:p>
            <w:pPr>
              <w:numPr>
                <w:ilvl w:val="0"/>
                <w:numId w:val="0"/>
              </w:numPr>
              <w:contextualSpacing/>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（2）合同期内的供货发票（</w:t>
            </w:r>
            <w:r>
              <w:rPr>
                <w:rFonts w:hint="eastAsia" w:ascii="宋体" w:hAnsi="宋体" w:cs="宋体"/>
                <w:b/>
                <w:color w:val="000000" w:themeColor="text1"/>
                <w:szCs w:val="21"/>
                <w:highlight w:val="none"/>
                <w:lang w:val="en-US" w:eastAsia="zh-CN"/>
                <w14:textFill>
                  <w14:solidFill>
                    <w14:schemeClr w14:val="tx1"/>
                  </w14:solidFill>
                </w14:textFill>
              </w:rPr>
              <w:t xml:space="preserve">含发票明细</w:t>
            </w:r>
            <w:r>
              <w:rPr>
                <w:rFonts w:hint="eastAsia" w:ascii="宋体" w:hAnsi="宋体" w:cs="宋体"/>
                <w:bCs/>
                <w:color w:val="000000" w:themeColor="text1"/>
                <w:szCs w:val="21"/>
                <w:highlight w:val="none"/>
                <w14:textFill>
                  <w14:solidFill>
                    <w14:schemeClr w14:val="tx1"/>
                  </w14:solidFill>
                </w14:textFill>
              </w:rPr>
              <w:t xml:space="preserve">）复印件</w:t>
            </w:r>
            <w:r>
              <w:rPr>
                <w:rFonts w:hint="eastAsia" w:ascii="宋体" w:hAnsi="宋体" w:cs="宋体"/>
                <w:bCs/>
                <w:color w:val="000000" w:themeColor="text1"/>
                <w:szCs w:val="21"/>
                <w:highlight w:val="none"/>
                <w:lang w:eastAsia="zh-CN"/>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692" w:type="dxa"/>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9</w:t>
            </w:r>
            <w:r/>
          </w:p>
        </w:tc>
      </w:tr>
      <w:tr>
        <w:trPr>
          <w:trHeight w:val="98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9"/>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spacing w:line="360" w:lineRule="auto"/>
              <w:rPr>
                <w:rFonts w:hint="default"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用户评价（3分）</w:t>
            </w:r>
            <w:r/>
          </w:p>
        </w:tc>
        <w:tc>
          <w:tcPr>
            <w:shd w:val="clear" w:color="auto" w:fill="auto"/>
            <w:tcBorders>
              <w:top w:val="single" w:color="auto" w:sz="4" w:space="0"/>
              <w:left w:val="none" w:color="000000" w:sz="4" w:space="0"/>
              <w:bottom w:val="single" w:color="auto" w:sz="4" w:space="0"/>
              <w:right w:val="single" w:color="auto" w:sz="4" w:space="0"/>
            </w:tcBorders>
            <w:tcW w:w="5981" w:type="dxa"/>
            <w:vAlign w:val="center"/>
            <w:textDirection w:val="lrTb"/>
            <w:noWrap w:val="false"/>
          </w:tcPr>
          <w:p>
            <w:pPr>
              <w:contextualSpacing/>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投标人</w:t>
            </w:r>
            <w:r>
              <w:rPr>
                <w:rFonts w:hint="eastAsia" w:ascii="宋体" w:hAnsi="宋体" w:cs="宋体"/>
                <w:bCs/>
                <w:color w:val="000000" w:themeColor="text1"/>
                <w:szCs w:val="21"/>
                <w:highlight w:val="none"/>
                <w14:textFill>
                  <w14:solidFill>
                    <w14:schemeClr w14:val="tx1"/>
                  </w14:solidFill>
                </w14:textFill>
              </w:rPr>
              <w:t xml:space="preserve">近三年以来（自202</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年1月1日以来）</w:t>
            </w:r>
            <w:r>
              <w:rPr>
                <w:rFonts w:hint="eastAsia" w:ascii="宋体" w:hAnsi="宋体" w:cs="宋体"/>
                <w:bCs/>
                <w:color w:val="000000" w:themeColor="text1"/>
                <w:szCs w:val="21"/>
                <w:highlight w:val="none"/>
                <w:lang w:val="en-US" w:eastAsia="zh-CN"/>
                <w14:textFill>
                  <w14:solidFill>
                    <w14:schemeClr w14:val="tx1"/>
                  </w14:solidFill>
                </w14:textFill>
              </w:rPr>
              <w:t xml:space="preserve">米面油供货项目</w:t>
            </w:r>
            <w:r>
              <w:rPr>
                <w:rFonts w:hint="eastAsia" w:ascii="宋体" w:hAnsi="宋体" w:cs="宋体"/>
                <w:bCs/>
                <w:color w:val="000000" w:themeColor="text1"/>
                <w:szCs w:val="21"/>
                <w:highlight w:val="none"/>
                <w14:textFill>
                  <w14:solidFill>
                    <w14:schemeClr w14:val="tx1"/>
                  </w14:solidFill>
                </w14:textFill>
              </w:rPr>
              <w:t xml:space="preserve">获得业主评价结果为优秀或满意的评价材料，每提供1份得1分，最高得3分（</w:t>
            </w:r>
            <w:r>
              <w:rPr>
                <w:rFonts w:hint="eastAsia" w:ascii="宋体" w:hAnsi="宋体" w:cs="宋体"/>
                <w:b/>
                <w:color w:val="000000" w:themeColor="text1"/>
                <w:szCs w:val="21"/>
                <w:highlight w:val="none"/>
                <w14:textFill>
                  <w14:solidFill>
                    <w14:schemeClr w14:val="tx1"/>
                  </w14:solidFill>
                </w14:textFill>
              </w:rPr>
              <w:t xml:space="preserve">提供用户盖章的评价材料</w:t>
            </w:r>
            <w:r>
              <w:rPr>
                <w:rFonts w:hint="eastAsia" w:ascii="宋体" w:hAnsi="宋体" w:cs="宋体"/>
                <w:b/>
                <w:color w:val="000000" w:themeColor="text1"/>
                <w:szCs w:val="21"/>
                <w:highlight w:val="none"/>
                <w:lang w:val="en-US" w:eastAsia="zh-CN"/>
                <w14:textFill>
                  <w14:solidFill>
                    <w14:schemeClr w14:val="tx1"/>
                  </w14:solidFill>
                </w14:textFill>
              </w:rPr>
              <w:t xml:space="preserve">复印件</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en-US" w:eastAsia="zh-CN"/>
                <w14:textFill>
                  <w14:solidFill>
                    <w14:schemeClr w14:val="tx1"/>
                  </w14:solidFill>
                </w14:textFill>
              </w:rPr>
              <w:t xml:space="preserve">须体现评价时间、供货内容及评价结果，</w:t>
            </w:r>
            <w:r>
              <w:rPr>
                <w:rFonts w:hint="eastAsia" w:ascii="宋体" w:hAnsi="宋体" w:cs="宋体"/>
                <w:b/>
                <w:color w:val="000000" w:themeColor="text1"/>
                <w:szCs w:val="21"/>
                <w:highlight w:val="none"/>
                <w14:textFill>
                  <w14:solidFill>
                    <w14:schemeClr w14:val="tx1"/>
                  </w14:solidFill>
                </w14:textFill>
              </w:rPr>
              <w:t xml:space="preserve">否则不予认可</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同一</w:t>
            </w:r>
            <w:r>
              <w:rPr>
                <w:rFonts w:hint="eastAsia" w:ascii="宋体" w:hAnsi="宋体" w:cs="宋体"/>
                <w:b/>
                <w:color w:val="000000" w:themeColor="text1"/>
                <w:szCs w:val="21"/>
                <w:highlight w:val="none"/>
                <w:lang w:val="en-US" w:eastAsia="zh-CN"/>
                <w14:textFill>
                  <w14:solidFill>
                    <w14:schemeClr w14:val="tx1"/>
                  </w14:solidFill>
                </w14:textFill>
              </w:rPr>
              <w:t xml:space="preserve">业主单位</w:t>
            </w:r>
            <w:r>
              <w:rPr>
                <w:rFonts w:hint="eastAsia" w:ascii="宋体" w:hAnsi="宋体" w:cs="宋体"/>
                <w:b/>
                <w:color w:val="000000" w:themeColor="text1"/>
                <w:szCs w:val="21"/>
                <w:highlight w:val="none"/>
                <w14:textFill>
                  <w14:solidFill>
                    <w14:schemeClr w14:val="tx1"/>
                  </w14:solidFill>
                </w14:textFill>
              </w:rPr>
              <w:t xml:space="preserve">的多份</w:t>
            </w:r>
            <w:r>
              <w:rPr>
                <w:rFonts w:hint="eastAsia" w:ascii="宋体" w:hAnsi="宋体" w:cs="宋体"/>
                <w:b/>
                <w:color w:val="000000" w:themeColor="text1"/>
                <w:szCs w:val="21"/>
                <w:highlight w:val="none"/>
                <w:lang w:val="en-US" w:eastAsia="zh-CN"/>
                <w14:textFill>
                  <w14:solidFill>
                    <w14:schemeClr w14:val="tx1"/>
                  </w14:solidFill>
                </w14:textFill>
              </w:rPr>
              <w:t xml:space="preserve">评价意见</w:t>
            </w:r>
            <w:r>
              <w:rPr>
                <w:rFonts w:hint="eastAsia" w:ascii="宋体" w:hAnsi="宋体" w:cs="宋体"/>
                <w:b/>
                <w:color w:val="000000" w:themeColor="text1"/>
                <w:szCs w:val="21"/>
                <w:highlight w:val="none"/>
                <w14:textFill>
                  <w14:solidFill>
                    <w14:schemeClr w14:val="tx1"/>
                  </w14:solidFill>
                </w14:textFill>
              </w:rPr>
              <w:t xml:space="preserve">业绩，不重复计分</w:t>
            </w:r>
            <w:r>
              <w:rPr>
                <w:rFonts w:hint="eastAsia" w:ascii="宋体" w:hAnsi="宋体" w:cs="宋体"/>
                <w:bCs/>
                <w:color w:val="000000" w:themeColor="text1"/>
                <w:szCs w:val="21"/>
                <w:highlight w:val="none"/>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692" w:type="dxa"/>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p>
        </w:tc>
      </w:tr>
      <w:tr>
        <w:trPr>
          <w:trHeight w:val="98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9"/>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right w:val="single" w:color="auto" w:sz="4" w:space="0"/>
            </w:tcBorders>
            <w:tcW w:w="1217" w:type="dxa"/>
            <w:vAlign w:val="center"/>
            <w:vMerge w:val="restart"/>
            <w:textDirection w:val="lrTb"/>
            <w:noWrap w:val="false"/>
          </w:tcPr>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服务能力（</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cs="宋体"/>
                <w:bCs/>
                <w:color w:val="000000" w:themeColor="text1"/>
                <w:szCs w:val="21"/>
                <w:highlight w:val="none"/>
                <w14:textFill>
                  <w14:solidFill>
                    <w14:schemeClr w14:val="tx1"/>
                  </w14:solidFill>
                </w14:textFill>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5981" w:type="dxa"/>
            <w:vAlign w:val="center"/>
            <w:textDirection w:val="lrTb"/>
            <w:noWrap w:val="false"/>
          </w:tcPr>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企业认证（2分）：</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投标人具有有效期内的食品安全管理体系认证(IS022000)，得2分（</w:t>
            </w:r>
            <w:r>
              <w:rPr>
                <w:rFonts w:hint="eastAsia" w:ascii="宋体" w:hAnsi="宋体" w:cs="宋体"/>
                <w:b/>
                <w:color w:val="000000" w:themeColor="text1"/>
                <w:szCs w:val="21"/>
                <w:highlight w:val="none"/>
                <w14:textFill>
                  <w14:solidFill>
                    <w14:schemeClr w14:val="tx1"/>
                  </w14:solidFill>
                </w14:textFill>
              </w:rPr>
              <w:t xml:space="preserve">须提供证书复印件，未按要求提供的不得分</w:t>
            </w:r>
            <w:r>
              <w:rPr>
                <w:rFonts w:hint="eastAsia" w:ascii="宋体" w:hAnsi="宋体" w:cs="宋体"/>
                <w:bCs/>
                <w:color w:val="000000" w:themeColor="text1"/>
                <w:szCs w:val="21"/>
                <w:highlight w:val="none"/>
                <w14:textFill>
                  <w14:solidFill>
                    <w14:schemeClr w14:val="tx1"/>
                  </w14:solidFill>
                </w14:textFill>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692"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p>
        </w:tc>
      </w:tr>
      <w:tr>
        <w:trPr>
          <w:trHeight w:val="98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9"/>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left w:val="none" w:color="000000" w:sz="4" w:space="0"/>
              <w:right w:val="single" w:color="auto" w:sz="4" w:space="0"/>
            </w:tcBorders>
            <w:tcW w:w="1217" w:type="dxa"/>
            <w:vAlign w:val="center"/>
            <w:vMerge w:val="continue"/>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5981" w:type="dxa"/>
            <w:vAlign w:val="center"/>
            <w:textDirection w:val="lrTb"/>
            <w:noWrap w:val="false"/>
          </w:tcPr>
          <w:p>
            <w:pPr>
              <w:contextualSpacing/>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仓库配备（</w:t>
            </w:r>
            <w:r>
              <w:rPr>
                <w:rFonts w:hint="eastAsia" w:ascii="宋体" w:hAnsi="宋体" w:cs="宋体"/>
                <w:b/>
                <w:color w:val="000000" w:themeColor="text1"/>
                <w:szCs w:val="21"/>
                <w:highlight w:val="none"/>
                <w:lang w:val="en-US" w:eastAsia="zh-CN"/>
                <w14:textFill>
                  <w14:solidFill>
                    <w14:schemeClr w14:val="tx1"/>
                  </w14:solidFill>
                </w14:textFill>
              </w:rPr>
              <w:t xml:space="preserve">2</w:t>
            </w:r>
            <w:r>
              <w:rPr>
                <w:rFonts w:hint="eastAsia" w:ascii="宋体" w:hAnsi="宋体" w:cs="宋体"/>
                <w:b/>
                <w:color w:val="000000" w:themeColor="text1"/>
                <w:szCs w:val="21"/>
                <w:highlight w:val="none"/>
                <w14:textFill>
                  <w14:solidFill>
                    <w14:schemeClr w14:val="tx1"/>
                  </w14:solidFill>
                </w14:textFill>
              </w:rPr>
              <w:t xml:space="preserve">分）：</w:t>
            </w:r>
            <w:r/>
          </w:p>
          <w:p>
            <w:pPr>
              <w:contextualSpacing/>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根据各供应商配备仓库情况进行打分，有</w:t>
            </w:r>
            <w:r>
              <w:rPr>
                <w:rFonts w:hint="eastAsia" w:ascii="宋体" w:hAnsi="宋体" w:cs="宋体"/>
                <w:bCs/>
                <w:color w:val="000000" w:themeColor="text1"/>
                <w:szCs w:val="21"/>
                <w:highlight w:val="none"/>
                <w:lang w:val="en-US" w:eastAsia="zh-CN"/>
                <w14:textFill>
                  <w14:solidFill>
                    <w14:schemeClr w14:val="tx1"/>
                  </w14:solidFill>
                </w14:textFill>
              </w:rPr>
              <w:t xml:space="preserve">仓库</w:t>
            </w:r>
            <w:r>
              <w:rPr>
                <w:rFonts w:hint="eastAsia" w:ascii="宋体" w:hAnsi="宋体" w:cs="宋体"/>
                <w:bCs/>
                <w:color w:val="000000" w:themeColor="text1"/>
                <w:szCs w:val="21"/>
                <w:highlight w:val="none"/>
                <w14:textFill>
                  <w14:solidFill>
                    <w14:schemeClr w14:val="tx1"/>
                  </w14:solidFill>
                </w14:textFill>
              </w:rPr>
              <w:t xml:space="preserve">得2分。</w:t>
            </w:r>
            <w:r/>
          </w:p>
          <w:p>
            <w:pPr>
              <w:contextualSpacing/>
              <w:spacing w:line="360" w:lineRule="auto"/>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说明：须提供如下证明材料，否则不得分：</w:t>
            </w:r>
            <w:r/>
          </w:p>
          <w:p>
            <w:pPr>
              <w:contextualSpacing/>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（1）自有场所的，须提供产权证明的复印件（</w:t>
            </w:r>
            <w:r>
              <w:rPr>
                <w:rFonts w:hint="eastAsia" w:ascii="宋体" w:hAnsi="宋体" w:cs="宋体"/>
                <w:b/>
                <w:color w:val="000000" w:themeColor="text1"/>
                <w:szCs w:val="21"/>
                <w:highlight w:val="none"/>
                <w14:textFill>
                  <w14:solidFill>
                    <w14:schemeClr w14:val="tx1"/>
                  </w14:solidFill>
                </w14:textFill>
              </w:rPr>
              <w:t xml:space="preserve">须体现面积信息</w:t>
            </w:r>
            <w:r>
              <w:rPr>
                <w:rFonts w:hint="eastAsia" w:ascii="宋体" w:hAnsi="宋体" w:cs="宋体"/>
                <w:bCs/>
                <w:color w:val="000000" w:themeColor="text1"/>
                <w:szCs w:val="21"/>
                <w:highlight w:val="none"/>
                <w14:textFill>
                  <w14:solidFill>
                    <w14:schemeClr w14:val="tx1"/>
                  </w14:solidFill>
                </w14:textFill>
              </w:rPr>
              <w:t xml:space="preserve">）、</w:t>
            </w:r>
            <w:bookmarkStart w:id="263" w:name="OLE_LINK5"/>
            <w:r/>
            <w:bookmarkStart w:id="264" w:name="OLE_LINK4"/>
            <w:r>
              <w:rPr>
                <w:rFonts w:hint="eastAsia" w:ascii="宋体" w:hAnsi="宋体" w:cs="宋体"/>
                <w:bCs/>
                <w:color w:val="000000" w:themeColor="text1"/>
                <w:szCs w:val="21"/>
                <w:highlight w:val="none"/>
                <w14:textFill>
                  <w14:solidFill>
                    <w14:schemeClr w14:val="tx1"/>
                  </w14:solidFill>
                </w14:textFill>
              </w:rPr>
              <w:t xml:space="preserve">并附上规范的食品储存的设备设施、</w:t>
            </w:r>
            <w:bookmarkEnd w:id="263"/>
            <w:r/>
            <w:bookmarkEnd w:id="264"/>
            <w:r/>
            <w:bookmarkStart w:id="265" w:name="OLE_LINK6"/>
            <w:r/>
            <w:bookmarkStart w:id="266" w:name="OLE_LINK7"/>
            <w:r>
              <w:rPr>
                <w:rFonts w:hint="eastAsia" w:ascii="宋体" w:hAnsi="宋体" w:cs="宋体"/>
                <w:bCs/>
                <w:color w:val="000000" w:themeColor="text1"/>
                <w:szCs w:val="21"/>
                <w:highlight w:val="none"/>
                <w14:textFill>
                  <w14:solidFill>
                    <w14:schemeClr w14:val="tx1"/>
                  </w14:solidFill>
                </w14:textFill>
              </w:rPr>
              <w:t xml:space="preserve">现场</w:t>
            </w:r>
            <w:bookmarkEnd w:id="265"/>
            <w:r/>
            <w:bookmarkEnd w:id="266"/>
            <w:r>
              <w:rPr>
                <w:rFonts w:hint="eastAsia" w:ascii="宋体" w:hAnsi="宋体" w:cs="宋体"/>
                <w:bCs/>
                <w:color w:val="000000" w:themeColor="text1"/>
                <w:szCs w:val="21"/>
                <w:highlight w:val="none"/>
                <w14:textFill>
                  <w14:solidFill>
                    <w14:schemeClr w14:val="tx1"/>
                  </w14:solidFill>
                </w14:textFill>
              </w:rPr>
              <w:t xml:space="preserve">照片等相关证明资料；相关证明资料加盖公章；未提供相关证明资料或资料不全或资料不满足招标文件要求的，不得分。</w:t>
            </w:r>
            <w:r/>
          </w:p>
          <w:p>
            <w:pPr>
              <w:contextualSpacing/>
              <w:spacing w:line="360" w:lineRule="auto"/>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（2）租赁场所的，须提供由投标人或投标人法定代表人签订的在有效期内的场所租赁合同的复印件（</w:t>
            </w:r>
            <w:r>
              <w:rPr>
                <w:rFonts w:hint="eastAsia" w:ascii="宋体" w:hAnsi="宋体" w:cs="宋体"/>
                <w:b/>
                <w:color w:val="000000" w:themeColor="text1"/>
                <w:szCs w:val="21"/>
                <w:highlight w:val="none"/>
                <w14:textFill>
                  <w14:solidFill>
                    <w14:schemeClr w14:val="tx1"/>
                  </w14:solidFill>
                </w14:textFill>
              </w:rPr>
              <w:t xml:space="preserve">须体现面积信息</w:t>
            </w:r>
            <w:r>
              <w:rPr>
                <w:rFonts w:hint="eastAsia" w:ascii="宋体" w:hAnsi="宋体" w:cs="宋体"/>
                <w:bCs/>
                <w:color w:val="000000" w:themeColor="text1"/>
                <w:szCs w:val="21"/>
                <w:highlight w:val="none"/>
                <w14:textFill>
                  <w14:solidFill>
                    <w14:schemeClr w14:val="tx1"/>
                  </w14:solidFill>
                </w14:textFill>
              </w:rPr>
              <w:t xml:space="preserve">）、并附上规范的食品储存的设备设施、现场照片等相关证明资料；</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上述证明材料</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有效期</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须</w:t>
            </w:r>
            <w:r>
              <w:rPr>
                <w:rFonts w:hint="eastAsia" w:ascii="宋体" w:hAnsi="宋体" w:eastAsia="宋体" w:cs="宋体"/>
                <w:bCs/>
                <w:color w:val="000000" w:themeColor="text1"/>
                <w:sz w:val="21"/>
                <w:szCs w:val="21"/>
                <w:highlight w:val="none"/>
                <w:lang w:bidi="ar"/>
                <w14:textFill>
                  <w14:solidFill>
                    <w14:schemeClr w14:val="tx1"/>
                  </w14:solidFill>
                </w14:textFill>
              </w:rPr>
              <w:t xml:space="preserve">涵盖</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履约期限（如有效期涵盖开标当日但不涵盖履约期限的，须同时提供承诺书：承诺到期后，</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原场所使用至</w:t>
            </w:r>
            <w:r>
              <w:rPr>
                <w:rFonts w:hint="eastAsia" w:ascii="宋体" w:hAnsi="宋体" w:eastAsia="宋体" w:cs="宋体"/>
                <w:bCs/>
                <w:color w:val="000000" w:themeColor="text1"/>
                <w:sz w:val="21"/>
                <w:szCs w:val="21"/>
                <w:highlight w:val="none"/>
                <w:lang w:val="en-US" w:eastAsia="zh-CN" w:bidi="ar"/>
                <w14:textFill>
                  <w14:solidFill>
                    <w14:schemeClr w14:val="tx1"/>
                  </w14:solidFill>
                </w14:textFill>
              </w:rPr>
              <w:t xml:space="preserve">与采购人合同履约结束,格式自拟</w:t>
            </w:r>
            <w:r>
              <w:rPr>
                <w:rFonts w:hint="eastAsia" w:ascii="宋体" w:hAnsi="宋体" w:cs="宋体"/>
                <w:bCs/>
                <w:color w:val="000000" w:themeColor="text1"/>
                <w:sz w:val="21"/>
                <w:szCs w:val="21"/>
                <w:highlight w:val="none"/>
                <w:lang w:val="en-US" w:eastAsia="zh-CN" w:bidi="ar"/>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未提供或有缺漏的，不得分。</w:t>
            </w:r>
            <w:r/>
          </w:p>
        </w:tc>
        <w:tc>
          <w:tcPr>
            <w:shd w:val="clear" w:color="auto" w:fill="auto"/>
            <w:tcBorders>
              <w:top w:val="single" w:color="auto" w:sz="4" w:space="0"/>
              <w:left w:val="none" w:color="000000" w:sz="4" w:space="0"/>
              <w:bottom w:val="single" w:color="auto" w:sz="4" w:space="0"/>
              <w:right w:val="single" w:color="auto" w:sz="4" w:space="0"/>
            </w:tcBorders>
            <w:tcW w:w="692" w:type="dxa"/>
            <w:vAlign w:val="center"/>
            <w:textDirection w:val="lrTb"/>
            <w:noWrap w:val="false"/>
          </w:tcPr>
          <w:p>
            <w:pPr>
              <w:jc w:val="center"/>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w:t>
            </w:r>
            <w:r/>
          </w:p>
        </w:tc>
      </w:tr>
      <w:tr>
        <w:trPr>
          <w:trHeight w:val="98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9"/>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left w:val="none" w:color="000000" w:sz="4" w:space="0"/>
              <w:right w:val="single" w:color="auto" w:sz="4" w:space="0"/>
            </w:tcBorders>
            <w:tcW w:w="1217" w:type="dxa"/>
            <w:vAlign w:val="center"/>
            <w:vMerge w:val="continue"/>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5981" w:type="dxa"/>
            <w:vAlign w:val="center"/>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运输车辆（</w:t>
            </w:r>
            <w:r>
              <w:rPr>
                <w:rFonts w:hint="eastAsia" w:ascii="宋体" w:hAnsi="宋体" w:cs="宋体"/>
                <w:b/>
                <w:color w:val="000000" w:themeColor="text1"/>
                <w:szCs w:val="21"/>
                <w:highlight w:val="none"/>
                <w:lang w:val="en-US" w:eastAsia="zh-CN"/>
                <w14:textFill>
                  <w14:solidFill>
                    <w14:schemeClr w14:val="tx1"/>
                  </w14:solidFill>
                </w14:textFill>
              </w:rPr>
              <w:t xml:space="preserve">2</w:t>
            </w:r>
            <w:r>
              <w:rPr>
                <w:rFonts w:hint="eastAsia" w:ascii="宋体" w:hAnsi="宋体" w:cs="宋体"/>
                <w:b/>
                <w:color w:val="000000" w:themeColor="text1"/>
                <w:szCs w:val="21"/>
                <w:highlight w:val="none"/>
                <w14:textFill>
                  <w14:solidFill>
                    <w14:schemeClr w14:val="tx1"/>
                  </w14:solidFill>
                </w14:textFill>
              </w:rPr>
              <w:t xml:space="preserve">分）</w:t>
            </w:r>
            <w:r>
              <w:rPr>
                <w:rFonts w:hint="eastAsia" w:ascii="宋体" w:hAnsi="宋体" w:cs="宋体"/>
                <w:bCs/>
                <w:color w:val="000000" w:themeColor="text1"/>
                <w:szCs w:val="21"/>
                <w:highlight w:val="none"/>
                <w14:textFill>
                  <w14:solidFill>
                    <w14:schemeClr w14:val="tx1"/>
                  </w14:solidFill>
                </w14:textFill>
              </w:rPr>
              <w:t xml:space="preserve">：</w:t>
            </w:r>
            <w:r/>
          </w:p>
          <w:p>
            <w:pP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运输食品的车辆应当保持清洁，并且安全无害</w:t>
            </w:r>
            <w:r>
              <w:rPr>
                <w:rFonts w:hint="eastAsia" w:ascii="宋体" w:hAnsi="宋体" w:cs="宋体"/>
                <w:bCs/>
                <w:color w:val="000000" w:themeColor="text1"/>
                <w:szCs w:val="21"/>
                <w:highlight w:val="none"/>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运输过程中，需要保证食品处于适宜的温度、湿度等环境条件下，以防止食品变质或受污染。</w:t>
            </w:r>
            <w:r>
              <w:rPr>
                <w:rFonts w:hint="eastAsia" w:ascii="宋体" w:hAnsi="宋体" w:cs="宋体"/>
                <w:bCs/>
                <w:color w:val="000000" w:themeColor="text1"/>
                <w:szCs w:val="21"/>
                <w:highlight w:val="none"/>
                <w14:textFill>
                  <w14:solidFill>
                    <w14:schemeClr w14:val="tx1"/>
                  </w14:solidFill>
                </w14:textFill>
              </w:rPr>
              <w:t xml:space="preserve">根据供应商拟投入的食品配送服务运输车辆进行打分，每投入一辆，得1分，满分</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分。需提供以下证明材料：</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1、若为自有车辆，投标文件中必须提供有效期内的车辆行驶证复印件；</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2、若为租赁车辆，投标文件中必须提供有效期内的车辆行驶证复印件及租赁合同复印件；</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3、供应商同时需提供对应车辆车身正面、侧面、车尾照片，照片需清晰可见，否则不予认可；</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4、提供以上证明的车辆须承诺为专为本项目送货的车辆，项目服务期内不得随意更换</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提供承诺书及运输车辆清单</w:t>
            </w:r>
            <w:r>
              <w:rPr>
                <w:rFonts w:hint="eastAsia" w:ascii="宋体" w:hAnsi="宋体" w:cs="宋体"/>
                <w:bCs/>
                <w:color w:val="000000" w:themeColor="text1"/>
                <w:szCs w:val="21"/>
                <w:highlight w:val="none"/>
                <w14:textFill>
                  <w14:solidFill>
                    <w14:schemeClr w14:val="tx1"/>
                  </w14:solidFill>
                </w14:textFill>
              </w:rPr>
              <w:t xml:space="preserve">。</w:t>
            </w:r>
            <w:r/>
          </w:p>
          <w:p>
            <w:pPr>
              <w:contextualSpacing/>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 xml:space="preserve">说明</w:t>
            </w:r>
            <w:r>
              <w:rPr>
                <w:rFonts w:hint="eastAsia" w:ascii="宋体" w:hAnsi="宋体" w:cs="宋体"/>
                <w:b/>
                <w:bCs w:val="0"/>
                <w:color w:val="000000" w:themeColor="text1"/>
                <w:szCs w:val="21"/>
                <w:highlight w:val="none"/>
                <w14:textFill>
                  <w14:solidFill>
                    <w14:schemeClr w14:val="tx1"/>
                  </w14:solidFill>
                </w14:textFill>
              </w:rPr>
              <w:t xml:space="preserve">：未按要求提供上述材料的，本项不得分。</w:t>
            </w:r>
            <w:r/>
          </w:p>
        </w:tc>
        <w:tc>
          <w:tcPr>
            <w:shd w:val="clear" w:color="auto" w:fill="auto"/>
            <w:tcBorders>
              <w:top w:val="single" w:color="auto" w:sz="4" w:space="0"/>
              <w:left w:val="none" w:color="000000" w:sz="4" w:space="0"/>
              <w:bottom w:val="single" w:color="auto" w:sz="4" w:space="0"/>
              <w:right w:val="single" w:color="auto" w:sz="4" w:space="0"/>
            </w:tcBorders>
            <w:tcW w:w="692" w:type="dxa"/>
            <w:vAlign w:val="center"/>
            <w:textDirection w:val="lrTb"/>
            <w:noWrap w:val="false"/>
          </w:tcPr>
          <w:p>
            <w:pPr>
              <w:jc w:val="center"/>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w:t>
            </w:r>
            <w:r/>
          </w:p>
        </w:tc>
      </w:tr>
      <w:tr>
        <w:trPr>
          <w:trHeight w:val="98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9"/>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left w:val="none" w:color="000000" w:sz="4" w:space="0"/>
              <w:bottom w:val="single" w:color="auto" w:sz="4" w:space="0"/>
              <w:right w:val="single" w:color="auto" w:sz="4" w:space="0"/>
            </w:tcBorders>
            <w:tcW w:w="1217" w:type="dxa"/>
            <w:vAlign w:val="center"/>
            <w:vMerge w:val="continue"/>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5981" w:type="dxa"/>
            <w:vAlign w:val="center"/>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采购渠道的多样性（</w:t>
            </w:r>
            <w:r>
              <w:rPr>
                <w:rFonts w:hint="eastAsia" w:ascii="宋体" w:hAnsi="宋体" w:cs="宋体"/>
                <w:b/>
                <w:color w:val="000000" w:themeColor="text1"/>
                <w:szCs w:val="21"/>
                <w:highlight w:val="none"/>
                <w:lang w:val="en-US" w:eastAsia="zh-CN"/>
                <w14:textFill>
                  <w14:solidFill>
                    <w14:schemeClr w14:val="tx1"/>
                  </w14:solidFill>
                </w14:textFill>
              </w:rPr>
              <w:t xml:space="preserve">3</w:t>
            </w:r>
            <w:r>
              <w:rPr>
                <w:rFonts w:hint="eastAsia" w:ascii="宋体" w:hAnsi="宋体" w:cs="宋体"/>
                <w:b/>
                <w:color w:val="000000" w:themeColor="text1"/>
                <w:szCs w:val="21"/>
                <w:highlight w:val="none"/>
                <w14:textFill>
                  <w14:solidFill>
                    <w14:schemeClr w14:val="tx1"/>
                  </w14:solidFill>
                </w14:textFill>
              </w:rPr>
              <w:t xml:space="preserve">分）</w:t>
            </w:r>
            <w:r>
              <w:rPr>
                <w:rFonts w:hint="eastAsia" w:ascii="宋体" w:hAnsi="宋体" w:cs="宋体"/>
                <w:bCs/>
                <w:color w:val="000000" w:themeColor="text1"/>
                <w:szCs w:val="21"/>
                <w:highlight w:val="none"/>
                <w14:textFill>
                  <w14:solidFill>
                    <w14:schemeClr w14:val="tx1"/>
                  </w14:solidFill>
                </w14:textFill>
              </w:rPr>
              <w:t xml:space="preserve">：</w:t>
            </w:r>
            <w:r/>
          </w:p>
          <w:p>
            <w:pPr>
              <w:spacing w:line="360" w:lineRule="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投标人需提供食材（此次采购相关的米、面、油食材）采购渠道为正规途径采购的详细说明(如众彩、批发市场等)的，得</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分</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numPr>
                <w:ilvl w:val="0"/>
                <w:numId w:val="0"/>
              </w:num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1、</w:t>
            </w:r>
            <w:r>
              <w:rPr>
                <w:rFonts w:hint="eastAsia" w:ascii="宋体" w:hAnsi="宋体" w:cs="宋体"/>
                <w:bCs/>
                <w:color w:val="000000" w:themeColor="text1"/>
                <w:szCs w:val="21"/>
                <w:highlight w:val="none"/>
                <w:lang w:val="en-US" w:eastAsia="zh-CN"/>
                <w14:textFill>
                  <w14:solidFill>
                    <w14:schemeClr w14:val="tx1"/>
                  </w14:solidFill>
                </w14:textFill>
              </w:rPr>
              <w:t xml:space="preserve">大米</w:t>
            </w:r>
            <w:r>
              <w:rPr>
                <w:rFonts w:hint="eastAsia" w:ascii="宋体" w:hAnsi="宋体" w:cs="宋体"/>
                <w:bCs/>
                <w:color w:val="000000" w:themeColor="text1"/>
                <w:szCs w:val="21"/>
                <w:highlight w:val="none"/>
                <w14:textFill>
                  <w14:solidFill>
                    <w14:schemeClr w14:val="tx1"/>
                  </w14:solidFill>
                </w14:textFill>
              </w:rPr>
              <w:t xml:space="preserve">能提供证明材料的，得1分</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numPr>
                <w:ilvl w:val="0"/>
                <w:numId w:val="0"/>
              </w:numPr>
              <w:spacing w:line="360" w:lineRule="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2、</w:t>
            </w:r>
            <w:r>
              <w:rPr>
                <w:rFonts w:hint="eastAsia" w:ascii="宋体" w:hAnsi="宋体" w:cs="宋体"/>
                <w:bCs/>
                <w:color w:val="000000" w:themeColor="text1"/>
                <w:szCs w:val="21"/>
                <w:highlight w:val="none"/>
                <w:lang w:val="en-US" w:eastAsia="zh-CN"/>
                <w14:textFill>
                  <w14:solidFill>
                    <w14:schemeClr w14:val="tx1"/>
                  </w14:solidFill>
                </w14:textFill>
              </w:rPr>
              <w:t xml:space="preserve">面粉</w:t>
            </w:r>
            <w:r>
              <w:rPr>
                <w:rFonts w:hint="eastAsia" w:ascii="宋体" w:hAnsi="宋体" w:cs="宋体"/>
                <w:bCs/>
                <w:color w:val="000000" w:themeColor="text1"/>
                <w:szCs w:val="21"/>
                <w:highlight w:val="none"/>
                <w14:textFill>
                  <w14:solidFill>
                    <w14:schemeClr w14:val="tx1"/>
                  </w14:solidFill>
                </w14:textFill>
              </w:rPr>
              <w:t xml:space="preserve">能提供证明材料的，得1分</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numPr>
                <w:ilvl w:val="0"/>
                <w:numId w:val="0"/>
              </w:numPr>
              <w:spacing w:line="360" w:lineRule="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3、</w:t>
            </w:r>
            <w:r>
              <w:rPr>
                <w:rFonts w:hint="eastAsia" w:ascii="宋体" w:hAnsi="宋体" w:cs="宋体"/>
                <w:bCs/>
                <w:color w:val="000000" w:themeColor="text1"/>
                <w:szCs w:val="21"/>
                <w:highlight w:val="none"/>
                <w:lang w:val="en-US" w:eastAsia="zh-CN"/>
                <w14:textFill>
                  <w14:solidFill>
                    <w14:schemeClr w14:val="tx1"/>
                  </w14:solidFill>
                </w14:textFill>
              </w:rPr>
              <w:t xml:space="preserve">食用油</w:t>
            </w:r>
            <w:r>
              <w:rPr>
                <w:rFonts w:hint="eastAsia" w:ascii="宋体" w:hAnsi="宋体" w:cs="宋体"/>
                <w:bCs/>
                <w:color w:val="000000" w:themeColor="text1"/>
                <w:szCs w:val="21"/>
                <w:highlight w:val="none"/>
                <w14:textFill>
                  <w14:solidFill>
                    <w14:schemeClr w14:val="tx1"/>
                  </w14:solidFill>
                </w14:textFill>
              </w:rPr>
              <w:t xml:space="preserve">能提供证明材料的，得1分</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
                <w:bCs w:val="0"/>
                <w:color w:val="000000" w:themeColor="text1"/>
                <w:szCs w:val="21"/>
                <w:highlight w:val="none"/>
                <w:lang w:val="en-US" w:eastAsia="zh-CN" w:bidi="ar"/>
                <w14:textFill>
                  <w14:solidFill>
                    <w14:schemeClr w14:val="tx1"/>
                  </w14:solidFill>
                </w14:textFill>
              </w:rPr>
              <w:t xml:space="preserve">说明：</w:t>
            </w:r>
            <w:r>
              <w:rPr>
                <w:rFonts w:hint="eastAsia" w:ascii="宋体" w:hAnsi="宋体" w:cs="宋体"/>
                <w:b/>
                <w:bCs w:val="0"/>
                <w:color w:val="000000" w:themeColor="text1"/>
                <w:szCs w:val="21"/>
                <w:highlight w:val="none"/>
                <w:lang w:bidi="ar"/>
                <w14:textFill>
                  <w14:solidFill>
                    <w14:schemeClr w14:val="tx1"/>
                  </w14:solidFill>
                </w14:textFill>
              </w:rPr>
              <w:t xml:space="preserve">需提供</w:t>
            </w:r>
            <w:r>
              <w:rPr>
                <w:rFonts w:hint="default" w:ascii="Calibri" w:hAnsi="Calibri" w:cs="Calibri"/>
                <w:b/>
                <w:bCs w:val="0"/>
                <w:color w:val="000000" w:themeColor="text1"/>
                <w:szCs w:val="21"/>
                <w:highlight w:val="none"/>
                <w:lang w:bidi="ar"/>
                <w14:textFill>
                  <w14:solidFill>
                    <w14:schemeClr w14:val="tx1"/>
                  </w14:solidFill>
                </w14:textFill>
              </w:rPr>
              <w:t xml:space="preserve">①</w:t>
            </w:r>
            <w:r>
              <w:rPr>
                <w:rFonts w:hint="eastAsia" w:ascii="宋体" w:hAnsi="宋体" w:cs="宋体"/>
                <w:b/>
                <w:bCs w:val="0"/>
                <w:color w:val="000000" w:themeColor="text1"/>
                <w:szCs w:val="21"/>
                <w:highlight w:val="none"/>
                <w:lang w:bidi="ar"/>
                <w14:textFill>
                  <w14:solidFill>
                    <w14:schemeClr w14:val="tx1"/>
                  </w14:solidFill>
                </w14:textFill>
              </w:rPr>
              <w:t xml:space="preserve">投标人和其上游供应商的购销合同或代理销售合同等</w:t>
            </w:r>
            <w:r>
              <w:rPr>
                <w:rFonts w:hint="eastAsia" w:ascii="宋体" w:hAnsi="宋体" w:cs="宋体"/>
                <w:b/>
                <w:bCs w:val="0"/>
                <w:color w:val="000000" w:themeColor="text1"/>
                <w:szCs w:val="21"/>
                <w:highlight w:val="none"/>
                <w:lang w:val="en-US" w:eastAsia="zh-CN" w:bidi="ar"/>
                <w14:textFill>
                  <w14:solidFill>
                    <w14:schemeClr w14:val="tx1"/>
                  </w14:solidFill>
                </w14:textFill>
              </w:rPr>
              <w:t xml:space="preserve">证明材料复印件</w:t>
            </w:r>
            <w:r>
              <w:rPr>
                <w:rFonts w:hint="eastAsia" w:ascii="宋体" w:hAnsi="宋体" w:cs="宋体"/>
                <w:b/>
                <w:bCs w:val="0"/>
                <w:color w:val="000000" w:themeColor="text1"/>
                <w:szCs w:val="21"/>
                <w:highlight w:val="none"/>
                <w:lang w:bidi="ar"/>
                <w14:textFill>
                  <w14:solidFill>
                    <w14:schemeClr w14:val="tx1"/>
                  </w14:solidFill>
                </w14:textFill>
              </w:rPr>
              <w:t xml:space="preserve">，且合同效期或经销授权期限需涵盖本项目服务期（如合同有效</w:t>
            </w:r>
            <w:r>
              <w:rPr>
                <w:rFonts w:hint="eastAsia" w:ascii="宋体" w:hAnsi="宋体" w:eastAsia="宋体" w:cs="宋体"/>
                <w:b/>
                <w:bCs w:val="0"/>
                <w:color w:val="000000" w:themeColor="text1"/>
                <w:szCs w:val="21"/>
                <w:highlight w:val="none"/>
                <w14:textFill>
                  <w14:solidFill>
                    <w14:schemeClr w14:val="tx1"/>
                  </w14:solidFill>
                </w14:textFill>
              </w:rPr>
              <w:t xml:space="preserve">期涵盖开标当日但不涵盖履约期限的，须同时提供承诺书：承诺到期后，可与原销售渠道合作至与采购</w:t>
            </w:r>
            <w:r>
              <w:rPr>
                <w:rFonts w:hint="eastAsia" w:ascii="宋体" w:hAnsi="宋体" w:cs="宋体"/>
                <w:b/>
                <w:bCs w:val="0"/>
                <w:color w:val="000000" w:themeColor="text1"/>
                <w:szCs w:val="21"/>
                <w:highlight w:val="none"/>
                <w:lang w:bidi="ar"/>
                <w14:textFill>
                  <w14:solidFill>
                    <w14:schemeClr w14:val="tx1"/>
                  </w14:solidFill>
                </w14:textFill>
              </w:rPr>
              <w:t xml:space="preserve">人合同履约结束</w:t>
            </w:r>
            <w:r>
              <w:rPr>
                <w:rFonts w:hint="eastAsia" w:ascii="宋体" w:hAnsi="宋体" w:cs="宋体"/>
                <w:b/>
                <w:bCs w:val="0"/>
                <w:color w:val="000000" w:themeColor="text1"/>
                <w:szCs w:val="21"/>
                <w:highlight w:val="none"/>
                <w:lang w:eastAsia="zh-CN" w:bidi="ar"/>
                <w14:textFill>
                  <w14:solidFill>
                    <w14:schemeClr w14:val="tx1"/>
                  </w14:solidFill>
                </w14:textFill>
              </w:rPr>
              <w:t xml:space="preserve">，</w:t>
            </w:r>
            <w:r>
              <w:rPr>
                <w:rFonts w:hint="eastAsia" w:ascii="宋体" w:hAnsi="宋体" w:cs="宋体"/>
                <w:b/>
                <w:bCs w:val="0"/>
                <w:color w:val="000000" w:themeColor="text1"/>
                <w:szCs w:val="21"/>
                <w:highlight w:val="none"/>
                <w:lang w:bidi="ar"/>
                <w14:textFill>
                  <w14:solidFill>
                    <w14:schemeClr w14:val="tx1"/>
                  </w14:solidFill>
                </w14:textFill>
              </w:rPr>
              <w:t xml:space="preserve">格式自拟</w:t>
            </w:r>
            <w:r>
              <w:rPr>
                <w:rFonts w:hint="eastAsia" w:ascii="宋体" w:hAnsi="宋体" w:cs="宋体"/>
                <w:b/>
                <w:bCs w:val="0"/>
                <w:color w:val="000000" w:themeColor="text1"/>
                <w:szCs w:val="21"/>
                <w:highlight w:val="none"/>
                <w:lang w:eastAsia="zh-CN" w:bidi="ar"/>
                <w14:textFill>
                  <w14:solidFill>
                    <w14:schemeClr w14:val="tx1"/>
                  </w14:solidFill>
                </w14:textFill>
              </w:rPr>
              <w:t xml:space="preserve">）。</w:t>
            </w:r>
            <w:r>
              <w:rPr>
                <w:rFonts w:hint="default" w:ascii="宋体" w:hAnsi="宋体" w:cs="宋体"/>
                <w:b/>
                <w:bCs w:val="0"/>
                <w:color w:val="000000" w:themeColor="text1"/>
                <w:szCs w:val="21"/>
                <w:highlight w:val="none"/>
                <w:lang w:bidi="ar"/>
                <w14:textFill>
                  <w14:solidFill>
                    <w14:schemeClr w14:val="tx1"/>
                  </w14:solidFill>
                </w14:textFill>
              </w:rPr>
              <w:t xml:space="preserve">②</w:t>
            </w:r>
            <w:r>
              <w:rPr>
                <w:rFonts w:hint="eastAsia" w:ascii="宋体" w:hAnsi="宋体" w:cs="宋体"/>
                <w:b/>
                <w:bCs w:val="0"/>
                <w:color w:val="000000" w:themeColor="text1"/>
                <w:szCs w:val="21"/>
                <w:highlight w:val="none"/>
                <w:lang w:val="en-US" w:eastAsia="zh-CN" w:bidi="ar"/>
                <w14:textFill>
                  <w14:solidFill>
                    <w14:schemeClr w14:val="tx1"/>
                  </w14:solidFill>
                </w14:textFill>
              </w:rPr>
              <w:t xml:space="preserve">出具产品溯源承诺书，内容须包括：所供应食材（米、面、油）质量安全合规、产品可追溯至生产出厂源头，溯源信息完整、真实可查。否则评审时不予认可。</w:t>
            </w:r>
            <w:r/>
          </w:p>
        </w:tc>
        <w:tc>
          <w:tcPr>
            <w:shd w:val="clear" w:color="auto" w:fill="auto"/>
            <w:tcBorders>
              <w:top w:val="single" w:color="auto" w:sz="4" w:space="0"/>
              <w:left w:val="none" w:color="000000" w:sz="4" w:space="0"/>
              <w:bottom w:val="single" w:color="auto" w:sz="4" w:space="0"/>
              <w:right w:val="single" w:color="auto" w:sz="4" w:space="0"/>
            </w:tcBorders>
            <w:tcW w:w="692" w:type="dxa"/>
            <w:vAlign w:val="center"/>
            <w:textDirection w:val="lrTb"/>
            <w:noWrap w:val="false"/>
          </w:tcPr>
          <w:p>
            <w:pPr>
              <w:jc w:val="center"/>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3</w:t>
            </w:r>
            <w:r/>
          </w:p>
        </w:tc>
      </w:tr>
      <w:tr>
        <w:trPr>
          <w:trHeight w:val="98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9"/>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服务团队人员</w:t>
            </w:r>
            <w:r/>
          </w:p>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（5分）</w:t>
            </w:r>
            <w:r/>
          </w:p>
        </w:tc>
        <w:tc>
          <w:tcPr>
            <w:shd w:val="clear" w:color="auto" w:fill="auto"/>
            <w:tcBorders>
              <w:top w:val="single" w:color="auto" w:sz="4" w:space="0"/>
              <w:left w:val="none" w:color="000000" w:sz="4" w:space="0"/>
              <w:bottom w:val="single" w:color="auto" w:sz="4" w:space="0"/>
              <w:right w:val="single" w:color="auto" w:sz="4" w:space="0"/>
            </w:tcBorders>
            <w:tcW w:w="5981" w:type="dxa"/>
            <w:vAlign w:val="center"/>
            <w:textDirection w:val="lrTb"/>
            <w:noWrap w:val="false"/>
          </w:tcPr>
          <w:p>
            <w:pPr>
              <w:spacing w:line="360" w:lineRule="auto"/>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1、项目负责人具有食材配送工作经验5年及以上得2分。</w:t>
            </w:r>
            <w:r/>
          </w:p>
          <w:p>
            <w:pPr>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说明：本项须提供项目负责人业务简历及投标单位自2025年1</w:t>
            </w:r>
            <w:r>
              <w:rPr>
                <w:rFonts w:hint="eastAsia" w:ascii="宋体" w:hAnsi="宋体" w:cs="宋体"/>
                <w:b/>
                <w:color w:val="000000" w:themeColor="text1"/>
                <w:szCs w:val="21"/>
                <w:highlight w:val="none"/>
                <w:lang w:val="en-US" w:eastAsia="zh-CN"/>
                <w14:textFill>
                  <w14:solidFill>
                    <w14:schemeClr w14:val="tx1"/>
                  </w14:solidFill>
                </w14:textFill>
              </w:rPr>
              <w:t xml:space="preserve">2</w:t>
            </w:r>
            <w:r>
              <w:rPr>
                <w:rFonts w:hint="eastAsia" w:ascii="宋体" w:hAnsi="宋体" w:cs="宋体"/>
                <w:b/>
                <w:color w:val="000000" w:themeColor="text1"/>
                <w:szCs w:val="21"/>
                <w:highlight w:val="none"/>
                <w14:textFill>
                  <w14:solidFill>
                    <w14:schemeClr w14:val="tx1"/>
                  </w14:solidFill>
                </w14:textFill>
              </w:rPr>
              <w:t xml:space="preserve">月（含）以来任意一个月为其缴纳的社保的证明复印件，否则不得分。</w:t>
            </w:r>
            <w:r/>
          </w:p>
          <w:p>
            <w:pPr>
              <w:numPr>
                <w:ilvl w:val="0"/>
                <w:numId w:val="0"/>
              </w:numPr>
              <w:jc w:val="left"/>
              <w:spacing w:line="360" w:lineRule="auto"/>
              <w:rPr>
                <w:rFonts w:ascii="宋体" w:hAnsi="宋体" w:cs="宋体"/>
                <w:bCs/>
                <w:color w:val="000000" w:themeColor="text1"/>
                <w:szCs w:val="21"/>
                <w:highlight w:val="none"/>
                <w14:textFill>
                  <w14:solidFill>
                    <w14:schemeClr w14:val="tx1"/>
                  </w14:solidFill>
                </w14:textFill>
              </w:rPr>
            </w:pPr>
            <w:r>
              <w:rPr>
                <w:rFonts w:hint="default" w:ascii="宋体" w:hAnsi="宋体" w:eastAsia="宋体" w:cs="宋体"/>
                <w:bCs/>
                <w:color w:val="000000" w:themeColor="text1"/>
                <w:sz w:val="21"/>
                <w:szCs w:val="21"/>
                <w:lang w:val="en-US" w:eastAsia="zh-CN" w:bidi="ar-SA"/>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供应商拟为本项目配备相关工作岗位人员（如采购、分拣、出入库、车辆配送等岗位）具有健康证的，每有一人得1分，最多得3分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说明：提供</w:t>
            </w:r>
            <w:r>
              <w:rPr>
                <w:rFonts w:hint="default" w:ascii="Calibri" w:hAnsi="Calibri" w:cs="Calibri"/>
                <w:b/>
                <w:bCs w:val="0"/>
                <w:color w:val="000000" w:themeColor="text1"/>
                <w:szCs w:val="21"/>
                <w:highlight w:val="none"/>
                <w14:textFill>
                  <w14:solidFill>
                    <w14:schemeClr w14:val="tx1"/>
                  </w14:solidFill>
                </w14:textFill>
              </w:rPr>
              <w:t xml:space="preserve">①</w:t>
            </w:r>
            <w:r>
              <w:rPr>
                <w:rFonts w:hint="eastAsia" w:ascii="宋体" w:hAnsi="宋体" w:cs="宋体"/>
                <w:b/>
                <w:color w:val="000000" w:themeColor="text1"/>
                <w:szCs w:val="21"/>
                <w:highlight w:val="none"/>
                <w14:textFill>
                  <w14:solidFill>
                    <w14:schemeClr w14:val="tx1"/>
                  </w14:solidFill>
                </w14:textFill>
              </w:rPr>
              <w:t xml:space="preserve">上述人员的证书复印件以及供应商为其在近6个月内（2025年</w:t>
            </w:r>
            <w:r>
              <w:rPr>
                <w:rFonts w:hint="eastAsia" w:ascii="宋体" w:hAnsi="宋体" w:cs="宋体"/>
                <w:b/>
                <w:color w:val="000000" w:themeColor="text1"/>
                <w:szCs w:val="21"/>
                <w:highlight w:val="none"/>
                <w:lang w:val="en-US" w:eastAsia="zh-CN"/>
                <w14:textFill>
                  <w14:solidFill>
                    <w14:schemeClr w14:val="tx1"/>
                  </w14:solidFill>
                </w14:textFill>
              </w:rPr>
              <w:t xml:space="preserve">12</w:t>
            </w:r>
            <w:r>
              <w:rPr>
                <w:rFonts w:hint="eastAsia" w:ascii="宋体" w:hAnsi="宋体" w:cs="宋体"/>
                <w:b/>
                <w:color w:val="000000" w:themeColor="text1"/>
                <w:szCs w:val="21"/>
                <w:highlight w:val="none"/>
                <w14:textFill>
                  <w14:solidFill>
                    <w14:schemeClr w14:val="tx1"/>
                  </w14:solidFill>
                </w14:textFill>
              </w:rPr>
              <w:t xml:space="preserve">月（含）以来）任意一个月缴纳社保的证明材料，未提供上述材料的不得分，如果委托第三方公司代为缴纳社保，需提供供应商和第三方公司委托缴纳社保的证明）。</w:t>
            </w:r>
            <w:r>
              <w:rPr>
                <w:rFonts w:hint="default" w:ascii="Calibri" w:hAnsi="Calibri" w:cs="Calibri"/>
                <w:b/>
                <w:bCs w:val="0"/>
                <w:color w:val="000000" w:themeColor="text1"/>
                <w:highlight w:val="none"/>
                <w14:textFill>
                  <w14:solidFill>
                    <w14:schemeClr w14:val="tx1"/>
                  </w14:solidFill>
                </w14:textFill>
              </w:rPr>
              <w:t xml:space="preserve">②</w:t>
            </w:r>
            <w:r>
              <w:rPr>
                <w:rFonts w:hint="eastAsia"/>
                <w:b/>
                <w:bCs w:val="0"/>
                <w:color w:val="000000" w:themeColor="text1"/>
                <w:highlight w:val="none"/>
                <w:lang w:val="en-US" w:eastAsia="zh-CN"/>
                <w14:textFill>
                  <w14:solidFill>
                    <w14:schemeClr w14:val="tx1"/>
                  </w14:solidFill>
                </w14:textFill>
              </w:rPr>
              <w:t xml:space="preserve">提供上述服务团队人员明细清单，清单需列明姓名、联系方式、工作岗位，岗位职责，上述所有岗位人员不得相互兼任，若存在兼任情形，同一人员仅按其中一个岗位计分，不重复累计得分。</w:t>
            </w:r>
            <w:r/>
          </w:p>
        </w:tc>
        <w:tc>
          <w:tcPr>
            <w:shd w:val="clear" w:color="auto" w:fill="auto"/>
            <w:tcBorders>
              <w:top w:val="single" w:color="auto" w:sz="4" w:space="0"/>
              <w:left w:val="none" w:color="000000" w:sz="4" w:space="0"/>
              <w:bottom w:val="single" w:color="auto" w:sz="4" w:space="0"/>
              <w:right w:val="single" w:color="auto" w:sz="4" w:space="0"/>
            </w:tcBorders>
            <w:tcW w:w="692"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p>
        </w:tc>
      </w:tr>
      <w:tr>
        <w:trPr>
          <w:trHeight w:val="98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9"/>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配送方案</w:t>
            </w:r>
            <w:r/>
          </w:p>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（10分）</w:t>
            </w:r>
            <w:r/>
          </w:p>
        </w:tc>
        <w:tc>
          <w:tcPr>
            <w:shd w:val="clear" w:color="auto" w:fill="auto"/>
            <w:tcBorders>
              <w:top w:val="single" w:color="auto" w:sz="4" w:space="0"/>
              <w:left w:val="none" w:color="000000" w:sz="4" w:space="0"/>
              <w:bottom w:val="single" w:color="auto" w:sz="4" w:space="0"/>
              <w:right w:val="single" w:color="auto" w:sz="4" w:space="0"/>
            </w:tcBorders>
            <w:tcW w:w="5981" w:type="dxa"/>
            <w:vAlign w:val="center"/>
            <w:textDirection w:val="lrTb"/>
            <w:noWrap w:val="false"/>
          </w:tcPr>
          <w:p>
            <w:pPr>
              <w:jc w:val="left"/>
              <w:spacing w:line="360" w:lineRule="auto"/>
              <w:widowControl/>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供应商须有配送服务方案，响应招标文件要求，有合理有效供货计划和保障措施，包括但不限于</w:t>
            </w:r>
            <w:r>
              <w:rPr>
                <w:rFonts w:hint="eastAsia" w:ascii="宋体" w:hAnsi="宋体" w:cs="宋体"/>
                <w:b/>
                <w:color w:val="000000" w:themeColor="text1"/>
                <w:szCs w:val="21"/>
                <w:highlight w:val="none"/>
                <w14:textFill>
                  <w14:solidFill>
                    <w14:schemeClr w14:val="tx1"/>
                  </w14:solidFill>
                </w14:textFill>
              </w:rPr>
              <w:t xml:space="preserve">供货时间、车辆配置、</w:t>
            </w:r>
            <w:r>
              <w:rPr>
                <w:rFonts w:hint="eastAsia" w:ascii="宋体" w:hAnsi="宋体" w:cs="宋体"/>
                <w:b/>
                <w:bCs/>
                <w:color w:val="000000" w:themeColor="text1"/>
                <w:szCs w:val="21"/>
                <w:highlight w:val="none"/>
                <w14:textFill>
                  <w14:solidFill>
                    <w14:schemeClr w14:val="tx1"/>
                  </w14:solidFill>
                </w14:textFill>
              </w:rPr>
              <w:t xml:space="preserve">进场送货、以及配送</w:t>
            </w:r>
            <w:r>
              <w:rPr>
                <w:rFonts w:hint="eastAsia" w:ascii="宋体" w:hAnsi="宋体" w:cs="宋体"/>
                <w:b/>
                <w:color w:val="000000" w:themeColor="text1"/>
                <w:szCs w:val="21"/>
                <w:highlight w:val="none"/>
                <w14:textFill>
                  <w14:solidFill>
                    <w14:schemeClr w14:val="tx1"/>
                  </w14:solidFill>
                </w14:textFill>
              </w:rPr>
              <w:t xml:space="preserve">物流交接各环节处置内容等</w:t>
            </w:r>
            <w:r>
              <w:rPr>
                <w:rFonts w:hint="eastAsia" w:ascii="宋体" w:hAnsi="宋体" w:cs="宋体"/>
                <w:bCs/>
                <w:color w:val="000000" w:themeColor="text1"/>
                <w:szCs w:val="21"/>
                <w:highlight w:val="none"/>
                <w14:textFill>
                  <w14:solidFill>
                    <w14:schemeClr w14:val="tx1"/>
                  </w14:solidFill>
                </w14:textFill>
              </w:rPr>
              <w:t xml:space="preserve">，根据应答情况评审打分</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jc w:val="left"/>
              <w:spacing w:line="360" w:lineRule="auto"/>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供货车辆配备齐全，进场送货、以及配送物流交接各环节处置内容等方案全面、合理，具有针对性，科学合理具备可执行性的得10分；</w:t>
            </w:r>
            <w:r/>
          </w:p>
          <w:p>
            <w:pPr>
              <w:jc w:val="left"/>
              <w:spacing w:line="360" w:lineRule="auto"/>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供货车辆配备齐全，进场送货、以及配送物流交接各环节处置内容等方案考虑的相对不够全面，但依旧具备可行性的得7分；</w:t>
            </w:r>
            <w:r/>
          </w:p>
          <w:p>
            <w:pPr>
              <w:jc w:val="left"/>
              <w:spacing w:line="360" w:lineRule="auto"/>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供货车辆配备齐全，进场送货、以及配送物流交接各环节处置内容等方案不全面，可执行性差的得</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未提供方案的不得分。</w:t>
            </w:r>
            <w:r/>
          </w:p>
        </w:tc>
        <w:tc>
          <w:tcPr>
            <w:shd w:val="clear" w:color="auto" w:fill="auto"/>
            <w:tcBorders>
              <w:top w:val="single" w:color="auto" w:sz="4" w:space="0"/>
              <w:left w:val="none" w:color="000000" w:sz="4" w:space="0"/>
              <w:bottom w:val="single" w:color="auto" w:sz="4" w:space="0"/>
              <w:right w:val="single" w:color="auto" w:sz="4" w:space="0"/>
            </w:tcBorders>
            <w:tcW w:w="692"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10</w:t>
            </w:r>
            <w:r/>
          </w:p>
        </w:tc>
      </w:tr>
      <w:tr>
        <w:trPr>
          <w:trHeight w:val="98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9"/>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right w:val="single" w:color="auto" w:sz="4" w:space="0"/>
            </w:tcBorders>
            <w:tcW w:w="1217"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质量管控</w:t>
            </w:r>
            <w:r/>
          </w:p>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(10分)</w:t>
            </w:r>
            <w:r/>
          </w:p>
        </w:tc>
        <w:tc>
          <w:tcPr>
            <w:shd w:val="clear" w:color="auto" w:fill="auto"/>
            <w:tcBorders>
              <w:top w:val="single" w:color="auto" w:sz="4" w:space="0"/>
              <w:left w:val="none" w:color="000000" w:sz="4" w:space="0"/>
              <w:bottom w:val="single" w:color="auto" w:sz="4" w:space="0"/>
              <w:right w:val="single" w:color="auto" w:sz="4" w:space="0"/>
            </w:tcBorders>
            <w:tcW w:w="5981" w:type="dxa"/>
            <w:vAlign w:val="center"/>
            <w:textDirection w:val="lrTb"/>
            <w:noWrap w:val="false"/>
          </w:tcPr>
          <w:p>
            <w:pPr>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为保证服务质量以及安全、提供供应商关于保证食品安全的内部管理制度（如生产、仓储、物流各环节的管理规定）、从业人员健康管理制度、以及为保证服务质量的内部考核办法等，根据应答情况评审打分</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1、方案内容完整、科学合理、切实可行的得10分；</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2、方案科学合理、切实可行、但内容不完整有欠缺的得7分；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3、内容不完整、不科学合理且没有可行性的得</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4、未提供服务方案的不得分。</w:t>
            </w:r>
            <w:r/>
          </w:p>
        </w:tc>
        <w:tc>
          <w:tcPr>
            <w:shd w:val="clear" w:color="auto" w:fill="auto"/>
            <w:tcBorders>
              <w:top w:val="single" w:color="auto" w:sz="4" w:space="0"/>
              <w:left w:val="none" w:color="000000" w:sz="4" w:space="0"/>
              <w:bottom w:val="single" w:color="auto" w:sz="4" w:space="0"/>
              <w:right w:val="single" w:color="auto" w:sz="4" w:space="0"/>
            </w:tcBorders>
            <w:tcW w:w="692"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10</w:t>
            </w:r>
            <w:r/>
          </w:p>
        </w:tc>
      </w:tr>
      <w:tr>
        <w:trPr>
          <w:trHeight w:val="98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9"/>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应急预案</w:t>
            </w:r>
            <w:r/>
          </w:p>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cs="宋体"/>
                <w:bCs/>
                <w:color w:val="000000" w:themeColor="text1"/>
                <w:szCs w:val="21"/>
                <w:highlight w:val="none"/>
                <w14:textFill>
                  <w14:solidFill>
                    <w14:schemeClr w14:val="tx1"/>
                  </w14:solidFill>
                </w14:textFill>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5981" w:type="dxa"/>
            <w:vAlign w:val="center"/>
            <w:textDirection w:val="lrTb"/>
            <w:noWrap w:val="false"/>
          </w:tcPr>
          <w:p>
            <w:pPr>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须有能力应对突发事件应急预案，包括但不仅限于针对类似市场断货供应保障措施、节假日或非工作时间配送的方案、采购人临时加货要求、如遇特殊突发情况（如雨雪天气等）的配送方案等，根据应答情况评审打分</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方案内容完整、科学合理、切实可行的，得</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cs="宋体"/>
                <w:bCs/>
                <w:color w:val="000000" w:themeColor="text1"/>
                <w:szCs w:val="21"/>
                <w:highlight w:val="none"/>
                <w14:textFill>
                  <w14:solidFill>
                    <w14:schemeClr w14:val="tx1"/>
                  </w14:solidFill>
                </w14:textFill>
              </w:rPr>
              <w:t xml:space="preserve">分；</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方案科学合理、切实可行、但内容不完整有欠缺的，得3分；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方案内容不完整、方案科学合理及可行性欠缺的，得</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未提供服务方案的不得分。</w:t>
            </w:r>
            <w:r/>
          </w:p>
        </w:tc>
        <w:tc>
          <w:tcPr>
            <w:shd w:val="clear" w:color="auto" w:fill="auto"/>
            <w:tcBorders>
              <w:top w:val="single" w:color="auto" w:sz="4" w:space="0"/>
              <w:left w:val="none" w:color="000000" w:sz="4" w:space="0"/>
              <w:bottom w:val="single" w:color="auto" w:sz="4" w:space="0"/>
              <w:right w:val="single" w:color="auto" w:sz="4" w:space="0"/>
            </w:tcBorders>
            <w:tcW w:w="692" w:type="dxa"/>
            <w:vAlign w:val="center"/>
            <w:textDirection w:val="lrTb"/>
            <w:noWrap w:val="false"/>
          </w:tcPr>
          <w:p>
            <w:pPr>
              <w:jc w:val="center"/>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5</w:t>
            </w:r>
            <w:r/>
          </w:p>
          <w:p>
            <w:pPr>
              <w:pStyle w:val="93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98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9"/>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响应时间（5分）</w:t>
            </w:r>
            <w:r/>
          </w:p>
        </w:tc>
        <w:tc>
          <w:tcPr>
            <w:shd w:val="clear" w:color="auto" w:fill="auto"/>
            <w:tcBorders>
              <w:top w:val="single" w:color="auto" w:sz="4" w:space="0"/>
              <w:left w:val="none" w:color="000000" w:sz="4" w:space="0"/>
              <w:bottom w:val="single" w:color="auto" w:sz="4" w:space="0"/>
              <w:right w:val="single" w:color="auto" w:sz="4" w:space="0"/>
            </w:tcBorders>
            <w:tcW w:w="5981" w:type="dxa"/>
            <w:vAlign w:val="center"/>
            <w:textDirection w:val="lrTb"/>
            <w:noWrap w:val="false"/>
          </w:tcPr>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根据供应商响应时间进行评审：</w:t>
            </w:r>
            <w:r/>
          </w:p>
          <w:p>
            <w:pPr>
              <w:numPr>
                <w:ilvl w:val="0"/>
                <w:numId w:val="0"/>
              </w:num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供应商承诺日常响应时间为30分钟内的，</w:t>
            </w:r>
            <w:r>
              <w:rPr>
                <w:rFonts w:hint="eastAsia" w:ascii="宋体" w:hAnsi="宋体" w:cs="宋体"/>
                <w:bCs/>
                <w:color w:val="000000" w:themeColor="text1"/>
                <w:szCs w:val="21"/>
                <w:highlight w:val="none"/>
                <w:lang w:val="en-US" w:eastAsia="zh-CN"/>
                <w14:textFill>
                  <w14:solidFill>
                    <w14:schemeClr w14:val="tx1"/>
                  </w14:solidFill>
                </w14:textFill>
              </w:rPr>
              <w:t xml:space="preserve">且</w:t>
            </w:r>
            <w:r>
              <w:rPr>
                <w:rFonts w:hint="eastAsia" w:ascii="宋体" w:hAnsi="宋体" w:cs="宋体"/>
                <w:bCs/>
                <w:color w:val="000000" w:themeColor="text1"/>
                <w:szCs w:val="21"/>
                <w:highlight w:val="none"/>
                <w14:textFill>
                  <w14:solidFill>
                    <w14:schemeClr w14:val="tx1"/>
                  </w14:solidFill>
                </w14:textFill>
              </w:rPr>
              <w:t xml:space="preserve">临时增加采购响应时间为60分钟内的，得5分；</w:t>
            </w:r>
            <w:r/>
          </w:p>
          <w:p>
            <w:pPr>
              <w:numPr>
                <w:ilvl w:val="0"/>
                <w:numId w:val="0"/>
              </w:num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供应商承诺日常响应时间为40分钟内的，</w:t>
            </w:r>
            <w:r>
              <w:rPr>
                <w:rFonts w:hint="eastAsia" w:ascii="宋体" w:hAnsi="宋体" w:cs="宋体"/>
                <w:bCs/>
                <w:color w:val="000000" w:themeColor="text1"/>
                <w:szCs w:val="21"/>
                <w:highlight w:val="none"/>
                <w:lang w:val="en-US" w:eastAsia="zh-CN"/>
                <w14:textFill>
                  <w14:solidFill>
                    <w14:schemeClr w14:val="tx1"/>
                  </w14:solidFill>
                </w14:textFill>
              </w:rPr>
              <w:t xml:space="preserve">且</w:t>
            </w:r>
            <w:r>
              <w:rPr>
                <w:rFonts w:hint="eastAsia" w:ascii="宋体" w:hAnsi="宋体" w:cs="宋体"/>
                <w:bCs/>
                <w:color w:val="000000" w:themeColor="text1"/>
                <w:szCs w:val="21"/>
                <w:highlight w:val="none"/>
                <w14:textFill>
                  <w14:solidFill>
                    <w14:schemeClr w14:val="tx1"/>
                  </w14:solidFill>
                </w14:textFill>
              </w:rPr>
              <w:t xml:space="preserve">临时增加采购响应时间为70分钟内的，得3分；</w:t>
            </w:r>
            <w:r/>
          </w:p>
          <w:p>
            <w:pPr>
              <w:numPr>
                <w:ilvl w:val="0"/>
                <w:numId w:val="0"/>
              </w:num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供应商承诺日常响应时间为50分钟内的，</w:t>
            </w:r>
            <w:r>
              <w:rPr>
                <w:rFonts w:hint="eastAsia" w:ascii="宋体" w:hAnsi="宋体" w:cs="宋体"/>
                <w:bCs/>
                <w:color w:val="000000" w:themeColor="text1"/>
                <w:szCs w:val="21"/>
                <w:highlight w:val="none"/>
                <w:lang w:val="en-US" w:eastAsia="zh-CN"/>
                <w14:textFill>
                  <w14:solidFill>
                    <w14:schemeClr w14:val="tx1"/>
                  </w14:solidFill>
                </w14:textFill>
              </w:rPr>
              <w:t xml:space="preserve">且</w:t>
            </w:r>
            <w:r>
              <w:rPr>
                <w:rFonts w:hint="eastAsia" w:ascii="宋体" w:hAnsi="宋体" w:cs="宋体"/>
                <w:bCs/>
                <w:color w:val="000000" w:themeColor="text1"/>
                <w:szCs w:val="21"/>
                <w:highlight w:val="none"/>
                <w14:textFill>
                  <w14:solidFill>
                    <w14:schemeClr w14:val="tx1"/>
                  </w14:solidFill>
                </w14:textFill>
              </w:rPr>
              <w:t xml:space="preserve">临时增加采购响应时间为90分钟内的，得1分；</w:t>
            </w:r>
            <w:r/>
          </w:p>
          <w:p>
            <w:pPr>
              <w:numPr>
                <w:ilvl w:val="0"/>
                <w:numId w:val="0"/>
              </w:numPr>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未提供的承诺函的，不得分。</w:t>
            </w:r>
            <w:r/>
          </w:p>
          <w:p>
            <w:pPr>
              <w:jc w:val="left"/>
              <w:spacing w:line="360" w:lineRule="auto"/>
              <w:tabs>
                <w:tab w:val="left" w:pos="312" w:leader="none"/>
              </w:tabs>
              <w:rPr>
                <w:rFonts w:hint="eastAsia"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 xml:space="preserve">说明</w:t>
            </w:r>
            <w:r>
              <w:rPr>
                <w:rFonts w:hint="eastAsia" w:ascii="宋体" w:hAnsi="宋体" w:cs="宋体"/>
                <w:b/>
                <w:bCs w:val="0"/>
                <w:color w:val="000000" w:themeColor="text1"/>
                <w:szCs w:val="21"/>
                <w:highlight w:val="none"/>
                <w14:textFill>
                  <w14:solidFill>
                    <w14:schemeClr w14:val="tx1"/>
                  </w14:solidFill>
                </w14:textFill>
              </w:rPr>
              <w:t xml:space="preserve">：</w:t>
            </w:r>
            <w:r/>
          </w:p>
          <w:p>
            <w:pPr>
              <w:jc w:val="left"/>
              <w:spacing w:line="360" w:lineRule="auto"/>
              <w:tabs>
                <w:tab w:val="left" w:pos="312" w:leader="none"/>
              </w:tabs>
              <w:rPr>
                <w:rFonts w:hint="eastAsia" w:ascii="宋体" w:hAnsi="宋体" w:eastAsia="宋体" w:cs="宋体"/>
                <w:b/>
                <w:bCs w:val="0"/>
                <w:color w:val="000000" w:themeColor="text1"/>
                <w:szCs w:val="21"/>
                <w:highlight w:val="none"/>
                <w:lang w:val="en-US" w:eastAsia="zh-CN"/>
                <w14:textFill>
                  <w14:solidFill>
                    <w14:schemeClr w14:val="tx1"/>
                  </w14:solidFill>
                </w14:textFill>
              </w:rPr>
            </w:pPr>
            <w:r>
              <w:rPr>
                <w:rFonts w:hint="eastAsia" w:ascii="宋体" w:hAnsi="宋体" w:cs="宋体"/>
                <w:b/>
                <w:bCs w:val="0"/>
                <w:color w:val="000000" w:themeColor="text1"/>
                <w:szCs w:val="21"/>
                <w:highlight w:val="none"/>
                <w:lang w:eastAsia="zh-CN"/>
                <w14:textFill>
                  <w14:solidFill>
                    <w14:schemeClr w14:val="tx1"/>
                  </w14:solidFill>
                </w14:textFill>
              </w:rPr>
              <w:t xml:space="preserve">（</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1</w:t>
            </w:r>
            <w:r>
              <w:rPr>
                <w:rFonts w:hint="eastAsia" w:ascii="宋体" w:hAnsi="宋体" w:cs="宋体"/>
                <w:b/>
                <w:bCs w:val="0"/>
                <w:color w:val="000000" w:themeColor="text1"/>
                <w:szCs w:val="21"/>
                <w:highlight w:val="none"/>
                <w:lang w:eastAsia="zh-CN"/>
                <w14:textFill>
                  <w14:solidFill>
                    <w14:schemeClr w14:val="tx1"/>
                  </w14:solidFill>
                </w14:textFill>
              </w:rPr>
              <w:t xml:space="preserve">）</w:t>
            </w:r>
            <w:r>
              <w:rPr>
                <w:rFonts w:hint="eastAsia" w:ascii="宋体" w:hAnsi="宋体" w:cs="宋体"/>
                <w:b/>
                <w:bCs w:val="0"/>
                <w:color w:val="000000" w:themeColor="text1"/>
                <w:szCs w:val="21"/>
                <w:highlight w:val="none"/>
                <w14:textFill>
                  <w14:solidFill>
                    <w14:schemeClr w14:val="tx1"/>
                  </w14:solidFill>
                </w14:textFill>
              </w:rPr>
              <w:t xml:space="preserve">本项须在投标文件中提供承诺函，未提供的不得分</w:t>
            </w:r>
            <w:r>
              <w:rPr>
                <w:rFonts w:hint="eastAsia" w:ascii="宋体" w:hAnsi="宋体" w:cs="宋体"/>
                <w:b/>
                <w:bCs w:val="0"/>
                <w:color w:val="000000" w:themeColor="text1"/>
                <w:szCs w:val="21"/>
                <w:highlight w:val="none"/>
                <w:lang w:eastAsia="zh-CN"/>
                <w14:textFill>
                  <w14:solidFill>
                    <w14:schemeClr w14:val="tx1"/>
                  </w14:solidFill>
                </w14:textFill>
              </w:rPr>
              <w:t xml:space="preserve">。</w:t>
            </w:r>
            <w:r/>
          </w:p>
          <w:p>
            <w:pPr>
              <w:jc w:val="left"/>
              <w:spacing w:line="360" w:lineRule="auto"/>
              <w:tabs>
                <w:tab w:val="left" w:pos="312"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 xml:space="preserve">（2）</w:t>
            </w:r>
            <w:r>
              <w:rPr>
                <w:rFonts w:hint="eastAsia" w:ascii="宋体" w:hAnsi="宋体" w:cs="宋体"/>
                <w:b/>
                <w:bCs w:val="0"/>
                <w:color w:val="000000" w:themeColor="text1"/>
                <w:szCs w:val="21"/>
                <w:highlight w:val="none"/>
                <w14:textFill>
                  <w14:solidFill>
                    <w14:schemeClr w14:val="tx1"/>
                  </w14:solidFill>
                </w14:textFill>
              </w:rPr>
              <w:t xml:space="preserve">供应商承诺将作为合同条款。</w:t>
            </w:r>
            <w:r/>
          </w:p>
        </w:tc>
        <w:tc>
          <w:tcPr>
            <w:shd w:val="clear" w:color="auto" w:fill="auto"/>
            <w:tcBorders>
              <w:top w:val="single" w:color="auto" w:sz="4" w:space="0"/>
              <w:left w:val="none" w:color="000000" w:sz="4" w:space="0"/>
              <w:bottom w:val="single" w:color="auto" w:sz="4" w:space="0"/>
              <w:right w:val="single" w:color="auto" w:sz="4" w:space="0"/>
            </w:tcBorders>
            <w:tcW w:w="692"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p>
        </w:tc>
      </w:tr>
      <w:tr>
        <w:trPr>
          <w:trHeight w:val="288"/>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9"/>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售后服务</w:t>
            </w:r>
            <w:r/>
          </w:p>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cs="宋体"/>
                <w:bCs/>
                <w:color w:val="000000" w:themeColor="text1"/>
                <w:szCs w:val="21"/>
                <w:highlight w:val="none"/>
                <w14:textFill>
                  <w14:solidFill>
                    <w14:schemeClr w14:val="tx1"/>
                  </w14:solidFill>
                </w14:textFill>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5981" w:type="dxa"/>
            <w:textDirection w:val="lrTb"/>
            <w:noWrap w:val="false"/>
          </w:tcPr>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供应商须有售后服务方案，包括：供应商自行列举可能出现的质量相关问题，以及对应的解决方案与措施、针对食材售后回访方案等，根据供应商提供的具体服务方案进行评分。</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方案内容完整、科学合理、切实可行的得</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cs="宋体"/>
                <w:bCs/>
                <w:color w:val="000000" w:themeColor="text1"/>
                <w:szCs w:val="21"/>
                <w:highlight w:val="none"/>
                <w14:textFill>
                  <w14:solidFill>
                    <w14:schemeClr w14:val="tx1"/>
                  </w14:solidFill>
                </w14:textFill>
              </w:rPr>
              <w:t xml:space="preserve">分；</w:t>
            </w:r>
            <w:r/>
          </w:p>
          <w:p>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方案科学合理、切实可行、但内容不完整有欠缺的得</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cs="宋体"/>
                <w:bCs/>
                <w:color w:val="000000" w:themeColor="text1"/>
                <w:szCs w:val="21"/>
                <w:highlight w:val="none"/>
                <w14:textFill>
                  <w14:solidFill>
                    <w14:schemeClr w14:val="tx1"/>
                  </w14:solidFill>
                </w14:textFill>
              </w:rPr>
              <w:t xml:space="preserve">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方案内容不完整、方案科学合理及可行性欠缺的得</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内容不完整、不科学合理且没有可行性的得</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分。</w:t>
            </w:r>
            <w:r/>
          </w:p>
          <w:p>
            <w:pPr>
              <w:pStyle w:val="846"/>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未提供服务方案的不得分。</w:t>
            </w:r>
            <w:r/>
          </w:p>
        </w:tc>
        <w:tc>
          <w:tcPr>
            <w:shd w:val="clear" w:color="auto" w:fill="auto"/>
            <w:tcBorders>
              <w:top w:val="single" w:color="auto" w:sz="4" w:space="0"/>
              <w:left w:val="none" w:color="000000" w:sz="4" w:space="0"/>
              <w:bottom w:val="single" w:color="auto" w:sz="4" w:space="0"/>
              <w:right w:val="single" w:color="auto" w:sz="4" w:space="0"/>
            </w:tcBorders>
            <w:tcW w:w="692" w:type="dxa"/>
            <w:vAlign w:val="center"/>
            <w:textDirection w:val="lrTb"/>
            <w:noWrap w:val="false"/>
          </w:tcPr>
          <w:p>
            <w:pPr>
              <w:jc w:val="center"/>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6</w:t>
            </w:r>
            <w:r/>
          </w:p>
        </w:tc>
      </w:tr>
      <w:tr>
        <w:trPr>
          <w:trHeight w:val="984"/>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9"/>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spacing w:line="360" w:lineRule="auto"/>
              <w:rPr>
                <w:rFonts w:hint="default"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零星采购优惠承诺</w:t>
            </w:r>
            <w:r/>
          </w:p>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（5分）</w:t>
            </w:r>
            <w:r/>
          </w:p>
        </w:tc>
        <w:tc>
          <w:tcPr>
            <w:shd w:val="clear" w:color="auto" w:fill="auto"/>
            <w:tcBorders>
              <w:top w:val="single" w:color="auto" w:sz="4" w:space="0"/>
              <w:left w:val="none" w:color="000000" w:sz="4" w:space="0"/>
              <w:bottom w:val="single" w:color="auto" w:sz="4" w:space="0"/>
              <w:right w:val="single" w:color="auto" w:sz="4" w:space="0"/>
            </w:tcBorders>
            <w:tcW w:w="5981" w:type="dxa"/>
            <w:textDirection w:val="lrTb"/>
            <w:noWrap w:val="false"/>
          </w:tcPr>
          <w:p>
            <w:pPr>
              <w:pStyle w:val="846"/>
              <w:spacing w:line="360" w:lineRule="auto"/>
              <w:rPr>
                <w:rFonts w:hint="eastAsia" w:ascii="宋体" w:hAnsi="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合同期内</w:t>
            </w:r>
            <w:r>
              <w:rPr>
                <w:rFonts w:hint="eastAsia" w:ascii="宋体" w:hAnsi="宋体" w:cs="宋体"/>
                <w:b/>
                <w:color w:val="000000" w:themeColor="text1"/>
                <w:szCs w:val="21"/>
                <w:highlight w:val="none"/>
                <w:lang w:val="en-US" w:eastAsia="zh-CN"/>
                <w14:textFill>
                  <w14:solidFill>
                    <w14:schemeClr w14:val="tx1"/>
                  </w14:solidFill>
                </w14:textFill>
              </w:rPr>
              <w:t xml:space="preserve">根据采购人实际需要，所需采购产品在</w:t>
            </w:r>
            <w:r>
              <w:rPr>
                <w:rFonts w:hint="eastAsia" w:ascii="宋体" w:hAnsi="宋体" w:cs="宋体"/>
                <w:b/>
                <w:color w:val="000000" w:themeColor="text1"/>
                <w:szCs w:val="21"/>
                <w:highlight w:val="none"/>
                <w14:textFill>
                  <w14:solidFill>
                    <w14:schemeClr w14:val="tx1"/>
                  </w14:solidFill>
                </w14:textFill>
              </w:rPr>
              <w:t xml:space="preserve">清单</w:t>
            </w:r>
            <w:r>
              <w:rPr>
                <w:rFonts w:hint="eastAsia" w:ascii="宋体" w:hAnsi="宋体" w:cs="宋体"/>
                <w:b/>
                <w:color w:val="000000" w:themeColor="text1"/>
                <w:szCs w:val="21"/>
                <w:highlight w:val="none"/>
                <w:lang w:val="en-US" w:eastAsia="zh-CN"/>
                <w14:textFill>
                  <w14:solidFill>
                    <w14:schemeClr w14:val="tx1"/>
                  </w14:solidFill>
                </w14:textFill>
              </w:rPr>
              <w:t xml:space="preserve">内没有对应报价</w:t>
            </w:r>
            <w:r>
              <w:rPr>
                <w:rFonts w:hint="eastAsia" w:ascii="宋体" w:hAnsi="宋体" w:cs="宋体"/>
                <w:b/>
                <w:color w:val="000000" w:themeColor="text1"/>
                <w:szCs w:val="21"/>
                <w:highlight w:val="none"/>
                <w14:textFill>
                  <w14:solidFill>
                    <w14:schemeClr w14:val="tx1"/>
                  </w14:solidFill>
                </w14:textFill>
              </w:rPr>
              <w:t xml:space="preserve">的，以采购人周边3个市场价格的零售价均价作为基准价格，</w:t>
            </w:r>
            <w:r>
              <w:rPr>
                <w:rFonts w:hint="eastAsia" w:ascii="宋体" w:hAnsi="宋体" w:cs="宋体"/>
                <w:b/>
                <w:color w:val="000000" w:themeColor="text1"/>
                <w:szCs w:val="21"/>
                <w:highlight w:val="none"/>
                <w:lang w:val="en-US" w:eastAsia="zh-CN"/>
                <w14:textFill>
                  <w14:solidFill>
                    <w14:schemeClr w14:val="tx1"/>
                  </w14:solidFill>
                </w14:textFill>
              </w:rPr>
              <w:t xml:space="preserve">投标人可承诺价格优惠（友情提醒：请注意本项须填写下浮率，数值应填写20%或25%或30%，否则不得分）：</w:t>
            </w:r>
            <w:r/>
          </w:p>
          <w:p>
            <w:pPr>
              <w:pStyle w:val="846"/>
              <w:numPr>
                <w:ilvl w:val="0"/>
                <w:numId w:val="0"/>
              </w:numPr>
              <w:spacing w:line="360" w:lineRule="auto"/>
              <w:rPr>
                <w:rFonts w:hint="eastAsia" w:ascii="宋体" w:hAnsi="宋体" w:cs="宋体"/>
                <w:b/>
                <w:color w:val="000000" w:themeColor="text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lang w:val="en-US" w:eastAsia="zh-CN" w:bidi="ar-SA"/>
                <w14:textFill>
                  <w14:solidFill>
                    <w14:schemeClr w14:val="tx1"/>
                  </w14:solidFill>
                </w14:textFill>
              </w:rPr>
              <w:t xml:space="preserve">1、</w:t>
            </w:r>
            <w:r>
              <w:rPr>
                <w:rFonts w:hint="eastAsia" w:ascii="宋体" w:hAnsi="宋体" w:cs="宋体"/>
                <w:b/>
                <w:color w:val="000000" w:themeColor="text1"/>
                <w:szCs w:val="21"/>
                <w:highlight w:val="none"/>
                <w:lang w:val="en-US" w:eastAsia="zh-CN"/>
                <w14:textFill>
                  <w14:solidFill>
                    <w14:schemeClr w14:val="tx1"/>
                  </w14:solidFill>
                </w14:textFill>
              </w:rPr>
              <w:t xml:space="preserve">承诺优惠率（下浮率）30%的，得5分；</w:t>
            </w:r>
            <w:r/>
          </w:p>
          <w:p>
            <w:pPr>
              <w:pStyle w:val="846"/>
              <w:numPr>
                <w:ilvl w:val="0"/>
                <w:numId w:val="0"/>
              </w:numPr>
              <w:spacing w:line="360" w:lineRule="auto"/>
              <w:rPr>
                <w:rFonts w:hint="default" w:ascii="宋体" w:hAnsi="宋体" w:cs="宋体"/>
                <w:b/>
                <w:color w:val="000000" w:themeColor="text1"/>
                <w:szCs w:val="21"/>
                <w:highlight w:val="none"/>
                <w:lang w:val="en-US" w:eastAsia="zh-CN"/>
                <w14:textFill>
                  <w14:solidFill>
                    <w14:schemeClr w14:val="tx1"/>
                  </w14:solidFill>
                </w14:textFill>
              </w:rPr>
            </w:pPr>
            <w:r>
              <w:rPr>
                <w:rFonts w:hint="default" w:ascii="宋体" w:hAnsi="宋体" w:eastAsia="宋体" w:cs="宋体"/>
                <w:b/>
                <w:color w:val="000000" w:themeColor="text1"/>
                <w:sz w:val="21"/>
                <w:szCs w:val="21"/>
                <w:lang w:val="en-US" w:eastAsia="zh-CN" w:bidi="ar-SA"/>
                <w14:textFill>
                  <w14:solidFill>
                    <w14:schemeClr w14:val="tx1"/>
                  </w14:solidFill>
                </w14:textFill>
              </w:rPr>
              <w:t xml:space="preserve">2、</w:t>
            </w:r>
            <w:r>
              <w:rPr>
                <w:rFonts w:hint="eastAsia" w:ascii="宋体" w:hAnsi="宋体" w:cs="宋体"/>
                <w:b/>
                <w:color w:val="000000" w:themeColor="text1"/>
                <w:szCs w:val="21"/>
                <w:highlight w:val="none"/>
                <w:lang w:val="en-US" w:eastAsia="zh-CN"/>
                <w14:textFill>
                  <w14:solidFill>
                    <w14:schemeClr w14:val="tx1"/>
                  </w14:solidFill>
                </w14:textFill>
              </w:rPr>
              <w:t xml:space="preserve">承诺优惠率（下浮率）25%的，得3分；</w:t>
            </w:r>
            <w:r/>
          </w:p>
          <w:p>
            <w:pPr>
              <w:pStyle w:val="846"/>
              <w:numPr>
                <w:ilvl w:val="0"/>
                <w:numId w:val="0"/>
              </w:numPr>
              <w:spacing w:line="360" w:lineRule="auto"/>
              <w:rPr>
                <w:rFonts w:hint="default" w:ascii="宋体" w:hAnsi="宋体" w:cs="宋体"/>
                <w:b/>
                <w:color w:val="000000" w:themeColor="text1"/>
                <w:szCs w:val="21"/>
                <w:highlight w:val="none"/>
                <w:lang w:val="en-US" w:eastAsia="zh-CN"/>
                <w14:textFill>
                  <w14:solidFill>
                    <w14:schemeClr w14:val="tx1"/>
                  </w14:solidFill>
                </w14:textFill>
              </w:rPr>
            </w:pPr>
            <w:r>
              <w:rPr>
                <w:rFonts w:hint="default" w:ascii="宋体" w:hAnsi="宋体" w:eastAsia="宋体" w:cs="宋体"/>
                <w:b/>
                <w:color w:val="000000" w:themeColor="text1"/>
                <w:sz w:val="21"/>
                <w:szCs w:val="21"/>
                <w:lang w:val="en-US" w:eastAsia="zh-CN" w:bidi="ar-SA"/>
                <w14:textFill>
                  <w14:solidFill>
                    <w14:schemeClr w14:val="tx1"/>
                  </w14:solidFill>
                </w14:textFill>
              </w:rPr>
              <w:t xml:space="preserve">3、</w:t>
            </w:r>
            <w:r>
              <w:rPr>
                <w:rFonts w:hint="eastAsia" w:ascii="宋体" w:hAnsi="宋体" w:cs="宋体"/>
                <w:b/>
                <w:color w:val="000000" w:themeColor="text1"/>
                <w:szCs w:val="21"/>
                <w:highlight w:val="none"/>
                <w:lang w:val="en-US" w:eastAsia="zh-CN"/>
                <w14:textFill>
                  <w14:solidFill>
                    <w14:schemeClr w14:val="tx1"/>
                  </w14:solidFill>
                </w14:textFill>
              </w:rPr>
              <w:t xml:space="preserve">承诺优惠率（下浮率）20%的，得1分</w:t>
            </w:r>
            <w:r/>
          </w:p>
          <w:p>
            <w:pPr>
              <w:pStyle w:val="846"/>
              <w:numPr>
                <w:ilvl w:val="0"/>
                <w:numId w:val="0"/>
              </w:numPr>
              <w:spacing w:line="360" w:lineRule="auto"/>
              <w:rPr>
                <w:rFonts w:hint="default"/>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4"/>
                <w:lang w:val="en-US" w:eastAsia="zh-CN" w:bidi="ar-SA"/>
                <w14:textFill>
                  <w14:solidFill>
                    <w14:schemeClr w14:val="tx1"/>
                  </w14:solidFill>
                </w14:textFill>
              </w:rPr>
              <w:t xml:space="preserve">4、</w:t>
            </w:r>
            <w:r>
              <w:rPr>
                <w:rFonts w:hint="eastAsia" w:ascii="宋体" w:hAnsi="宋体" w:cs="宋体"/>
                <w:b/>
                <w:color w:val="000000" w:themeColor="text1"/>
                <w:szCs w:val="21"/>
                <w:highlight w:val="none"/>
                <w:lang w:val="en-US" w:eastAsia="zh-CN"/>
                <w14:textFill>
                  <w14:solidFill>
                    <w14:schemeClr w14:val="tx1"/>
                  </w14:solidFill>
                </w14:textFill>
              </w:rPr>
              <w:t xml:space="preserve">其余不得分。</w:t>
            </w:r>
            <w:r/>
          </w:p>
        </w:tc>
        <w:tc>
          <w:tcPr>
            <w:shd w:val="clear" w:color="auto" w:fill="auto"/>
            <w:tcBorders>
              <w:top w:val="single" w:color="auto" w:sz="4" w:space="0"/>
              <w:left w:val="none" w:color="000000" w:sz="4" w:space="0"/>
              <w:bottom w:val="single" w:color="auto" w:sz="4" w:space="0"/>
              <w:right w:val="single" w:color="auto" w:sz="4" w:space="0"/>
            </w:tcBorders>
            <w:tcW w:w="692" w:type="dxa"/>
            <w:vAlign w:val="center"/>
            <w:textDirection w:val="lrTb"/>
            <w:noWrap w:val="false"/>
          </w:tcPr>
          <w:p>
            <w:pPr>
              <w:jc w:val="center"/>
              <w:spacing w:line="360" w:lineRule="auto"/>
              <w:rPr>
                <w:rFonts w:hint="default"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5</w:t>
            </w:r>
            <w:r/>
          </w:p>
        </w:tc>
      </w:tr>
      <w:tr>
        <w:trPr>
          <w:trHeight w:val="692"/>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numPr>
                <w:ilvl w:val="0"/>
                <w:numId w:val="9"/>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contextualSpacing/>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食品安全责任险</w:t>
            </w:r>
            <w:r/>
          </w:p>
          <w:p>
            <w:pPr>
              <w:contextualSpacing/>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（3分）</w:t>
            </w:r>
            <w:r/>
          </w:p>
        </w:tc>
        <w:tc>
          <w:tcPr>
            <w:shd w:val="clear" w:color="auto" w:fill="auto"/>
            <w:tcBorders>
              <w:top w:val="single" w:color="auto" w:sz="4" w:space="0"/>
              <w:left w:val="none" w:color="000000" w:sz="4" w:space="0"/>
              <w:bottom w:val="single" w:color="auto" w:sz="4" w:space="0"/>
              <w:right w:val="single" w:color="auto" w:sz="4" w:space="0"/>
            </w:tcBorders>
            <w:tcW w:w="5981" w:type="dxa"/>
            <w:vAlign w:val="center"/>
            <w:textDirection w:val="lrTb"/>
            <w:noWrap w:val="false"/>
          </w:tcPr>
          <w:p>
            <w:pPr>
              <w:contextualSpacing/>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供应商承诺如中标，中标后购买保险保额如下食品安全责任险：</w:t>
            </w:r>
            <w:r/>
          </w:p>
          <w:p>
            <w:pPr>
              <w:contextualSpacing/>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1、保险保额小于800万得1分；</w:t>
            </w:r>
            <w:r/>
          </w:p>
          <w:p>
            <w:pPr>
              <w:contextualSpacing/>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2、保险保额</w:t>
            </w:r>
            <w:bookmarkStart w:id="267" w:name="OLE_LINK8"/>
            <w:r/>
            <w:bookmarkStart w:id="268" w:name="OLE_LINK9"/>
            <w:r>
              <w:rPr>
                <w:rFonts w:hint="eastAsia" w:ascii="宋体" w:hAnsi="宋体" w:cs="宋体"/>
                <w:color w:val="000000" w:themeColor="text1"/>
                <w:szCs w:val="21"/>
                <w:highlight w:val="none"/>
                <w14:textFill>
                  <w14:solidFill>
                    <w14:schemeClr w14:val="tx1"/>
                  </w14:solidFill>
                </w14:textFill>
              </w:rPr>
              <w:t xml:space="preserve">≥</w:t>
            </w:r>
            <w:bookmarkEnd w:id="267"/>
            <w:r/>
            <w:bookmarkEnd w:id="268"/>
            <w:r>
              <w:rPr>
                <w:rFonts w:hint="eastAsia" w:ascii="宋体" w:hAnsi="宋体" w:cs="宋体"/>
                <w:color w:val="000000" w:themeColor="text1"/>
                <w:szCs w:val="21"/>
                <w:highlight w:val="none"/>
                <w14:textFill>
                  <w14:solidFill>
                    <w14:schemeClr w14:val="tx1"/>
                  </w14:solidFill>
                </w14:textFill>
              </w:rPr>
              <w:t xml:space="preserve">800万且＜1200万得2分；</w:t>
            </w:r>
            <w:r/>
          </w:p>
          <w:p>
            <w:pPr>
              <w:contextualSpacing/>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3、保险保额≥1200万得3分。</w:t>
            </w:r>
            <w:r/>
          </w:p>
          <w:p>
            <w:pPr>
              <w:contextualSpacing/>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备注：</w:t>
            </w:r>
            <w:r>
              <w:rPr>
                <w:rFonts w:hint="eastAsia" w:ascii="宋体" w:hAnsi="宋体" w:cs="宋体"/>
                <w:b/>
                <w:bCs/>
                <w:color w:val="000000" w:themeColor="text1"/>
                <w:szCs w:val="21"/>
                <w:highlight w:val="none"/>
                <w14:textFill>
                  <w14:solidFill>
                    <w14:schemeClr w14:val="tx1"/>
                  </w14:solidFill>
                </w14:textFill>
              </w:rPr>
              <w:t xml:space="preserve">本项最多得3分，投标文件中须提供承诺函，未提供不得分。</w:t>
            </w:r>
            <w:r/>
          </w:p>
        </w:tc>
        <w:tc>
          <w:tcPr>
            <w:tcBorders>
              <w:top w:val="single" w:color="auto" w:sz="4" w:space="0"/>
              <w:left w:val="none" w:color="000000" w:sz="4" w:space="0"/>
              <w:bottom w:val="single" w:color="auto" w:sz="4" w:space="0"/>
              <w:right w:val="single" w:color="auto" w:sz="4" w:space="0"/>
            </w:tcBorders>
            <w:tcW w:w="692" w:type="dxa"/>
            <w:vAlign w:val="center"/>
            <w:textDirection w:val="lrTb"/>
            <w:noWrap w:val="false"/>
          </w:tcPr>
          <w:p>
            <w:pPr>
              <w:contextualSpacing/>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r>
    </w:tbl>
    <w:p>
      <w:pPr>
        <w:ind w:firstLine="373"/>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bookmarkStart w:id="269" w:name="_Toc91836565"/>
      <w:r>
        <w:rPr>
          <w:rFonts w:hint="eastAsia" w:ascii="宋体" w:hAnsi="宋体" w:cs="宋体"/>
          <w:color w:val="000000" w:themeColor="text1"/>
          <w:szCs w:val="21"/>
          <w:highlight w:val="none"/>
          <w14:textFill>
            <w14:solidFill>
              <w14:schemeClr w14:val="tx1"/>
            </w14:solidFill>
          </w14:textFill>
        </w:rPr>
        <w:t xml:space="preserve">落实政府采购政策的价格调整：符合第二章《供应商须知》4条规定情形的，可以享受中小企业扶持政策，用扣除后的价格参加评审。</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highlight w:val="none"/>
          <w:u w:val="singl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10、关于无线局域网认证产品政府采购清单中的产品，优先采购的具体规定（如涉及）___/__。</w:t>
      </w:r>
      <w:r/>
    </w:p>
    <w:p>
      <w:pPr>
        <w:jc w:val="left"/>
        <w:widowControl/>
        <w:rPr>
          <w:rFonts w:ascii="宋体" w:hAnsi="宋体" w:cs="宋体"/>
          <w:b/>
          <w:bCs/>
          <w:color w:val="000000" w:themeColor="text1"/>
          <w:sz w:val="32"/>
          <w:szCs w:val="32"/>
          <w:highlight w:val="none"/>
          <w14:textFill>
            <w14:solidFill>
              <w14:schemeClr w14:val="tx1"/>
            </w14:solidFill>
          </w14:textFill>
        </w:rPr>
      </w:pPr>
      <w:r/>
      <w:bookmarkStart w:id="270" w:name="_Toc107246273"/>
      <w:r>
        <w:rPr>
          <w:rFonts w:ascii="宋体" w:hAnsi="宋体" w:cs="宋体"/>
          <w:color w:val="000000" w:themeColor="text1"/>
          <w:highlight w:val="none"/>
          <w14:textFill>
            <w14:solidFill>
              <w14:schemeClr w14:val="tx1"/>
            </w14:solidFill>
          </w14:textFill>
        </w:rPr>
        <w:br w:type="page" w:clear="all"/>
      </w:r>
      <w:r/>
    </w:p>
    <w:p>
      <w:pPr>
        <w:pStyle w:val="869"/>
        <w:ind w:firstLine="569"/>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69"/>
      <w:r>
        <w:rPr>
          <w:rFonts w:hint="eastAsia" w:ascii="宋体" w:hAnsi="宋体" w:cs="宋体"/>
          <w:color w:val="000000" w:themeColor="text1"/>
          <w:highlight w:val="none"/>
          <w14:textFill>
            <w14:solidFill>
              <w14:schemeClr w14:val="tx1"/>
            </w14:solidFill>
          </w14:textFill>
        </w:rPr>
        <w:t xml:space="preserve">投标文件格式</w:t>
      </w:r>
      <w:bookmarkEnd w:id="270"/>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注：请供应商按照以下文件的要求格式、内容，顺序制作投标文件，并请编制目录及页码，否则可能将影响对投标文件的评价。</w:t>
      </w:r>
      <w:r/>
    </w:p>
    <w:p>
      <w:pPr>
        <w:pStyle w:val="1103"/>
        <w:ind w:firstLine="0"/>
        <w:spacing w:line="265" w:lineRule="atLeast"/>
        <w:shd w:val="clear" w:color="auto" w:fill="ffffff"/>
        <w:rPr>
          <w:rFonts w:ascii="宋体" w:hAnsi="宋体" w:eastAsia="宋体" w:cs="宋体"/>
          <w:b/>
          <w:color w:val="000000" w:themeColor="text1"/>
          <w:sz w:val="24"/>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r>
      <w:r/>
    </w:p>
    <w:p>
      <w:pPr>
        <w:jc w:val="left"/>
        <w:spacing w:before="100" w:after="100" w:line="360" w:lineRule="auto"/>
        <w:rPr>
          <w:rFonts w:ascii="宋体" w:hAnsi="宋体" w:cs="宋体"/>
          <w:color w:val="000000" w:themeColor="text1"/>
          <w:sz w:val="24"/>
          <w:highlight w:val="none"/>
          <w14:textFill>
            <w14:solidFill>
              <w14:schemeClr w14:val="tx1"/>
            </w14:solidFill>
          </w14:textFill>
        </w:rPr>
      </w:pPr>
      <w:r/>
      <w:bookmarkStart w:id="271"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 xml:space="preserve">附件</w:t>
      </w:r>
      <w:r/>
    </w:p>
    <w:p>
      <w:pPr>
        <w:pStyle w:val="851"/>
        <w:ind w:firstLine="995"/>
        <w:jc w:val="center"/>
        <w:rPr>
          <w:rFonts w:hAnsi="宋体" w:cs="宋体"/>
          <w:b/>
          <w:color w:val="000000" w:themeColor="text1"/>
          <w:sz w:val="56"/>
          <w:szCs w:val="56"/>
          <w:highlight w:val="none"/>
          <w14:textFill>
            <w14:solidFill>
              <w14:schemeClr w14:val="tx1"/>
            </w14:solidFill>
          </w14:textFill>
        </w:rPr>
      </w:pPr>
      <w:r>
        <w:rPr>
          <w:rFonts w:hAnsi="宋体" w:cs="宋体"/>
          <w:b/>
          <w:color w:val="000000" w:themeColor="text1"/>
          <w:sz w:val="56"/>
          <w:szCs w:val="56"/>
          <w:highlight w:val="none"/>
          <w14:textFill>
            <w14:solidFill>
              <w14:schemeClr w14:val="tx1"/>
            </w14:solidFill>
          </w14:textFill>
        </w:rPr>
      </w:r>
      <w:r/>
    </w:p>
    <w:p>
      <w:pPr>
        <w:pStyle w:val="851"/>
        <w:jc w:val="center"/>
        <w:rPr>
          <w:rFonts w:hint="eastAsia" w:hAnsi="宋体" w:eastAsia="宋体" w:cs="宋体"/>
          <w:b/>
          <w:color w:val="000000" w:themeColor="text1"/>
          <w:sz w:val="56"/>
          <w:szCs w:val="56"/>
          <w:highlight w:val="none"/>
          <w:lang w:eastAsia="zh-CN"/>
          <w14:textFill>
            <w14:solidFill>
              <w14:schemeClr w14:val="tx1"/>
            </w14:solidFill>
          </w14:textFill>
        </w:rPr>
      </w:pPr>
      <w:r>
        <w:rPr>
          <w:rFonts w:hint="eastAsia" w:hAnsi="宋体" w:cs="宋体"/>
          <w:b/>
          <w:color w:val="000000" w:themeColor="text1"/>
          <w:sz w:val="56"/>
          <w:szCs w:val="56"/>
          <w:highlight w:val="none"/>
          <w:lang w:eastAsia="zh-CN"/>
          <w14:textFill>
            <w14:solidFill>
              <w14:schemeClr w14:val="tx1"/>
            </w14:solidFill>
          </w14:textFill>
        </w:rPr>
        <w:t xml:space="preserve">南京市儿童医院米面油等食材采购项目</w:t>
      </w:r>
      <w:r/>
    </w:p>
    <w:p>
      <w:pPr>
        <w:pStyle w:val="851"/>
        <w:jc w:val="center"/>
        <w:rPr>
          <w:rFonts w:hAnsi="宋体" w:cs="宋体"/>
          <w:b/>
          <w:color w:val="000000" w:themeColor="text1"/>
          <w:sz w:val="56"/>
          <w:szCs w:val="56"/>
          <w:highlight w:val="none"/>
          <w14:textFill>
            <w14:solidFill>
              <w14:schemeClr w14:val="tx1"/>
            </w14:solidFill>
          </w14:textFill>
        </w:rPr>
      </w:pPr>
      <w:r>
        <w:rPr>
          <w:rFonts w:hAnsi="宋体" w:cs="宋体"/>
          <w:b/>
          <w:color w:val="000000" w:themeColor="text1"/>
          <w:sz w:val="56"/>
          <w:szCs w:val="56"/>
          <w:highlight w:val="none"/>
          <w14:textFill>
            <w14:solidFill>
              <w14:schemeClr w14:val="tx1"/>
            </w14:solidFill>
          </w14:textFill>
        </w:rPr>
      </w:r>
      <w:r/>
    </w:p>
    <w:p>
      <w:pPr>
        <w:ind w:firstLine="372"/>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51"/>
        <w:ind w:firstLine="420"/>
        <w:jc w:val="center"/>
        <w:rPr>
          <w:rFonts w:hAnsi="宋体" w:cs="宋体"/>
          <w:b/>
          <w:color w:val="000000" w:themeColor="text1"/>
          <w:sz w:val="84"/>
          <w:szCs w:val="84"/>
          <w:highlight w:val="none"/>
          <w14:textFill>
            <w14:solidFill>
              <w14:schemeClr w14:val="tx1"/>
            </w14:solidFill>
          </w14:textFill>
        </w:rPr>
      </w:pPr>
      <w:r/>
      <w:bookmarkStart w:id="272" w:name="_Toc100905255"/>
      <w:r/>
      <w:r/>
    </w:p>
    <w:p>
      <w:pPr>
        <w:pStyle w:val="851"/>
        <w:ind w:firstLine="420"/>
        <w:jc w:val="center"/>
        <w:rPr>
          <w:rFonts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投 标 文 件</w:t>
      </w:r>
      <w:bookmarkEnd w:id="272"/>
      <w:r/>
      <w:r/>
    </w:p>
    <w:p>
      <w:pPr>
        <w:ind w:right="640" w:firstLine="782"/>
        <w:jc w:val="center"/>
        <w:spacing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851"/>
        <w:ind w:firstLine="496"/>
        <w:rPr>
          <w:rFonts w:hint="default" w:hAnsi="宋体" w:eastAsia="宋体" w:cs="宋体"/>
          <w:color w:val="000000" w:themeColor="text1"/>
          <w:sz w:val="28"/>
          <w:szCs w:val="28"/>
          <w:highlight w:val="none"/>
          <w:lang w:val="en-US" w:eastAsia="zh-CN"/>
          <w14:textFill>
            <w14:solidFill>
              <w14:schemeClr w14:val="tx1"/>
            </w14:solidFill>
          </w14:textFill>
        </w:rPr>
      </w:pPr>
      <w:r>
        <w:rPr>
          <w:rFonts w:hint="eastAsia" w:hAnsi="宋体" w:cs="宋体"/>
          <w:b/>
          <w:color w:val="000000" w:themeColor="text1"/>
          <w:sz w:val="40"/>
          <w:szCs w:val="40"/>
          <w:highlight w:val="none"/>
          <w14:textFill>
            <w14:solidFill>
              <w14:schemeClr w14:val="tx1"/>
            </w14:solidFill>
          </w14:textFill>
        </w:rPr>
        <w:t xml:space="preserve">项目编号：</w:t>
      </w:r>
      <w:r>
        <w:rPr>
          <w:rFonts w:hint="eastAsia" w:hAnsi="宋体" w:cs="宋体"/>
          <w:b/>
          <w:color w:val="000000" w:themeColor="text1"/>
          <w:sz w:val="40"/>
          <w:szCs w:val="40"/>
          <w:highlight w:val="none"/>
          <w:lang w:eastAsia="zh-CN"/>
          <w14:textFill>
            <w14:solidFill>
              <w14:schemeClr w14:val="tx1"/>
            </w14:solidFill>
          </w14:textFill>
        </w:rPr>
        <w:t xml:space="preserve">JSZC-320100-JITC-G2026-0205</w:t>
      </w:r>
      <w:r/>
    </w:p>
    <w:p>
      <w:pPr>
        <w:pStyle w:val="851"/>
        <w:ind w:firstLine="496"/>
        <w:rPr>
          <w:rFonts w:hAnsi="宋体" w:cs="宋体"/>
          <w:color w:val="000000" w:themeColor="text1"/>
          <w:sz w:val="28"/>
          <w:szCs w:val="28"/>
          <w:highlight w:val="none"/>
          <w14:textFill>
            <w14:solidFill>
              <w14:schemeClr w14:val="tx1"/>
            </w14:solidFill>
          </w14:textFill>
        </w:rPr>
      </w:pPr>
      <w:r>
        <w:rPr>
          <w:rFonts w:hAnsi="宋体" w:cs="宋体"/>
          <w:color w:val="000000" w:themeColor="text1"/>
          <w:sz w:val="28"/>
          <w:szCs w:val="28"/>
          <w:highlight w:val="none"/>
          <w14:textFill>
            <w14:solidFill>
              <w14:schemeClr w14:val="tx1"/>
            </w14:solidFill>
          </w14:textFill>
        </w:rPr>
      </w:r>
      <w:r/>
    </w:p>
    <w:p>
      <w:pPr>
        <w:pStyle w:val="851"/>
        <w:ind w:firstLine="496"/>
        <w:rPr>
          <w:rFonts w:hAnsi="宋体" w:cs="宋体"/>
          <w:color w:val="000000" w:themeColor="text1"/>
          <w:sz w:val="28"/>
          <w:szCs w:val="28"/>
          <w:highlight w:val="none"/>
          <w14:textFill>
            <w14:solidFill>
              <w14:schemeClr w14:val="tx1"/>
            </w14:solidFill>
          </w14:textFill>
        </w:rPr>
      </w:pPr>
      <w:r>
        <w:rPr>
          <w:rFonts w:hAnsi="宋体" w:cs="宋体"/>
          <w:color w:val="000000" w:themeColor="text1"/>
          <w:sz w:val="28"/>
          <w:szCs w:val="28"/>
          <w:highlight w:val="none"/>
          <w14:textFill>
            <w14:solidFill>
              <w14:schemeClr w14:val="tx1"/>
            </w14:solidFill>
          </w14:textFill>
        </w:rPr>
      </w:r>
      <w:r/>
    </w:p>
    <w:p>
      <w:pPr>
        <w:pStyle w:val="851"/>
        <w:ind w:firstLine="496"/>
        <w:rPr>
          <w:rFonts w:hAnsi="宋体" w:cs="宋体"/>
          <w:color w:val="000000" w:themeColor="text1"/>
          <w:sz w:val="28"/>
          <w:szCs w:val="28"/>
          <w:highlight w:val="none"/>
          <w14:textFill>
            <w14:solidFill>
              <w14:schemeClr w14:val="tx1"/>
            </w14:solidFill>
          </w14:textFill>
        </w:rPr>
      </w:pPr>
      <w:r>
        <w:rPr>
          <w:rFonts w:hAnsi="宋体" w:cs="宋体"/>
          <w:color w:val="000000" w:themeColor="text1"/>
          <w:sz w:val="28"/>
          <w:szCs w:val="28"/>
          <w:highlight w:val="none"/>
          <w14:textFill>
            <w14:solidFill>
              <w14:schemeClr w14:val="tx1"/>
            </w14:solidFill>
          </w14:textFill>
        </w:rPr>
      </w:r>
      <w:r/>
    </w:p>
    <w:p>
      <w:pPr>
        <w:pStyle w:val="851"/>
        <w:ind w:firstLine="569"/>
        <w:jc w:val="center"/>
        <w:spacing w:line="360" w:lineRule="auto"/>
        <w:rPr>
          <w:rFonts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 xml:space="preserve">供应商名称：</w:t>
      </w:r>
      <w:r>
        <w:rPr>
          <w:rFonts w:hint="eastAsia" w:hAnsi="宋体" w:cs="宋体"/>
          <w:b/>
          <w:color w:val="000000" w:themeColor="text1"/>
          <w:sz w:val="32"/>
          <w:szCs w:val="32"/>
          <w:highlight w:val="none"/>
          <w14:textFill>
            <w14:solidFill>
              <w14:schemeClr w14:val="tx1"/>
            </w14:solidFill>
          </w14:textFill>
        </w:rPr>
        <w:t xml:space="preserve">_____________________</w:t>
      </w:r>
      <w:r/>
    </w:p>
    <w:p>
      <w:pPr>
        <w:pStyle w:val="851"/>
        <w:ind w:firstLine="569"/>
        <w:jc w:val="center"/>
        <w:spacing w:line="360" w:lineRule="auto"/>
        <w:rPr>
          <w:rFonts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地址：_____________________</w:t>
      </w:r>
      <w:r/>
    </w:p>
    <w:p>
      <w:pPr>
        <w:pStyle w:val="851"/>
        <w:ind w:firstLine="569"/>
        <w:jc w:val="center"/>
        <w:spacing w:line="360" w:lineRule="auto"/>
        <w:rPr>
          <w:rFonts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联系人及联系方式：_____________________</w:t>
      </w:r>
      <w:r/>
    </w:p>
    <w:p>
      <w:pPr>
        <w:ind w:firstLine="569"/>
        <w:jc w:val="center"/>
        <w:spacing w:line="360" w:lineRule="auto"/>
        <w:rPr>
          <w:rFonts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二O   年  月  日</w:t>
      </w:r>
      <w:r>
        <w:rPr>
          <w:rFonts w:hint="eastAsia" w:ascii="宋体" w:hAnsi="宋体" w:cs="宋体"/>
          <w:b/>
          <w:color w:val="000000" w:themeColor="text1"/>
          <w:highlight w:val="none"/>
          <w14:textFill>
            <w14:solidFill>
              <w14:schemeClr w14:val="tx1"/>
            </w14:solidFill>
          </w14:textFill>
        </w:rPr>
        <w:br w:type="page" w:clear="all"/>
      </w:r>
      <w:r>
        <w:rPr>
          <w:rFonts w:hint="eastAsia" w:ascii="宋体" w:hAnsi="宋体" w:cs="宋体"/>
          <w:b/>
          <w:color w:val="000000" w:themeColor="text1"/>
          <w:sz w:val="32"/>
          <w:highlight w:val="none"/>
          <w14:textFill>
            <w14:solidFill>
              <w14:schemeClr w14:val="tx1"/>
            </w14:solidFill>
          </w14:textFill>
        </w:rPr>
        <w:t xml:space="preserve">目录</w:t>
      </w:r>
      <w:r/>
    </w:p>
    <w:p>
      <w:pPr>
        <w:pStyle w:val="851"/>
        <w:ind w:firstLine="373"/>
        <w:spacing w:line="300" w:lineRule="exact"/>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一、价格及商务部分</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（2）法定代表人（非法人单位负责人）身份证明，格式见附件。</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（3）授权委托书，格式见附件。</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（5）所投产品情况表，格式见附件。</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（6）偏离表。</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（7）供应商具备投标资格的证明文件（如为南京市政府采购项目，按照公告要求提供）：</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210"/>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（a）供应商为企业（包括合伙企业）的，应提供有效的“营业执照”。</w:t>
      </w:r>
      <w:r/>
    </w:p>
    <w:p>
      <w:pPr>
        <w:ind w:firstLine="210"/>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（b）供应商为事业单位的，应提供有效的“事业单位法人证书”。</w:t>
      </w:r>
      <w:r/>
    </w:p>
    <w:p>
      <w:pPr>
        <w:ind w:firstLine="210"/>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（c）供应商是非企业机构的，应提供有效的“执业许可证”、“登记证书”等证明文件。</w:t>
      </w:r>
      <w:r/>
    </w:p>
    <w:p>
      <w:pPr>
        <w:ind w:firstLine="210"/>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（d）供应商是个体工商户的，应提供有效的“个体工商户营业执照”。</w:t>
      </w:r>
      <w:r/>
    </w:p>
    <w:p>
      <w:pPr>
        <w:ind w:firstLine="210"/>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（e）供应商是自然人的，应提供有效的自然人身份证明。</w:t>
      </w:r>
      <w:r/>
    </w:p>
    <w:p>
      <w:pPr>
        <w:ind w:firstLine="210"/>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（7-2）财务报表等证明文件。</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（7-7）无不良信用记录承诺函（供应商自行查询适用），格式见附件。</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（9）公章授权书（如需），格式见附件。</w:t>
      </w:r>
      <w:r/>
    </w:p>
    <w:p>
      <w:pPr>
        <w:pStyle w:val="851"/>
        <w:ind w:firstLine="373"/>
        <w:spacing w:line="300" w:lineRule="exact"/>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二、技术部分</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（1）用于本项目产品技术参数证明文件</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（2）需求响应方案</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（3）供应商售后服务承诺（如需）</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（5）用于本项目人员表</w:t>
      </w:r>
      <w:r/>
    </w:p>
    <w:p>
      <w:pPr>
        <w:pStyle w:val="851"/>
        <w:ind w:firstLine="373"/>
        <w:spacing w:line="300" w:lineRule="exact"/>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三、其他部分</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（1）要求供应商提交的其他文件材料或证明材料</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（2）供应商认为需提供的其他文件或证明材料</w:t>
      </w:r>
      <w:r/>
    </w:p>
    <w:p>
      <w:pPr>
        <w:ind w:firstLine="372"/>
        <w:jc w:val="left"/>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（3）提供符合政府采购政策的证明材料</w:t>
      </w:r>
      <w:r/>
    </w:p>
    <w:p>
      <w:pPr>
        <w:rPr>
          <w:rFonts w:ascii="宋体" w:hAnsi="宋体" w:cs="宋体"/>
          <w:color w:val="000000" w:themeColor="text1"/>
          <w:sz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271"/>
      <w:r/>
      <w:r/>
    </w:p>
    <w:p>
      <w:pPr>
        <w:pStyle w:val="869"/>
        <w:ind w:left="601" w:firstLine="425"/>
        <w:spacing w:before="0"/>
        <w:rPr>
          <w:rFonts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 xml:space="preserve">一、</w:t>
      </w:r>
      <w:bookmarkStart w:id="273" w:name="_Toc107246274"/>
      <w:r/>
      <w:bookmarkStart w:id="274" w:name="_Toc103848582"/>
      <w:r/>
      <w:bookmarkStart w:id="275" w:name="_Toc104560897"/>
      <w:r/>
      <w:bookmarkStart w:id="276" w:name="_Toc104560893"/>
      <w:r>
        <w:rPr>
          <w:rFonts w:hint="eastAsia" w:ascii="宋体" w:hAnsi="宋体" w:cs="宋体"/>
          <w:color w:val="000000" w:themeColor="text1"/>
          <w:sz w:val="28"/>
          <w:szCs w:val="24"/>
          <w:highlight w:val="none"/>
          <w14:textFill>
            <w14:solidFill>
              <w14:schemeClr w14:val="tx1"/>
            </w14:solidFill>
          </w14:textFill>
        </w:rPr>
        <w:t xml:space="preserve">价格及商务部分</w:t>
      </w:r>
      <w:bookmarkEnd w:id="273"/>
      <w:r/>
      <w:bookmarkEnd w:id="274"/>
      <w:r/>
      <w:bookmarkEnd w:id="275"/>
      <w:r/>
      <w:r/>
    </w:p>
    <w:p>
      <w:pPr>
        <w:ind w:firstLine="372"/>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69"/>
        <w:spacing w:before="0" w:line="280" w:lineRule="exact"/>
        <w:rPr>
          <w:rFonts w:ascii="宋体" w:hAnsi="宋体" w:cs="宋体"/>
          <w:color w:val="000000" w:themeColor="text1"/>
          <w:sz w:val="28"/>
          <w:szCs w:val="24"/>
          <w:highlight w:val="none"/>
          <w14:textFill>
            <w14:solidFill>
              <w14:schemeClr w14:val="tx1"/>
            </w14:solidFill>
          </w14:textFill>
        </w:rPr>
      </w:pPr>
      <w:r/>
      <w:bookmarkStart w:id="277" w:name="_Toc107246275"/>
      <w:r>
        <w:rPr>
          <w:rFonts w:hint="eastAsia" w:ascii="宋体" w:hAnsi="宋体" w:cs="宋体"/>
          <w:b w:val="0"/>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8"/>
          <w:szCs w:val="24"/>
          <w:highlight w:val="none"/>
          <w14:textFill>
            <w14:solidFill>
              <w14:schemeClr w14:val="tx1"/>
            </w14:solidFill>
          </w14:textFill>
        </w:rPr>
        <w:t xml:space="preserve">投标函</w:t>
      </w:r>
      <w:bookmarkEnd w:id="276"/>
      <w:r/>
      <w:bookmarkEnd w:id="277"/>
      <w:r/>
      <w:r/>
    </w:p>
    <w:p>
      <w:pPr>
        <w:ind w:firstLine="420"/>
        <w:spacing w:line="360" w:lineRule="exact"/>
        <w:rPr>
          <w:rFonts w:ascii="宋体" w:hAnsi="宋体" w:cs="宋体"/>
          <w:color w:val="000000" w:themeColor="text1"/>
          <w:szCs w:val="21"/>
          <w:highlight w:val="none"/>
          <w14:textFill>
            <w14:solidFill>
              <w14:schemeClr w14:val="tx1"/>
            </w14:solidFill>
          </w14:textFill>
        </w:rPr>
      </w:pPr>
      <w:r/>
      <w:bookmarkStart w:id="278" w:name="_Toc103848580"/>
      <w:r/>
      <w:bookmarkStart w:id="279" w:name="_Toc96347902"/>
      <w:r>
        <w:rPr>
          <w:rFonts w:hint="eastAsia" w:ascii="宋体" w:hAnsi="宋体" w:cs="宋体"/>
          <w:color w:val="000000" w:themeColor="text1"/>
          <w:szCs w:val="21"/>
          <w:highlight w:val="none"/>
          <w:u w:val="single"/>
          <w14:textFill>
            <w14:solidFill>
              <w14:schemeClr w14:val="tx1"/>
            </w14:solidFill>
          </w14:textFill>
        </w:rPr>
        <w:t xml:space="preserve">南京市儿童医院</w:t>
      </w:r>
      <w:r>
        <w:rPr>
          <w:rFonts w:hint="eastAsia" w:ascii="宋体" w:hAnsi="宋体" w:cs="宋体"/>
          <w:color w:val="000000" w:themeColor="text1"/>
          <w:szCs w:val="21"/>
          <w:highlight w:val="none"/>
          <w14:textFill>
            <w14:solidFill>
              <w14:schemeClr w14:val="tx1"/>
            </w14:solidFill>
          </w14:textFill>
        </w:rPr>
        <w:t xml:space="preserve">（采购人）：</w:t>
      </w:r>
      <w:r/>
    </w:p>
    <w:p>
      <w:pPr>
        <w:ind w:firstLine="420"/>
        <w:jc w:val="left"/>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(供应商全称)   </w:t>
      </w:r>
      <w:r>
        <w:rPr>
          <w:rFonts w:hint="eastAsia" w:ascii="宋体" w:hAnsi="宋体" w:cs="宋体"/>
          <w:color w:val="000000" w:themeColor="text1"/>
          <w:szCs w:val="21"/>
          <w:highlight w:val="none"/>
          <w14:textFill>
            <w14:solidFill>
              <w14:schemeClr w14:val="tx1"/>
            </w14:solidFill>
          </w14:textFill>
        </w:rPr>
        <w:t xml:space="preserve">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 xml:space="preserve">为全权代表，参加贵方组织的</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南京市儿童医院米面油等食材采购项目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JSZC-320100-JITC-G2026-0205</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为此：</w:t>
      </w:r>
      <w:r/>
    </w:p>
    <w:p>
      <w:pPr>
        <w:pStyle w:val="867"/>
        <w:ind w:firstLine="420"/>
        <w:jc w:val="left"/>
        <w:spacing w:after="0"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1、我方将按采购文件的规定履行全部责任和义务。</w:t>
      </w:r>
      <w:r/>
    </w:p>
    <w:p>
      <w:pPr>
        <w:pStyle w:val="867"/>
        <w:ind w:firstLine="420"/>
        <w:jc w:val="left"/>
        <w:spacing w:after="0"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 xml:space="preserve">放弃对采购文件提出质疑或争议的权利。</w:t>
      </w:r>
      <w:r/>
    </w:p>
    <w:p>
      <w:pPr>
        <w:pStyle w:val="867"/>
        <w:ind w:firstLine="420"/>
        <w:jc w:val="left"/>
        <w:spacing w:after="0" w:line="3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3、本投标有效期为自投标日起</w:t>
      </w:r>
      <w:r>
        <w:rPr>
          <w:rFonts w:hint="eastAsia" w:ascii="宋体" w:hAnsi="宋体" w:cs="宋体"/>
          <w:color w:val="000000" w:themeColor="text1"/>
          <w:szCs w:val="21"/>
          <w:highlight w:val="none"/>
          <w:u w:val="single"/>
          <w14:textFill>
            <w14:solidFill>
              <w14:schemeClr w14:val="tx1"/>
            </w14:solidFill>
          </w14:textFill>
        </w:rPr>
        <w:t xml:space="preserve">90日历天</w:t>
      </w:r>
      <w:r>
        <w:rPr>
          <w:rFonts w:hint="eastAsia" w:ascii="宋体" w:hAnsi="宋体" w:cs="宋体"/>
          <w:color w:val="000000" w:themeColor="text1"/>
          <w:szCs w:val="21"/>
          <w:highlight w:val="none"/>
          <w14:textFill>
            <w14:solidFill>
              <w14:schemeClr w14:val="tx1"/>
            </w14:solidFill>
          </w14:textFill>
        </w:rPr>
        <w:t xml:space="preserve">。</w:t>
      </w:r>
      <w:r/>
    </w:p>
    <w:p>
      <w:pPr>
        <w:pStyle w:val="867"/>
        <w:ind w:firstLine="420"/>
        <w:jc w:val="left"/>
        <w:spacing w:after="0"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867"/>
        <w:ind w:firstLine="420"/>
        <w:jc w:val="left"/>
        <w:spacing w:after="0"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867"/>
        <w:ind w:firstLine="420"/>
        <w:jc w:val="left"/>
        <w:spacing w:after="0"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867"/>
        <w:ind w:firstLine="420"/>
        <w:jc w:val="left"/>
        <w:spacing w:after="0"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67"/>
        <w:ind w:firstLine="420"/>
        <w:jc w:val="left"/>
        <w:spacing w:after="0"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867"/>
        <w:ind w:firstLine="420"/>
        <w:jc w:val="left"/>
        <w:spacing w:after="0"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与本投标有关的一切往来通讯请寄：</w:t>
      </w:r>
      <w:r/>
    </w:p>
    <w:p>
      <w:pPr>
        <w:pStyle w:val="867"/>
        <w:ind w:firstLine="372"/>
        <w:jc w:val="left"/>
        <w:spacing w:after="0"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67"/>
        <w:ind w:firstLine="372"/>
        <w:jc w:val="left"/>
        <w:spacing w:after="0"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67"/>
        <w:ind w:firstLine="372"/>
        <w:jc w:val="left"/>
        <w:spacing w:after="0"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67"/>
        <w:ind w:firstLine="372"/>
        <w:jc w:val="left"/>
        <w:spacing w:after="0"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67"/>
        <w:ind w:firstLine="372"/>
        <w:jc w:val="left"/>
        <w:spacing w:after="0"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67"/>
        <w:ind w:firstLine="372"/>
        <w:jc w:val="left"/>
        <w:spacing w:after="0"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67"/>
        <w:ind w:firstLine="372"/>
        <w:jc w:val="left"/>
        <w:spacing w:after="0"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67"/>
        <w:ind w:firstLine="372"/>
        <w:jc w:val="left"/>
        <w:spacing w:after="0"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67"/>
        <w:ind w:firstLine="372"/>
        <w:jc w:val="left"/>
        <w:spacing w:after="0"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pStyle w:val="846"/>
        <w:spacing w:before="1"/>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69"/>
        <w:ind w:firstLine="569"/>
        <w:spacing w:before="0"/>
        <w:rPr>
          <w:rFonts w:ascii="宋体" w:hAnsi="宋体" w:cs="宋体"/>
          <w:bCs w:val="0"/>
          <w:color w:val="000000" w:themeColor="text1"/>
          <w:sz w:val="24"/>
          <w:szCs w:val="24"/>
          <w:highlight w:val="none"/>
          <w14:textFill>
            <w14:solidFill>
              <w14:schemeClr w14:val="tx1"/>
            </w14:solidFill>
          </w14:textFill>
        </w:rPr>
      </w:pPr>
      <w:r/>
      <w:bookmarkStart w:id="280" w:name="_Toc103848583"/>
      <w:r/>
      <w:bookmarkStart w:id="281" w:name="_Toc104560898"/>
      <w:r/>
      <w:bookmarkStart w:id="282" w:name="_Toc107246276"/>
      <w:r>
        <w:rPr>
          <w:rFonts w:hint="eastAsia" w:ascii="宋体" w:hAnsi="宋体" w:cs="宋体"/>
          <w:bCs w:val="0"/>
          <w:color w:val="000000" w:themeColor="text1"/>
          <w:sz w:val="24"/>
          <w:szCs w:val="24"/>
          <w:highlight w:val="none"/>
          <w14:textFill>
            <w14:solidFill>
              <w14:schemeClr w14:val="tx1"/>
            </w14:solidFill>
          </w14:textFill>
        </w:rPr>
        <w:t xml:space="preserve">（2）</w:t>
      </w:r>
      <w:bookmarkEnd w:id="280"/>
      <w:r/>
      <w:bookmarkEnd w:id="281"/>
      <w:r>
        <w:rPr>
          <w:rFonts w:hint="eastAsia" w:ascii="宋体" w:hAnsi="宋体" w:cs="宋体"/>
          <w:bCs w:val="0"/>
          <w:color w:val="000000" w:themeColor="text1"/>
          <w:sz w:val="24"/>
          <w:szCs w:val="24"/>
          <w:highlight w:val="none"/>
          <w14:textFill>
            <w14:solidFill>
              <w14:schemeClr w14:val="tx1"/>
            </w14:solidFill>
          </w14:textFill>
        </w:rPr>
        <w:t xml:space="preserve">法定代表人（非法人单位负责人）身份证明</w:t>
      </w:r>
      <w:bookmarkEnd w:id="282"/>
      <w:r/>
      <w:r/>
    </w:p>
    <w:p>
      <w:pPr>
        <w:pStyle w:val="846"/>
        <w:ind w:left="1236" w:firstLine="368"/>
        <w:tabs>
          <w:tab w:val="left" w:pos="4228" w:leader="none"/>
        </w:tabs>
        <w:rPr>
          <w:rFonts w:ascii="宋体" w:hAnsi="宋体" w:cs="宋体"/>
          <w:color w:val="000000" w:themeColor="text1"/>
          <w:spacing w:val="-1"/>
          <w:highlight w:val="none"/>
          <w14:textFill>
            <w14:solidFill>
              <w14:schemeClr w14:val="tx1"/>
            </w14:solidFill>
          </w14:textFill>
        </w:rPr>
      </w:pPr>
      <w:r>
        <w:rPr>
          <w:rFonts w:ascii="宋体" w:hAnsi="宋体" w:cs="宋体"/>
          <w:color w:val="000000" w:themeColor="text1"/>
          <w:spacing w:val="-1"/>
          <w:highlight w:val="none"/>
          <w14:textFill>
            <w14:solidFill>
              <w14:schemeClr w14:val="tx1"/>
            </w14:solidFill>
          </w14:textFill>
        </w:rPr>
      </w:r>
      <w:r/>
    </w:p>
    <w:p>
      <w:pPr>
        <w:pStyle w:val="846"/>
        <w:ind w:left="1236" w:firstLine="368"/>
        <w:tabs>
          <w:tab w:val="left" w:pos="4228" w:leader="none"/>
        </w:tabs>
        <w:rPr>
          <w:rFonts w:ascii="宋体" w:hAnsi="宋体" w:cs="宋体"/>
          <w:color w:val="000000" w:themeColor="text1"/>
          <w:spacing w:val="-1"/>
          <w:highlight w:val="none"/>
          <w14:textFill>
            <w14:solidFill>
              <w14:schemeClr w14:val="tx1"/>
            </w14:solidFill>
          </w14:textFill>
        </w:rPr>
      </w:pPr>
      <w:r>
        <w:rPr>
          <w:rFonts w:ascii="宋体" w:hAnsi="宋体" w:cs="宋体"/>
          <w:color w:val="000000" w:themeColor="text1"/>
          <w:spacing w:val="-1"/>
          <w:highlight w:val="none"/>
          <w14:textFill>
            <w14:solidFill>
              <w14:schemeClr w14:val="tx1"/>
            </w14:solidFill>
          </w14:textFill>
        </w:rPr>
      </w:r>
      <w:r/>
    </w:p>
    <w:p>
      <w:pPr>
        <w:pStyle w:val="846"/>
        <w:ind w:firstLine="420"/>
        <w:tabs>
          <w:tab w:val="left" w:pos="4228"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供应商名</w:t>
      </w:r>
      <w:r>
        <w:rPr>
          <w:rFonts w:hint="eastAsia" w:ascii="宋体" w:hAnsi="宋体" w:cs="宋体"/>
          <w:color w:val="000000" w:themeColor="text1"/>
          <w:spacing w:val="-3"/>
          <w:highlight w:val="none"/>
          <w14:textFill>
            <w14:solidFill>
              <w14:schemeClr w14:val="tx1"/>
            </w14:solidFill>
          </w14:textFill>
        </w:rPr>
        <w:t xml:space="preserve">称</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46"/>
        <w:ind w:firstLine="420"/>
        <w:spacing w:before="170"/>
        <w:tabs>
          <w:tab w:val="left" w:pos="2712" w:leader="none"/>
          <w:tab w:val="left" w:pos="4183" w:leader="none"/>
          <w:tab w:val="left" w:pos="5652" w:leader="none"/>
          <w:tab w:val="left" w:pos="7169"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姓名</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性别</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spacing w:val="-3"/>
          <w:highlight w:val="none"/>
          <w14:textFill>
            <w14:solidFill>
              <w14:schemeClr w14:val="tx1"/>
            </w14:solidFill>
          </w14:textFill>
        </w:rPr>
        <w:t xml:space="preserve">龄</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 xml:space="preserve">职</w:t>
      </w:r>
      <w:r>
        <w:rPr>
          <w:rFonts w:hint="eastAsia" w:ascii="宋体" w:hAnsi="宋体" w:cs="宋体"/>
          <w:color w:val="000000" w:themeColor="text1"/>
          <w:spacing w:val="-3"/>
          <w:highlight w:val="none"/>
          <w14:textFill>
            <w14:solidFill>
              <w14:schemeClr w14:val="tx1"/>
            </w14:solidFill>
          </w14:textFill>
        </w:rPr>
        <w:t xml:space="preserve">务</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46"/>
        <w:ind w:firstLine="420"/>
        <w:spacing w:before="173"/>
        <w:tabs>
          <w:tab w:val="left" w:pos="3132"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供应商</w:t>
      </w:r>
      <w:r>
        <w:rPr>
          <w:rFonts w:hint="eastAsia" w:ascii="宋体" w:hAnsi="宋体" w:cs="宋体"/>
          <w:color w:val="000000" w:themeColor="text1"/>
          <w:spacing w:val="-3"/>
          <w:highlight w:val="none"/>
          <w14:textFill>
            <w14:solidFill>
              <w14:schemeClr w14:val="tx1"/>
            </w14:solidFill>
          </w14:textFill>
        </w:rPr>
        <w:t xml:space="preserve">名</w:t>
      </w:r>
      <w:r>
        <w:rPr>
          <w:rFonts w:hint="eastAsia" w:ascii="宋体" w:hAnsi="宋体" w:cs="宋体"/>
          <w:color w:val="000000" w:themeColor="text1"/>
          <w:highlight w:val="none"/>
          <w14:textFill>
            <w14:solidFill>
              <w14:schemeClr w14:val="tx1"/>
            </w14:solidFill>
          </w14:textFill>
        </w:rPr>
        <w:t xml:space="preserve">称</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spacing w:val="-3"/>
          <w:highlight w:val="none"/>
          <w14:textFill>
            <w14:solidFill>
              <w14:schemeClr w14:val="tx1"/>
            </w14:solidFill>
          </w14:textFill>
        </w:rPr>
        <w:t xml:space="preserve">法定</w:t>
      </w:r>
      <w:r>
        <w:rPr>
          <w:rFonts w:hint="eastAsia" w:ascii="宋体" w:hAnsi="宋体" w:cs="宋体"/>
          <w:color w:val="000000" w:themeColor="text1"/>
          <w:highlight w:val="none"/>
          <w14:textFill>
            <w14:solidFill>
              <w14:schemeClr w14:val="tx1"/>
            </w14:solidFill>
          </w14:textFill>
        </w:rPr>
        <w:t xml:space="preserve">代表</w:t>
      </w:r>
      <w:r>
        <w:rPr>
          <w:rFonts w:hint="eastAsia" w:ascii="宋体" w:hAnsi="宋体" w:cs="宋体"/>
          <w:color w:val="000000" w:themeColor="text1"/>
          <w:spacing w:val="-3"/>
          <w:highlight w:val="none"/>
          <w14:textFill>
            <w14:solidFill>
              <w14:schemeClr w14:val="tx1"/>
            </w14:solidFill>
          </w14:textFill>
        </w:rPr>
        <w:t xml:space="preserve">人/非法人单位负责人。</w:t>
      </w:r>
      <w:r/>
    </w:p>
    <w:p>
      <w:pPr>
        <w:pStyle w:val="846"/>
        <w:ind w:firstLine="420"/>
        <w:spacing w:before="17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特此证明。</w:t>
      </w:r>
      <w:r/>
    </w:p>
    <w:p>
      <w:pPr>
        <w:pStyle w:val="846"/>
        <w:ind w:left="1260" w:firstLine="354"/>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p>
      <w:pPr>
        <w:pStyle w:val="846"/>
        <w:ind w:left="1260" w:firstLine="478"/>
        <w:spacing w:before="10"/>
        <w:rPr>
          <w:rFonts w:ascii="宋体" w:hAnsi="宋体" w:cs="宋体"/>
          <w:color w:val="000000" w:themeColor="text1"/>
          <w:sz w:val="27"/>
          <w:highlight w:val="none"/>
          <w14:textFill>
            <w14:solidFill>
              <w14:schemeClr w14:val="tx1"/>
            </w14:solidFill>
          </w14:textFill>
        </w:rPr>
      </w:pPr>
      <w:r>
        <w:rPr>
          <w:rFonts w:ascii="宋体" w:hAnsi="宋体" w:cs="宋体"/>
          <w:color w:val="000000" w:themeColor="text1"/>
          <w:sz w:val="27"/>
          <w:highlight w:val="none"/>
          <w14:textFill>
            <w14:solidFill>
              <w14:schemeClr w14:val="tx1"/>
            </w14:solidFill>
          </w14:textFill>
        </w:rPr>
      </w:r>
      <w:r/>
    </w:p>
    <w:p>
      <w:pPr>
        <w:ind w:firstLine="372"/>
        <w:spacing w:line="48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附：法定代表人（非法人单位负责人）有效期内的身份证复印件（正反面）</w:t>
      </w:r>
      <w:r/>
    </w:p>
    <w:p>
      <w:pPr>
        <w:ind w:firstLine="372"/>
        <w:spacing w:line="48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bl>
      <w:tblPr>
        <w:tblStyle w:val="83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846"/>
              <w:jc w:val="center"/>
              <w:spacing w:line="300" w:lineRule="exact"/>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00" w:lineRule="exac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46"/>
        <w:ind w:firstLine="354"/>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p>
      <w:pPr>
        <w:pStyle w:val="846"/>
        <w:ind w:firstLine="354"/>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p>
      <w:pPr>
        <w:pStyle w:val="846"/>
        <w:ind w:left="1260" w:firstLine="354"/>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p>
      <w:pPr>
        <w:pStyle w:val="846"/>
        <w:ind w:left="1260" w:firstLine="389"/>
        <w:spacing w:before="1"/>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p>
      <w:pPr>
        <w:pStyle w:val="846"/>
        <w:ind w:left="1260" w:firstLine="3060"/>
        <w:tabs>
          <w:tab w:val="left" w:pos="7977"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 xml:space="preserve">供应商名称（公章）</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67"/>
        <w:ind w:firstLine="372"/>
        <w:jc w:val="right"/>
        <w:spacing w:after="0"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9"/>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83" w:name="_Toc107246277"/>
      <w:r/>
      <w:bookmarkStart w:id="284" w:name="_Toc103848584"/>
      <w:r/>
      <w:bookmarkStart w:id="285" w:name="_Toc104560899"/>
      <w:r>
        <w:rPr>
          <w:rFonts w:hint="eastAsia" w:ascii="宋体" w:hAnsi="宋体" w:cs="宋体"/>
          <w:bCs w:val="0"/>
          <w:color w:val="000000" w:themeColor="text1"/>
          <w:sz w:val="24"/>
          <w:szCs w:val="24"/>
          <w:highlight w:val="none"/>
          <w14:textFill>
            <w14:solidFill>
              <w14:schemeClr w14:val="tx1"/>
            </w14:solidFill>
          </w14:textFill>
        </w:rPr>
        <w:t xml:space="preserve">（3）授权委托书</w:t>
      </w:r>
      <w:r/>
    </w:p>
    <w:p>
      <w:pPr>
        <w:pStyle w:val="869"/>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（3-1）法定代表人授权委托书</w:t>
      </w:r>
      <w:bookmarkEnd w:id="283"/>
      <w:r/>
      <w:bookmarkEnd w:id="284"/>
      <w:r/>
      <w:bookmarkEnd w:id="285"/>
      <w:r>
        <w:rPr>
          <w:rFonts w:hint="eastAsia" w:ascii="宋体" w:hAnsi="宋体" w:cs="宋体"/>
          <w:bCs w:val="0"/>
          <w:color w:val="000000" w:themeColor="text1"/>
          <w:sz w:val="24"/>
          <w:szCs w:val="24"/>
          <w:highlight w:val="none"/>
          <w14:textFill>
            <w14:solidFill>
              <w14:schemeClr w14:val="tx1"/>
            </w14:solidFill>
          </w14:textFill>
        </w:rPr>
        <w:t xml:space="preserve">（适用于法人/非法人）</w:t>
      </w:r>
      <w:r/>
    </w:p>
    <w:p>
      <w:pPr>
        <w:ind w:firstLine="420"/>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本授权书声明：注册于</w:t>
      </w:r>
      <w:r>
        <w:rPr>
          <w:rFonts w:hint="eastAsia" w:ascii="宋体" w:hAnsi="宋体" w:cs="宋体"/>
          <w:color w:val="000000" w:themeColor="text1"/>
          <w:szCs w:val="21"/>
          <w:highlight w:val="none"/>
          <w:u w:val="single"/>
          <w14:textFill>
            <w14:solidFill>
              <w14:schemeClr w14:val="tx1"/>
            </w14:solidFill>
          </w14:textFill>
        </w:rPr>
        <w:t xml:space="preserve">（国家或地区的名称）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（授权代表的姓名、职务）（身份证号码：             ）</w:t>
      </w:r>
      <w:r>
        <w:rPr>
          <w:rFonts w:hint="eastAsia" w:ascii="宋体" w:hAnsi="宋体" w:cs="宋体"/>
          <w:color w:val="000000" w:themeColor="text1"/>
          <w:szCs w:val="21"/>
          <w:highlight w:val="none"/>
          <w14:textFill>
            <w14:solidFill>
              <w14:schemeClr w14:val="tx1"/>
            </w14:solidFill>
          </w14:textFill>
        </w:rPr>
        <w:t xml:space="preserve">为本单位的合法代理人，就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南京市儿童医院米面油等食材采购项目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JSZC-320100-JITC-G2026-0205</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供应商名称（公章）：  </w:t>
      </w:r>
      <w:r/>
    </w:p>
    <w:p>
      <w:pPr>
        <w:ind w:firstLine="420"/>
        <w:spacing w:line="3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r/>
    </w:p>
    <w:p>
      <w:pPr>
        <w:pStyle w:val="867"/>
        <w:ind w:firstLine="420"/>
        <w:spacing w:after="0" w:line="3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67"/>
        <w:ind w:firstLine="420"/>
        <w:spacing w:after="0" w:line="3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附：法定代表人有效期内的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3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846"/>
              <w:jc w:val="center"/>
              <w:spacing w:line="300" w:lineRule="exact"/>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00" w:lineRule="exac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ind w:firstLine="372"/>
        <w:spacing w:line="48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w:t>
      </w:r>
      <w:r>
        <w:rPr>
          <w:rFonts w:hint="eastAsia" w:ascii="宋体" w:hAnsi="宋体" w:cs="宋体"/>
          <w:color w:val="000000" w:themeColor="text1"/>
          <w:highlight w:val="none"/>
          <w14:textFill>
            <w14:solidFill>
              <w14:schemeClr w14:val="tx1"/>
            </w14:solidFill>
          </w14:textFill>
        </w:rPr>
        <w:t xml:space="preserve">（正反面）</w:t>
      </w:r>
      <w:r/>
    </w:p>
    <w:tbl>
      <w:tblPr>
        <w:tblStyle w:val="83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846"/>
              <w:jc w:val="center"/>
              <w:spacing w:line="300" w:lineRule="exact"/>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00" w:lineRule="exact"/>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95" w:type="dxa"/>
            <w:vAlign w:val="center"/>
            <w:textDirection w:val="lrTb"/>
            <w:noWrap/>
          </w:tcPr>
          <w:p>
            <w:pPr>
              <w:jc w:val="center"/>
              <w:spacing w:line="300" w:lineRule="exac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67"/>
        <w:ind w:firstLine="373"/>
        <w:spacing w:line="3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r/>
    </w:p>
    <w:p>
      <w:pPr>
        <w:pStyle w:val="867"/>
        <w:ind w:firstLine="373"/>
        <w:spacing w:line="3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867"/>
        <w:ind w:firstLine="373"/>
        <w:spacing w:line="3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86" w:name="_Toc104560895"/>
      <w:r/>
      <w:bookmarkStart w:id="287" w:name="_Toc107246279"/>
      <w:r/>
      <w:r/>
    </w:p>
    <w:p>
      <w:pPr>
        <w:ind w:firstLine="373"/>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69"/>
        <w:ind w:firstLine="426"/>
        <w:spacing w:before="0"/>
        <w:rPr>
          <w:rFonts w:ascii="宋体" w:hAnsi="宋体" w:cs="宋体"/>
          <w:bCs w:val="0"/>
          <w:color w:val="000000" w:themeColor="text1"/>
          <w:sz w:val="21"/>
          <w:szCs w:val="24"/>
          <w:highlight w:val="none"/>
          <w14:textFill>
            <w14:solidFill>
              <w14:schemeClr w14:val="tx1"/>
            </w14:solidFill>
          </w14:textFill>
        </w:rPr>
      </w:pPr>
      <w:r/>
      <w:bookmarkStart w:id="288" w:name="_Toc104560900"/>
      <w:r/>
      <w:bookmarkStart w:id="289" w:name="_Toc103848585"/>
      <w:r/>
      <w:bookmarkStart w:id="290" w:name="_Toc107246278"/>
      <w:r>
        <w:rPr>
          <w:rFonts w:hint="eastAsia" w:ascii="宋体" w:hAnsi="宋体" w:cs="宋体"/>
          <w:bCs w:val="0"/>
          <w:color w:val="000000" w:themeColor="text1"/>
          <w:sz w:val="24"/>
          <w:szCs w:val="24"/>
          <w:highlight w:val="none"/>
          <w14:textFill>
            <w14:solidFill>
              <w14:schemeClr w14:val="tx1"/>
            </w14:solidFill>
          </w14:textFill>
        </w:rPr>
        <w:t xml:space="preserve">（3-2）授权委托书（适用于自然人投标）</w:t>
      </w:r>
      <w:bookmarkEnd w:id="288"/>
      <w:r/>
      <w:bookmarkEnd w:id="289"/>
      <w:r/>
      <w:bookmarkEnd w:id="290"/>
      <w:r/>
      <w:r/>
    </w:p>
    <w:p>
      <w:pPr>
        <w:ind w:firstLine="372"/>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（授权代表的姓名）（身份证号码：             ）</w:t>
      </w:r>
      <w:r>
        <w:rPr>
          <w:rFonts w:hint="eastAsia" w:ascii="宋体" w:hAnsi="宋体" w:cs="宋体"/>
          <w:color w:val="000000" w:themeColor="text1"/>
          <w:szCs w:val="21"/>
          <w:highlight w:val="none"/>
          <w14:textFill>
            <w14:solidFill>
              <w14:schemeClr w14:val="tx1"/>
            </w14:solidFill>
          </w14:textFill>
        </w:rPr>
        <w:t xml:space="preserve">为本人的合法代理人，就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南京市儿童医院米面油等食材采购项目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JSZC-320100-JITC-G2026-0205</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r/>
    </w:p>
    <w:p>
      <w:pPr>
        <w:pStyle w:val="867"/>
        <w:ind w:firstLine="420"/>
        <w:spacing w:after="0" w:line="4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46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67"/>
        <w:ind w:firstLine="420"/>
        <w:spacing w:after="0" w:line="4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w:t>
      </w:r>
      <w:r>
        <w:rPr>
          <w:rFonts w:hint="eastAsia" w:ascii="宋体" w:hAnsi="宋体" w:cs="宋体"/>
          <w:color w:val="000000" w:themeColor="text1"/>
          <w:highlight w:val="none"/>
          <w14:textFill>
            <w14:solidFill>
              <w14:schemeClr w14:val="tx1"/>
            </w14:solidFill>
          </w14:textFill>
        </w:rPr>
        <w:t xml:space="preserve">自然人</w:t>
      </w:r>
      <w:r>
        <w:rPr>
          <w:rFonts w:hint="eastAsia" w:ascii="宋体" w:hAnsi="宋体" w:cs="宋体"/>
          <w:color w:val="000000" w:themeColor="text1"/>
          <w:szCs w:val="21"/>
          <w:highlight w:val="none"/>
          <w14:textFill>
            <w14:solidFill>
              <w14:schemeClr w14:val="tx1"/>
            </w14:solidFill>
          </w14:textFill>
        </w:rPr>
        <w:t xml:space="preserve">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3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846"/>
              <w:jc w:val="center"/>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67"/>
        <w:ind w:firstLine="37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授权代表有效期内的身份证复印件（正反面）</w:t>
      </w:r>
      <w:r/>
    </w:p>
    <w:tbl>
      <w:tblPr>
        <w:tblStyle w:val="83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846"/>
              <w:jc w:val="center"/>
              <w:rPr>
                <w:rFonts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tcPr>
          <w:p>
            <w:pPr>
              <w:ind w:firstLine="354"/>
              <w:jc w:val="left"/>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tcW w:w="4695" w:type="dxa"/>
            <w:vAlign w:val="center"/>
            <w:textDirection w:val="lrTb"/>
            <w:noWrap/>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67"/>
        <w:ind w:firstLine="373"/>
        <w:spacing w:line="24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ind w:firstLine="373"/>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69"/>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（4）开标一览表</w:t>
      </w:r>
      <w:bookmarkEnd w:id="278"/>
      <w:r/>
      <w:bookmarkEnd w:id="286"/>
      <w:r/>
      <w:bookmarkEnd w:id="287"/>
      <w:r/>
      <w:r/>
    </w:p>
    <w:p>
      <w:pPr>
        <w:ind w:firstLine="372"/>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供应商名称（CA公章）：</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南京市儿童医院米面油等食材采购项目</w:t>
      </w:r>
      <w:r/>
    </w:p>
    <w:p>
      <w:pPr>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bookmarkStart w:id="291" w:name="_Toc103848581"/>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JSZC-320100-JITC-G2026-0205</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分包号（如有）：</w:t>
      </w:r>
      <w:r/>
    </w:p>
    <w:tbl>
      <w:tblPr>
        <w:tblStyle w:val="83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80"/>
        <w:gridCol w:w="4949"/>
      </w:tblGrid>
      <w:tr>
        <w:trPr>
          <w:jc w:val="center"/>
          <w:trHeight w:val="1733"/>
        </w:trPr>
        <w:tc>
          <w:tcPr>
            <w:shd w:val="clear" w:color="auto" w:fill="auto"/>
            <w:tcW w:w="2197" w:type="pct"/>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投标货物名称</w:t>
            </w:r>
            <w:r/>
          </w:p>
        </w:tc>
        <w:tc>
          <w:tcPr>
            <w:shd w:val="clear" w:color="auto" w:fill="auto"/>
            <w:tcW w:w="2802" w:type="pct"/>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投标报价</w:t>
            </w:r>
            <w:r/>
          </w:p>
        </w:tc>
      </w:tr>
      <w:tr>
        <w:trPr>
          <w:jc w:val="center"/>
          <w:trHeight w:val="1765"/>
        </w:trPr>
        <w:tc>
          <w:tcPr>
            <w:shd w:val="clear" w:color="auto" w:fill="auto"/>
            <w:tcW w:w="2197" w:type="pct"/>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米面油等食材</w:t>
            </w:r>
            <w:r/>
          </w:p>
        </w:tc>
        <w:tc>
          <w:tcPr>
            <w:shd w:val="clear" w:color="auto" w:fill="auto"/>
            <w:tcW w:w="2802" w:type="pct"/>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元</w:t>
            </w:r>
            <w:r/>
          </w:p>
        </w:tc>
      </w:tr>
    </w:tbl>
    <w:p>
      <w:pPr>
        <w:ind w:firstLine="480"/>
        <w:spacing w:line="360" w:lineRule="auto"/>
        <w:rPr>
          <w:rFonts w:ascii="宋体" w:hAnsi="宋体" w:cs="宋体"/>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92" w:name="_Toc104560896"/>
      <w:r>
        <w:rPr>
          <w:rFonts w:hint="eastAsia" w:ascii="宋体" w:hAnsi="宋体" w:cs="宋体"/>
          <w:b/>
          <w:color w:val="000000" w:themeColor="text1"/>
          <w:szCs w:val="21"/>
          <w:highlight w:val="none"/>
          <w14:textFill>
            <w14:solidFill>
              <w14:schemeClr w14:val="tx1"/>
            </w14:solidFill>
          </w14:textFill>
        </w:rPr>
        <w:t xml:space="preserve">注：政府采购系统中应填写分项报价表中的“评审价”</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lang w:val="en-US" w:eastAsia="zh-CN"/>
          <w14:textFill>
            <w14:solidFill>
              <w14:schemeClr w14:val="tx1"/>
            </w14:solidFill>
          </w14:textFill>
        </w:rPr>
        <w:t xml:space="preserve">即综合单价</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p>
    <w:p>
      <w:pPr>
        <w:pStyle w:val="903"/>
        <w:ind w:left="4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Style w:val="1115"/>
          <w:rFonts w:hAnsi="宋体"/>
          <w:color w:val="000000" w:themeColor="text1"/>
          <w:highlight w:val="none"/>
          <w14:textFill>
            <w14:solidFill>
              <w14:schemeClr w14:val="tx1"/>
            </w14:solidFill>
          </w14:textFill>
        </w:rPr>
        <w:sectPr>
          <w:footerReference w:type="default" r:id="rId14"/>
          <w:footnotePr/>
          <w:endnotePr/>
          <w:type w:val="nextPage"/>
          <w:pgSz w:w="11906" w:h="16838" w:orient="portrait"/>
          <w:pgMar w:top="1440" w:right="1698" w:bottom="1440" w:left="1588" w:header="851" w:footer="992" w:gutter="0"/>
          <w:cols w:num="1" w:sep="0" w:space="720" w:equalWidth="1"/>
          <w:docGrid w:linePitch="360"/>
        </w:sectPr>
      </w:pPr>
      <w:r>
        <w:rPr>
          <w:rStyle w:val="1115"/>
          <w:rFonts w:hAnsi="宋体"/>
          <w:color w:val="000000" w:themeColor="text1"/>
          <w:highlight w:val="none"/>
          <w14:textFill>
            <w14:solidFill>
              <w14:schemeClr w14:val="tx1"/>
            </w14:solidFill>
          </w14:textFill>
        </w:rPr>
        <w:br w:type="page" w:clear="all"/>
      </w:r>
      <w:bookmarkEnd w:id="291"/>
      <w:r/>
      <w:bookmarkEnd w:id="292"/>
      <w:r/>
      <w:r/>
    </w:p>
    <w:p>
      <w:pPr>
        <w:pStyle w:val="869"/>
        <w:ind w:firstLine="426"/>
        <w:rPr>
          <w:color w:val="000000" w:themeColor="text1"/>
          <w:highlight w:val="none"/>
          <w14:textFill>
            <w14:solidFill>
              <w14:schemeClr w14:val="tx1"/>
            </w14:solidFill>
          </w14:textFill>
        </w:rPr>
      </w:pPr>
      <w:r/>
      <w:bookmarkStart w:id="293" w:name="_Toc104560901"/>
      <w:r/>
      <w:bookmarkStart w:id="294" w:name="_Toc103848586"/>
      <w:r/>
      <w:bookmarkStart w:id="295" w:name="_Toc107246281"/>
      <w:r/>
      <w:bookmarkStart w:id="296" w:name="_Toc102117319"/>
      <w:r>
        <w:rPr>
          <w:rFonts w:hint="eastAsia" w:ascii="宋体" w:hAnsi="宋体" w:cs="宋体"/>
          <w:bCs w:val="0"/>
          <w:color w:val="000000" w:themeColor="text1"/>
          <w:sz w:val="24"/>
          <w:szCs w:val="24"/>
          <w:highlight w:val="none"/>
          <w14:textFill>
            <w14:solidFill>
              <w14:schemeClr w14:val="tx1"/>
            </w14:solidFill>
          </w14:textFill>
        </w:rPr>
        <w:t xml:space="preserve">（4-1）分项报价表</w:t>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注：1.供应商须在投标文件中逐条按采购清单内要求，对所有产品进行响应，不得有缺漏项。</w:t>
      </w:r>
      <w:r/>
    </w:p>
    <w:p>
      <w:pPr>
        <w:ind w:firstLine="422"/>
        <w:spacing w:line="360" w:lineRule="auto"/>
        <w:tabs>
          <w:tab w:val="left" w:pos="6045" w:leader="none"/>
        </w:tabs>
        <w:rPr>
          <w:rFonts w:ascii="宋体" w:hAnsi="宋体" w:cs="宋体"/>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2.供应商应按公式要求认真测算，避免填报错误，否则评委会有权按照本评分办法规定的计算公式及供应商分项报价表填报的投标单价对评审价进行修正。</w:t>
      </w:r>
      <w:r>
        <w:rPr>
          <w:rFonts w:hint="eastAsia" w:ascii="华文仿宋" w:hAnsi="华文仿宋" w:eastAsia="华文仿宋" w:cs="华文仿宋"/>
          <w:b/>
          <w:bCs/>
          <w:color w:val="000000" w:themeColor="text1"/>
          <w:highlight w:val="none"/>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修正后的评审价经投标人确认后产生约束力，投标人不确认的，其投标无效。</w:t>
      </w:r>
      <w:r/>
    </w:p>
    <w:tbl>
      <w:tblPr>
        <w:tblStyle w:val="839"/>
        <w:tblpPr w:horzAnchor="page" w:tblpX="1446" w:vertAnchor="text" w:tblpY="451" w:leftFromText="180" w:topFromText="0" w:rightFromText="180" w:bottomFromText="0"/>
        <w:tblW w:w="495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1472"/>
        <w:gridCol w:w="1995"/>
        <w:gridCol w:w="1447"/>
        <w:gridCol w:w="2643"/>
        <w:gridCol w:w="1910"/>
        <w:gridCol w:w="1870"/>
        <w:gridCol w:w="1767"/>
        <w:gridCol w:w="2"/>
      </w:tblGrid>
      <w:tr>
        <w:trPr>
          <w:trHeight w:val="586"/>
        </w:trPr>
        <w:tc>
          <w:tcPr>
            <w:shd w:val="clear" w:color="auto" w:fill="auto"/>
            <w:tcW w:w="33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序号</w:t>
            </w:r>
            <w:r/>
          </w:p>
        </w:tc>
        <w:tc>
          <w:tcPr>
            <w:shd w:val="clear" w:color="auto" w:fill="auto"/>
            <w:tcW w:w="523"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品种</w:t>
            </w:r>
            <w:r/>
          </w:p>
        </w:tc>
        <w:tc>
          <w:tcPr>
            <w:shd w:val="clear" w:color="auto" w:fill="auto"/>
            <w:tcW w:w="70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规格</w:t>
            </w:r>
            <w:r/>
          </w:p>
        </w:tc>
        <w:tc>
          <w:tcPr>
            <w:shd w:val="clear" w:color="auto" w:fill="auto"/>
            <w:tcW w:w="51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预计采购权重（%）</w:t>
            </w:r>
            <w:r/>
          </w:p>
        </w:tc>
        <w:tc>
          <w:tcPr>
            <w:shd w:val="clear" w:color="auto" w:fill="auto"/>
            <w:tcW w:w="940" w:type="pct"/>
            <w:vAlign w:val="center"/>
            <w:textDirection w:val="lrTb"/>
            <w:noWrap w:val="false"/>
          </w:tcPr>
          <w:p>
            <w:pPr>
              <w:jc w:val="center"/>
              <w:rPr>
                <w:rFonts w:hint="eastAsia"/>
                <w:color w:val="000000" w:themeColor="text1"/>
                <w:sz w:val="20"/>
                <w:szCs w:val="20"/>
                <w:highlight w:val="none"/>
                <w14:textFill>
                  <w14:solidFill>
                    <w14:schemeClr w14:val="tx1"/>
                  </w14:solidFill>
                </w14:textFill>
              </w:rPr>
            </w:pPr>
            <w:r>
              <w:rPr>
                <w:rFonts w:hint="eastAsia"/>
                <w:color w:val="000000" w:themeColor="text1"/>
                <w:sz w:val="20"/>
                <w:szCs w:val="20"/>
                <w:highlight w:val="none"/>
                <w:lang w:val="en-US" w:eastAsia="zh-CN"/>
                <w14:textFill>
                  <w14:solidFill>
                    <w14:schemeClr w14:val="tx1"/>
                  </w14:solidFill>
                </w14:textFill>
              </w:rPr>
              <w:t xml:space="preserve">投标</w:t>
            </w:r>
            <w:r>
              <w:rPr>
                <w:rFonts w:hint="eastAsia"/>
                <w:color w:val="000000" w:themeColor="text1"/>
                <w:sz w:val="20"/>
                <w:szCs w:val="20"/>
                <w:highlight w:val="none"/>
                <w14:textFill>
                  <w14:solidFill>
                    <w14:schemeClr w14:val="tx1"/>
                  </w14:solidFill>
                </w14:textFill>
              </w:rPr>
              <w:t xml:space="preserve">单价</w:t>
            </w:r>
            <w:r/>
          </w:p>
        </w:tc>
        <w:tc>
          <w:tcPr>
            <w:shd w:val="clear" w:color="auto" w:fill="auto"/>
            <w:tcW w:w="679" w:type="pct"/>
            <w:vAlign w:val="center"/>
            <w:textDirection w:val="lrTb"/>
            <w:noWrap w:val="false"/>
          </w:tcPr>
          <w:p>
            <w:pPr>
              <w:jc w:val="center"/>
              <w:rPr>
                <w:rFonts w:hint="eastAsia"/>
                <w:color w:val="000000" w:themeColor="text1"/>
                <w:sz w:val="20"/>
                <w:szCs w:val="20"/>
                <w:highlight w:val="none"/>
                <w:lang w:val="en-US" w:eastAsia="zh-CN"/>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投标产品品牌</w:t>
            </w:r>
            <w:r/>
          </w:p>
        </w:tc>
        <w:tc>
          <w:tcPr>
            <w:shd w:val="clear" w:color="auto" w:fill="auto"/>
            <w:tcW w:w="665" w:type="pct"/>
            <w:vAlign w:val="center"/>
            <w:textDirection w:val="lrTb"/>
            <w:noWrap w:val="false"/>
          </w:tcPr>
          <w:p>
            <w:pPr>
              <w:jc w:val="center"/>
              <w:rPr>
                <w:rFonts w:hint="eastAsia"/>
                <w:color w:val="000000" w:themeColor="text1"/>
                <w:sz w:val="20"/>
                <w:szCs w:val="20"/>
                <w:highlight w:val="none"/>
                <w:lang w:val="en-US" w:eastAsia="zh-CN"/>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生产商</w:t>
            </w:r>
            <w:r/>
          </w:p>
        </w:tc>
        <w:tc>
          <w:tcPr>
            <w:gridSpan w:val="2"/>
            <w:shd w:val="clear" w:color="auto" w:fill="auto"/>
            <w:tcW w:w="629" w:type="pct"/>
            <w:vAlign w:val="center"/>
            <w:textDirection w:val="lrTb"/>
            <w:noWrap w:val="false"/>
          </w:tcPr>
          <w:p>
            <w:pPr>
              <w:jc w:val="center"/>
              <w:rPr>
                <w:rFonts w:hint="eastAsia"/>
                <w:color w:val="000000" w:themeColor="text1"/>
                <w:sz w:val="20"/>
                <w:szCs w:val="20"/>
                <w:highlight w:val="none"/>
                <w:lang w:val="en-US" w:eastAsia="zh-CN"/>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备注</w:t>
            </w:r>
            <w:r/>
          </w:p>
        </w:tc>
      </w:tr>
      <w:tr>
        <w:trPr>
          <w:trHeight w:val="586"/>
        </w:trPr>
        <w:tc>
          <w:tcPr>
            <w:shd w:val="clear" w:color="auto" w:fill="auto"/>
            <w:tcW w:w="33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w:t>
            </w:r>
            <w:r/>
          </w:p>
        </w:tc>
        <w:tc>
          <w:tcPr>
            <w:shd w:val="clear" w:color="auto" w:fill="auto"/>
            <w:tcW w:w="523"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大豆油</w:t>
            </w:r>
            <w:r/>
          </w:p>
        </w:tc>
        <w:tc>
          <w:tcPr>
            <w:shd w:val="clear" w:color="auto" w:fill="auto"/>
            <w:tcW w:w="70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10L/桶</w:t>
            </w:r>
            <w:r/>
          </w:p>
        </w:tc>
        <w:tc>
          <w:tcPr>
            <w:shd w:val="clear" w:color="auto" w:fill="auto"/>
            <w:tcW w:w="51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34%</w:t>
            </w:r>
            <w:r/>
          </w:p>
        </w:tc>
        <w:tc>
          <w:tcPr>
            <w:shd w:val="clear" w:color="auto" w:fill="auto"/>
            <w:tcW w:w="9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元/(</w:t>
            </w:r>
            <w:r>
              <w:rPr>
                <w:rFonts w:hint="eastAsia"/>
                <w:color w:val="000000" w:themeColor="text1"/>
                <w:sz w:val="20"/>
                <w:szCs w:val="20"/>
                <w:highlight w:val="none"/>
                <w14:textFill>
                  <w14:solidFill>
                    <w14:schemeClr w14:val="tx1"/>
                  </w14:solidFill>
                </w14:textFill>
              </w:rPr>
              <w:t xml:space="preserve">10L/桶</w:t>
            </w:r>
            <w:r>
              <w:rPr>
                <w:rFonts w:hint="eastAsia" w:ascii="宋体" w:hAnsi="宋体" w:cs="宋体"/>
                <w:color w:val="000000" w:themeColor="text1"/>
                <w:szCs w:val="21"/>
                <w:highlight w:val="none"/>
                <w14:textFill>
                  <w14:solidFill>
                    <w14:schemeClr w14:val="tx1"/>
                  </w14:solidFill>
                </w14:textFill>
              </w:rPr>
              <w:t xml:space="preserve">)</w:t>
            </w:r>
            <w:r/>
          </w:p>
        </w:tc>
        <w:tc>
          <w:tcPr>
            <w:shd w:val="clear" w:color="auto" w:fill="auto"/>
            <w:tcW w:w="67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66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gridSpan w:val="2"/>
            <w:shd w:val="clear" w:color="auto" w:fill="auto"/>
            <w:tcW w:w="62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586"/>
        </w:trPr>
        <w:tc>
          <w:tcPr>
            <w:shd w:val="clear" w:color="auto" w:fill="auto"/>
            <w:tcW w:w="33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2</w:t>
            </w:r>
            <w:r/>
          </w:p>
        </w:tc>
        <w:tc>
          <w:tcPr>
            <w:shd w:val="clear" w:color="auto" w:fill="auto"/>
            <w:tcW w:w="523"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大米</w:t>
            </w:r>
            <w:r/>
          </w:p>
        </w:tc>
        <w:tc>
          <w:tcPr>
            <w:shd w:val="clear" w:color="auto" w:fill="auto"/>
            <w:tcW w:w="70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25kg/袋</w:t>
            </w:r>
            <w:r/>
          </w:p>
        </w:tc>
        <w:tc>
          <w:tcPr>
            <w:shd w:val="clear" w:color="auto" w:fill="auto"/>
            <w:tcW w:w="51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30%</w:t>
            </w:r>
            <w:r/>
          </w:p>
        </w:tc>
        <w:tc>
          <w:tcPr>
            <w:shd w:val="clear" w:color="auto" w:fill="auto"/>
            <w:tcW w:w="9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元/(</w:t>
            </w:r>
            <w:r>
              <w:rPr>
                <w:rFonts w:hint="eastAsia" w:ascii="宋体" w:hAnsi="宋体" w:cs="宋体"/>
                <w:color w:val="000000" w:themeColor="text1"/>
                <w:szCs w:val="21"/>
                <w:highlight w:val="none"/>
                <w:lang w:val="en-US" w:eastAsia="zh-CN"/>
                <w14:textFill>
                  <w14:solidFill>
                    <w14:schemeClr w14:val="tx1"/>
                  </w14:solidFill>
                </w14:textFill>
              </w:rPr>
              <w:t xml:space="preserve">25</w:t>
            </w:r>
            <w:r>
              <w:rPr>
                <w:rFonts w:hint="eastAsia" w:ascii="宋体" w:hAnsi="宋体" w:cs="宋体"/>
                <w:color w:val="000000" w:themeColor="text1"/>
                <w:szCs w:val="21"/>
                <w:highlight w:val="none"/>
                <w14:textFill>
                  <w14:solidFill>
                    <w14:schemeClr w14:val="tx1"/>
                  </w14:solidFill>
                </w14:textFill>
              </w:rPr>
              <w:t xml:space="preserve">kg/袋)</w:t>
            </w:r>
            <w:r/>
          </w:p>
        </w:tc>
        <w:tc>
          <w:tcPr>
            <w:shd w:val="clear" w:color="auto" w:fill="auto"/>
            <w:tcW w:w="67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66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gridSpan w:val="2"/>
            <w:shd w:val="clear" w:color="auto" w:fill="auto"/>
            <w:tcW w:w="62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586"/>
        </w:trPr>
        <w:tc>
          <w:tcPr>
            <w:shd w:val="clear" w:color="auto" w:fill="auto"/>
            <w:tcW w:w="33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3</w:t>
            </w:r>
            <w:r/>
          </w:p>
        </w:tc>
        <w:tc>
          <w:tcPr>
            <w:shd w:val="clear" w:color="auto" w:fill="auto"/>
            <w:tcW w:w="523"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中筋（馒头）粉</w:t>
            </w:r>
            <w:r/>
          </w:p>
        </w:tc>
        <w:tc>
          <w:tcPr>
            <w:shd w:val="clear" w:color="auto" w:fill="auto"/>
            <w:tcW w:w="70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25kg/袋</w:t>
            </w:r>
            <w:r/>
          </w:p>
        </w:tc>
        <w:tc>
          <w:tcPr>
            <w:shd w:val="clear" w:color="auto" w:fill="auto"/>
            <w:tcW w:w="51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18%</w:t>
            </w:r>
            <w:r/>
          </w:p>
        </w:tc>
        <w:tc>
          <w:tcPr>
            <w:shd w:val="clear" w:color="auto" w:fill="auto"/>
            <w:tcW w:w="9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元/(</w:t>
            </w:r>
            <w:r>
              <w:rPr>
                <w:rFonts w:hint="eastAsia" w:ascii="宋体" w:hAnsi="宋体" w:cs="宋体"/>
                <w:color w:val="000000" w:themeColor="text1"/>
                <w:szCs w:val="21"/>
                <w:highlight w:val="none"/>
                <w:lang w:val="en-US" w:eastAsia="zh-CN"/>
                <w14:textFill>
                  <w14:solidFill>
                    <w14:schemeClr w14:val="tx1"/>
                  </w14:solidFill>
                </w14:textFill>
              </w:rPr>
              <w:t xml:space="preserve">25</w:t>
            </w:r>
            <w:r>
              <w:rPr>
                <w:rFonts w:hint="eastAsia" w:ascii="宋体" w:hAnsi="宋体" w:cs="宋体"/>
                <w:color w:val="000000" w:themeColor="text1"/>
                <w:szCs w:val="21"/>
                <w:highlight w:val="none"/>
                <w14:textFill>
                  <w14:solidFill>
                    <w14:schemeClr w14:val="tx1"/>
                  </w14:solidFill>
                </w14:textFill>
              </w:rPr>
              <w:t xml:space="preserve">kg/袋)</w:t>
            </w:r>
            <w:r/>
          </w:p>
        </w:tc>
        <w:tc>
          <w:tcPr>
            <w:shd w:val="clear" w:color="auto" w:fill="auto"/>
            <w:tcW w:w="67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66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gridSpan w:val="2"/>
            <w:shd w:val="clear" w:color="auto" w:fill="auto"/>
            <w:tcW w:w="62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586"/>
        </w:trPr>
        <w:tc>
          <w:tcPr>
            <w:shd w:val="clear" w:color="auto" w:fill="auto"/>
            <w:tcW w:w="33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4</w:t>
            </w:r>
            <w:r/>
          </w:p>
        </w:tc>
        <w:tc>
          <w:tcPr>
            <w:shd w:val="clear" w:color="auto" w:fill="auto"/>
            <w:tcW w:w="523"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面包粉</w:t>
            </w:r>
            <w:r/>
          </w:p>
        </w:tc>
        <w:tc>
          <w:tcPr>
            <w:shd w:val="clear" w:color="auto" w:fill="auto"/>
            <w:tcW w:w="70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25kg/袋</w:t>
            </w:r>
            <w:r/>
          </w:p>
        </w:tc>
        <w:tc>
          <w:tcPr>
            <w:shd w:val="clear" w:color="auto" w:fill="auto"/>
            <w:tcW w:w="51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4%</w:t>
            </w:r>
            <w:r/>
          </w:p>
        </w:tc>
        <w:tc>
          <w:tcPr>
            <w:shd w:val="clear" w:color="auto" w:fill="auto"/>
            <w:tcW w:w="9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元/(</w:t>
            </w:r>
            <w:r>
              <w:rPr>
                <w:rFonts w:hint="eastAsia" w:ascii="宋体" w:hAnsi="宋体" w:cs="宋体"/>
                <w:color w:val="000000" w:themeColor="text1"/>
                <w:szCs w:val="21"/>
                <w:highlight w:val="none"/>
                <w:lang w:val="en-US" w:eastAsia="zh-CN"/>
                <w14:textFill>
                  <w14:solidFill>
                    <w14:schemeClr w14:val="tx1"/>
                  </w14:solidFill>
                </w14:textFill>
              </w:rPr>
              <w:t xml:space="preserve">25</w:t>
            </w:r>
            <w:r>
              <w:rPr>
                <w:rFonts w:hint="eastAsia" w:ascii="宋体" w:hAnsi="宋体" w:cs="宋体"/>
                <w:color w:val="000000" w:themeColor="text1"/>
                <w:szCs w:val="21"/>
                <w:highlight w:val="none"/>
                <w14:textFill>
                  <w14:solidFill>
                    <w14:schemeClr w14:val="tx1"/>
                  </w14:solidFill>
                </w14:textFill>
              </w:rPr>
              <w:t xml:space="preserve">kg/袋)</w:t>
            </w:r>
            <w:r/>
          </w:p>
        </w:tc>
        <w:tc>
          <w:tcPr>
            <w:shd w:val="clear" w:color="auto" w:fill="auto"/>
            <w:tcW w:w="67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66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gridSpan w:val="2"/>
            <w:shd w:val="clear" w:color="auto" w:fill="auto"/>
            <w:tcW w:w="62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586"/>
        </w:trPr>
        <w:tc>
          <w:tcPr>
            <w:shd w:val="clear" w:color="auto" w:fill="auto"/>
            <w:tcW w:w="33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5</w:t>
            </w:r>
            <w:r/>
          </w:p>
        </w:tc>
        <w:tc>
          <w:tcPr>
            <w:shd w:val="clear" w:color="auto" w:fill="auto"/>
            <w:tcW w:w="523"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花生油</w:t>
            </w:r>
            <w:r/>
          </w:p>
        </w:tc>
        <w:tc>
          <w:tcPr>
            <w:shd w:val="clear" w:color="auto" w:fill="auto"/>
            <w:tcW w:w="70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5L/桶</w:t>
            </w:r>
            <w:r/>
          </w:p>
        </w:tc>
        <w:tc>
          <w:tcPr>
            <w:shd w:val="clear" w:color="auto" w:fill="auto"/>
            <w:tcW w:w="51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4%</w:t>
            </w:r>
            <w:r/>
          </w:p>
        </w:tc>
        <w:tc>
          <w:tcPr>
            <w:shd w:val="clear" w:color="auto" w:fill="auto"/>
            <w:tcW w:w="9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元/(</w:t>
            </w:r>
            <w:r>
              <w:rPr>
                <w:rFonts w:hint="eastAsia"/>
                <w:color w:val="000000" w:themeColor="text1"/>
                <w:sz w:val="20"/>
                <w:szCs w:val="20"/>
                <w:highlight w:val="none"/>
                <w:lang w:val="en-US" w:eastAsia="zh-CN"/>
                <w14:textFill>
                  <w14:solidFill>
                    <w14:schemeClr w14:val="tx1"/>
                  </w14:solidFill>
                </w14:textFill>
              </w:rPr>
              <w:t xml:space="preserve">5</w:t>
            </w:r>
            <w:r>
              <w:rPr>
                <w:rFonts w:hint="eastAsia"/>
                <w:color w:val="000000" w:themeColor="text1"/>
                <w:sz w:val="20"/>
                <w:szCs w:val="20"/>
                <w:highlight w:val="none"/>
                <w14:textFill>
                  <w14:solidFill>
                    <w14:schemeClr w14:val="tx1"/>
                  </w14:solidFill>
                </w14:textFill>
              </w:rPr>
              <w:t xml:space="preserve">L/桶</w:t>
            </w:r>
            <w:r>
              <w:rPr>
                <w:rFonts w:hint="eastAsia" w:ascii="宋体" w:hAnsi="宋体" w:cs="宋体"/>
                <w:color w:val="000000" w:themeColor="text1"/>
                <w:szCs w:val="21"/>
                <w:highlight w:val="none"/>
                <w14:textFill>
                  <w14:solidFill>
                    <w14:schemeClr w14:val="tx1"/>
                  </w14:solidFill>
                </w14:textFill>
              </w:rPr>
              <w:t xml:space="preserve">)</w:t>
            </w:r>
            <w:r/>
          </w:p>
        </w:tc>
        <w:tc>
          <w:tcPr>
            <w:shd w:val="clear" w:color="auto" w:fill="auto"/>
            <w:tcW w:w="67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66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gridSpan w:val="2"/>
            <w:shd w:val="clear" w:color="auto" w:fill="auto"/>
            <w:tcW w:w="62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586"/>
        </w:trPr>
        <w:tc>
          <w:tcPr>
            <w:shd w:val="clear" w:color="auto" w:fill="auto"/>
            <w:tcW w:w="33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6</w:t>
            </w:r>
            <w:r/>
          </w:p>
        </w:tc>
        <w:tc>
          <w:tcPr>
            <w:shd w:val="clear" w:color="auto" w:fill="auto"/>
            <w:tcW w:w="523"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大黄豆</w:t>
            </w:r>
            <w:r/>
          </w:p>
        </w:tc>
        <w:tc>
          <w:tcPr>
            <w:shd w:val="clear" w:color="auto" w:fill="auto"/>
            <w:tcW w:w="70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斤</w:t>
            </w:r>
            <w:r/>
          </w:p>
        </w:tc>
        <w:tc>
          <w:tcPr>
            <w:shd w:val="clear" w:color="auto" w:fill="auto"/>
            <w:tcW w:w="51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2%</w:t>
            </w:r>
            <w:r/>
          </w:p>
        </w:tc>
        <w:tc>
          <w:tcPr>
            <w:shd w:val="clear" w:color="auto" w:fill="auto"/>
            <w:tcW w:w="9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元/斤</w:t>
            </w:r>
            <w:r/>
          </w:p>
        </w:tc>
        <w:tc>
          <w:tcPr>
            <w:shd w:val="clear" w:color="auto" w:fill="auto"/>
            <w:tcW w:w="67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66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gridSpan w:val="2"/>
            <w:shd w:val="clear" w:color="auto" w:fill="auto"/>
            <w:tcW w:w="62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586"/>
        </w:trPr>
        <w:tc>
          <w:tcPr>
            <w:shd w:val="clear" w:color="auto" w:fill="auto"/>
            <w:tcW w:w="33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7</w:t>
            </w:r>
            <w:r/>
          </w:p>
        </w:tc>
        <w:tc>
          <w:tcPr>
            <w:shd w:val="clear" w:color="auto" w:fill="auto"/>
            <w:tcW w:w="523"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红豆</w:t>
            </w:r>
            <w:r/>
          </w:p>
        </w:tc>
        <w:tc>
          <w:tcPr>
            <w:shd w:val="clear" w:color="auto" w:fill="auto"/>
            <w:tcW w:w="70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斤</w:t>
            </w:r>
            <w:r/>
          </w:p>
        </w:tc>
        <w:tc>
          <w:tcPr>
            <w:shd w:val="clear" w:color="auto" w:fill="auto"/>
            <w:tcW w:w="51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2%</w:t>
            </w:r>
            <w:r/>
          </w:p>
        </w:tc>
        <w:tc>
          <w:tcPr>
            <w:shd w:val="clear" w:color="auto" w:fill="auto"/>
            <w:tcW w:w="9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元/斤</w:t>
            </w:r>
            <w:r/>
          </w:p>
        </w:tc>
        <w:tc>
          <w:tcPr>
            <w:shd w:val="clear" w:color="auto" w:fill="auto"/>
            <w:tcW w:w="67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66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gridSpan w:val="2"/>
            <w:shd w:val="clear" w:color="auto" w:fill="auto"/>
            <w:tcW w:w="62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586"/>
        </w:trPr>
        <w:tc>
          <w:tcPr>
            <w:shd w:val="clear" w:color="auto" w:fill="auto"/>
            <w:tcW w:w="33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8</w:t>
            </w:r>
            <w:r/>
          </w:p>
        </w:tc>
        <w:tc>
          <w:tcPr>
            <w:shd w:val="clear" w:color="auto" w:fill="auto"/>
            <w:tcW w:w="523"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普糯米</w:t>
            </w:r>
            <w:r/>
          </w:p>
        </w:tc>
        <w:tc>
          <w:tcPr>
            <w:shd w:val="clear" w:color="auto" w:fill="auto"/>
            <w:tcW w:w="70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斤</w:t>
            </w:r>
            <w:r/>
          </w:p>
        </w:tc>
        <w:tc>
          <w:tcPr>
            <w:shd w:val="clear" w:color="auto" w:fill="auto"/>
            <w:tcW w:w="51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2%</w:t>
            </w:r>
            <w:r/>
          </w:p>
        </w:tc>
        <w:tc>
          <w:tcPr>
            <w:shd w:val="clear" w:color="auto" w:fill="auto"/>
            <w:tcW w:w="9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元/斤</w:t>
            </w:r>
            <w:r/>
          </w:p>
        </w:tc>
        <w:tc>
          <w:tcPr>
            <w:shd w:val="clear" w:color="auto" w:fill="auto"/>
            <w:tcW w:w="67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66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gridSpan w:val="2"/>
            <w:shd w:val="clear" w:color="auto" w:fill="auto"/>
            <w:tcW w:w="62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586"/>
        </w:trPr>
        <w:tc>
          <w:tcPr>
            <w:shd w:val="clear" w:color="auto" w:fill="auto"/>
            <w:tcW w:w="33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9</w:t>
            </w:r>
            <w:r/>
          </w:p>
        </w:tc>
        <w:tc>
          <w:tcPr>
            <w:shd w:val="clear" w:color="auto" w:fill="auto"/>
            <w:tcW w:w="523"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大米</w:t>
            </w:r>
            <w:r/>
          </w:p>
        </w:tc>
        <w:tc>
          <w:tcPr>
            <w:shd w:val="clear" w:color="auto" w:fill="auto"/>
            <w:tcW w:w="70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10kg/袋</w:t>
            </w:r>
            <w:r/>
          </w:p>
        </w:tc>
        <w:tc>
          <w:tcPr>
            <w:shd w:val="clear" w:color="auto" w:fill="auto"/>
            <w:tcW w:w="51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w:t>
            </w:r>
            <w:r/>
          </w:p>
        </w:tc>
        <w:tc>
          <w:tcPr>
            <w:shd w:val="clear" w:color="auto" w:fill="auto"/>
            <w:tcW w:w="9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元/(</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kg/袋)</w:t>
            </w:r>
            <w:r/>
          </w:p>
        </w:tc>
        <w:tc>
          <w:tcPr>
            <w:shd w:val="clear" w:color="auto" w:fill="auto"/>
            <w:tcW w:w="67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66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gridSpan w:val="2"/>
            <w:shd w:val="clear" w:color="auto" w:fill="auto"/>
            <w:tcW w:w="62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586"/>
        </w:trPr>
        <w:tc>
          <w:tcPr>
            <w:shd w:val="clear" w:color="auto" w:fill="auto"/>
            <w:tcW w:w="33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10</w:t>
            </w:r>
            <w:r/>
          </w:p>
        </w:tc>
        <w:tc>
          <w:tcPr>
            <w:shd w:val="clear" w:color="auto" w:fill="auto"/>
            <w:tcW w:w="523"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长粒香</w:t>
            </w:r>
            <w:r/>
          </w:p>
        </w:tc>
        <w:tc>
          <w:tcPr>
            <w:shd w:val="clear" w:color="auto" w:fill="auto"/>
            <w:tcW w:w="70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5kg/袋</w:t>
            </w:r>
            <w:r/>
          </w:p>
        </w:tc>
        <w:tc>
          <w:tcPr>
            <w:shd w:val="clear" w:color="auto" w:fill="auto"/>
            <w:tcW w:w="51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w:t>
            </w:r>
            <w:r/>
          </w:p>
        </w:tc>
        <w:tc>
          <w:tcPr>
            <w:shd w:val="clear" w:color="auto" w:fill="auto"/>
            <w:tcW w:w="9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元/(</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kg/袋)</w:t>
            </w:r>
            <w:r/>
          </w:p>
        </w:tc>
        <w:tc>
          <w:tcPr>
            <w:shd w:val="clear" w:color="auto" w:fill="auto"/>
            <w:tcW w:w="67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66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gridSpan w:val="2"/>
            <w:shd w:val="clear" w:color="auto" w:fill="auto"/>
            <w:tcW w:w="62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586"/>
        </w:trPr>
        <w:tc>
          <w:tcPr>
            <w:shd w:val="clear" w:color="auto" w:fill="auto"/>
            <w:tcW w:w="33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11</w:t>
            </w:r>
            <w:r/>
          </w:p>
        </w:tc>
        <w:tc>
          <w:tcPr>
            <w:shd w:val="clear" w:color="auto" w:fill="auto"/>
            <w:tcW w:w="523"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葵花籽油</w:t>
            </w:r>
            <w:r/>
          </w:p>
        </w:tc>
        <w:tc>
          <w:tcPr>
            <w:shd w:val="clear" w:color="auto" w:fill="auto"/>
            <w:tcW w:w="70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5L/桶</w:t>
            </w:r>
            <w:r/>
          </w:p>
        </w:tc>
        <w:tc>
          <w:tcPr>
            <w:shd w:val="clear" w:color="auto" w:fill="auto"/>
            <w:tcW w:w="51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w:t>
            </w:r>
            <w:r/>
          </w:p>
        </w:tc>
        <w:tc>
          <w:tcPr>
            <w:shd w:val="clear" w:color="auto" w:fill="auto"/>
            <w:tcW w:w="9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元/(</w:t>
            </w:r>
            <w:r>
              <w:rPr>
                <w:rFonts w:hint="eastAsia"/>
                <w:color w:val="000000" w:themeColor="text1"/>
                <w:sz w:val="20"/>
                <w:szCs w:val="20"/>
                <w:highlight w:val="none"/>
                <w:lang w:val="en-US" w:eastAsia="zh-CN"/>
                <w14:textFill>
                  <w14:solidFill>
                    <w14:schemeClr w14:val="tx1"/>
                  </w14:solidFill>
                </w14:textFill>
              </w:rPr>
              <w:t xml:space="preserve">5</w:t>
            </w:r>
            <w:r>
              <w:rPr>
                <w:rFonts w:hint="eastAsia"/>
                <w:color w:val="000000" w:themeColor="text1"/>
                <w:sz w:val="20"/>
                <w:szCs w:val="20"/>
                <w:highlight w:val="none"/>
                <w14:textFill>
                  <w14:solidFill>
                    <w14:schemeClr w14:val="tx1"/>
                  </w14:solidFill>
                </w14:textFill>
              </w:rPr>
              <w:t xml:space="preserve">L/桶</w:t>
            </w:r>
            <w:r>
              <w:rPr>
                <w:rFonts w:hint="eastAsia" w:ascii="宋体" w:hAnsi="宋体" w:cs="宋体"/>
                <w:color w:val="000000" w:themeColor="text1"/>
                <w:szCs w:val="21"/>
                <w:highlight w:val="none"/>
                <w14:textFill>
                  <w14:solidFill>
                    <w14:schemeClr w14:val="tx1"/>
                  </w14:solidFill>
                </w14:textFill>
              </w:rPr>
              <w:t xml:space="preserve">)</w:t>
            </w:r>
            <w:r/>
          </w:p>
        </w:tc>
        <w:tc>
          <w:tcPr>
            <w:shd w:val="clear" w:color="auto" w:fill="auto"/>
            <w:tcW w:w="67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66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gridSpan w:val="2"/>
            <w:shd w:val="clear" w:color="auto" w:fill="auto"/>
            <w:tcW w:w="62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586"/>
        </w:trPr>
        <w:tc>
          <w:tcPr>
            <w:shd w:val="clear" w:color="auto" w:fill="auto"/>
            <w:tcW w:w="337"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12</w:t>
            </w:r>
            <w:r/>
          </w:p>
        </w:tc>
        <w:tc>
          <w:tcPr>
            <w:shd w:val="clear" w:color="auto" w:fill="auto"/>
            <w:tcW w:w="523"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小米</w:t>
            </w:r>
            <w:r/>
          </w:p>
        </w:tc>
        <w:tc>
          <w:tcPr>
            <w:shd w:val="clear" w:color="auto" w:fill="auto"/>
            <w:tcW w:w="70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斤</w:t>
            </w:r>
            <w:r/>
          </w:p>
        </w:tc>
        <w:tc>
          <w:tcPr>
            <w:shd w:val="clear" w:color="auto" w:fill="auto"/>
            <w:tcW w:w="514"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1%</w:t>
            </w:r>
            <w:r/>
          </w:p>
        </w:tc>
        <w:tc>
          <w:tcPr>
            <w:shd w:val="clear" w:color="auto" w:fill="auto"/>
            <w:tcW w:w="940"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元/斤</w:t>
            </w:r>
            <w:r/>
          </w:p>
        </w:tc>
        <w:tc>
          <w:tcPr>
            <w:shd w:val="clear" w:color="auto" w:fill="auto"/>
            <w:tcW w:w="67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shd w:val="clear" w:color="auto" w:fill="auto"/>
            <w:tcW w:w="665"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gridSpan w:val="2"/>
            <w:shd w:val="clear" w:color="auto" w:fill="auto"/>
            <w:tcW w:w="629"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trHeight w:val="586"/>
        </w:trPr>
        <w:tc>
          <w:tcPr>
            <w:gridSpan w:val="5"/>
            <w:shd w:val="clear" w:color="auto" w:fill="auto"/>
            <w:tcW w:w="3026" w:type="pct"/>
            <w:vAlign w:val="center"/>
            <w:textDirection w:val="lrTb"/>
            <w:noWrap w:val="false"/>
          </w:tcPr>
          <w:p>
            <w:pPr>
              <w:jc w:val="center"/>
              <w:rPr>
                <w:rFonts w:hint="eastAsia"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综合单价（元）</w:t>
            </w:r>
            <w:r/>
          </w:p>
          <w:p>
            <w:pPr>
              <w:jc w:val="center"/>
              <w:rPr>
                <w:rFonts w:hint="default"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注：</w:t>
            </w:r>
            <w:r>
              <w:rPr>
                <w:rFonts w:hint="eastAsia" w:ascii="宋体" w:hAnsi="宋体" w:cs="宋体"/>
                <w:b/>
                <w:color w:val="000000" w:themeColor="text1"/>
                <w:szCs w:val="21"/>
                <w:highlight w:val="none"/>
                <w14:textFill>
                  <w14:solidFill>
                    <w14:schemeClr w14:val="tx1"/>
                  </w14:solidFill>
                </w14:textFill>
              </w:rPr>
              <w:t xml:space="preserve">综合单价=∑投标人填报的各项单价</w:t>
            </w:r>
            <w:r>
              <w:rPr>
                <w:rFonts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采购权重</w:t>
            </w:r>
            <w:r/>
          </w:p>
        </w:tc>
        <w:tc>
          <w:tcPr>
            <w:gridSpan w:val="4"/>
            <w:shd w:val="clear" w:color="auto" w:fill="auto"/>
            <w:tcW w:w="1973" w:type="pct"/>
            <w:vAlign w:val="center"/>
            <w:textDirection w:val="lrTb"/>
            <w:noWrap w:val="false"/>
          </w:tcPr>
          <w:p>
            <w:pPr>
              <w:jc w:val="cente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r>
      <w:tr>
        <w:trPr>
          <w:gridAfter w:val="1"/>
          <w:trHeight w:val="1074"/>
        </w:trPr>
        <w:tc>
          <w:tcPr>
            <w:shd w:val="clear" w:color="auto" w:fill="auto"/>
            <w:tcW w:w="337" w:type="pct"/>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tc>
        <w:tc>
          <w:tcPr>
            <w:gridSpan w:val="7"/>
            <w:shd w:val="clear" w:color="auto" w:fill="auto"/>
            <w:tcW w:w="4661" w:type="pct"/>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p>
            <w:pPr>
              <w:jc w:val="left"/>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★1、采购产品质量要求：</w:t>
            </w:r>
            <w:r/>
          </w:p>
          <w:p>
            <w:pPr>
              <w:jc w:val="left"/>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①大米：优质、精碾加工；色泽清白或乳白，有光泽，米粒大小均匀，饱满光滑；无异常色泽和气味；符合国家大米的通用执行标准（GB/T1354）或地理标志产品标准。质量等级：碎米率、黄米粒、杂质水份符合一级大米标准。</w:t>
            </w:r>
            <w:r/>
          </w:p>
          <w:p>
            <w:pPr>
              <w:jc w:val="left"/>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②食用油：色泽淡黄色至橙黄色；澄清透明；具有产品应有的状态，无正常视力可见的外来异物，具有产品固有的香味，无异味。符合国家食用油通用标准、食用油产品标准；食用油等级：一级；生产原料：非转基因。</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③面粉：具有应有的色泽，色泽均匀；气味正常，无氧化哈败、霉变等异味；粉末状、无结块；无正常视力可见杂质；符合国家面粉执行标准；质量等级：水份、灰度、湿面筋、粗细度等符合特一级面粉要求。</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★2、供应商在投标文件中填写每项产品的单价</w:t>
            </w:r>
            <w:r>
              <w:rPr>
                <w:rFonts w:hint="eastAsia" w:ascii="宋体" w:hAnsi="宋体" w:cs="宋体"/>
                <w:color w:val="000000" w:themeColor="text1"/>
                <w:szCs w:val="21"/>
                <w:highlight w:val="none"/>
                <w14:textFill>
                  <w14:solidFill>
                    <w14:schemeClr w14:val="tx1"/>
                  </w14:solidFill>
                </w14:textFill>
              </w:rPr>
              <w:t xml:space="preserve">；</w:t>
            </w:r>
            <w:r/>
          </w:p>
          <w:p>
            <w:pPr>
              <w:jc w:val="left"/>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3、价格评分依据：</w:t>
            </w:r>
            <w:r/>
          </w:p>
          <w:p>
            <w:pPr>
              <w:jc w:val="left"/>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①采购清单内根据各项产品的权重，结合供应商报价，计算综合单价作为价格分计算依据（综合单价=∑投标人填报的各项单价</w:t>
            </w:r>
            <w:r>
              <w:rPr>
                <w:rFonts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采购权重）；</w:t>
            </w:r>
            <w:r/>
          </w:p>
          <w:p>
            <w:pPr>
              <w:jc w:val="left"/>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★4、供应商须对上述清单内所有产品进行报价（清单内品种、规格不得调整），不得选取部分产品进行报价（不得自行增加或删除品种），否则视为无效标；</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★5、供货清单的品种、规格和采购权重不得调整，否则视为无效标</w:t>
            </w:r>
            <w:r>
              <w:rPr>
                <w:rFonts w:hint="eastAsia" w:ascii="宋体" w:hAnsi="宋体" w:cs="宋体"/>
                <w:color w:val="000000" w:themeColor="text1"/>
                <w:szCs w:val="21"/>
                <w:highlight w:val="none"/>
                <w14:textFill>
                  <w14:solidFill>
                    <w14:schemeClr w14:val="tx1"/>
                  </w14:solidFill>
                </w14:textFill>
              </w:rPr>
              <w:t xml:space="preserve">；</w:t>
            </w:r>
            <w:r/>
          </w:p>
          <w:p>
            <w:pPr>
              <w:jc w:val="left"/>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eastAsia="宋体" w:cs="宋体"/>
                <w:b/>
                <w:color w:val="000000" w:themeColor="text1"/>
                <w:szCs w:val="21"/>
                <w:highlight w:val="none"/>
                <w14:textFill>
                  <w14:solidFill>
                    <w14:schemeClr w14:val="tx1"/>
                  </w14:solidFill>
                </w14:textFill>
              </w:rPr>
              <w:t xml:space="preserve">合同期内采购产品清单内品种价格不得调整。</w:t>
            </w:r>
            <w:r/>
          </w:p>
        </w:tc>
      </w:tr>
    </w:tbl>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注：1.供应商须在投标文件中逐条按采购清单内要求，对所有产品进行响应，不得有缺漏项。</w:t>
      </w:r>
      <w:r/>
    </w:p>
    <w:p>
      <w:pPr>
        <w:numPr>
          <w:ilvl w:val="0"/>
          <w:numId w:val="0"/>
        </w:numPr>
        <w:ind w:firstLine="422"/>
        <w:jc w:val="both"/>
        <w:spacing w:line="360" w:lineRule="auto"/>
        <w:tabs>
          <w:tab w:val="left" w:pos="6045" w:leader="none"/>
        </w:tabs>
        <w:rPr>
          <w:rFonts w:hint="eastAsia"/>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2.</w:t>
      </w:r>
      <w:r>
        <w:rPr>
          <w:rFonts w:hint="eastAsia"/>
          <w:b/>
          <w:bCs/>
          <w:color w:val="000000" w:themeColor="text1"/>
          <w:highlight w:val="none"/>
          <w14:textFill>
            <w14:solidFill>
              <w14:schemeClr w14:val="tx1"/>
            </w14:solidFill>
          </w14:textFill>
        </w:rPr>
        <w:t xml:space="preserve">供应商应按公式要求认真测算，避免填报错误，否则评委会有权按照本评分办法规定的计算公式及供应商分项报价表填报的投标单价对评审价进行修正。</w:t>
      </w:r>
      <w:r>
        <w:rPr>
          <w:rFonts w:hint="eastAsia" w:ascii="华文仿宋" w:hAnsi="华文仿宋" w:eastAsia="华文仿宋" w:cs="华文仿宋"/>
          <w:b/>
          <w:bCs/>
          <w:color w:val="000000" w:themeColor="text1"/>
          <w:highlight w:val="none"/>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修正后的评审价经投标人确认后产生约束力，投标人不确认的，其投标无效。</w:t>
      </w:r>
      <w:r/>
    </w:p>
    <w:p>
      <w:pPr>
        <w:numPr>
          <w:ilvl w:val="0"/>
          <w:numId w:val="0"/>
        </w:numPr>
        <w:ind w:firstLine="5880"/>
        <w:jc w:val="both"/>
        <w:spacing w:line="360" w:lineRule="auto"/>
        <w:tabs>
          <w:tab w:val="left" w:pos="6045" w:leader="none"/>
        </w:tabs>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供应商名称（公章）：</w:t>
      </w:r>
      <w:r/>
    </w:p>
    <w:p>
      <w:pPr>
        <w:ind w:right="420" w:firstLine="372"/>
        <w:jc w:val="cente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firstLine="422"/>
        <w:spacing w:line="360" w:lineRule="auto"/>
        <w:tabs>
          <w:tab w:val="left" w:pos="6045" w:leader="none"/>
        </w:tabs>
        <w:rPr>
          <w:rFonts w:hint="eastAsia"/>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w:t>
      </w:r>
      <w:r>
        <w:rPr>
          <w:rFonts w:hint="eastAsia" w:ascii="宋体" w:hAnsi="宋体" w:cs="宋体"/>
          <w:bCs/>
          <w:color w:val="000000" w:themeColor="text1"/>
          <w:highlight w:val="none"/>
          <w:lang w:val="en-US" w:eastAsia="zh-CN"/>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ind w:firstLine="422"/>
        <w:spacing w:line="360" w:lineRule="auto"/>
        <w:tabs>
          <w:tab w:val="left" w:pos="6045" w:leader="none"/>
        </w:tabs>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sectPr>
          <w:footnotePr/>
          <w:endnotePr/>
          <w:type w:val="nextPage"/>
          <w:pgSz w:w="16838" w:h="11906" w:orient="landscape"/>
          <w:pgMar w:top="1588" w:right="1440" w:bottom="1698" w:left="1440" w:header="851" w:footer="992" w:gutter="0"/>
          <w:cols w:num="1" w:sep="0" w:space="720" w:equalWidth="1"/>
          <w:docGrid w:linePitch="360"/>
        </w:sect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69"/>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（5）偏离表</w:t>
      </w:r>
      <w:r/>
    </w:p>
    <w:p>
      <w:pPr>
        <w:pStyle w:val="869"/>
        <w:ind w:firstLine="426"/>
        <w:spacing w:before="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（5-1）商务要求响应及偏离表</w:t>
      </w:r>
      <w:bookmarkEnd w:id="293"/>
      <w:r/>
      <w:bookmarkEnd w:id="294"/>
      <w:r/>
      <w:bookmarkEnd w:id="295"/>
      <w:r/>
      <w:r/>
    </w:p>
    <w:p>
      <w:pPr>
        <w:pStyle w:val="1105"/>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南京市儿童医院米面油等食材采购项目</w:t>
      </w:r>
      <w:r/>
    </w:p>
    <w:p>
      <w:pPr>
        <w:pStyle w:val="1105"/>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JSZC-320100-JITC-G2026-0205</w:t>
      </w:r>
      <w:r/>
    </w:p>
    <w:tbl>
      <w:tblPr>
        <w:tblStyle w:val="839"/>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844"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2268"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招标文件的商务条款</w:t>
            </w:r>
            <w:r/>
          </w:p>
        </w:tc>
        <w:tc>
          <w:tcPr>
            <w:tcW w:w="1134" w:type="dxa"/>
            <w:textDirection w:val="lrTb"/>
            <w:noWrap/>
          </w:tcPr>
          <w:p>
            <w:pPr>
              <w:pStyle w:val="1105"/>
              <w:ind w:firstLine="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781"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797"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bl>
    <w:p>
      <w:pPr>
        <w:pStyle w:val="867"/>
        <w:ind w:firstLine="373"/>
        <w:spacing w:line="36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67"/>
        <w:ind w:firstLine="373"/>
        <w:spacing w:line="36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供应商须根据招标文件商务条款要求填写此表，作为投标文件的组成部分。</w:t>
      </w:r>
      <w:r/>
    </w:p>
    <w:p>
      <w:pPr>
        <w:pStyle w:val="867"/>
        <w:ind w:firstLine="373"/>
        <w:spacing w:line="36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所有偏离必须在本表中列出，未在本偏离表中列出偏离，将视为供应商已完全接受招标文件要求。</w:t>
      </w:r>
      <w:r/>
    </w:p>
    <w:p>
      <w:pPr>
        <w:pStyle w:val="867"/>
        <w:ind w:firstLine="373"/>
        <w:spacing w:line="36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偏离包括正、负偏离，正偏离指供应商的响应优于招标文件要求，负偏离指供应商的响应低于招标文件要求。</w:t>
      </w:r>
      <w:r/>
    </w:p>
    <w:p>
      <w:pPr>
        <w:ind w:firstLine="440"/>
        <w:jc w:val="right"/>
        <w:spacing w:line="360" w:lineRule="auto"/>
        <w:rPr>
          <w:rFonts w:ascii="宋体" w:hAnsi="宋体" w:cs="宋体"/>
          <w:color w:val="000000" w:themeColor="text1"/>
          <w:sz w:val="22"/>
          <w:szCs w:val="22"/>
          <w:highlight w:val="none"/>
          <w14:textFill>
            <w14:solidFill>
              <w14:schemeClr w14:val="tx1"/>
            </w14:solidFill>
          </w14:textFill>
        </w:rPr>
      </w:pPr>
      <w:r/>
      <w:bookmarkStart w:id="297" w:name="_Toc104560902"/>
      <w:r/>
      <w:bookmarkStart w:id="298" w:name="_Toc103848587"/>
      <w:r/>
      <w:r/>
    </w:p>
    <w:p>
      <w:pPr>
        <w:ind w:firstLine="37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69"/>
        <w:ind w:firstLine="426"/>
        <w:spacing w:before="0"/>
        <w:rPr>
          <w:rFonts w:ascii="宋体" w:hAnsi="宋体" w:cs="宋体"/>
          <w:bCs w:val="0"/>
          <w:color w:val="000000" w:themeColor="text1"/>
          <w:sz w:val="24"/>
          <w:szCs w:val="24"/>
          <w:highlight w:val="none"/>
          <w14:textFill>
            <w14:solidFill>
              <w14:schemeClr w14:val="tx1"/>
            </w14:solidFill>
          </w14:textFill>
        </w:rPr>
      </w:pPr>
      <w:r/>
      <w:bookmarkStart w:id="299" w:name="_Toc107246282"/>
      <w:r>
        <w:rPr>
          <w:rFonts w:hint="eastAsia" w:ascii="宋体" w:hAnsi="宋体" w:cs="宋体"/>
          <w:bCs w:val="0"/>
          <w:color w:val="000000" w:themeColor="text1"/>
          <w:sz w:val="24"/>
          <w:szCs w:val="24"/>
          <w:highlight w:val="none"/>
          <w14:textFill>
            <w14:solidFill>
              <w14:schemeClr w14:val="tx1"/>
            </w14:solidFill>
          </w14:textFill>
        </w:rPr>
        <w:t xml:space="preserve">（5-2）技术要求响应及偏离表</w:t>
      </w:r>
      <w:r/>
    </w:p>
    <w:p>
      <w:pPr>
        <w:pStyle w:val="1105"/>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南京市儿童医院米面油等食材采购项目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105"/>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JSZC-320100-JITC-G2026-0205</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tbl>
      <w:tblPr>
        <w:tblStyle w:val="839"/>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844"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2268"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招标文件的技术条款</w:t>
            </w:r>
            <w:r/>
          </w:p>
        </w:tc>
        <w:tc>
          <w:tcPr>
            <w:tcW w:w="1134" w:type="dxa"/>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781"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797"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7"/>
        <w:ind w:firstLine="373"/>
        <w:spacing w:line="36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67"/>
        <w:ind w:firstLine="373"/>
        <w:spacing w:line="36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供应商须根据招标文件技术条款要求填写此表，作为投标文件的组成部分。</w:t>
      </w:r>
      <w:r/>
    </w:p>
    <w:p>
      <w:pPr>
        <w:pStyle w:val="867"/>
        <w:ind w:firstLine="373"/>
        <w:spacing w:line="36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所有偏离必须在本表中列出，未在本偏离表中列出偏离，将视为供应商已完全接受招标文件要求。</w:t>
      </w:r>
      <w:r/>
    </w:p>
    <w:p>
      <w:pPr>
        <w:pStyle w:val="867"/>
        <w:ind w:firstLine="373"/>
        <w:spacing w:line="36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偏离包括正、负偏离，正偏离指供应商的响应优于招标文件要求，负偏离指供应商的响应低于招标文件要求。</w:t>
      </w:r>
      <w:r/>
    </w:p>
    <w:p>
      <w:pPr>
        <w:pStyle w:val="84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69"/>
        <w:ind w:firstLine="426"/>
        <w:spacing w:line="240" w:lineRule="atLeast"/>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（6）供应商具备投标资格的证明文件</w:t>
      </w:r>
      <w:bookmarkEnd w:id="297"/>
      <w:r/>
      <w:bookmarkEnd w:id="298"/>
      <w:r/>
      <w:bookmarkEnd w:id="299"/>
      <w:r/>
      <w:r/>
    </w:p>
    <w:p>
      <w:pPr>
        <w:pStyle w:val="869"/>
        <w:ind w:firstLine="426"/>
        <w:spacing w:line="240" w:lineRule="atLeast"/>
        <w:rPr>
          <w:rFonts w:ascii="宋体" w:hAnsi="宋体" w:cs="宋体"/>
          <w:bCs w:val="0"/>
          <w:color w:val="000000" w:themeColor="text1"/>
          <w:sz w:val="24"/>
          <w:szCs w:val="24"/>
          <w:highlight w:val="none"/>
          <w14:textFill>
            <w14:solidFill>
              <w14:schemeClr w14:val="tx1"/>
            </w14:solidFill>
          </w14:textFill>
        </w:rPr>
      </w:pPr>
      <w:r/>
      <w:bookmarkStart w:id="300" w:name="_Toc104560903"/>
      <w:r/>
      <w:bookmarkStart w:id="301" w:name="_Toc103848588"/>
      <w:r/>
      <w:bookmarkStart w:id="302" w:name="_Toc107246283"/>
      <w:r>
        <w:rPr>
          <w:rFonts w:hint="eastAsia" w:ascii="宋体" w:hAnsi="宋体" w:cs="宋体"/>
          <w:bCs w:val="0"/>
          <w:color w:val="000000" w:themeColor="text1"/>
          <w:sz w:val="24"/>
          <w:szCs w:val="24"/>
          <w:highlight w:val="none"/>
          <w14:textFill>
            <w14:solidFill>
              <w14:schemeClr w14:val="tx1"/>
            </w14:solidFill>
          </w14:textFill>
        </w:rPr>
        <w:t xml:space="preserve">（6-1-1）营业执照复印件</w:t>
      </w:r>
      <w:bookmarkEnd w:id="296"/>
      <w:r>
        <w:rPr>
          <w:rFonts w:hint="eastAsia" w:ascii="宋体" w:hAnsi="宋体" w:cs="宋体"/>
          <w:bCs w:val="0"/>
          <w:color w:val="000000" w:themeColor="text1"/>
          <w:sz w:val="24"/>
          <w:szCs w:val="24"/>
          <w:highlight w:val="none"/>
          <w14:textFill>
            <w14:solidFill>
              <w14:schemeClr w14:val="tx1"/>
            </w14:solidFill>
          </w14:textFill>
        </w:rPr>
        <w:t xml:space="preserve">或自然人的身份证明复印件</w:t>
      </w:r>
      <w:bookmarkEnd w:id="300"/>
      <w:r/>
      <w:bookmarkEnd w:id="301"/>
      <w:r/>
      <w:bookmarkEnd w:id="302"/>
      <w:r/>
      <w:r/>
    </w:p>
    <w:p>
      <w:pPr>
        <w:ind w:firstLine="373"/>
        <w:spacing w:line="360" w:lineRule="auto"/>
        <w:rPr>
          <w:rFonts w:ascii="宋体" w:hAnsi="宋体" w:cs="宋体"/>
          <w:b/>
          <w:bCs/>
          <w:color w:val="000000" w:themeColor="text1"/>
          <w:highlight w:val="none"/>
          <w14:textFill>
            <w14:solidFill>
              <w14:schemeClr w14:val="tx1"/>
            </w14:solidFill>
          </w14:textFill>
        </w:rPr>
      </w:pPr>
      <w:r/>
      <w:bookmarkStart w:id="303" w:name="_Hlk33717720"/>
      <w:r/>
      <w:bookmarkEnd w:id="303"/>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具有独立承担民事责任的能力，投标人提供在有效经营期内的营业执照、法人授权书（法人直接参与投标的可不提供）、法人身份证复印件、投标人代表身份证复印件；</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注：投标人提供营业执照副本（或具有同等法律效力的证照）复印件。复印件应能清晰显示投标人名称。</w:t>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firstLine="372"/>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72"/>
        <w:rPr>
          <w:rFonts w:ascii="宋体" w:hAnsi="宋体" w:cs="宋体"/>
          <w:color w:val="000000" w:themeColor="text1"/>
          <w:highlight w:val="none"/>
          <w14:textFill>
            <w14:solidFill>
              <w14:schemeClr w14:val="tx1"/>
            </w14:solidFill>
          </w14:textFill>
        </w:rPr>
      </w:pPr>
      <w:r/>
      <w:bookmarkStart w:id="304" w:name="_Toc103848589"/>
      <w:r/>
      <w:bookmarkStart w:id="305" w:name="_Toc102117320"/>
      <w:r>
        <w:rPr>
          <w:rFonts w:hint="eastAsia" w:ascii="宋体" w:hAnsi="宋体" w:cs="宋体"/>
          <w:color w:val="000000" w:themeColor="text1"/>
          <w:highlight w:val="none"/>
          <w14:textFill>
            <w14:solidFill>
              <w14:schemeClr w14:val="tx1"/>
            </w14:solidFill>
          </w14:textFill>
        </w:rPr>
        <w:br w:type="page" w:clear="all"/>
      </w:r>
      <w:bookmarkStart w:id="306" w:name="_Toc104560904"/>
      <w:r/>
      <w:bookmarkStart w:id="307" w:name="_Toc107246284"/>
      <w:r/>
      <w:r/>
    </w:p>
    <w:p>
      <w:pPr>
        <w:pStyle w:val="869"/>
        <w:ind w:firstLine="426"/>
        <w:spacing w:line="240" w:lineRule="atLeast"/>
        <w:rPr>
          <w:rFonts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（6-1-2）工商变更登记文件（如需）</w:t>
      </w:r>
      <w:bookmarkEnd w:id="304"/>
      <w:r/>
      <w:bookmarkEnd w:id="305"/>
      <w:r/>
      <w:bookmarkEnd w:id="306"/>
      <w:r/>
      <w:bookmarkEnd w:id="307"/>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注：如</w:t>
      </w:r>
      <w:r>
        <w:rPr>
          <w:rFonts w:hint="eastAsia" w:ascii="宋体" w:hAnsi="宋体" w:cs="宋体"/>
          <w:b/>
          <w:bCs/>
          <w:color w:val="000000" w:themeColor="text1"/>
          <w:sz w:val="22"/>
          <w:szCs w:val="22"/>
          <w:highlight w:val="none"/>
          <w14:textFill>
            <w14:solidFill>
              <w14:schemeClr w14:val="tx1"/>
            </w14:solidFill>
          </w14:textFill>
        </w:rPr>
        <w:t xml:space="preserve">供应商</w:t>
      </w:r>
      <w:r>
        <w:rPr>
          <w:rFonts w:hint="eastAsia" w:ascii="宋体" w:hAnsi="宋体" w:cs="宋体"/>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372"/>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08" w:name="_Toc107246285"/>
      <w:r/>
      <w:bookmarkStart w:id="309" w:name="_Toc104560905"/>
      <w:r/>
      <w:bookmarkStart w:id="310" w:name="_Toc103848590"/>
      <w:r/>
      <w:bookmarkStart w:id="311" w:name="_Toc102117321"/>
      <w:r>
        <w:rPr>
          <w:rFonts w:hint="eastAsia" w:ascii="宋体" w:hAnsi="宋体" w:cs="宋体"/>
          <w:b/>
          <w:color w:val="000000" w:themeColor="text1"/>
          <w:highlight w:val="none"/>
          <w14:textFill>
            <w14:solidFill>
              <w14:schemeClr w14:val="tx1"/>
            </w14:solidFill>
          </w14:textFill>
        </w:rPr>
        <w:t xml:space="preserve">说明：根据《关于在政府采购活动中推行信用承诺制的通知》（宁财购通〔2021〕5 号）的规定，适用信用承诺的供应商，对于下列</w:t>
      </w:r>
      <w:r>
        <w:rPr>
          <w:rFonts w:hint="eastAsia" w:ascii="宋体" w:hAnsi="宋体" w:cs="宋体"/>
          <w:b/>
          <w:color w:val="000000" w:themeColor="text1"/>
          <w:highlight w:val="none"/>
          <w:lang w:val="en-US" w:eastAsia="zh-CN"/>
          <w14:textFill>
            <w14:solidFill>
              <w14:schemeClr w14:val="tx1"/>
            </w14:solidFill>
          </w14:textFill>
        </w:rPr>
        <w:t xml:space="preserve">6</w:t>
      </w:r>
      <w:r>
        <w:rPr>
          <w:rFonts w:hint="eastAsia" w:ascii="宋体" w:hAnsi="宋体" w:cs="宋体"/>
          <w:b/>
          <w:color w:val="000000" w:themeColor="text1"/>
          <w:highlight w:val="none"/>
          <w14:textFill>
            <w14:solidFill>
              <w14:schemeClr w14:val="tx1"/>
            </w14:solidFill>
          </w14:textFill>
        </w:rPr>
        <w:t xml:space="preserve">-2至</w:t>
      </w:r>
      <w:r>
        <w:rPr>
          <w:rFonts w:hint="eastAsia" w:ascii="宋体" w:hAnsi="宋体" w:cs="宋体"/>
          <w:b/>
          <w:color w:val="000000" w:themeColor="text1"/>
          <w:highlight w:val="none"/>
          <w:lang w:val="en-US" w:eastAsia="zh-CN"/>
          <w14:textFill>
            <w14:solidFill>
              <w14:schemeClr w14:val="tx1"/>
            </w14:solidFill>
          </w14:textFill>
        </w:rPr>
        <w:t xml:space="preserve">6</w:t>
      </w:r>
      <w:r>
        <w:rPr>
          <w:rFonts w:hint="eastAsia" w:ascii="宋体" w:hAnsi="宋体" w:cs="宋体"/>
          <w:b/>
          <w:color w:val="000000" w:themeColor="text1"/>
          <w:highlight w:val="none"/>
          <w14:textFill>
            <w14:solidFill>
              <w14:schemeClr w14:val="tx1"/>
            </w14:solidFill>
          </w14:textFill>
        </w:rPr>
        <w:t xml:space="preserve">-</w:t>
      </w:r>
      <w:r>
        <w:rPr>
          <w:rFonts w:hint="eastAsia" w:ascii="宋体" w:hAnsi="宋体" w:cs="宋体"/>
          <w:b/>
          <w:color w:val="000000" w:themeColor="text1"/>
          <w:highlight w:val="none"/>
          <w:lang w:val="en-US" w:eastAsia="zh-CN"/>
          <w14:textFill>
            <w14:solidFill>
              <w14:schemeClr w14:val="tx1"/>
            </w14:solidFill>
          </w14:textFill>
        </w:rPr>
        <w:t xml:space="preserve">5</w:t>
      </w:r>
      <w:r>
        <w:rPr>
          <w:rFonts w:hint="eastAsia" w:ascii="宋体" w:hAnsi="宋体" w:cs="宋体"/>
          <w:b/>
          <w:color w:val="000000" w:themeColor="text1"/>
          <w:highlight w:val="none"/>
          <w14:textFill>
            <w14:solidFill>
              <w14:schemeClr w14:val="tx1"/>
            </w14:solidFill>
          </w14:textFill>
        </w:rPr>
        <w:t xml:space="preserve">款证明材料可使用《南京市政府采购供应商信用记录表暨信用承诺书》替代。</w:t>
      </w:r>
      <w:r/>
    </w:p>
    <w:p>
      <w:pPr>
        <w:pStyle w:val="869"/>
        <w:ind w:firstLine="426"/>
        <w:spacing w:line="240" w:lineRule="atLeast"/>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（6-2）财务报表</w:t>
      </w:r>
      <w:bookmarkEnd w:id="308"/>
      <w:r/>
      <w:bookmarkEnd w:id="309"/>
      <w:r/>
      <w:bookmarkEnd w:id="310"/>
      <w:r/>
      <w:bookmarkEnd w:id="311"/>
      <w:r>
        <w:rPr>
          <w:rFonts w:hint="eastAsia" w:ascii="宋体" w:hAnsi="宋体" w:cs="宋体"/>
          <w:bCs w:val="0"/>
          <w:color w:val="000000" w:themeColor="text1"/>
          <w:sz w:val="24"/>
          <w:szCs w:val="24"/>
          <w:highlight w:val="none"/>
          <w14:textFill>
            <w14:solidFill>
              <w14:schemeClr w14:val="tx1"/>
            </w14:solidFill>
          </w14:textFill>
        </w:rPr>
        <w:t xml:space="preserve">等证明文件</w:t>
      </w:r>
      <w:r/>
    </w:p>
    <w:p>
      <w:pPr>
        <w:pStyle w:val="869"/>
        <w:jc w:val="left"/>
        <w:rPr>
          <w:rFonts w:hint="eastAsia" w:ascii="宋体" w:hAnsi="宋体" w:cs="宋体"/>
          <w:bCs w:val="0"/>
          <w:color w:val="000000" w:themeColor="text1"/>
          <w:sz w:val="24"/>
          <w:szCs w:val="24"/>
          <w:highlight w:val="none"/>
          <w14:textFill>
            <w14:solidFill>
              <w14:schemeClr w14:val="tx1"/>
            </w14:solidFill>
          </w14:textFill>
        </w:rPr>
      </w:pPr>
      <w:r/>
      <w:bookmarkStart w:id="312" w:name="_Toc104560908"/>
      <w:r/>
      <w:bookmarkStart w:id="313" w:name="_Toc102117322"/>
      <w:r/>
      <w:bookmarkStart w:id="314" w:name="_Toc103848593"/>
      <w:r>
        <w:rPr>
          <w:rFonts w:hint="eastAsia" w:ascii="宋体" w:hAnsi="宋体" w:eastAsia="宋体" w:cs="宋体"/>
          <w:bCs w:val="0"/>
          <w:color w:val="000000" w:themeColor="text1"/>
          <w:sz w:val="21"/>
          <w:szCs w:val="21"/>
          <w:highlight w:val="none"/>
          <w14:textFill>
            <w14:solidFill>
              <w14:schemeClr w14:val="tx1"/>
            </w14:solidFill>
          </w14:textFill>
        </w:rPr>
        <w:t xml:space="preserve">具有良好的商业信誉和健全的财务会计制度，提供上年度财务报表复印件（即2024年度财务报表或2025年度财务报表，如为新成立的公司，应提供公司成立之后的财务报表）或投标截止时间前3个月内，由其基本开户银行出具的资信证明；</w:t>
      </w:r>
      <w:r/>
    </w:p>
    <w:p>
      <w:pPr>
        <w:pStyle w:val="869"/>
        <w:jc w:val="lef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1"/>
          <w:szCs w:val="21"/>
          <w:highlight w:val="none"/>
          <w14:textFill>
            <w14:solidFill>
              <w14:schemeClr w14:val="tx1"/>
            </w14:solidFill>
          </w14:textFill>
        </w:rPr>
        <w:br w:type="page" w:clear="all"/>
      </w:r>
      <w:bookmarkStart w:id="315" w:name="_Toc107246286"/>
      <w:r>
        <w:rPr>
          <w:rFonts w:hint="eastAsia" w:ascii="宋体" w:hAnsi="宋体" w:cs="宋体"/>
          <w:bCs w:val="0"/>
          <w:color w:val="000000" w:themeColor="text1"/>
          <w:sz w:val="24"/>
          <w:szCs w:val="24"/>
          <w:highlight w:val="none"/>
          <w14:textFill>
            <w14:solidFill>
              <w14:schemeClr w14:val="tx1"/>
            </w14:solidFill>
          </w14:textFill>
        </w:rPr>
        <w:t xml:space="preserve">（6-3）</w:t>
      </w:r>
      <w:bookmarkEnd w:id="312"/>
      <w:r/>
      <w:bookmarkEnd w:id="313"/>
      <w:r/>
      <w:bookmarkEnd w:id="314"/>
      <w:r/>
      <w:bookmarkEnd w:id="315"/>
      <w:r>
        <w:rPr>
          <w:rFonts w:hint="eastAsia" w:ascii="宋体" w:hAnsi="宋体" w:cs="宋体"/>
          <w:bCs w:val="0"/>
          <w:color w:val="000000" w:themeColor="text1"/>
          <w:sz w:val="24"/>
          <w:szCs w:val="24"/>
          <w:highlight w:val="none"/>
          <w14:textFill>
            <w14:solidFill>
              <w14:schemeClr w14:val="tx1"/>
            </w14:solidFill>
          </w14:textFill>
        </w:rPr>
        <w:t xml:space="preserve">具有履行合同所必需的设备和专业技术能力，投标人提供具备履行合同所必需的设备和专业技术能力的书面声明（由供应商根据项目需求提供材料）；</w:t>
      </w:r>
      <w:r/>
    </w:p>
    <w:p>
      <w:pPr>
        <w:pStyle w:val="869"/>
        <w:ind w:firstLine="373"/>
        <w:jc w:val="left"/>
        <w:rPr>
          <w:rFonts w:ascii="宋体" w:hAnsi="宋体" w:cs="宋体"/>
          <w:bCs w:val="0"/>
          <w:color w:val="000000" w:themeColor="text1"/>
          <w:sz w:val="24"/>
          <w:szCs w:val="24"/>
          <w:highlight w:val="none"/>
          <w14:textFill>
            <w14:solidFill>
              <w14:schemeClr w14:val="tx1"/>
            </w14:solidFill>
          </w14:textFill>
        </w:rPr>
      </w:pPr>
      <w:r>
        <w:rPr>
          <w:rFonts w:ascii="宋体" w:hAnsi="宋体" w:cs="宋体"/>
          <w:bCs w:val="0"/>
          <w:color w:val="000000" w:themeColor="text1"/>
          <w:sz w:val="24"/>
          <w:szCs w:val="24"/>
          <w:highlight w:val="none"/>
          <w14:textFill>
            <w14:solidFill>
              <w14:schemeClr w14:val="tx1"/>
            </w14:solidFill>
          </w14:textFill>
        </w:rPr>
      </w:r>
      <w:r/>
    </w:p>
    <w:p>
      <w:pPr>
        <w:ind w:firstLine="372"/>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72"/>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782"/>
        <w:jc w:val="center"/>
        <w:spacing w:before="120" w:after="120"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ind w:firstLine="782"/>
        <w:jc w:val="center"/>
        <w:spacing w:before="120" w:after="120" w:line="360" w:lineRule="auto"/>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372"/>
        <w:jc w:val="left"/>
        <w:spacing w:before="120" w:after="12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72"/>
        <w:jc w:val="left"/>
        <w:spacing w:before="120" w:after="12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48"/>
        <w:ind w:left="1260" w:firstLine="426"/>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72"/>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48"/>
        <w:ind w:left="1260" w:firstLine="426"/>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72"/>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72"/>
        <w:spacing w:line="276"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供应商名称（公章）：______________________</w:t>
      </w:r>
      <w:r/>
    </w:p>
    <w:p>
      <w:pPr>
        <w:ind w:firstLine="372"/>
        <w:spacing w:line="276" w:lineRule="auto"/>
        <w:rPr>
          <w:rFonts w:ascii="宋体" w:hAnsi="宋体" w:cs="宋体"/>
          <w:color w:val="000000" w:themeColor="text1"/>
          <w:szCs w:val="21"/>
          <w:highlight w:val="none"/>
          <w:u w:val="single"/>
          <w14:textFill>
            <w14:solidFill>
              <w14:schemeClr w14:val="tx1"/>
            </w14:solidFill>
          </w14:textFill>
        </w:rPr>
      </w:pPr>
      <w:r>
        <w:rPr>
          <w:rFonts w:ascii="宋体" w:hAnsi="宋体" w:cs="宋体"/>
          <w:color w:val="000000" w:themeColor="text1"/>
          <w:szCs w:val="21"/>
          <w:highlight w:val="none"/>
          <w:u w:val="single"/>
          <w14:textFill>
            <w14:solidFill>
              <w14:schemeClr w14:val="tx1"/>
            </w14:solidFill>
          </w14:textFill>
        </w:rPr>
      </w:r>
      <w:r/>
    </w:p>
    <w:p>
      <w:pPr>
        <w:ind w:firstLine="372"/>
        <w:spacing w:line="276"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pStyle w:val="869"/>
        <w:ind w:firstLine="426"/>
        <w:spacing w:line="240" w:lineRule="atLeast"/>
        <w:rPr>
          <w:rFonts w:ascii="宋体" w:hAnsi="宋体" w:cs="宋体"/>
          <w:b w:val="0"/>
          <w:color w:val="000000" w:themeColor="text1"/>
          <w:highlight w:val="none"/>
          <w14:textFill>
            <w14:solidFill>
              <w14:schemeClr w14:val="tx1"/>
            </w14:solidFill>
          </w14:textFill>
        </w:rPr>
      </w:pPr>
      <w:r/>
      <w:bookmarkStart w:id="316" w:name="_Toc103848591"/>
      <w:r/>
      <w:bookmarkStart w:id="317" w:name="_Toc102117323"/>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18" w:name="_Toc107246287"/>
      <w:r/>
      <w:bookmarkStart w:id="319" w:name="_Toc104560906"/>
      <w:r>
        <w:rPr>
          <w:rFonts w:hint="eastAsia" w:ascii="宋体" w:hAnsi="宋体" w:cs="宋体"/>
          <w:bCs w:val="0"/>
          <w:color w:val="000000" w:themeColor="text1"/>
          <w:sz w:val="24"/>
          <w:szCs w:val="24"/>
          <w:highlight w:val="none"/>
          <w14:textFill>
            <w14:solidFill>
              <w14:schemeClr w14:val="tx1"/>
            </w14:solidFill>
          </w14:textFill>
        </w:rPr>
        <w:t xml:space="preserve">（6-4）有依法缴纳税收和社会保障资金的良好记录的相关材料</w:t>
      </w:r>
      <w:bookmarkEnd w:id="316"/>
      <w:r/>
      <w:bookmarkEnd w:id="317"/>
      <w:r/>
      <w:bookmarkEnd w:id="318"/>
      <w:r/>
      <w:bookmarkEnd w:id="319"/>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jc w:val="left"/>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highlight w:val="none"/>
          <w14:textFill>
            <w14:solidFill>
              <w14:schemeClr w14:val="tx1"/>
            </w14:solidFill>
          </w14:textFill>
        </w:rPr>
        <w:t xml:space="preserve">递交投标文件截止时间前六个月内至少一个月依法缴纳税收的证明材料</w:t>
      </w:r>
      <w:r/>
    </w:p>
    <w:p>
      <w:pPr>
        <w:ind w:firstLine="373"/>
        <w:jc w:val="left"/>
        <w:spacing w:line="360" w:lineRule="auto"/>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r>
      <w:r/>
    </w:p>
    <w:p>
      <w:pPr>
        <w:jc w:val="left"/>
        <w:spacing w:line="360" w:lineRule="auto"/>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r>
      <w:r/>
    </w:p>
    <w:p>
      <w:pPr>
        <w:ind w:firstLine="373"/>
        <w:jc w:val="left"/>
        <w:spacing w:line="360" w:lineRule="auto"/>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r>
      <w:r/>
    </w:p>
    <w:p>
      <w:pPr>
        <w:ind w:firstLine="373"/>
        <w:jc w:val="both"/>
        <w:spacing w:line="360" w:lineRule="auto"/>
        <w:rPr>
          <w:rFonts w:ascii="宋体" w:hAnsi="宋体" w:cs="宋体"/>
          <w:b w:val="0"/>
          <w:color w:val="000000" w:themeColor="text1"/>
          <w:sz w:val="24"/>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highlight w:val="none"/>
          <w14:textFill>
            <w14:solidFill>
              <w14:schemeClr w14:val="tx1"/>
            </w14:solidFill>
          </w14:textFill>
        </w:rPr>
        <w:t xml:space="preserve">递交投标文件截止时间前六个月内至少一个月依法缴纳社会保障资金的证明材料</w:t>
      </w:r>
      <w:r>
        <w:rPr>
          <w:rFonts w:hint="eastAsia" w:ascii="宋体" w:hAnsi="宋体" w:cs="宋体"/>
          <w:b/>
          <w:bCs/>
          <w:color w:val="000000" w:themeColor="text1"/>
          <w:highlight w:val="none"/>
          <w14:textFill>
            <w14:solidFill>
              <w14:schemeClr w14:val="tx1"/>
            </w14:solidFill>
          </w14:textFill>
        </w:rPr>
        <w:br w:type="page" w:clear="all"/>
      </w:r>
      <w:bookmarkStart w:id="320" w:name="_Toc107246289"/>
      <w:r/>
      <w:bookmarkStart w:id="321" w:name="_Toc103848594"/>
      <w:r/>
      <w:bookmarkStart w:id="322" w:name="_Toc104560909"/>
      <w:r/>
      <w:bookmarkStart w:id="323" w:name="_Toc102117325"/>
      <w:r>
        <w:rPr>
          <w:rFonts w:hint="eastAsia" w:ascii="宋体" w:hAnsi="宋体" w:cs="宋体"/>
          <w:b/>
          <w:bCs/>
          <w:color w:val="000000" w:themeColor="text1"/>
          <w:sz w:val="24"/>
          <w:szCs w:val="24"/>
          <w:highlight w:val="none"/>
          <w14:textFill>
            <w14:solidFill>
              <w14:schemeClr w14:val="tx1"/>
            </w14:solidFill>
          </w14:textFill>
        </w:rPr>
        <w:t xml:space="preserve">（6-</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szCs w:val="24"/>
          <w:highlight w:val="none"/>
          <w14:textFill>
            <w14:solidFill>
              <w14:schemeClr w14:val="tx1"/>
            </w14:solidFill>
          </w14:textFill>
        </w:rPr>
        <w:t xml:space="preserve">）没有重大违法记录的书面声明</w:t>
      </w:r>
      <w:bookmarkEnd w:id="320"/>
      <w:r/>
      <w:bookmarkEnd w:id="321"/>
      <w:r/>
      <w:bookmarkEnd w:id="322"/>
      <w:r/>
      <w:bookmarkEnd w:id="323"/>
      <w:r/>
      <w:r/>
    </w:p>
    <w:p>
      <w:pPr>
        <w:ind w:firstLine="373"/>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firstLine="569"/>
        <w:jc w:val="center"/>
        <w:spacing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提供声明函原件）。</w:t>
      </w:r>
      <w:r/>
    </w:p>
    <w:p>
      <w:pPr>
        <w:ind w:firstLine="569"/>
        <w:jc w:val="center"/>
        <w:spacing w:line="360" w:lineRule="auto"/>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ind w:firstLine="779"/>
        <w:jc w:val="center"/>
        <w:spacing w:line="360" w:lineRule="auto"/>
        <w:rPr>
          <w:rFonts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声  明</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我单位郑重声明：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较大数额罚款金额规定如下：</w:t>
      </w:r>
      <w:r/>
    </w:p>
    <w:p>
      <w:pPr>
        <w:ind w:firstLine="372"/>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69"/>
        <w:ind w:firstLine="566"/>
        <w:spacing w:line="240" w:lineRule="atLeast"/>
        <w:rPr>
          <w:rFonts w:hint="eastAsia" w:ascii="宋体" w:hAnsi="宋体" w:cs="宋体"/>
          <w:b w:val="0"/>
          <w:color w:val="000000" w:themeColor="text1"/>
          <w:highlight w:val="none"/>
          <w14:textFill>
            <w14:solidFill>
              <w14:schemeClr w14:val="tx1"/>
            </w14:solidFill>
          </w14:textFill>
        </w:rPr>
        <w:sectPr>
          <w:footerReference w:type="default" r:id="rId15"/>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highlight w:val="none"/>
          <w14:textFill>
            <w14:solidFill>
              <w14:schemeClr w14:val="tx1"/>
            </w14:solidFill>
          </w14:textFill>
        </w:rPr>
        <w:br w:type="page" w:clear="all"/>
      </w:r>
      <w:r/>
    </w:p>
    <w:p>
      <w:pPr>
        <w:pStyle w:val="869"/>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324" w:name="_Toc104560910"/>
      <w:r/>
      <w:bookmarkStart w:id="325" w:name="_Toc107246290"/>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 信用中国查询</w:t>
      </w:r>
      <w:r/>
    </w:p>
    <w:p>
      <w:pPr>
        <w:ind w:firstLine="420"/>
        <w:spacing w:line="360" w:lineRule="auto"/>
        <w:rPr>
          <w:rFonts w:hint="eastAsia" w:ascii="宋体" w:hAnsi="宋体" w:cs="宋体"/>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t xml:space="preserve">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pStyle w:val="869"/>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r>
      <w:r/>
    </w:p>
    <w:p>
      <w:pPr>
        <w:pStyle w:val="869"/>
        <w:ind w:firstLine="426"/>
        <w:spacing w:line="240" w:lineRule="atLeast"/>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val="0"/>
          <w:color w:val="000000" w:themeColor="text1"/>
          <w:sz w:val="24"/>
          <w:szCs w:val="24"/>
          <w:highlight w:val="none"/>
          <w14:textFill>
            <w14:solidFill>
              <w14:schemeClr w14:val="tx1"/>
            </w14:solidFill>
          </w14:textFill>
        </w:rPr>
        <w:t xml:space="preserve">）承诺函</w:t>
      </w:r>
      <w:bookmarkEnd w:id="324"/>
      <w:r/>
      <w:bookmarkEnd w:id="325"/>
      <w:r/>
      <w:r/>
    </w:p>
    <w:p>
      <w:pPr>
        <w:pStyle w:val="1105"/>
        <w:ind w:firstLine="420"/>
        <w:spacing w:line="48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（一）本单位郑重承诺满足以下要求：</w:t>
      </w:r>
      <w:r/>
    </w:p>
    <w:p>
      <w:pPr>
        <w:pStyle w:val="1105"/>
        <w:ind w:firstLine="420"/>
        <w:spacing w:line="48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1.供应商单位负责人为同一人或者存在直接控股、管理关系的不同供应商，不得同时参加本项目的采购活动。</w:t>
      </w:r>
      <w:r/>
    </w:p>
    <w:p>
      <w:pPr>
        <w:pStyle w:val="1105"/>
        <w:ind w:firstLine="420"/>
        <w:spacing w:line="48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2.凡为采购项目提供整体设计、规范编制或者项目管理、监理、检测等服务的供应商，不得再参加本项目的采购活动。</w:t>
      </w:r>
      <w:r/>
    </w:p>
    <w:p>
      <w:pPr>
        <w:pStyle w:val="1105"/>
        <w:ind w:firstLine="420"/>
        <w:spacing w:line="48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1105"/>
        <w:ind w:firstLine="420"/>
        <w:spacing w:line="48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1.被人民法院列入失信被执行人；</w:t>
      </w:r>
      <w:r/>
    </w:p>
    <w:p>
      <w:pPr>
        <w:pStyle w:val="1105"/>
        <w:ind w:firstLine="420"/>
        <w:spacing w:line="48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2.被税务部门列入重大税收违法失信主体；</w:t>
      </w:r>
      <w:r/>
    </w:p>
    <w:p>
      <w:pPr>
        <w:pStyle w:val="1105"/>
        <w:ind w:firstLine="420"/>
        <w:spacing w:line="48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1105"/>
        <w:ind w:firstLine="420"/>
        <w:spacing w:line="48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4.不符合《政府采购法》第二十二条规定的条件。</w:t>
      </w:r>
      <w:r/>
    </w:p>
    <w:p>
      <w:pPr>
        <w:pStyle w:val="1105"/>
        <w:ind w:firstLine="420"/>
        <w:spacing w:line="48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我单位已就上述不良信用行为按照招标文件中供应商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105"/>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1105"/>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990"/>
        <w:spacing w:line="360" w:lineRule="auto"/>
        <w:rPr>
          <w:rFonts w:ascii="宋体" w:hAnsi="宋体" w:cs="宋体"/>
          <w:color w:val="000000" w:themeColor="text1"/>
          <w:szCs w:val="21"/>
          <w:highlight w:val="none"/>
          <w:u w:val="single"/>
          <w14:textFill>
            <w14:solidFill>
              <w14:schemeClr w14:val="tx1"/>
            </w14:solidFill>
          </w14:textFill>
        </w:rPr>
      </w:pPr>
      <w:r/>
      <w:bookmarkStart w:id="326" w:name="_Toc102117326"/>
      <w:r/>
      <w:bookmarkStart w:id="327" w:name="_Toc103848596"/>
      <w:r>
        <w:rPr>
          <w:rFonts w:hint="eastAsia" w:ascii="宋体" w:hAnsi="宋体" w:cs="宋体"/>
          <w:bCs/>
          <w:color w:val="000000" w:themeColor="text1"/>
          <w:highlight w:val="none"/>
          <w14:textFill>
            <w14:solidFill>
              <w14:schemeClr w14:val="tx1"/>
            </w14:solidFill>
          </w14:textFill>
        </w:rPr>
        <w:t xml:space="preserve">供应商名称（公章）：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p>
      <w:pPr>
        <w:ind w:firstLine="372"/>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bookmarkStart w:id="328" w:name="_Toc104560911"/>
      <w:r/>
      <w:bookmarkStart w:id="329" w:name="_Toc107246291"/>
      <w:r/>
      <w:r/>
    </w:p>
    <w:p>
      <w:pPr>
        <w:pStyle w:val="869"/>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val="0"/>
          <w:color w:val="000000" w:themeColor="text1"/>
          <w:sz w:val="24"/>
          <w:szCs w:val="24"/>
          <w:highlight w:val="none"/>
          <w14:textFill>
            <w14:solidFill>
              <w14:schemeClr w14:val="tx1"/>
            </w14:solidFill>
          </w14:textFill>
        </w:rPr>
        <w:t xml:space="preserve">）招标文件要求的其它实质性资格资信证明文件</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（1）若供应商为食品销售企业</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须具有行业主管部门颁发的《食品经营许可证》</w:t>
      </w:r>
      <w:r>
        <w:rPr>
          <w:rFonts w:hint="eastAsia" w:ascii="宋体" w:hAnsi="宋体" w:cs="宋体"/>
          <w:bCs/>
          <w:color w:val="000000" w:themeColor="text1"/>
          <w:szCs w:val="21"/>
          <w:highlight w:val="none"/>
          <w:lang w:val="en-US" w:eastAsia="zh-CN"/>
          <w14:textFill>
            <w14:solidFill>
              <w14:schemeClr w14:val="tx1"/>
            </w14:solidFill>
          </w14:textFill>
        </w:rPr>
        <w:t xml:space="preserve">或仅销售预包装食品经营者备案凭证</w:t>
      </w:r>
      <w:r>
        <w:rPr>
          <w:rFonts w:hint="eastAsia" w:ascii="宋体" w:hAnsi="宋体" w:cs="宋体"/>
          <w:bCs/>
          <w:color w:val="000000" w:themeColor="text1"/>
          <w:szCs w:val="21"/>
          <w:highlight w:val="none"/>
          <w14:textFill>
            <w14:solidFill>
              <w14:schemeClr w14:val="tx1"/>
            </w14:solidFill>
          </w14:textFill>
        </w:rPr>
        <w:t xml:space="preserve">（提供证书复印件）；</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（2）若供应商为食品生产企业</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须具有行业主管部门颁发的《食品生产许可证》（提供证书复印件）。</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bookmarkEnd w:id="326"/>
      <w:r/>
      <w:bookmarkEnd w:id="328"/>
      <w:r/>
      <w:bookmarkEnd w:id="329"/>
      <w:r/>
      <w:r/>
    </w:p>
    <w:p>
      <w:pPr>
        <w:ind w:firstLine="372"/>
        <w:rPr>
          <w:rFonts w:ascii="宋体" w:hAnsi="宋体" w:cs="宋体"/>
          <w:bCs w:val="0"/>
          <w:color w:val="000000" w:themeColor="text1"/>
          <w:sz w:val="24"/>
          <w:szCs w:val="24"/>
          <w:highlight w:val="none"/>
          <w14:textFill>
            <w14:solidFill>
              <w14:schemeClr w14:val="tx1"/>
            </w14:solidFill>
          </w14:textFill>
        </w:rPr>
      </w:pPr>
      <w:r/>
      <w:bookmarkStart w:id="330" w:name="_Toc104560912"/>
      <w:r/>
      <w:bookmarkStart w:id="331" w:name="_Toc107246293"/>
      <w:r>
        <w:rPr>
          <w:rFonts w:hint="eastAsia" w:ascii="宋体" w:hAnsi="宋体" w:cs="宋体"/>
          <w:bCs w:val="0"/>
          <w:color w:val="000000" w:themeColor="text1"/>
          <w:sz w:val="24"/>
          <w:szCs w:val="24"/>
          <w:highlight w:val="none"/>
          <w14:textFill>
            <w14:solidFill>
              <w14:schemeClr w14:val="tx1"/>
            </w14:solidFill>
          </w14:textFill>
        </w:rPr>
        <w:t xml:space="preserve">（7）《南京市政府采购供应商信用记录表暨信用承诺书》</w:t>
      </w:r>
      <w:r/>
    </w:p>
    <w:p>
      <w:pPr>
        <w:ind w:firstLine="373"/>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842"/>
        <w:ind w:left="1240" w:firstLine="372"/>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779"/>
        <w:jc w:val="center"/>
        <w:spacing w:line="500" w:lineRule="exact"/>
        <w:rPr>
          <w:rFonts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南京市政府采购供应商信用记录表</w:t>
      </w:r>
      <w:r/>
    </w:p>
    <w:p>
      <w:pPr>
        <w:ind w:firstLine="779"/>
        <w:jc w:val="center"/>
        <w:spacing w:line="500" w:lineRule="exact"/>
        <w:rPr>
          <w:rFonts w:ascii="宋体" w:hAnsi="宋体" w:cs="宋体"/>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暨信用承诺书（格式）</w:t>
      </w:r>
      <w:r/>
    </w:p>
    <w:p>
      <w:pPr>
        <w:ind w:firstLine="372"/>
        <w:jc w:val="right"/>
        <w:spacing w:line="50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年  月   日</w:t>
      </w:r>
      <w:r/>
    </w:p>
    <w:tbl>
      <w:tblPr>
        <w:tblStyle w:val="839"/>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tcPr>
          <w:p>
            <w:pPr>
              <w:ind w:firstLine="372"/>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单位名称</w:t>
            </w:r>
            <w:r/>
          </w:p>
        </w:tc>
        <w:tc>
          <w:tcPr>
            <w:tcW w:w="3402" w:type="dxa"/>
            <w:textDirection w:val="lrTb"/>
            <w:noWrap/>
          </w:tcPr>
          <w:p>
            <w:pPr>
              <w:ind w:firstLine="373"/>
              <w:jc w:val="left"/>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统一社会信用代码</w:t>
            </w:r>
            <w:r/>
          </w:p>
        </w:tc>
        <w:tc>
          <w:tcPr>
            <w:tcW w:w="1937" w:type="dxa"/>
            <w:textDirection w:val="lrTb"/>
            <w:noWrap/>
          </w:tcPr>
          <w:p>
            <w:pPr>
              <w:ind w:firstLine="373"/>
              <w:jc w:val="left"/>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tc>
      </w:tr>
      <w:tr>
        <w:trPr>
          <w:trHeight w:val="20"/>
        </w:trPr>
        <w:tc>
          <w:tcPr>
            <w:tcW w:w="1668" w:type="dxa"/>
            <w:textDirection w:val="lrTb"/>
            <w:noWrap/>
          </w:tcPr>
          <w:p>
            <w:pPr>
              <w:ind w:firstLine="372"/>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法定代表人</w:t>
            </w:r>
            <w:r/>
          </w:p>
        </w:tc>
        <w:tc>
          <w:tcPr>
            <w:tcW w:w="3402" w:type="dxa"/>
            <w:textDirection w:val="lrTb"/>
            <w:noWrap/>
          </w:tcPr>
          <w:p>
            <w:pPr>
              <w:ind w:firstLine="373"/>
              <w:jc w:val="left"/>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联系人</w:t>
            </w:r>
            <w:r/>
          </w:p>
        </w:tc>
        <w:tc>
          <w:tcPr>
            <w:tcW w:w="1937" w:type="dxa"/>
            <w:textDirection w:val="lrTb"/>
            <w:noWrap/>
          </w:tcPr>
          <w:p>
            <w:pPr>
              <w:ind w:firstLine="373"/>
              <w:jc w:val="left"/>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tc>
      </w:tr>
      <w:tr>
        <w:trPr>
          <w:trHeight w:val="20"/>
        </w:trPr>
        <w:tc>
          <w:tcPr>
            <w:tcW w:w="1668" w:type="dxa"/>
            <w:textDirection w:val="lrTb"/>
            <w:noWrap/>
          </w:tcPr>
          <w:p>
            <w:pPr>
              <w:ind w:firstLine="372"/>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联系地址 </w:t>
            </w:r>
            <w:r/>
          </w:p>
        </w:tc>
        <w:tc>
          <w:tcPr>
            <w:tcW w:w="3402" w:type="dxa"/>
            <w:textDirection w:val="lrTb"/>
            <w:noWrap/>
          </w:tcPr>
          <w:p>
            <w:pPr>
              <w:ind w:firstLine="373"/>
              <w:jc w:val="left"/>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联系电话</w:t>
            </w:r>
            <w:r/>
          </w:p>
        </w:tc>
        <w:tc>
          <w:tcPr>
            <w:tcW w:w="1937" w:type="dxa"/>
            <w:textDirection w:val="lrTb"/>
            <w:noWrap/>
          </w:tcPr>
          <w:p>
            <w:pPr>
              <w:ind w:firstLine="373"/>
              <w:jc w:val="left"/>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tc>
      </w:tr>
      <w:tr>
        <w:trPr>
          <w:trHeight w:val="20"/>
        </w:trPr>
        <w:tc>
          <w:tcPr>
            <w:tcW w:w="1668" w:type="dxa"/>
            <w:textDirection w:val="lrTb"/>
            <w:noWrap/>
          </w:tcPr>
          <w:p>
            <w:pPr>
              <w:ind w:firstLine="372"/>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信用得分</w:t>
            </w:r>
            <w:r/>
          </w:p>
        </w:tc>
        <w:tc>
          <w:tcPr>
            <w:tcW w:w="3402" w:type="dxa"/>
            <w:textDirection w:val="lrTb"/>
            <w:noWrap/>
          </w:tcPr>
          <w:p>
            <w:pPr>
              <w:ind w:firstLine="373"/>
              <w:jc w:val="left"/>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星级</w:t>
            </w:r>
            <w:r/>
          </w:p>
        </w:tc>
        <w:tc>
          <w:tcPr>
            <w:tcW w:w="1937" w:type="dxa"/>
            <w:textDirection w:val="lrTb"/>
            <w:noWrap/>
          </w:tcPr>
          <w:p>
            <w:pPr>
              <w:ind w:firstLine="373"/>
              <w:jc w:val="left"/>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tc>
      </w:tr>
      <w:tr>
        <w:trPr>
          <w:trHeight w:val="1024"/>
        </w:trPr>
        <w:tc>
          <w:tcPr>
            <w:tcW w:w="1668" w:type="dxa"/>
            <w:textDirection w:val="lrTb"/>
            <w:noWrap/>
          </w:tcPr>
          <w:p>
            <w:pPr>
              <w:ind w:firstLine="372"/>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诚信档案记录情况</w:t>
            </w:r>
            <w:r/>
          </w:p>
        </w:tc>
        <w:tc>
          <w:tcPr>
            <w:gridSpan w:val="3"/>
            <w:tcW w:w="7323" w:type="dxa"/>
            <w:textDirection w:val="lrTb"/>
            <w:noWrap/>
          </w:tcPr>
          <w:p>
            <w:pPr>
              <w:ind w:firstLine="373"/>
              <w:jc w:val="left"/>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tc>
      </w:tr>
      <w:tr>
        <w:trPr>
          <w:trHeight w:val="5318"/>
        </w:trPr>
        <w:tc>
          <w:tcPr>
            <w:tcW w:w="1668" w:type="dxa"/>
            <w:textDirection w:val="lrTb"/>
            <w:noWrap/>
          </w:tcPr>
          <w:p>
            <w:pPr>
              <w:ind w:firstLine="372"/>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信用承诺</w:t>
            </w:r>
            <w:r/>
          </w:p>
        </w:tc>
        <w:tc>
          <w:tcPr>
            <w:gridSpan w:val="3"/>
            <w:tcW w:w="7323" w:type="dxa"/>
            <w:textDirection w:val="lrTb"/>
            <w:noWrap/>
          </w:tcPr>
          <w:p>
            <w:pPr>
              <w:ind w:firstLine="420"/>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我公司自愿参加江苏省招标中心有限公司组织的本次采购活动，严格遵守《中华人民共和国</w:t>
            </w:r>
            <w:r>
              <w:rPr>
                <w:rFonts w:hint="eastAsia" w:ascii="宋体" w:hAnsi="宋体" w:cs="宋体"/>
                <w:color w:val="000000" w:themeColor="text1"/>
                <w:highlight w:val="none"/>
                <w14:textFill>
                  <w14:solidFill>
                    <w14:schemeClr w14:val="tx1"/>
                  </w14:solidFill>
                </w14:textFill>
              </w:rPr>
              <w:t xml:space="preserve">政府采购法</w:t>
            </w:r>
            <w:r>
              <w:rPr>
                <w:rFonts w:hint="eastAsia" w:ascii="宋体" w:hAnsi="宋体" w:cs="宋体"/>
                <w:bCs/>
                <w:color w:val="000000" w:themeColor="text1"/>
                <w:highlight w:val="none"/>
                <w14:textFill>
                  <w14:solidFill>
                    <w14:schemeClr w14:val="tx1"/>
                  </w14:solidFill>
                </w14:textFill>
              </w:rPr>
              <w:t xml:space="preserve">》及相关法律法规，坚守公开、公平、公正、诚实信用的原则，依法诚信经营，无条件遵守本次政府采购活动的各项规定。</w:t>
            </w:r>
            <w:r/>
          </w:p>
          <w:p>
            <w:pPr>
              <w:ind w:firstLine="420"/>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审查和处罚。</w:t>
            </w:r>
            <w:r/>
          </w:p>
          <w:p>
            <w:pPr>
              <w:ind w:firstLine="372"/>
              <w:jc w:val="righ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供应商名称（盖章）：</w:t>
            </w:r>
            <w:r/>
          </w:p>
          <w:p>
            <w:pPr>
              <w:ind w:firstLine="372"/>
              <w:jc w:val="righ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法定代表人（签字）：</w:t>
            </w:r>
            <w:r/>
          </w:p>
          <w:p>
            <w:pPr>
              <w:ind w:firstLine="372"/>
              <w:jc w:val="righ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年    月     日</w:t>
            </w:r>
            <w:r/>
          </w:p>
        </w:tc>
      </w:tr>
    </w:tbl>
    <w:p>
      <w:pPr>
        <w:ind w:firstLine="372"/>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2、供应商申请网上注册的，应当按以下程序进行： </w:t>
      </w:r>
      <w:r/>
    </w:p>
    <w:p>
      <w:pPr>
        <w:ind w:firstLine="372"/>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（1）登陆“信用南京”或“南京市政府采购网”网站，点击“政府采购供应商诚信档案”图标，在弹出的用户登录界面，点击“新用户注册”；</w:t>
      </w:r>
      <w:r/>
    </w:p>
    <w:p>
      <w:pPr>
        <w:ind w:firstLine="372"/>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842"/>
        <w:ind w:firstLine="37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4"/>
          <w:highlight w:val="none"/>
          <w14:textFill>
            <w14:solidFill>
              <w14:schemeClr w14:val="tx1"/>
            </w14:solidFill>
          </w14:textFill>
        </w:rPr>
        <w:t xml:space="preserve">4、南京市政府采购供应商诚信档案管理系统客服电话：025-52718366；供应商可就用户注册与打印“南京市政府采购供应商信用记录表暨信用承诺书”等事宜进行咨询。</w:t>
      </w:r>
      <w:r/>
    </w:p>
    <w:p>
      <w:pPr>
        <w:ind w:firstLine="37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327"/>
      <w:r/>
      <w:bookmarkEnd w:id="330"/>
      <w:r/>
      <w:bookmarkEnd w:id="331"/>
      <w:r/>
      <w:r/>
    </w:p>
    <w:p>
      <w:pPr>
        <w:pStyle w:val="869"/>
        <w:ind w:firstLine="426"/>
        <w:rPr>
          <w:rFonts w:ascii="宋体" w:hAnsi="宋体" w:cs="宋体"/>
          <w:b w:val="0"/>
          <w:color w:val="000000" w:themeColor="text1"/>
          <w:sz w:val="24"/>
          <w:szCs w:val="24"/>
          <w:highlight w:val="none"/>
          <w14:textFill>
            <w14:solidFill>
              <w14:schemeClr w14:val="tx1"/>
            </w14:solidFill>
          </w14:textFill>
        </w:rPr>
      </w:pPr>
      <w:r/>
      <w:bookmarkStart w:id="332" w:name="_Toc103848598"/>
      <w:r/>
      <w:bookmarkStart w:id="333" w:name="_Toc102117330"/>
      <w:r/>
      <w:bookmarkStart w:id="334" w:name="_Toc104560915"/>
      <w:r/>
      <w:bookmarkStart w:id="335" w:name="_Toc107246296"/>
      <w:r>
        <w:rPr>
          <w:rFonts w:hint="eastAsia" w:ascii="宋体" w:hAnsi="宋体" w:cs="宋体"/>
          <w:color w:val="000000" w:themeColor="text1"/>
          <w:sz w:val="24"/>
          <w:szCs w:val="24"/>
          <w:highlight w:val="none"/>
          <w14:textFill>
            <w14:solidFill>
              <w14:schemeClr w14:val="tx1"/>
            </w14:solidFill>
          </w14:textFill>
        </w:rPr>
        <w:t xml:space="preserve">（8）公章授权书（如需）</w:t>
      </w:r>
      <w:bookmarkEnd w:id="332"/>
      <w:r/>
      <w:bookmarkEnd w:id="333"/>
      <w:r/>
      <w:bookmarkEnd w:id="334"/>
      <w:r/>
      <w:bookmarkEnd w:id="335"/>
      <w:r/>
      <w:r/>
    </w:p>
    <w:p>
      <w:pPr>
        <w:pStyle w:val="1105"/>
        <w:ind w:firstLine="0"/>
        <w:rPr>
          <w:rFonts w:hAnsi="宋体" w:cs="宋体"/>
          <w:b/>
          <w:color w:val="000000" w:themeColor="text1"/>
          <w:sz w:val="21"/>
          <w:szCs w:val="21"/>
          <w:highlight w:val="none"/>
          <w14:textFill>
            <w14:solidFill>
              <w14:schemeClr w14:val="tx1"/>
            </w14:solidFill>
          </w14:textFill>
        </w:rPr>
      </w:pPr>
      <w:r>
        <w:rPr>
          <w:rFonts w:hAnsi="宋体" w:cs="宋体"/>
          <w:b/>
          <w:color w:val="000000" w:themeColor="text1"/>
          <w:sz w:val="21"/>
          <w:szCs w:val="21"/>
          <w:highlight w:val="none"/>
          <w14:textFill>
            <w14:solidFill>
              <w14:schemeClr w14:val="tx1"/>
            </w14:solidFill>
          </w14:textFill>
        </w:rPr>
      </w:r>
      <w:r/>
    </w:p>
    <w:p>
      <w:pPr>
        <w:pStyle w:val="1105"/>
        <w:ind w:firstLine="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______________________（采购人）</w:t>
      </w:r>
      <w:r/>
    </w:p>
    <w:p>
      <w:pPr>
        <w:pStyle w:val="1105"/>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w:t>
      </w:r>
      <w:r>
        <w:rPr>
          <w:rFonts w:hint="eastAsia" w:hAnsi="宋体" w:cs="宋体"/>
          <w:color w:val="000000" w:themeColor="text1"/>
          <w:sz w:val="21"/>
          <w:szCs w:val="21"/>
          <w:highlight w:val="none"/>
          <w:u w:val="single"/>
          <w14:textFill>
            <w14:solidFill>
              <w14:schemeClr w14:val="tx1"/>
            </w14:solidFill>
          </w14:textFill>
        </w:rPr>
        <w:t xml:space="preserve">(供应商名称)</w:t>
      </w:r>
      <w:r>
        <w:rPr>
          <w:rFonts w:hint="eastAsia" w:hAnsi="宋体" w:cs="宋体"/>
          <w:color w:val="000000" w:themeColor="text1"/>
          <w:sz w:val="21"/>
          <w:szCs w:val="21"/>
          <w:highlight w:val="none"/>
          <w14:textFill>
            <w14:solidFill>
              <w14:schemeClr w14:val="tx1"/>
            </w14:solidFill>
          </w14:textFill>
        </w:rPr>
        <w:t xml:space="preserve">______，中华人民共和国合法企业，法定地址：____________________。在参与</w:t>
      </w:r>
      <w:r>
        <w:rPr>
          <w:rFonts w:hint="eastAsia" w:hAnsi="宋体" w:cs="宋体"/>
          <w:color w:val="000000" w:themeColor="text1"/>
          <w:sz w:val="21"/>
          <w:szCs w:val="21"/>
          <w:highlight w:val="none"/>
          <w:u w:val="single"/>
          <w:lang w:eastAsia="zh-CN"/>
          <w14:textFill>
            <w14:solidFill>
              <w14:schemeClr w14:val="tx1"/>
            </w14:solidFill>
          </w14:textFill>
        </w:rPr>
        <w:t xml:space="preserve">南京市儿童医院米面油等食材采购项目</w:t>
      </w:r>
      <w:r>
        <w:rPr>
          <w:rFonts w:hint="eastAsia" w:hAnsi="宋体" w:cs="宋体"/>
          <w:color w:val="000000" w:themeColor="text1"/>
          <w:sz w:val="21"/>
          <w:szCs w:val="21"/>
          <w:highlight w:val="none"/>
          <w:u w:val="single"/>
          <w14:textFill>
            <w14:solidFill>
              <w14:schemeClr w14:val="tx1"/>
            </w14:solidFill>
          </w14:textFill>
        </w:rPr>
        <w:t xml:space="preserve">（项目名称）（项目编号：</w:t>
      </w:r>
      <w:r>
        <w:rPr>
          <w:rFonts w:hint="eastAsia" w:hAnsi="宋体" w:cs="宋体"/>
          <w:color w:val="000000" w:themeColor="text1"/>
          <w:sz w:val="21"/>
          <w:szCs w:val="21"/>
          <w:highlight w:val="none"/>
          <w:u w:val="single"/>
          <w:lang w:eastAsia="zh-CN"/>
          <w14:textFill>
            <w14:solidFill>
              <w14:schemeClr w14:val="tx1"/>
            </w14:solidFill>
          </w14:textFill>
        </w:rPr>
        <w:t xml:space="preserve">JSZC-320100-JITC-G2026-0205</w:t>
      </w:r>
      <w:r>
        <w:rPr>
          <w:rFonts w:hint="eastAsia" w:hAnsi="宋体" w:cs="宋体"/>
          <w:color w:val="000000" w:themeColor="text1"/>
          <w:sz w:val="21"/>
          <w:szCs w:val="21"/>
          <w:highlight w:val="none"/>
          <w:u w:val="single"/>
          <w14:textFill>
            <w14:solidFill>
              <w14:schemeClr w14:val="tx1"/>
            </w14:solidFill>
          </w14:textFill>
        </w:rPr>
        <w:t xml:space="preserve">0295）</w:t>
      </w:r>
      <w:r>
        <w:rPr>
          <w:rFonts w:hint="eastAsia" w:hAnsi="宋体" w:cs="宋体"/>
          <w:color w:val="000000" w:themeColor="text1"/>
          <w:sz w:val="21"/>
          <w:szCs w:val="21"/>
          <w:highlight w:val="none"/>
          <w14:textFill>
            <w14:solidFill>
              <w14:schemeClr w14:val="tx1"/>
            </w14:solidFill>
          </w14:textFill>
        </w:rPr>
        <w:t xml:space="preserve">协商活动中，我单位授权</w:t>
      </w: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（样式附后）在此次活动中代为公章使用。</w:t>
      </w:r>
      <w:r/>
    </w:p>
    <w:p>
      <w:pPr>
        <w:pStyle w:val="1105"/>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1105"/>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签署的所有文件、协议不因授权的撤销而失效。</w:t>
      </w:r>
      <w:r/>
    </w:p>
    <w:p>
      <w:pPr>
        <w:pStyle w:val="1105"/>
        <w:ind w:right="840" w:firstLine="0"/>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1105"/>
        <w:ind w:right="840" w:firstLine="199"/>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其他形式的印章名称：______________</w:t>
      </w:r>
      <w:r/>
    </w:p>
    <w:p>
      <w:pPr>
        <w:pStyle w:val="1105"/>
        <w:ind w:right="420" w:firstLine="190"/>
        <w:rPr>
          <w:rFonts w:hAnsi="宋体" w:cs="宋体"/>
          <w:color w:val="000000" w:themeColor="text1"/>
          <w:sz w:val="21"/>
          <w:szCs w:val="21"/>
          <w:highlight w:val="none"/>
          <w14:textFill>
            <w14:solidFill>
              <w14:schemeClr w14:val="tx1"/>
            </w14:solidFill>
          </w14:textFill>
        </w:rPr>
      </w:pPr>
      <w:r>
        <w:rPr>
          <w:rFonts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5"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miter/>
                        </a:ln>
                        <a:effectLst/>
                      </wps:spPr>
                      <wps:txbx>
                        <w:txbxContent>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r/>
                      <w:r/>
                    </w:p>
                  </w:txbxContent>
                </v:textbox>
              </v:shape>
            </w:pict>
          </mc:Fallback>
        </mc:AlternateContent>
      </w:r>
      <w:r>
        <w:rPr>
          <w:rFonts w:hint="eastAsia" w:hAnsi="宋体" w:cs="宋体"/>
          <w:color w:val="000000" w:themeColor="text1"/>
          <w:sz w:val="21"/>
          <w:szCs w:val="21"/>
          <w:highlight w:val="none"/>
          <w14:textFill>
            <w14:solidFill>
              <w14:schemeClr w14:val="tx1"/>
            </w14:solidFill>
          </w14:textFill>
        </w:rPr>
        <w:t xml:space="preserve">印章样式：</w:t>
      </w:r>
      <w:r/>
    </w:p>
    <w:p>
      <w:pPr>
        <w:pStyle w:val="1105"/>
        <w:ind w:right="420" w:firstLine="4819"/>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1105"/>
        <w:ind w:right="420" w:firstLine="3150"/>
        <w:jc w:val="left"/>
        <w:spacing w:line="276" w:lineRule="auto"/>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1105"/>
        <w:ind w:right="420" w:firstLine="0"/>
        <w:jc w:val="left"/>
        <w:spacing w:line="276" w:lineRule="auto"/>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1105"/>
        <w:ind w:right="420" w:firstLine="0"/>
        <w:jc w:val="left"/>
        <w:spacing w:line="276" w:lineRule="auto"/>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1105"/>
        <w:ind w:right="420" w:firstLine="3150"/>
        <w:jc w:val="left"/>
        <w:spacing w:line="276"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供应商名称（公章）：</w:t>
      </w:r>
      <w:r/>
    </w:p>
    <w:p>
      <w:pPr>
        <w:pStyle w:val="1105"/>
        <w:ind w:right="420" w:firstLine="3150"/>
        <w:jc w:val="left"/>
        <w:spacing w:line="276" w:lineRule="auto"/>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ind w:firstLine="3158"/>
        <w:jc w:val="left"/>
        <w:spacing w:line="276" w:lineRule="auto"/>
        <w:rPr>
          <w:rFonts w:ascii="宋体" w:hAnsi="宋体" w:cs="宋体"/>
          <w:bCs/>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Cs/>
          <w:color w:val="000000" w:themeColor="text1"/>
          <w:highlight w:val="none"/>
          <w14:textFill>
            <w14:solidFill>
              <w14:schemeClr w14:val="tx1"/>
            </w14:solidFill>
          </w14:textFill>
        </w:rPr>
        <w:t xml:space="preserve">日期：______年______月______日</w:t>
      </w:r>
      <w:r/>
    </w:p>
    <w:p>
      <w:pPr>
        <w:pStyle w:val="869"/>
        <w:ind w:left="601" w:firstLine="498"/>
        <w:spacing w:before="0"/>
        <w:rPr>
          <w:rFonts w:ascii="宋体" w:hAnsi="宋体" w:cs="宋体"/>
          <w:color w:val="000000" w:themeColor="text1"/>
          <w:sz w:val="28"/>
          <w:szCs w:val="24"/>
          <w:highlight w:val="none"/>
          <w14:textFill>
            <w14:solidFill>
              <w14:schemeClr w14:val="tx1"/>
            </w14:solidFill>
          </w14:textFill>
        </w:rPr>
      </w:pPr>
      <w:r/>
      <w:bookmarkStart w:id="336" w:name="_Toc103848599"/>
      <w:r/>
      <w:bookmarkStart w:id="337" w:name="_Toc104560916"/>
      <w:r/>
      <w:bookmarkStart w:id="338" w:name="_Toc107246299"/>
      <w:r>
        <w:rPr>
          <w:rFonts w:ascii="宋体" w:hAnsi="宋体" w:cs="宋体"/>
          <w:color w:val="000000" w:themeColor="text1"/>
          <w:sz w:val="28"/>
          <w:szCs w:val="24"/>
          <w:highlight w:val="none"/>
          <w14:textFill>
            <w14:solidFill>
              <w14:schemeClr w14:val="tx1"/>
            </w14:solidFill>
          </w14:textFill>
        </w:rPr>
        <w:t xml:space="preserve">二、</w:t>
      </w:r>
      <w:r>
        <w:rPr>
          <w:rFonts w:hint="eastAsia" w:ascii="宋体" w:hAnsi="宋体" w:cs="宋体"/>
          <w:color w:val="000000" w:themeColor="text1"/>
          <w:sz w:val="28"/>
          <w:szCs w:val="24"/>
          <w:highlight w:val="none"/>
          <w14:textFill>
            <w14:solidFill>
              <w14:schemeClr w14:val="tx1"/>
            </w14:solidFill>
          </w14:textFill>
        </w:rPr>
        <w:t xml:space="preserve">技术部分</w:t>
      </w:r>
      <w:bookmarkEnd w:id="336"/>
      <w:r/>
      <w:bookmarkEnd w:id="337"/>
      <w:r/>
      <w:bookmarkEnd w:id="338"/>
      <w:r/>
      <w:r/>
    </w:p>
    <w:p>
      <w:pPr>
        <w:pStyle w:val="869"/>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（1）用于本项目产品技术参数证明文件</w:t>
      </w:r>
      <w:r/>
    </w:p>
    <w:p>
      <w:pPr>
        <w:jc w:val="center"/>
        <w:spacing w:after="156" w:line="439" w:lineRule="atLeast"/>
        <w:rPr>
          <w:rFonts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Cs/>
          <w:color w:val="000000" w:themeColor="text1"/>
          <w:sz w:val="24"/>
          <w:highlight w:val="none"/>
          <w14:textFill>
            <w14:solidFill>
              <w14:schemeClr w14:val="tx1"/>
            </w14:solidFill>
          </w14:textFill>
        </w:rPr>
      </w:r>
      <w:r/>
    </w:p>
    <w:p>
      <w:pPr>
        <w:rPr>
          <w:rFonts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69"/>
        <w:ind w:firstLine="569"/>
        <w:spacing w:before="0" w:line="480" w:lineRule="auto"/>
        <w:rPr>
          <w:rFonts w:ascii="宋体" w:hAnsi="宋体" w:cs="宋体"/>
          <w:color w:val="000000" w:themeColor="text1"/>
          <w:highlight w:val="none"/>
          <w14:textFill>
            <w14:solidFill>
              <w14:schemeClr w14:val="tx1"/>
            </w14:solidFill>
          </w14:textFill>
        </w:rPr>
      </w:pPr>
      <w:r/>
      <w:bookmarkStart w:id="339" w:name="_Toc103848602"/>
      <w:r/>
      <w:bookmarkStart w:id="340" w:name="_Toc107246302"/>
      <w:r/>
      <w:bookmarkStart w:id="341" w:name="_Toc104560919"/>
      <w:r>
        <w:rPr>
          <w:rFonts w:hint="eastAsia" w:ascii="宋体" w:hAnsi="宋体" w:cs="宋体"/>
          <w:bCs w:val="0"/>
          <w:color w:val="000000" w:themeColor="text1"/>
          <w:sz w:val="24"/>
          <w:szCs w:val="24"/>
          <w:highlight w:val="none"/>
          <w14:textFill>
            <w14:solidFill>
              <w14:schemeClr w14:val="tx1"/>
            </w14:solidFill>
          </w14:textFill>
        </w:rPr>
        <w:t xml:space="preserve">（2）供应商服务承诺</w:t>
      </w:r>
      <w:bookmarkEnd w:id="339"/>
      <w:r/>
      <w:bookmarkEnd w:id="340"/>
      <w:r/>
      <w:bookmarkEnd w:id="341"/>
      <w:r/>
      <w:r/>
    </w:p>
    <w:p>
      <w:pPr>
        <w:pStyle w:val="846"/>
        <w:jc w:val="center"/>
        <w:spacing w:after="0"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承诺函</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南京市儿童医院：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我司郑重承诺：</w:t>
      </w:r>
      <w:r/>
    </w:p>
    <w:p>
      <w:pPr>
        <w:numPr>
          <w:ilvl w:val="0"/>
          <w:numId w:val="10"/>
        </w:num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如中标，中标后购买食品安全责任险，保险保额</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万；</w:t>
      </w:r>
      <w:r/>
    </w:p>
    <w:p>
      <w:pPr>
        <w:numPr>
          <w:ilvl w:val="0"/>
          <w:numId w:val="10"/>
        </w:num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日常响应时间为</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分钟内，</w:t>
      </w:r>
      <w:r>
        <w:rPr>
          <w:rFonts w:hint="eastAsia" w:ascii="宋体" w:hAnsi="宋体" w:cs="宋体"/>
          <w:bCs/>
          <w:color w:val="000000" w:themeColor="text1"/>
          <w:szCs w:val="21"/>
          <w:highlight w:val="none"/>
          <w:lang w:val="en-US" w:eastAsia="zh-CN"/>
          <w14:textFill>
            <w14:solidFill>
              <w14:schemeClr w14:val="tx1"/>
            </w14:solidFill>
          </w14:textFill>
        </w:rPr>
        <w:t xml:space="preserve">且</w:t>
      </w:r>
      <w:r>
        <w:rPr>
          <w:rFonts w:hint="eastAsia" w:ascii="宋体" w:hAnsi="宋体" w:cs="宋体"/>
          <w:bCs/>
          <w:color w:val="000000" w:themeColor="text1"/>
          <w:szCs w:val="21"/>
          <w:highlight w:val="none"/>
          <w14:textFill>
            <w14:solidFill>
              <w14:schemeClr w14:val="tx1"/>
            </w14:solidFill>
          </w14:textFill>
        </w:rPr>
        <w:t xml:space="preserve">临时增加采购响应时间为</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分钟内；</w:t>
      </w:r>
      <w:r/>
    </w:p>
    <w:p>
      <w:pPr>
        <w:numPr>
          <w:ilvl w:val="0"/>
          <w:numId w:val="10"/>
        </w:num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零星采购</w:t>
      </w:r>
      <w:r>
        <w:rPr>
          <w:rFonts w:hint="eastAsia" w:ascii="宋体" w:hAnsi="宋体" w:cs="宋体"/>
          <w:color w:val="000000" w:themeColor="text1"/>
          <w:szCs w:val="21"/>
          <w:highlight w:val="none"/>
          <w:lang w:val="en-US" w:eastAsia="zh-CN"/>
          <w14:textFill>
            <w14:solidFill>
              <w14:schemeClr w14:val="tx1"/>
            </w14:solidFill>
          </w14:textFill>
        </w:rPr>
        <w:t xml:space="preserve">承诺优惠率（下浮率）</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en-US" w:eastAsia="zh-CN"/>
          <w14:textFill>
            <w14:solidFill>
              <w14:schemeClr w14:val="tx1"/>
            </w14:solidFill>
          </w14:textFill>
        </w:rPr>
        <w:t xml:space="preserve">%；</w:t>
      </w:r>
      <w:r/>
    </w:p>
    <w:p>
      <w:pPr>
        <w:numPr>
          <w:ilvl w:val="0"/>
          <w:numId w:val="10"/>
        </w:num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...(其他，如有)</w:t>
      </w:r>
      <w:r/>
    </w:p>
    <w:p>
      <w:pP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3990"/>
        <w:jc w:val="righ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供应商名称（公章）：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72"/>
        <w:jc w:val="righ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pStyle w:val="846"/>
        <w:jc w:val="right"/>
        <w:spacing w:after="0"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69"/>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42" w:name="_Toc103848603"/>
      <w:r/>
      <w:bookmarkStart w:id="343" w:name="_Toc107246303"/>
      <w:r/>
      <w:bookmarkStart w:id="344" w:name="_Toc104560920"/>
      <w:r>
        <w:rPr>
          <w:rFonts w:hint="eastAsia" w:ascii="宋体" w:hAnsi="宋体" w:cs="宋体"/>
          <w:bCs w:val="0"/>
          <w:color w:val="000000" w:themeColor="text1"/>
          <w:sz w:val="24"/>
          <w:szCs w:val="24"/>
          <w:highlight w:val="none"/>
          <w14:textFill>
            <w14:solidFill>
              <w14:schemeClr w14:val="tx1"/>
            </w14:solidFill>
          </w14:textFill>
        </w:rPr>
        <w:t xml:space="preserve">（3）用于本项目人员简历表</w:t>
      </w:r>
      <w:bookmarkEnd w:id="342"/>
      <w:r/>
      <w:bookmarkEnd w:id="343"/>
      <w:r/>
      <w:bookmarkEnd w:id="344"/>
      <w:r/>
      <w:r/>
    </w:p>
    <w:p>
      <w:pPr>
        <w:pStyle w:val="1105"/>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tbl>
      <w:tblPr>
        <w:tblStyle w:val="839"/>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tcPr>
          <w:p>
            <w:pPr>
              <w:pStyle w:val="1105"/>
              <w:ind w:firstLine="0"/>
              <w:jc w:val="center"/>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105"/>
              <w:ind w:firstLine="420"/>
              <w:jc w:val="center"/>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tc>
      </w:tr>
    </w:tbl>
    <w:p>
      <w:pPr>
        <w:pStyle w:val="1105"/>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1105"/>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7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69"/>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（4）拟投入本项目人员情况表</w:t>
      </w:r>
      <w:r/>
    </w:p>
    <w:p>
      <w:pPr>
        <w:pStyle w:val="1105"/>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南京市儿童医院米面油等食材采购项目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105"/>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JSZC-320100-JITC-G2026-0205</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tbl>
      <w:tblPr>
        <w:tblStyle w:val="839"/>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488"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627"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915"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698"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工作内容</w:t>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ind w:firstLine="37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279"/>
      <w:r/>
      <w:r/>
    </w:p>
    <w:p>
      <w:pPr>
        <w:rPr>
          <w:color w:val="000000" w:themeColor="text1"/>
          <w:highlight w:val="none"/>
          <w14:textFill>
            <w14:solidFill>
              <w14:schemeClr w14:val="tx1"/>
            </w14:solidFill>
          </w14:textFill>
        </w:rPr>
      </w:pPr>
      <w:r/>
      <w:bookmarkStart w:id="345" w:name="_Toc103848605"/>
      <w:r/>
      <w:bookmarkStart w:id="346" w:name="_Toc104560922"/>
      <w:r/>
      <w:bookmarkStart w:id="347" w:name="_Toc107246305"/>
      <w:r/>
      <w:bookmarkStart w:id="348" w:name="_Toc100905289"/>
      <w:r/>
      <w:bookmarkStart w:id="349" w:name="_Toc96347904"/>
      <w:r/>
      <w:r/>
    </w:p>
    <w:p>
      <w:pPr>
        <w:pStyle w:val="869"/>
        <w:ind w:firstLine="498"/>
        <w:spacing w:befor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szCs w:val="24"/>
          <w:highlight w:val="none"/>
          <w14:textFill>
            <w14:solidFill>
              <w14:schemeClr w14:val="tx1"/>
            </w14:solidFill>
          </w14:textFill>
        </w:rPr>
        <w:t xml:space="preserve">三、其他部分</w:t>
      </w:r>
      <w:bookmarkEnd w:id="345"/>
      <w:r/>
      <w:bookmarkEnd w:id="346"/>
      <w:r/>
      <w:bookmarkEnd w:id="347"/>
      <w:r/>
      <w:r/>
    </w:p>
    <w:p>
      <w:pPr>
        <w:ind w:firstLine="372"/>
        <w:rPr>
          <w:rFonts w:ascii="宋体" w:hAnsi="宋体" w:cs="宋体"/>
          <w:color w:val="000000" w:themeColor="text1"/>
          <w:highlight w:val="none"/>
          <w14:textFill>
            <w14:solidFill>
              <w14:schemeClr w14:val="tx1"/>
            </w14:solidFill>
          </w14:textFill>
        </w:rPr>
      </w:pPr>
      <w:r/>
      <w:bookmarkStart w:id="350" w:name="_Toc107246306"/>
      <w:r/>
      <w:bookmarkStart w:id="351" w:name="_Toc104560923"/>
      <w:r/>
      <w:bookmarkStart w:id="352" w:name="_Toc103848606"/>
      <w:r/>
      <w:r/>
    </w:p>
    <w:p>
      <w:pPr>
        <w:jc w:val="center"/>
        <w:rPr>
          <w:rFonts w:ascii="宋体" w:hAnsi="宋体" w:cs="宋体"/>
          <w:b/>
          <w:bCs/>
          <w:color w:val="000000" w:themeColor="text1"/>
          <w:sz w:val="24"/>
          <w:highlight w:val="none"/>
          <w14:textFill>
            <w14:solidFill>
              <w14:schemeClr w14:val="tx1"/>
            </w14:solidFill>
          </w14:textFill>
        </w:rPr>
      </w:pPr>
      <w:r/>
      <w:bookmarkStart w:id="353" w:name="_Toc104560925"/>
      <w:r/>
      <w:bookmarkStart w:id="354" w:name="_Toc103848608"/>
      <w:r/>
      <w:bookmarkStart w:id="355" w:name="_Toc107246308"/>
      <w:r/>
      <w:bookmarkStart w:id="356" w:name="_Toc100905295"/>
      <w:r/>
      <w:bookmarkStart w:id="357" w:name="_Toc107246307"/>
      <w:r/>
      <w:bookmarkStart w:id="358" w:name="_Toc104560924"/>
      <w:r/>
      <w:bookmarkStart w:id="359" w:name="_Toc103848607"/>
      <w:r>
        <w:rPr>
          <w:rFonts w:hint="eastAsia" w:ascii="宋体" w:hAnsi="宋体" w:cs="宋体"/>
          <w:b/>
          <w:bCs/>
          <w:color w:val="000000" w:themeColor="text1"/>
          <w:sz w:val="24"/>
          <w:highlight w:val="none"/>
          <w14:textFill>
            <w14:solidFill>
              <w14:schemeClr w14:val="tx1"/>
            </w14:solidFill>
          </w14:textFill>
        </w:rPr>
        <w:t xml:space="preserve">（1）要求供应商提交的其他文件材料或证明材料</w:t>
      </w:r>
      <w:bookmarkEnd w:id="353"/>
      <w:r/>
      <w:bookmarkEnd w:id="354"/>
      <w:r/>
      <w:bookmarkEnd w:id="355"/>
      <w:r/>
      <w:r/>
    </w:p>
    <w:p>
      <w:pPr>
        <w:pStyle w:val="848"/>
        <w:ind w:left="1260" w:firstLine="426"/>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848"/>
        <w:ind w:left="1260" w:firstLine="426"/>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r/>
    </w:p>
    <w:p>
      <w:pPr>
        <w:pStyle w:val="869"/>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（2）供应商认为需提供的其他</w:t>
      </w:r>
      <w:bookmarkEnd w:id="356"/>
      <w:r>
        <w:rPr>
          <w:rFonts w:hint="eastAsia" w:ascii="宋体" w:hAnsi="宋体" w:cs="宋体"/>
          <w:bCs w:val="0"/>
          <w:color w:val="000000" w:themeColor="text1"/>
          <w:sz w:val="24"/>
          <w:szCs w:val="24"/>
          <w:highlight w:val="none"/>
          <w14:textFill>
            <w14:solidFill>
              <w14:schemeClr w14:val="tx1"/>
            </w14:solidFill>
          </w14:textFill>
        </w:rPr>
        <w:t xml:space="preserve">文件或证明材料</w:t>
      </w:r>
      <w:bookmarkEnd w:id="357"/>
      <w:r/>
      <w:bookmarkEnd w:id="358"/>
      <w:r/>
      <w:bookmarkEnd w:id="359"/>
      <w:r/>
      <w:r/>
    </w:p>
    <w:p>
      <w:pPr>
        <w:ind w:firstLine="37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69"/>
        <w:ind w:firstLine="426"/>
        <w:spacing w:before="0"/>
        <w:rPr>
          <w:rFonts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（3）提供符合政府采购政策的证明材料</w:t>
      </w:r>
      <w:bookmarkEnd w:id="348"/>
      <w:r/>
      <w:bookmarkEnd w:id="350"/>
      <w:r/>
      <w:bookmarkEnd w:id="351"/>
      <w:r/>
      <w:bookmarkEnd w:id="352"/>
      <w:r/>
      <w:r/>
    </w:p>
    <w:p>
      <w:pPr>
        <w:ind w:firstLine="372"/>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7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（请根据本项目</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采购项目类型</w:t>
      </w:r>
      <w:r>
        <w:rPr>
          <w:rFonts w:hint="eastAsia" w:ascii="宋体" w:hAnsi="宋体" w:cs="宋体"/>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选择合适的中小企业声明函，不适用的可以不提交）</w:t>
      </w:r>
      <w:r/>
    </w:p>
    <w:p>
      <w:pPr>
        <w:ind w:right="-23" w:firstLine="379"/>
        <w:jc w:val="center"/>
        <w:rPr>
          <w:rFonts w:ascii="宋体" w:hAnsi="宋体" w:cs="宋体"/>
          <w:color w:val="000000" w:themeColor="text1"/>
          <w:spacing w:val="2"/>
          <w:position w:val="-3"/>
          <w:szCs w:val="21"/>
          <w:highlight w:val="none"/>
          <w14:textFill>
            <w14:solidFill>
              <w14:schemeClr w14:val="tx1"/>
            </w14:solidFill>
          </w14:textFill>
        </w:rPr>
      </w:pPr>
      <w:r>
        <w:rPr>
          <w:rFonts w:ascii="宋体" w:hAnsi="宋体" w:cs="宋体"/>
          <w:color w:val="000000" w:themeColor="text1"/>
          <w:spacing w:val="2"/>
          <w:position w:val="-3"/>
          <w:szCs w:val="21"/>
          <w:highlight w:val="none"/>
          <w14:textFill>
            <w14:solidFill>
              <w14:schemeClr w14:val="tx1"/>
            </w14:solidFill>
          </w14:textFill>
        </w:rPr>
      </w:r>
      <w:r/>
    </w:p>
    <w:p>
      <w:pPr>
        <w:pStyle w:val="1105"/>
        <w:ind w:firstLine="482"/>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中小企业声明函（货物）</w:t>
      </w:r>
      <w:r/>
    </w:p>
    <w:p>
      <w:pPr>
        <w:ind w:right="-20" w:firstLine="420"/>
        <w:spacing w:line="360" w:lineRule="auto"/>
        <w:rPr>
          <w:rFonts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iCs/>
          <w:color w:val="000000" w:themeColor="text1"/>
          <w:position w:val="-2"/>
          <w:szCs w:val="21"/>
          <w:highlight w:val="none"/>
          <w:u w:val="single"/>
          <w14:textFill>
            <w14:solidFill>
              <w14:schemeClr w14:val="tx1"/>
            </w14:solidFill>
          </w14:textFill>
        </w:rPr>
        <w:t xml:space="preserve">南京市儿童医院</w:t>
      </w:r>
      <w:r>
        <w:rPr>
          <w:rFonts w:hint="eastAsia" w:ascii="宋体" w:hAnsi="宋体" w:cs="宋体"/>
          <w:color w:val="000000" w:themeColor="text1"/>
          <w:position w:val="-2"/>
          <w:szCs w:val="21"/>
          <w:highlight w:val="none"/>
          <w14:textFill>
            <w14:solidFill>
              <w14:schemeClr w14:val="tx1"/>
            </w14:solidFill>
          </w14:textFill>
        </w:rPr>
        <w:t xml:space="preserve">的</w:t>
      </w:r>
      <w:r>
        <w:rPr>
          <w:rFonts w:hint="eastAsia" w:ascii="宋体" w:hAnsi="宋体" w:cs="宋体"/>
          <w:iCs/>
          <w:color w:val="000000" w:themeColor="text1"/>
          <w:position w:val="-2"/>
          <w:szCs w:val="21"/>
          <w:highlight w:val="none"/>
          <w:u w:val="single"/>
          <w:lang w:eastAsia="zh-CN"/>
          <w14:textFill>
            <w14:solidFill>
              <w14:schemeClr w14:val="tx1"/>
            </w14:solidFill>
          </w14:textFill>
        </w:rPr>
        <w:t xml:space="preserve">米面油等食材采购</w:t>
      </w:r>
      <w:r>
        <w:rPr>
          <w:rFonts w:hint="eastAsia" w:ascii="宋体" w:hAnsi="宋体" w:cs="宋体"/>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lang w:val="en-US" w:eastAsia="zh-CN"/>
          <w14:textFill>
            <w14:solidFill>
              <w14:schemeClr w14:val="tx1"/>
            </w14:solidFill>
          </w14:textFill>
        </w:rPr>
        <w:t xml:space="preserve"> </w:t>
      </w:r>
      <w:r>
        <w:rPr>
          <w:rFonts w:hint="eastAsia" w:ascii="宋体" w:hAnsi="宋体" w:cs="宋体"/>
          <w:color w:val="000000" w:themeColor="text1"/>
          <w:position w:val="-2"/>
          <w:szCs w:val="21"/>
          <w:highlight w:val="none"/>
          <w:u w:val="single"/>
          <w:lang w:eastAsia="zh-CN"/>
          <w14:textFill>
            <w14:solidFill>
              <w14:schemeClr w14:val="tx1"/>
            </w14:solidFill>
          </w14:textFill>
        </w:rPr>
        <w:t xml:space="preserve">农、林、牧、渔业</w:t>
      </w:r>
      <w:r>
        <w:rPr>
          <w:rFonts w:hint="eastAsia" w:ascii="宋体" w:hAnsi="宋体" w:cs="宋体"/>
          <w:color w:val="000000" w:themeColor="text1"/>
          <w:position w:val="-2"/>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w:t>
      </w: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lang w:val="en-US" w:eastAsia="zh-CN"/>
          <w14:textFill>
            <w14:solidFill>
              <w14:schemeClr w14:val="tx1"/>
            </w14:solidFill>
          </w14:textFill>
        </w:rPr>
        <w:t xml:space="preserve"> </w:t>
      </w:r>
      <w:r>
        <w:rPr>
          <w:rFonts w:hint="eastAsia" w:ascii="宋体" w:hAnsi="宋体" w:cs="宋体"/>
          <w:color w:val="000000" w:themeColor="text1"/>
          <w:position w:val="-2"/>
          <w:szCs w:val="21"/>
          <w:highlight w:val="none"/>
          <w:u w:val="single"/>
          <w:lang w:eastAsia="zh-CN"/>
          <w14:textFill>
            <w14:solidFill>
              <w14:schemeClr w14:val="tx1"/>
            </w14:solidFill>
          </w14:textFill>
        </w:rPr>
        <w:t xml:space="preserve">农、林、牧、渔业</w:t>
      </w:r>
      <w:r>
        <w:rPr>
          <w:rFonts w:hint="eastAsia" w:ascii="宋体" w:hAnsi="宋体" w:cs="宋体"/>
          <w:color w:val="000000" w:themeColor="text1"/>
          <w:position w:val="-2"/>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r/>
    </w:p>
    <w:p>
      <w:pPr>
        <w:ind w:right="-20" w:firstLine="420"/>
        <w:spacing w:line="360" w:lineRule="auto"/>
        <w:rPr>
          <w:rFonts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firstLine="372"/>
        <w:spacing w:line="360" w:lineRule="auto"/>
        <w:rPr>
          <w:rFonts w:ascii="宋体" w:hAnsi="宋体" w:cs="宋体"/>
          <w:color w:val="000000" w:themeColor="text1"/>
          <w:position w:val="-2"/>
          <w:szCs w:val="21"/>
          <w:highlight w:val="none"/>
          <w14:textFill>
            <w14:solidFill>
              <w14:schemeClr w14:val="tx1"/>
            </w14:solidFill>
          </w14:textFill>
        </w:rPr>
      </w:pPr>
      <w:r>
        <w:rPr>
          <w:rFonts w:ascii="宋体" w:hAnsi="宋体" w:cs="宋体"/>
          <w:color w:val="000000" w:themeColor="text1"/>
          <w:position w:val="-2"/>
          <w:szCs w:val="21"/>
          <w:highlight w:val="none"/>
          <w14:textFill>
            <w14:solidFill>
              <w14:schemeClr w14:val="tx1"/>
            </w14:solidFill>
          </w14:textFill>
        </w:rPr>
      </w:r>
      <w:r/>
    </w:p>
    <w:p>
      <w:pPr>
        <w:ind w:right="400" w:firstLine="378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企</w:t>
      </w:r>
      <w:r>
        <w:rPr>
          <w:rFonts w:hint="eastAsia" w:ascii="宋体" w:hAnsi="宋体" w:cs="宋体"/>
          <w:color w:val="000000" w:themeColor="text1"/>
          <w:spacing w:val="3"/>
          <w:position w:val="-2"/>
          <w:szCs w:val="21"/>
          <w:highlight w:val="non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名称</w:t>
      </w:r>
      <w:r>
        <w:rPr>
          <w:rFonts w:hint="eastAsia" w:ascii="宋体" w:hAnsi="宋体" w:cs="宋体"/>
          <w:color w:val="000000" w:themeColor="text1"/>
          <w:spacing w:val="3"/>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盖章</w:t>
      </w:r>
      <w:r>
        <w:rPr>
          <w:rFonts w:hint="eastAsia" w:ascii="宋体" w:hAnsi="宋体" w:cs="宋体"/>
          <w:color w:val="000000" w:themeColor="text1"/>
          <w:spacing w:val="-158"/>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  ： </w:t>
      </w:r>
      <w:r/>
    </w:p>
    <w:p>
      <w:pPr>
        <w:ind w:right="420" w:firstLine="37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日期：年月日</w:t>
      </w:r>
      <w:r/>
    </w:p>
    <w:p>
      <w:pPr>
        <w:ind w:right="420" w:firstLine="4200"/>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right="-20" w:firstLine="372"/>
        <w:spacing w:line="360" w:lineRule="auto"/>
        <w:rPr>
          <w:rFonts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ind w:firstLine="373"/>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r/>
    </w:p>
    <w:p>
      <w:pPr>
        <w:ind w:firstLine="373"/>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 本项目中小微</w:t>
      </w:r>
      <w:r>
        <w:rPr>
          <w:rFonts w:hint="eastAsia" w:ascii="宋体" w:hAnsi="宋体" w:eastAsia="宋体" w:cs="宋体"/>
          <w:b/>
          <w:color w:val="000000" w:themeColor="text1"/>
          <w:szCs w:val="21"/>
          <w:highlight w:val="none"/>
          <w14:textFill>
            <w14:solidFill>
              <w14:schemeClr w14:val="tx1"/>
            </w14:solidFill>
          </w14:textFill>
        </w:rPr>
        <w:t xml:space="preserve">企业划分标准为：营业收入20000万元以下的为中小微型企业。其中，营业收入500万元及以上的为中型企业，营业收入50万元及以上的为小型企业，营业收入50万元以下的为微型企业。</w:t>
      </w:r>
      <w:r/>
    </w:p>
    <w:p>
      <w:pPr>
        <w:ind w:firstLine="373"/>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eastAsia="宋体" w:cs="宋体"/>
          <w:b/>
          <w:color w:val="000000" w:themeColor="text1"/>
          <w:szCs w:val="21"/>
          <w:highlight w:val="none"/>
          <w14:textFill>
            <w14:solidFill>
              <w14:schemeClr w14:val="tx1"/>
            </w14:solidFill>
          </w14:textFill>
        </w:rPr>
        <w:br w:type="page" w:clear="all"/>
      </w:r>
      <w:r/>
    </w:p>
    <w:p>
      <w:pPr>
        <w:ind w:firstLine="372"/>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105"/>
        <w:ind w:firstLine="482"/>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监狱企业证明</w:t>
      </w:r>
      <w:r/>
    </w:p>
    <w:p>
      <w:pPr>
        <w:pStyle w:val="1105"/>
        <w:ind w:firstLine="482"/>
        <w:jc w:val="center"/>
        <w:spacing w:line="276" w:lineRule="auto"/>
        <w:rPr>
          <w:rFonts w:hAnsi="宋体" w:cs="宋体"/>
          <w:b/>
          <w:color w:val="000000" w:themeColor="text1"/>
          <w:sz w:val="24"/>
          <w:szCs w:val="24"/>
          <w:highlight w:val="none"/>
          <w14:textFill>
            <w14:solidFill>
              <w14:schemeClr w14:val="tx1"/>
            </w14:solidFill>
          </w14:textFill>
        </w:rPr>
      </w:pPr>
      <w:r>
        <w:rPr>
          <w:rFonts w:hAnsi="宋体" w:cs="宋体"/>
          <w:b/>
          <w:color w:val="000000" w:themeColor="text1"/>
          <w:sz w:val="24"/>
          <w:szCs w:val="24"/>
          <w:highlight w:val="none"/>
          <w14:textFill>
            <w14:solidFill>
              <w14:schemeClr w14:val="tx1"/>
            </w14:solidFill>
          </w14:textFill>
        </w:rPr>
      </w:r>
      <w:r/>
    </w:p>
    <w:p>
      <w:pPr>
        <w:pStyle w:val="1105"/>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05"/>
        <w:ind w:firstLine="40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372"/>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105"/>
        <w:ind w:firstLine="198"/>
        <w:jc w:val="cente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残疾人福利性单位声明函</w:t>
      </w:r>
      <w:r/>
    </w:p>
    <w:p>
      <w:pPr>
        <w:ind w:firstLine="554"/>
        <w:spacing w:line="276" w:lineRule="auto"/>
        <w:rPr>
          <w:rFonts w:ascii="宋体" w:hAnsi="宋体" w:cs="宋体"/>
          <w:b/>
          <w:color w:val="000000" w:themeColor="text1"/>
          <w:spacing w:val="6"/>
          <w:sz w:val="30"/>
          <w:szCs w:val="30"/>
          <w:highlight w:val="none"/>
          <w14:textFill>
            <w14:solidFill>
              <w14:schemeClr w14:val="tx1"/>
            </w14:solidFill>
          </w14:textFill>
        </w:rPr>
      </w:pPr>
      <w:r>
        <w:rPr>
          <w:rFonts w:ascii="宋体" w:hAnsi="宋体" w:cs="宋体"/>
          <w:b/>
          <w:color w:val="000000" w:themeColor="text1"/>
          <w:spacing w:val="6"/>
          <w:sz w:val="30"/>
          <w:szCs w:val="30"/>
          <w:highlight w:val="none"/>
          <w14:textFill>
            <w14:solidFill>
              <w14:schemeClr w14:val="tx1"/>
            </w14:solidFill>
          </w14:textFill>
        </w:rPr>
      </w:r>
      <w:r/>
    </w:p>
    <w:p>
      <w:pPr>
        <w:pStyle w:val="1105"/>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05"/>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105"/>
        <w:ind w:firstLine="420"/>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1105"/>
        <w:ind w:firstLine="420"/>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1105"/>
        <w:ind w:firstLine="420"/>
        <w:rPr>
          <w:rFonts w:hAnsi="宋体" w:cs="宋体"/>
          <w:color w:val="000000" w:themeColor="text1"/>
          <w:sz w:val="21"/>
          <w:szCs w:val="21"/>
          <w:highlight w:val="none"/>
          <w14:textFill>
            <w14:solidFill>
              <w14:schemeClr w14:val="tx1"/>
            </w14:solidFill>
          </w14:textFill>
        </w:rPr>
      </w:pPr>
      <w:r>
        <w:rPr>
          <w:rFonts w:hAnsi="宋体" w:cs="宋体"/>
          <w:color w:val="000000" w:themeColor="text1"/>
          <w:sz w:val="21"/>
          <w:szCs w:val="21"/>
          <w:highlight w:val="none"/>
          <w14:textFill>
            <w14:solidFill>
              <w14:schemeClr w14:val="tx1"/>
            </w14:solidFill>
          </w14:textFill>
        </w:rPr>
      </w:r>
      <w:r/>
    </w:p>
    <w:p>
      <w:pPr>
        <w:pStyle w:val="1105"/>
        <w:ind w:firstLine="3769"/>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日</w:t>
      </w:r>
      <w:bookmarkEnd w:id="349"/>
      <w:r/>
      <w:r/>
    </w:p>
    <w:p>
      <w:pPr>
        <w:pStyle w:val="1105"/>
        <w:ind w:firstLine="164"/>
        <w:jc w:val="cente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ind w:right="420" w:firstLine="37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Yu Gothic Light">
    <w:panose1 w:val="020B0300000000000000"/>
  </w:font>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MS Mincho">
    <w:panose1 w:val="02020603050405090304"/>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等线 Light">
    <w:panose1 w:val="02010600030101010101"/>
  </w:font>
  <w:font w:name="等线">
    <w:panose1 w:val="02010600030101010101"/>
  </w:font>
  <w:font w:name="华文仿宋">
    <w:panose1 w:val="0201060004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r/>
  </w:p>
  <w:p>
    <w:pPr>
      <w:pStyle w:val="8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a:effectLst/>
                    </wps:spPr>
                    <wps:txbx>
                      <w:txbxContent>
                        <w:p>
                          <w:pPr>
                            <w:pStyle w:val="856"/>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56"/>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58939"/>
                            <w:rPr/>
                          </w:sdtPr>
                          <w:sdtContent>
                            <w:p>
                              <w:pPr>
                                <w:pStyle w:val="856"/>
                                <w:jc w:val="center"/>
                              </w:pPr>
                              <w:r>
                                <w:fldChar w:fldCharType="begin"/>
                              </w:r>
                              <w:r>
                                <w:instrText xml:space="preserve">PAGE   \* MERGEFORMAT</w:instrText>
                              </w:r>
                              <w:r>
                                <w:fldChar w:fldCharType="separate"/>
                              </w:r>
                              <w:r>
                                <w:rPr>
                                  <w:lang w:val="zh-CN"/>
                                </w:rPr>
                                <w:t xml:space="preserve">49</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58939"/>
                      <w:rPr/>
                    </w:sdtPr>
                    <w:sdtContent>
                      <w:p>
                        <w:pPr>
                          <w:pStyle w:val="856"/>
                          <w:jc w:val="center"/>
                        </w:pPr>
                        <w:r>
                          <w:fldChar w:fldCharType="begin"/>
                        </w:r>
                        <w:r>
                          <w:instrText xml:space="preserve">PAGE   \* MERGEFORMAT</w:instrText>
                        </w:r>
                        <w:r>
                          <w:fldChar w:fldCharType="separate"/>
                        </w:r>
                        <w:r>
                          <w:rPr>
                            <w:lang w:val="zh-CN"/>
                          </w:rPr>
                          <w:t xml:space="preserve">49</w:t>
                        </w:r>
                        <w:r>
                          <w:rPr>
                            <w:lang w:val="zh-CN"/>
                          </w:rPr>
                          <w:fldChar w:fldCharType="end"/>
                        </w:r>
                        <w:r/>
                      </w:p>
                    </w:sdtContent>
                  </w:sd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1398"/>
                            <w:rPr/>
                          </w:sdtPr>
                          <w:sdtContent>
                            <w:p>
                              <w:pPr>
                                <w:pStyle w:val="856"/>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1398"/>
                      <w:rPr/>
                    </w:sdtPr>
                    <w:sdtContent>
                      <w:p>
                        <w:pPr>
                          <w:pStyle w:val="856"/>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58"/>
      <w:rPr>
        <w:rFonts w:hint="eastAsia" w:eastAsia="宋体"/>
        <w:lang w:eastAsia="zh-CN"/>
      </w:rPr>
    </w:pPr>
    <w:r>
      <w:rPr>
        <w:rFonts w:hint="eastAsia" w:ascii="宋体" w:hAnsi="宋体" w:cs="宋体"/>
        <w:color w:val="000000"/>
        <w:sz w:val="22"/>
        <w:szCs w:val="22"/>
        <w:lang w:eastAsia="zh-CN"/>
      </w:rPr>
      <w:t xml:space="preserve">南京市儿童医院米面油等食材采购项目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2"/>
  </w:num>
  <w:num w:numId="4">
    <w:abstractNumId w:val="5"/>
  </w:num>
  <w:num w:numId="5">
    <w:abstractNumId w:val="9"/>
  </w:num>
  <w:num w:numId="6">
    <w:abstractNumId w:val="1"/>
  </w:num>
  <w:num w:numId="7">
    <w:abstractNumId w:val="3"/>
  </w:num>
  <w:num w:numId="8">
    <w:abstractNumId w:val="8"/>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name w:val="Heading 1"/>
    <w:basedOn w:val="828"/>
    <w:next w:val="828"/>
    <w:link w:val="1063"/>
    <w:uiPriority w:val="0"/>
    <w:qFormat/>
    <w:pPr>
      <w:ind w:left="100" w:right="100"/>
      <w:keepLines/>
      <w:keepNext/>
      <w:spacing w:before="120" w:after="120"/>
      <w:outlineLvl w:val="0"/>
    </w:pPr>
    <w:rPr>
      <w:b/>
      <w:bCs/>
      <w:szCs w:val="44"/>
    </w:rPr>
  </w:style>
  <w:style w:type="paragraph" w:styleId="830">
    <w:name w:val="Heading 2"/>
    <w:basedOn w:val="828"/>
    <w:next w:val="828"/>
    <w:link w:val="900"/>
    <w:uiPriority w:val="0"/>
    <w:qFormat/>
    <w:pPr>
      <w:keepLines/>
      <w:keepNext/>
      <w:spacing w:before="260" w:after="260" w:line="416" w:lineRule="auto"/>
      <w:outlineLvl w:val="1"/>
    </w:pPr>
    <w:rPr>
      <w:rFonts w:ascii="等线 Light" w:hAnsi="等线 Light" w:eastAsia="等线 Light"/>
      <w:b/>
      <w:bCs/>
      <w:sz w:val="32"/>
      <w:szCs w:val="32"/>
    </w:rPr>
  </w:style>
  <w:style w:type="paragraph" w:styleId="831">
    <w:name w:val="Heading 3"/>
    <w:basedOn w:val="828"/>
    <w:next w:val="828"/>
    <w:link w:val="902"/>
    <w:uiPriority w:val="9"/>
    <w:qFormat/>
    <w:pPr>
      <w:keepLines/>
      <w:keepNext/>
      <w:spacing w:before="260" w:after="260" w:line="416" w:lineRule="auto"/>
      <w:outlineLvl w:val="2"/>
    </w:pPr>
    <w:rPr>
      <w:b/>
      <w:bCs/>
      <w:sz w:val="32"/>
      <w:szCs w:val="32"/>
    </w:rPr>
  </w:style>
  <w:style w:type="paragraph" w:styleId="832">
    <w:name w:val="Heading 4"/>
    <w:basedOn w:val="828"/>
    <w:next w:val="828"/>
    <w:link w:val="901"/>
    <w:uiPriority w:val="0"/>
    <w:qFormat/>
    <w:pPr>
      <w:keepLines/>
      <w:keepNext/>
      <w:spacing w:before="280" w:after="290" w:line="376" w:lineRule="auto"/>
      <w:outlineLvl w:val="3"/>
    </w:pPr>
    <w:rPr>
      <w:rFonts w:ascii="等线 Light" w:hAnsi="等线 Light" w:eastAsia="等线 Light"/>
      <w:b/>
      <w:bCs/>
      <w:sz w:val="28"/>
      <w:szCs w:val="28"/>
    </w:rPr>
  </w:style>
  <w:style w:type="paragraph" w:styleId="833">
    <w:name w:val="Heading 5"/>
    <w:basedOn w:val="828"/>
    <w:next w:val="828"/>
    <w:link w:val="939"/>
    <w:uiPriority w:val="9"/>
    <w:unhideWhenUsed/>
    <w:qFormat/>
    <w:pPr>
      <w:keepLines/>
      <w:keepNext/>
      <w:spacing w:before="320" w:after="200"/>
      <w:outlineLvl w:val="4"/>
    </w:pPr>
    <w:rPr>
      <w:rFonts w:ascii="Arial" w:hAnsi="Arial" w:eastAsia="Arial" w:cs="Arial"/>
      <w:b/>
      <w:bCs/>
      <w:sz w:val="24"/>
    </w:rPr>
  </w:style>
  <w:style w:type="paragraph" w:styleId="834">
    <w:name w:val="Heading 6"/>
    <w:basedOn w:val="828"/>
    <w:next w:val="828"/>
    <w:link w:val="1064"/>
    <w:uiPriority w:val="0"/>
    <w:qFormat/>
    <w:pPr>
      <w:keepLines/>
      <w:keepNext/>
      <w:spacing w:before="240" w:after="64" w:line="320" w:lineRule="auto"/>
      <w:outlineLvl w:val="5"/>
    </w:pPr>
    <w:rPr>
      <w:rFonts w:ascii="等线 Light" w:hAnsi="等线 Light" w:eastAsia="等线 Light"/>
      <w:b/>
      <w:bCs/>
      <w:sz w:val="24"/>
    </w:rPr>
  </w:style>
  <w:style w:type="paragraph" w:styleId="835">
    <w:name w:val="Heading 7"/>
    <w:basedOn w:val="828"/>
    <w:next w:val="828"/>
    <w:link w:val="941"/>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link w:val="1065"/>
    <w:uiPriority w:val="0"/>
    <w:qFormat/>
    <w:pPr>
      <w:keepLines/>
      <w:keepNext/>
      <w:spacing w:before="240" w:after="64" w:line="320" w:lineRule="auto"/>
      <w:outlineLvl w:val="7"/>
    </w:pPr>
    <w:rPr>
      <w:rFonts w:ascii="等线 Light" w:hAnsi="等线 Light" w:eastAsia="等线 Light"/>
      <w:sz w:val="24"/>
    </w:rPr>
  </w:style>
  <w:style w:type="paragraph" w:styleId="837">
    <w:name w:val="Heading 9"/>
    <w:basedOn w:val="828"/>
    <w:next w:val="828"/>
    <w:link w:val="943"/>
    <w:uiPriority w:val="9"/>
    <w:unhideWhenUsed/>
    <w:qFormat/>
    <w:pPr>
      <w:keepLines/>
      <w:keepNext/>
      <w:spacing w:before="320" w:after="200"/>
      <w:outlineLvl w:val="8"/>
    </w:pPr>
    <w:rPr>
      <w:rFonts w:ascii="Arial" w:hAnsi="Arial" w:eastAsia="Arial" w:cs="Arial"/>
      <w:i/>
      <w:iCs/>
      <w:szCs w:val="21"/>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List 3"/>
    <w:basedOn w:val="828"/>
    <w:uiPriority w:val="0"/>
    <w:qFormat/>
    <w:pPr>
      <w:contextualSpacing/>
      <w:ind w:left="100" w:hanging="200"/>
      <w:jc w:val="left"/>
      <w:widowControl/>
    </w:pPr>
    <w:rPr>
      <w:sz w:val="20"/>
      <w:szCs w:val="20"/>
    </w:rPr>
  </w:style>
  <w:style w:type="paragraph" w:styleId="841">
    <w:name w:val="toc 7"/>
    <w:basedOn w:val="828"/>
    <w:next w:val="828"/>
    <w:uiPriority w:val="39"/>
    <w:unhideWhenUsed/>
    <w:qFormat/>
    <w:pPr>
      <w:ind w:left="1701"/>
      <w:spacing w:after="57"/>
    </w:pPr>
  </w:style>
  <w:style w:type="paragraph" w:styleId="842">
    <w:name w:val="Normal Indent"/>
    <w:basedOn w:val="828"/>
    <w:next w:val="828"/>
    <w:link w:val="1067"/>
    <w:uiPriority w:val="99"/>
    <w:qFormat/>
    <w:pPr>
      <w:ind w:firstLine="420"/>
    </w:pPr>
    <w:rPr>
      <w:szCs w:val="20"/>
    </w:rPr>
  </w:style>
  <w:style w:type="paragraph" w:styleId="843">
    <w:name w:val="Caption"/>
    <w:basedOn w:val="828"/>
    <w:next w:val="828"/>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44">
    <w:name w:val="Document Map"/>
    <w:basedOn w:val="828"/>
    <w:link w:val="1068"/>
    <w:uiPriority w:val="0"/>
    <w:qFormat/>
    <w:pPr>
      <w:shd w:val="clear" w:color="auto" w:fill="000080"/>
    </w:pPr>
  </w:style>
  <w:style w:type="paragraph" w:styleId="845">
    <w:name w:val="annotation text"/>
    <w:basedOn w:val="828"/>
    <w:link w:val="1069"/>
    <w:uiPriority w:val="0"/>
    <w:qFormat/>
    <w:pPr>
      <w:jc w:val="left"/>
    </w:pPr>
  </w:style>
  <w:style w:type="paragraph" w:styleId="846">
    <w:name w:val="Body Text"/>
    <w:basedOn w:val="828"/>
    <w:next w:val="828"/>
    <w:link w:val="1070"/>
    <w:uiPriority w:val="1"/>
    <w:qFormat/>
    <w:pPr>
      <w:spacing w:after="120"/>
    </w:pPr>
  </w:style>
  <w:style w:type="paragraph" w:styleId="847">
    <w:name w:val="Body Text Indent"/>
    <w:basedOn w:val="828"/>
    <w:uiPriority w:val="0"/>
    <w:qFormat/>
    <w:pPr>
      <w:ind w:left="420"/>
      <w:spacing w:after="120"/>
    </w:pPr>
  </w:style>
  <w:style w:type="paragraph" w:styleId="848">
    <w:name w:val="index 4"/>
    <w:basedOn w:val="828"/>
    <w:next w:val="828"/>
    <w:uiPriority w:val="99"/>
    <w:unhideWhenUsed/>
    <w:qFormat/>
    <w:pPr>
      <w:ind w:left="600"/>
    </w:pPr>
    <w:rPr>
      <w:rFonts w:ascii="宋体"/>
      <w:b/>
      <w:position w:val="-10"/>
      <w:sz w:val="24"/>
      <w:szCs w:val="20"/>
    </w:rPr>
  </w:style>
  <w:style w:type="paragraph" w:styleId="849">
    <w:name w:val="toc 5"/>
    <w:basedOn w:val="828"/>
    <w:next w:val="828"/>
    <w:uiPriority w:val="39"/>
    <w:unhideWhenUsed/>
    <w:qFormat/>
    <w:pPr>
      <w:ind w:left="1134"/>
      <w:spacing w:after="57"/>
    </w:pPr>
  </w:style>
  <w:style w:type="paragraph" w:styleId="850">
    <w:name w:val="toc 3"/>
    <w:basedOn w:val="828"/>
    <w:next w:val="828"/>
    <w:uiPriority w:val="39"/>
    <w:unhideWhenUsed/>
    <w:qFormat/>
    <w:pPr>
      <w:ind w:left="567"/>
      <w:spacing w:after="57"/>
    </w:pPr>
  </w:style>
  <w:style w:type="paragraph" w:styleId="851">
    <w:name w:val="Plain Text"/>
    <w:basedOn w:val="828"/>
    <w:link w:val="1073"/>
    <w:uiPriority w:val="0"/>
    <w:qFormat/>
    <w:rPr>
      <w:rFonts w:ascii="宋体" w:hAnsi="Courier New" w:cs="Courier New"/>
      <w:szCs w:val="21"/>
    </w:rPr>
  </w:style>
  <w:style w:type="paragraph" w:styleId="852">
    <w:name w:val="toc 8"/>
    <w:basedOn w:val="828"/>
    <w:next w:val="828"/>
    <w:uiPriority w:val="39"/>
    <w:unhideWhenUsed/>
    <w:qFormat/>
    <w:pPr>
      <w:ind w:left="1984"/>
      <w:spacing w:after="57"/>
    </w:pPr>
  </w:style>
  <w:style w:type="paragraph" w:styleId="853">
    <w:name w:val="Date"/>
    <w:basedOn w:val="828"/>
    <w:next w:val="828"/>
    <w:link w:val="1075"/>
    <w:uiPriority w:val="0"/>
    <w:qFormat/>
    <w:rPr>
      <w:sz w:val="24"/>
      <w:szCs w:val="20"/>
    </w:rPr>
  </w:style>
  <w:style w:type="paragraph" w:styleId="854">
    <w:name w:val="endnote text"/>
    <w:basedOn w:val="828"/>
    <w:link w:val="1060"/>
    <w:uiPriority w:val="99"/>
    <w:semiHidden/>
    <w:unhideWhenUsed/>
    <w:qFormat/>
    <w:rPr>
      <w:sz w:val="20"/>
    </w:rPr>
  </w:style>
  <w:style w:type="paragraph" w:styleId="855">
    <w:name w:val="Balloon Text"/>
    <w:basedOn w:val="828"/>
    <w:link w:val="1076"/>
    <w:uiPriority w:val="0"/>
    <w:qFormat/>
    <w:rPr>
      <w:sz w:val="18"/>
      <w:szCs w:val="18"/>
    </w:rPr>
  </w:style>
  <w:style w:type="paragraph" w:styleId="856">
    <w:name w:val="Footer"/>
    <w:basedOn w:val="828"/>
    <w:link w:val="1077"/>
    <w:uiPriority w:val="99"/>
    <w:qFormat/>
    <w:pPr>
      <w:jc w:val="left"/>
      <w:tabs>
        <w:tab w:val="center" w:pos="4153" w:leader="none"/>
        <w:tab w:val="right" w:pos="8306" w:leader="none"/>
      </w:tabs>
    </w:pPr>
    <w:rPr>
      <w:sz w:val="18"/>
      <w:szCs w:val="18"/>
    </w:rPr>
  </w:style>
  <w:style w:type="paragraph" w:styleId="857">
    <w:name w:val="envelope return"/>
    <w:basedOn w:val="828"/>
    <w:uiPriority w:val="0"/>
    <w:qFormat/>
    <w:rPr>
      <w:rFonts w:ascii="Arial" w:hAnsi="Arial"/>
    </w:rPr>
  </w:style>
  <w:style w:type="paragraph" w:styleId="858">
    <w:name w:val="Header"/>
    <w:basedOn w:val="828"/>
    <w:link w:val="1078"/>
    <w:uiPriority w:val="99"/>
    <w:qFormat/>
    <w:pPr>
      <w:jc w:val="center"/>
      <w:tabs>
        <w:tab w:val="center" w:pos="4153" w:leader="none"/>
        <w:tab w:val="right" w:pos="8306" w:leader="none"/>
      </w:tabs>
      <w:pBdr>
        <w:bottom w:val="single" w:color="auto" w:sz="6" w:space="1"/>
      </w:pBdr>
    </w:pPr>
    <w:rPr>
      <w:sz w:val="18"/>
      <w:szCs w:val="18"/>
    </w:rPr>
  </w:style>
  <w:style w:type="paragraph" w:styleId="859">
    <w:name w:val="toc 1"/>
    <w:basedOn w:val="828"/>
    <w:next w:val="828"/>
    <w:uiPriority w:val="39"/>
    <w:unhideWhenUsed/>
    <w:qFormat/>
    <w:pPr>
      <w:spacing w:after="57"/>
    </w:pPr>
  </w:style>
  <w:style w:type="paragraph" w:styleId="860">
    <w:name w:val="toc 4"/>
    <w:basedOn w:val="828"/>
    <w:next w:val="828"/>
    <w:uiPriority w:val="39"/>
    <w:unhideWhenUsed/>
    <w:qFormat/>
    <w:pPr>
      <w:ind w:left="850"/>
      <w:spacing w:after="57"/>
    </w:pPr>
  </w:style>
  <w:style w:type="paragraph" w:styleId="861">
    <w:name w:val="Subtitle"/>
    <w:basedOn w:val="828"/>
    <w:next w:val="828"/>
    <w:link w:val="945"/>
    <w:uiPriority w:val="11"/>
    <w:qFormat/>
    <w:pPr>
      <w:spacing w:before="200" w:after="200"/>
    </w:pPr>
    <w:rPr>
      <w:sz w:val="24"/>
    </w:rPr>
  </w:style>
  <w:style w:type="paragraph" w:styleId="862">
    <w:name w:val="footnote text"/>
    <w:basedOn w:val="828"/>
    <w:link w:val="1059"/>
    <w:uiPriority w:val="99"/>
    <w:semiHidden/>
    <w:unhideWhenUsed/>
    <w:qFormat/>
    <w:pPr>
      <w:spacing w:after="40"/>
    </w:pPr>
    <w:rPr>
      <w:sz w:val="18"/>
    </w:rPr>
  </w:style>
  <w:style w:type="paragraph" w:styleId="863">
    <w:name w:val="toc 6"/>
    <w:basedOn w:val="828"/>
    <w:next w:val="828"/>
    <w:uiPriority w:val="39"/>
    <w:unhideWhenUsed/>
    <w:qFormat/>
    <w:pPr>
      <w:ind w:left="1417"/>
      <w:spacing w:after="57"/>
    </w:pPr>
  </w:style>
  <w:style w:type="paragraph" w:styleId="864">
    <w:name w:val="table of figures"/>
    <w:basedOn w:val="828"/>
    <w:next w:val="828"/>
    <w:uiPriority w:val="99"/>
    <w:unhideWhenUsed/>
    <w:qFormat/>
  </w:style>
  <w:style w:type="paragraph" w:styleId="865">
    <w:name w:val="toc 2"/>
    <w:basedOn w:val="828"/>
    <w:next w:val="828"/>
    <w:uiPriority w:val="99"/>
    <w:semiHidden/>
    <w:qFormat/>
    <w:pPr>
      <w:ind w:left="420"/>
    </w:pPr>
    <w:rPr>
      <w:rFonts w:eastAsia="楷体_GB2312"/>
      <w:sz w:val="26"/>
      <w:szCs w:val="26"/>
    </w:rPr>
  </w:style>
  <w:style w:type="paragraph" w:styleId="866">
    <w:name w:val="toc 9"/>
    <w:basedOn w:val="828"/>
    <w:next w:val="828"/>
    <w:uiPriority w:val="39"/>
    <w:unhideWhenUsed/>
    <w:qFormat/>
    <w:pPr>
      <w:ind w:left="2268"/>
      <w:spacing w:after="57"/>
    </w:pPr>
  </w:style>
  <w:style w:type="paragraph" w:styleId="867">
    <w:name w:val="Body Text 2"/>
    <w:basedOn w:val="828"/>
    <w:link w:val="1084"/>
    <w:uiPriority w:val="0"/>
    <w:qFormat/>
    <w:pPr>
      <w:spacing w:after="120" w:line="480" w:lineRule="auto"/>
    </w:pPr>
    <w:rPr>
      <w:rFonts w:ascii="Calibri" w:hAnsi="Calibri"/>
    </w:rPr>
  </w:style>
  <w:style w:type="paragraph" w:styleId="868">
    <w:name w:val="Normal (Web)"/>
    <w:basedOn w:val="828"/>
    <w:uiPriority w:val="99"/>
    <w:qFormat/>
    <w:pPr>
      <w:jc w:val="left"/>
      <w:spacing w:before="100" w:beforeAutospacing="1" w:after="100" w:afterAutospacing="1"/>
      <w:widowControl/>
    </w:pPr>
    <w:rPr>
      <w:sz w:val="24"/>
    </w:rPr>
  </w:style>
  <w:style w:type="paragraph" w:styleId="869">
    <w:name w:val="Title"/>
    <w:basedOn w:val="828"/>
    <w:next w:val="828"/>
    <w:link w:val="1085"/>
    <w:uiPriority w:val="0"/>
    <w:qFormat/>
    <w:pPr>
      <w:jc w:val="center"/>
      <w:spacing w:before="240" w:after="60" w:line="360" w:lineRule="auto"/>
      <w:outlineLvl w:val="0"/>
    </w:pPr>
    <w:rPr>
      <w:rFonts w:ascii="等线 Light" w:hAnsi="等线 Light"/>
      <w:b/>
      <w:bCs/>
      <w:sz w:val="32"/>
      <w:szCs w:val="32"/>
    </w:rPr>
  </w:style>
  <w:style w:type="paragraph" w:styleId="870">
    <w:name w:val="annotation subject"/>
    <w:basedOn w:val="845"/>
    <w:next w:val="845"/>
    <w:link w:val="1086"/>
    <w:uiPriority w:val="0"/>
    <w:qFormat/>
    <w:rPr>
      <w:b/>
      <w:bCs/>
    </w:rPr>
  </w:style>
  <w:style w:type="paragraph" w:styleId="871">
    <w:name w:val="Body Text First Indent"/>
    <w:basedOn w:val="846"/>
    <w:uiPriority w:val="0"/>
    <w:qFormat/>
    <w:pPr>
      <w:ind w:firstLine="420"/>
      <w:spacing w:line="360" w:lineRule="auto"/>
    </w:pPr>
    <w:rPr>
      <w:szCs w:val="21"/>
    </w:rPr>
  </w:style>
  <w:style w:type="table" w:styleId="872">
    <w:name w:val="Table Grid"/>
    <w:basedOn w:val="83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Strong"/>
    <w:uiPriority w:val="0"/>
    <w:qFormat/>
    <w:rPr>
      <w:b/>
      <w:bCs/>
    </w:rPr>
  </w:style>
  <w:style w:type="character" w:styleId="874">
    <w:name w:val="endnote reference"/>
    <w:basedOn w:val="838"/>
    <w:uiPriority w:val="99"/>
    <w:semiHidden/>
    <w:unhideWhenUsed/>
    <w:qFormat/>
    <w:rPr>
      <w:vertAlign w:val="superscript"/>
    </w:rPr>
  </w:style>
  <w:style w:type="character" w:styleId="875">
    <w:name w:val="page number"/>
    <w:uiPriority w:val="0"/>
    <w:qFormat/>
  </w:style>
  <w:style w:type="character" w:styleId="876">
    <w:name w:val="Emphasis"/>
    <w:uiPriority w:val="0"/>
    <w:qFormat/>
    <w:rPr>
      <w:i/>
      <w:iCs/>
    </w:rPr>
  </w:style>
  <w:style w:type="character" w:styleId="877">
    <w:name w:val="Hyperlink"/>
    <w:uiPriority w:val="99"/>
    <w:qFormat/>
    <w:rPr>
      <w:color w:val="auto"/>
      <w:u w:val="none"/>
    </w:rPr>
  </w:style>
  <w:style w:type="character" w:styleId="878">
    <w:name w:val="annotation reference"/>
    <w:uiPriority w:val="0"/>
    <w:qFormat/>
    <w:rPr>
      <w:sz w:val="21"/>
      <w:szCs w:val="21"/>
    </w:rPr>
  </w:style>
  <w:style w:type="character" w:styleId="879">
    <w:name w:val="footnote reference"/>
    <w:basedOn w:val="838"/>
    <w:uiPriority w:val="99"/>
    <w:unhideWhenUsed/>
    <w:qFormat/>
    <w:rPr>
      <w:vertAlign w:val="superscript"/>
    </w:rPr>
  </w:style>
  <w:style w:type="table" w:styleId="880" w:customStyle="1">
    <w:name w:val="Plain Table 1"/>
    <w:basedOn w:val="8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2"/>
    <w:basedOn w:val="8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3"/>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Plain Table 4"/>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Plain Table 5"/>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Grid Table 1 Light"/>
    <w:basedOn w:val="8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2"/>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3"/>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w:basedOn w:val="8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5 Dark"/>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6 Colorful"/>
    <w:basedOn w:val="8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Grid Table 7 Colorful"/>
    <w:basedOn w:val="8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1 Light"/>
    <w:basedOn w:val="8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2"/>
    <w:basedOn w:val="8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3"/>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5 Dark"/>
    <w:basedOn w:val="8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w:basedOn w:val="8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7 Colorful"/>
    <w:basedOn w:val="8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9" w:customStyle="1">
    <w:name w:val="TOC Heading"/>
    <w:uiPriority w:val="39"/>
    <w:unhideWhenUsed/>
    <w:qFormat/>
    <w:rPr>
      <w:rFonts w:hint="default" w:ascii="Times New Roman" w:hAnsi="Times New Roman" w:eastAsia="宋体" w:cs="Times New Roman"/>
    </w:rPr>
  </w:style>
  <w:style w:type="character" w:styleId="900" w:customStyle="1">
    <w:name w:val="标题 2 Char"/>
    <w:link w:val="830"/>
    <w:uiPriority w:val="0"/>
    <w:semiHidden/>
    <w:qFormat/>
    <w:rPr>
      <w:rFonts w:ascii="等线 Light" w:hAnsi="等线 Light" w:eastAsia="等线 Light" w:cs="Times New Roman"/>
      <w:b/>
      <w:bCs/>
      <w:sz w:val="32"/>
      <w:szCs w:val="32"/>
    </w:rPr>
  </w:style>
  <w:style w:type="character" w:styleId="901" w:customStyle="1">
    <w:name w:val="标题 4 Char"/>
    <w:link w:val="832"/>
    <w:uiPriority w:val="0"/>
    <w:semiHidden/>
    <w:qFormat/>
    <w:rPr>
      <w:rFonts w:ascii="等线 Light" w:hAnsi="等线 Light" w:eastAsia="等线 Light" w:cs="Times New Roman"/>
      <w:b/>
      <w:bCs/>
      <w:sz w:val="28"/>
      <w:szCs w:val="28"/>
    </w:rPr>
  </w:style>
  <w:style w:type="character" w:styleId="902" w:customStyle="1">
    <w:name w:val="标题 3 Char"/>
    <w:link w:val="831"/>
    <w:uiPriority w:val="9"/>
    <w:qFormat/>
    <w:rPr>
      <w:rFonts w:eastAsia="宋体"/>
      <w:b/>
      <w:bCs/>
      <w:sz w:val="32"/>
      <w:szCs w:val="32"/>
      <w:lang w:val="en-US" w:eastAsia="zh-CN" w:bidi="ar-SA"/>
    </w:rPr>
  </w:style>
  <w:style w:type="paragraph" w:styleId="903"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904" w:customStyle="1">
    <w:name w:val="Heading 5 Char"/>
    <w:basedOn w:val="838"/>
    <w:uiPriority w:val="9"/>
    <w:qFormat/>
    <w:rPr>
      <w:rFonts w:ascii="Arial" w:hAnsi="Arial" w:eastAsia="Arial" w:cs="Arial"/>
      <w:b/>
      <w:bCs/>
      <w:sz w:val="24"/>
      <w:szCs w:val="24"/>
    </w:rPr>
  </w:style>
  <w:style w:type="character" w:styleId="905" w:customStyle="1">
    <w:name w:val="Heading 7 Char"/>
    <w:basedOn w:val="838"/>
    <w:uiPriority w:val="9"/>
    <w:qFormat/>
    <w:rPr>
      <w:rFonts w:ascii="Arial" w:hAnsi="Arial" w:eastAsia="Arial" w:cs="Arial"/>
      <w:b/>
      <w:bCs/>
      <w:i/>
      <w:iCs/>
      <w:sz w:val="22"/>
      <w:szCs w:val="22"/>
    </w:rPr>
  </w:style>
  <w:style w:type="character" w:styleId="906" w:customStyle="1">
    <w:name w:val="Heading 9 Char"/>
    <w:basedOn w:val="838"/>
    <w:uiPriority w:val="9"/>
    <w:qFormat/>
    <w:rPr>
      <w:rFonts w:ascii="Arial" w:hAnsi="Arial" w:eastAsia="Arial" w:cs="Arial"/>
      <w:i/>
      <w:iCs/>
      <w:sz w:val="21"/>
      <w:szCs w:val="21"/>
    </w:rPr>
  </w:style>
  <w:style w:type="character" w:styleId="907" w:customStyle="1">
    <w:name w:val="Subtitle Char"/>
    <w:basedOn w:val="838"/>
    <w:uiPriority w:val="11"/>
    <w:qFormat/>
    <w:rPr>
      <w:sz w:val="24"/>
      <w:szCs w:val="24"/>
    </w:rPr>
  </w:style>
  <w:style w:type="character" w:styleId="908" w:customStyle="1">
    <w:name w:val="Quote Char"/>
    <w:uiPriority w:val="29"/>
    <w:qFormat/>
    <w:rPr>
      <w:i/>
    </w:rPr>
  </w:style>
  <w:style w:type="character" w:styleId="909" w:customStyle="1">
    <w:name w:val="Intense Quote Char"/>
    <w:uiPriority w:val="30"/>
    <w:qFormat/>
    <w:rPr>
      <w:i/>
    </w:rPr>
  </w:style>
  <w:style w:type="table" w:styleId="910" w:customStyle="1">
    <w:name w:val="无格式表格 11"/>
    <w:basedOn w:val="8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无格式表格 21"/>
    <w:basedOn w:val="8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无格式表格 31"/>
    <w:basedOn w:val="8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customStyle="1">
    <w:name w:val="无格式表格 41"/>
    <w:basedOn w:val="8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customStyle="1">
    <w:name w:val="无格式表格 51"/>
    <w:basedOn w:val="8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5" w:customStyle="1">
    <w:name w:val="网格表 1 浅色1"/>
    <w:basedOn w:val="8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6" w:customStyle="1">
    <w:name w:val="网格表 21"/>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7" w:customStyle="1">
    <w:name w:val="网格表 31"/>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网格表 41"/>
    <w:basedOn w:val="8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网格表 5 深色1"/>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customStyle="1">
    <w:name w:val="网格表 6 彩色1"/>
    <w:basedOn w:val="8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网格表 7 彩色1"/>
    <w:basedOn w:val="8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清单表 1 浅色1"/>
    <w:basedOn w:val="83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清单表 21"/>
    <w:basedOn w:val="8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清单表 31"/>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清单表 41"/>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清单表 5 深色1"/>
    <w:basedOn w:val="8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清单表 6 彩色1"/>
    <w:basedOn w:val="83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清单表 7 彩色1"/>
    <w:basedOn w:val="83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9" w:customStyle="1">
    <w:name w:val="Footnote Text Char"/>
    <w:uiPriority w:val="99"/>
    <w:qFormat/>
    <w:rPr>
      <w:sz w:val="18"/>
    </w:rPr>
  </w:style>
  <w:style w:type="character" w:styleId="930" w:customStyle="1">
    <w:name w:val="Endnote Text Char"/>
    <w:uiPriority w:val="99"/>
    <w:qFormat/>
    <w:rPr>
      <w:sz w:val="20"/>
    </w:rPr>
  </w:style>
  <w:style w:type="paragraph" w:styleId="931" w:customStyle="1">
    <w:name w:val="TOC 标题1"/>
    <w:uiPriority w:val="39"/>
    <w:unhideWhenUsed/>
    <w:qFormat/>
    <w:rPr>
      <w:rFonts w:hint="default" w:ascii="Times New Roman" w:hAnsi="Times New Roman" w:eastAsia="宋体" w:cs="Times New Roman"/>
      <w:lang w:val="en-US" w:eastAsia="zh-CN" w:bidi="ar-SA"/>
    </w:rPr>
  </w:style>
  <w:style w:type="paragraph" w:styleId="932" w:customStyle="1">
    <w:name w:val="首行缩进"/>
    <w:basedOn w:val="828"/>
    <w:uiPriority w:val="0"/>
    <w:qFormat/>
    <w:pPr>
      <w:spacing w:line="360" w:lineRule="auto"/>
    </w:pPr>
  </w:style>
  <w:style w:type="paragraph" w:styleId="933" w:customStyle="1">
    <w:name w:val="正文文本1"/>
    <w:basedOn w:val="934"/>
    <w:next w:val="828"/>
    <w:uiPriority w:val="0"/>
    <w:qFormat/>
    <w:pPr>
      <w:spacing w:after="120"/>
    </w:pPr>
    <w:rPr>
      <w:sz w:val="28"/>
    </w:rPr>
  </w:style>
  <w:style w:type="paragraph" w:styleId="934" w:customStyle="1">
    <w:name w:val="正文1"/>
    <w:next w:val="933"/>
    <w:uiPriority w:val="0"/>
    <w:qFormat/>
    <w:pPr>
      <w:jc w:val="both"/>
      <w:widowControl w:val="off"/>
    </w:pPr>
    <w:rPr>
      <w:rFonts w:hint="default" w:ascii="Calibri" w:hAnsi="Calibri" w:eastAsia="宋体" w:cs="Times New Roman"/>
      <w:sz w:val="21"/>
      <w:szCs w:val="22"/>
      <w:lang w:val="en-US" w:eastAsia="zh-CN" w:bidi="ar-SA"/>
    </w:rPr>
  </w:style>
  <w:style w:type="character" w:styleId="935" w:customStyle="1">
    <w:name w:val="Heading 1 Char"/>
    <w:basedOn w:val="838"/>
    <w:uiPriority w:val="9"/>
    <w:qFormat/>
    <w:rPr>
      <w:rFonts w:ascii="Arial" w:hAnsi="Arial" w:eastAsia="Arial" w:cs="Arial"/>
      <w:sz w:val="40"/>
      <w:szCs w:val="40"/>
    </w:rPr>
  </w:style>
  <w:style w:type="character" w:styleId="936" w:customStyle="1">
    <w:name w:val="Heading 2 Char"/>
    <w:basedOn w:val="838"/>
    <w:uiPriority w:val="9"/>
    <w:qFormat/>
    <w:rPr>
      <w:rFonts w:ascii="Arial" w:hAnsi="Arial" w:eastAsia="Arial" w:cs="Arial"/>
      <w:sz w:val="34"/>
    </w:rPr>
  </w:style>
  <w:style w:type="character" w:styleId="937" w:customStyle="1">
    <w:name w:val="Heading 3 Char"/>
    <w:basedOn w:val="838"/>
    <w:uiPriority w:val="9"/>
    <w:qFormat/>
    <w:rPr>
      <w:rFonts w:ascii="Arial" w:hAnsi="Arial" w:eastAsia="Arial" w:cs="Arial"/>
      <w:sz w:val="30"/>
      <w:szCs w:val="30"/>
    </w:rPr>
  </w:style>
  <w:style w:type="character" w:styleId="938" w:customStyle="1">
    <w:name w:val="Heading 4 Char"/>
    <w:basedOn w:val="838"/>
    <w:uiPriority w:val="9"/>
    <w:qFormat/>
    <w:rPr>
      <w:rFonts w:ascii="Arial" w:hAnsi="Arial" w:eastAsia="Arial" w:cs="Arial"/>
      <w:b/>
      <w:bCs/>
      <w:sz w:val="26"/>
      <w:szCs w:val="26"/>
    </w:rPr>
  </w:style>
  <w:style w:type="character" w:styleId="939" w:customStyle="1">
    <w:name w:val="标题 5 Char"/>
    <w:basedOn w:val="838"/>
    <w:link w:val="833"/>
    <w:uiPriority w:val="9"/>
    <w:qFormat/>
    <w:rPr>
      <w:rFonts w:ascii="Arial" w:hAnsi="Arial" w:eastAsia="Arial" w:cs="Arial"/>
      <w:b/>
      <w:bCs/>
      <w:sz w:val="24"/>
      <w:szCs w:val="24"/>
    </w:rPr>
  </w:style>
  <w:style w:type="character" w:styleId="940" w:customStyle="1">
    <w:name w:val="Heading 6 Char"/>
    <w:basedOn w:val="838"/>
    <w:uiPriority w:val="9"/>
    <w:qFormat/>
    <w:rPr>
      <w:rFonts w:ascii="Arial" w:hAnsi="Arial" w:eastAsia="Arial" w:cs="Arial"/>
      <w:b/>
      <w:bCs/>
      <w:sz w:val="22"/>
      <w:szCs w:val="22"/>
    </w:rPr>
  </w:style>
  <w:style w:type="character" w:styleId="941" w:customStyle="1">
    <w:name w:val="标题 7 Char"/>
    <w:basedOn w:val="838"/>
    <w:link w:val="835"/>
    <w:uiPriority w:val="9"/>
    <w:qFormat/>
    <w:rPr>
      <w:rFonts w:ascii="Arial" w:hAnsi="Arial" w:eastAsia="Arial" w:cs="Arial"/>
      <w:b/>
      <w:bCs/>
      <w:i/>
      <w:iCs/>
      <w:sz w:val="22"/>
      <w:szCs w:val="22"/>
    </w:rPr>
  </w:style>
  <w:style w:type="character" w:styleId="942" w:customStyle="1">
    <w:name w:val="Heading 8 Char"/>
    <w:basedOn w:val="838"/>
    <w:uiPriority w:val="9"/>
    <w:qFormat/>
    <w:rPr>
      <w:rFonts w:ascii="Arial" w:hAnsi="Arial" w:eastAsia="Arial" w:cs="Arial"/>
      <w:i/>
      <w:iCs/>
      <w:sz w:val="22"/>
      <w:szCs w:val="22"/>
    </w:rPr>
  </w:style>
  <w:style w:type="character" w:styleId="943" w:customStyle="1">
    <w:name w:val="标题 9 Char"/>
    <w:basedOn w:val="838"/>
    <w:link w:val="837"/>
    <w:uiPriority w:val="9"/>
    <w:qFormat/>
    <w:rPr>
      <w:rFonts w:ascii="Arial" w:hAnsi="Arial" w:eastAsia="Arial" w:cs="Arial"/>
      <w:i/>
      <w:iCs/>
      <w:sz w:val="21"/>
      <w:szCs w:val="21"/>
    </w:rPr>
  </w:style>
  <w:style w:type="character" w:styleId="944" w:customStyle="1">
    <w:name w:val="Title Char"/>
    <w:basedOn w:val="838"/>
    <w:uiPriority w:val="10"/>
    <w:qFormat/>
    <w:rPr>
      <w:sz w:val="48"/>
      <w:szCs w:val="48"/>
    </w:rPr>
  </w:style>
  <w:style w:type="character" w:styleId="945" w:customStyle="1">
    <w:name w:val="副标题 Char"/>
    <w:basedOn w:val="838"/>
    <w:link w:val="861"/>
    <w:uiPriority w:val="11"/>
    <w:qFormat/>
    <w:rPr>
      <w:sz w:val="24"/>
      <w:szCs w:val="24"/>
    </w:rPr>
  </w:style>
  <w:style w:type="paragraph" w:styleId="946">
    <w:name w:val="Quote"/>
    <w:basedOn w:val="828"/>
    <w:next w:val="828"/>
    <w:link w:val="947"/>
    <w:uiPriority w:val="29"/>
    <w:qFormat/>
    <w:pPr>
      <w:ind w:left="720" w:right="720"/>
    </w:pPr>
    <w:rPr>
      <w:i/>
    </w:rPr>
  </w:style>
  <w:style w:type="character" w:styleId="947" w:customStyle="1">
    <w:name w:val="引用 Char"/>
    <w:link w:val="946"/>
    <w:uiPriority w:val="29"/>
    <w:qFormat/>
    <w:rPr>
      <w:i/>
    </w:rPr>
  </w:style>
  <w:style w:type="paragraph" w:styleId="948">
    <w:name w:val="Intense Quote"/>
    <w:basedOn w:val="828"/>
    <w:next w:val="828"/>
    <w:link w:val="9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9" w:customStyle="1">
    <w:name w:val="明显引用 Char"/>
    <w:link w:val="948"/>
    <w:uiPriority w:val="30"/>
    <w:qFormat/>
    <w:rPr>
      <w:i/>
    </w:rPr>
  </w:style>
  <w:style w:type="character" w:styleId="950" w:customStyle="1">
    <w:name w:val="Header Char"/>
    <w:basedOn w:val="838"/>
    <w:uiPriority w:val="99"/>
    <w:qFormat/>
  </w:style>
  <w:style w:type="character" w:styleId="951" w:customStyle="1">
    <w:name w:val="Footer Char"/>
    <w:basedOn w:val="838"/>
    <w:uiPriority w:val="99"/>
    <w:qFormat/>
  </w:style>
  <w:style w:type="character" w:styleId="952" w:customStyle="1">
    <w:name w:val="Caption Char"/>
    <w:uiPriority w:val="99"/>
    <w:qFormat/>
  </w:style>
  <w:style w:type="table" w:styleId="953" w:customStyle="1">
    <w:name w:val="Table Grid Light"/>
    <w:basedOn w:val="8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4" w:customStyle="1">
    <w:name w:val="Grid Table 1 Light - Accent 1"/>
    <w:basedOn w:val="83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2"/>
    <w:basedOn w:val="83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3"/>
    <w:basedOn w:val="83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4"/>
    <w:basedOn w:val="83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5"/>
    <w:basedOn w:val="83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6"/>
    <w:basedOn w:val="83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0" w:customStyle="1">
    <w:name w:val="Grid Table 2 - Accent 1"/>
    <w:basedOn w:val="83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61" w:customStyle="1">
    <w:name w:val="Grid Table 2 - Accent 2"/>
    <w:basedOn w:val="83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2" w:customStyle="1">
    <w:name w:val="Grid Table 2 - Accent 3"/>
    <w:basedOn w:val="83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3" w:customStyle="1">
    <w:name w:val="Grid Table 2 - Accent 4"/>
    <w:basedOn w:val="83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4" w:customStyle="1">
    <w:name w:val="Grid Table 2 - Accent 5"/>
    <w:basedOn w:val="839"/>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65" w:customStyle="1">
    <w:name w:val="Grid Table 2 - Accent 6"/>
    <w:basedOn w:val="83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6" w:customStyle="1">
    <w:name w:val="Grid Table 3 - Accent 1"/>
    <w:basedOn w:val="83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2"/>
    <w:basedOn w:val="83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3"/>
    <w:basedOn w:val="83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4"/>
    <w:basedOn w:val="83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5"/>
    <w:basedOn w:val="839"/>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6"/>
    <w:basedOn w:val="83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4 - Accent 1"/>
    <w:basedOn w:val="83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73" w:customStyle="1">
    <w:name w:val="Grid Table 4 - Accent 2"/>
    <w:basedOn w:val="83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4" w:customStyle="1">
    <w:name w:val="Grid Table 4 - Accent 3"/>
    <w:basedOn w:val="83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5" w:customStyle="1">
    <w:name w:val="Grid Table 4 - Accent 4"/>
    <w:basedOn w:val="83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6" w:customStyle="1">
    <w:name w:val="Grid Table 4 - Accent 5"/>
    <w:basedOn w:val="83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77" w:customStyle="1">
    <w:name w:val="Grid Table 4 - Accent 6"/>
    <w:basedOn w:val="83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8" w:customStyle="1">
    <w:name w:val="Grid Table 5 Dark- Accent 1"/>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79" w:customStyle="1">
    <w:name w:val="Grid Table 5 Dark - Accent 2"/>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0" w:customStyle="1">
    <w:name w:val="Grid Table 5 Dark - Accent 3"/>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1" w:customStyle="1">
    <w:name w:val="Grid Table 5 Dark- Accent 4"/>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2" w:customStyle="1">
    <w:name w:val="Grid Table 5 Dark - Accent 5"/>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83" w:customStyle="1">
    <w:name w:val="Grid Table 5 Dark - Accent 6"/>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4" w:customStyle="1">
    <w:name w:val="Grid Table 6 Colorful - Accent 1"/>
    <w:basedOn w:val="83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85" w:customStyle="1">
    <w:name w:val="Grid Table 6 Colorful - Accent 2"/>
    <w:basedOn w:val="83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6" w:customStyle="1">
    <w:name w:val="Grid Table 6 Colorful - Accent 3"/>
    <w:basedOn w:val="83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87" w:customStyle="1">
    <w:name w:val="Grid Table 6 Colorful - Accent 4"/>
    <w:basedOn w:val="83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8" w:customStyle="1">
    <w:name w:val="Grid Table 6 Colorful - Accent 5"/>
    <w:basedOn w:val="83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9" w:customStyle="1">
    <w:name w:val="Grid Table 6 Colorful - Accent 6"/>
    <w:basedOn w:val="83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90" w:customStyle="1">
    <w:name w:val="Grid Table 7 Colorful - Accent 1"/>
    <w:basedOn w:val="83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91" w:customStyle="1">
    <w:name w:val="Grid Table 7 Colorful - Accent 2"/>
    <w:basedOn w:val="83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2" w:customStyle="1">
    <w:name w:val="Grid Table 7 Colorful - Accent 3"/>
    <w:basedOn w:val="83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3" w:customStyle="1">
    <w:name w:val="Grid Table 7 Colorful - Accent 4"/>
    <w:basedOn w:val="83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4" w:customStyle="1">
    <w:name w:val="Grid Table 7 Colorful - Accent 5"/>
    <w:basedOn w:val="83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95" w:customStyle="1">
    <w:name w:val="Grid Table 7 Colorful - Accent 6"/>
    <w:basedOn w:val="83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6" w:customStyle="1">
    <w:name w:val="List Table 1 Light - Accent 1"/>
    <w:basedOn w:val="839"/>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97" w:customStyle="1">
    <w:name w:val="List Table 1 Light - Accent 2"/>
    <w:basedOn w:val="83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8" w:customStyle="1">
    <w:name w:val="List Table 1 Light - Accent 3"/>
    <w:basedOn w:val="83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9" w:customStyle="1">
    <w:name w:val="List Table 1 Light - Accent 4"/>
    <w:basedOn w:val="83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0" w:customStyle="1">
    <w:name w:val="List Table 1 Light - Accent 5"/>
    <w:basedOn w:val="839"/>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01" w:customStyle="1">
    <w:name w:val="List Table 1 Light - Accent 6"/>
    <w:basedOn w:val="83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2" w:customStyle="1">
    <w:name w:val="List Table 2 - Accent 1"/>
    <w:basedOn w:val="83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03" w:customStyle="1">
    <w:name w:val="List Table 2 - Accent 2"/>
    <w:basedOn w:val="83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4" w:customStyle="1">
    <w:name w:val="List Table 2 - Accent 3"/>
    <w:basedOn w:val="83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5" w:customStyle="1">
    <w:name w:val="List Table 2 - Accent 4"/>
    <w:basedOn w:val="83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6" w:customStyle="1">
    <w:name w:val="List Table 2 - Accent 5"/>
    <w:basedOn w:val="83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7" w:customStyle="1">
    <w:name w:val="List Table 2 - Accent 6"/>
    <w:basedOn w:val="83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8" w:customStyle="1">
    <w:name w:val="List Table 3 - Accent 1"/>
    <w:basedOn w:val="83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9" w:customStyle="1">
    <w:name w:val="List Table 3 - Accent 2"/>
    <w:basedOn w:val="83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0" w:customStyle="1">
    <w:name w:val="List Table 3 - Accent 3"/>
    <w:basedOn w:val="83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1" w:customStyle="1">
    <w:name w:val="List Table 3 - Accent 4"/>
    <w:basedOn w:val="83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2" w:customStyle="1">
    <w:name w:val="List Table 3 - Accent 5"/>
    <w:basedOn w:val="83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13" w:customStyle="1">
    <w:name w:val="List Table 3 - Accent 6"/>
    <w:basedOn w:val="83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4" w:customStyle="1">
    <w:name w:val="List Table 4 - Accent 1"/>
    <w:basedOn w:val="83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5" w:customStyle="1">
    <w:name w:val="List Table 4 - Accent 2"/>
    <w:basedOn w:val="83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6" w:customStyle="1">
    <w:name w:val="List Table 4 - Accent 3"/>
    <w:basedOn w:val="83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7" w:customStyle="1">
    <w:name w:val="List Table 4 - Accent 4"/>
    <w:basedOn w:val="83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8" w:customStyle="1">
    <w:name w:val="List Table 4 - Accent 5"/>
    <w:basedOn w:val="83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9" w:customStyle="1">
    <w:name w:val="List Table 4 - Accent 6"/>
    <w:basedOn w:val="83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0" w:customStyle="1">
    <w:name w:val="List Table 5 Dark - Accent 1"/>
    <w:basedOn w:val="83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2"/>
    <w:basedOn w:val="83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3"/>
    <w:basedOn w:val="83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4"/>
    <w:basedOn w:val="83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5"/>
    <w:basedOn w:val="83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6"/>
    <w:basedOn w:val="83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6 Colorful - Accent 1"/>
    <w:basedOn w:val="839"/>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27" w:customStyle="1">
    <w:name w:val="List Table 6 Colorful - Accent 2"/>
    <w:basedOn w:val="83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8" w:customStyle="1">
    <w:name w:val="List Table 6 Colorful - Accent 3"/>
    <w:basedOn w:val="83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9" w:customStyle="1">
    <w:name w:val="List Table 6 Colorful - Accent 4"/>
    <w:basedOn w:val="83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0" w:customStyle="1">
    <w:name w:val="List Table 6 Colorful - Accent 5"/>
    <w:basedOn w:val="839"/>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31" w:customStyle="1">
    <w:name w:val="List Table 6 Colorful - Accent 6"/>
    <w:basedOn w:val="83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2" w:customStyle="1">
    <w:name w:val="List Table 7 Colorful - Accent 1"/>
    <w:basedOn w:val="839"/>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3" w:customStyle="1">
    <w:name w:val="List Table 7 Colorful - Accent 2"/>
    <w:basedOn w:val="83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4" w:customStyle="1">
    <w:name w:val="List Table 7 Colorful - Accent 3"/>
    <w:basedOn w:val="83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5" w:customStyle="1">
    <w:name w:val="List Table 7 Colorful - Accent 4"/>
    <w:basedOn w:val="83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6" w:customStyle="1">
    <w:name w:val="List Table 7 Colorful - Accent 5"/>
    <w:basedOn w:val="839"/>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7" w:customStyle="1">
    <w:name w:val="List Table 7 Colorful - Accent 6"/>
    <w:basedOn w:val="83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8" w:customStyle="1">
    <w:name w:val="Lined - Accent"/>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Lined - Accent 1"/>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0" w:customStyle="1">
    <w:name w:val="Lined - Accent 2"/>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1" w:customStyle="1">
    <w:name w:val="Lined - Accent 3"/>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2" w:customStyle="1">
    <w:name w:val="Lined - Accent 4"/>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3" w:customStyle="1">
    <w:name w:val="Lined - Accent 5"/>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4" w:customStyle="1">
    <w:name w:val="Lined - Accent 6"/>
    <w:basedOn w:val="83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5" w:customStyle="1">
    <w:name w:val="Bordered &amp; Lined - Accent"/>
    <w:basedOn w:val="83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Bordered &amp; Lined - Accent 1"/>
    <w:basedOn w:val="83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7" w:customStyle="1">
    <w:name w:val="Bordered &amp; Lined - Accent 2"/>
    <w:basedOn w:val="83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8" w:customStyle="1">
    <w:name w:val="Bordered &amp; Lined - Accent 3"/>
    <w:basedOn w:val="83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9" w:customStyle="1">
    <w:name w:val="Bordered &amp; Lined - Accent 4"/>
    <w:basedOn w:val="83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0" w:customStyle="1">
    <w:name w:val="Bordered &amp; Lined - Accent 5"/>
    <w:basedOn w:val="83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1" w:customStyle="1">
    <w:name w:val="Bordered &amp; Lined - Accent 6"/>
    <w:basedOn w:val="83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2" w:customStyle="1">
    <w:name w:val="Bordered"/>
    <w:basedOn w:val="83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3" w:customStyle="1">
    <w:name w:val="Bordered - Accent 1"/>
    <w:basedOn w:val="83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4" w:customStyle="1">
    <w:name w:val="Bordered - Accent 2"/>
    <w:basedOn w:val="83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5" w:customStyle="1">
    <w:name w:val="Bordered - Accent 3"/>
    <w:basedOn w:val="83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6" w:customStyle="1">
    <w:name w:val="Bordered - Accent 4"/>
    <w:basedOn w:val="83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7" w:customStyle="1">
    <w:name w:val="Bordered - Accent 5"/>
    <w:basedOn w:val="83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8" w:customStyle="1">
    <w:name w:val="Bordered - Accent 6"/>
    <w:basedOn w:val="83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9" w:customStyle="1">
    <w:name w:val="脚注文本 Char"/>
    <w:link w:val="862"/>
    <w:uiPriority w:val="99"/>
    <w:qFormat/>
    <w:rPr>
      <w:sz w:val="18"/>
    </w:rPr>
  </w:style>
  <w:style w:type="character" w:styleId="1060" w:customStyle="1">
    <w:name w:val="尾注文本 Char"/>
    <w:link w:val="854"/>
    <w:uiPriority w:val="99"/>
    <w:qFormat/>
    <w:rPr>
      <w:sz w:val="20"/>
    </w:rPr>
  </w:style>
  <w:style w:type="paragraph" w:styleId="1061" w:customStyle="1">
    <w:name w:val="TOC 标题111"/>
    <w:uiPriority w:val="39"/>
    <w:unhideWhenUsed/>
    <w:qFormat/>
    <w:rPr>
      <w:rFonts w:hint="default" w:ascii="Times New Roman" w:hAnsi="Times New Roman" w:eastAsia="宋体" w:cs="Times New Roman"/>
      <w:lang w:val="en-US" w:eastAsia="zh-CN" w:bidi="ar-SA"/>
    </w:rPr>
  </w:style>
  <w:style w:type="paragraph" w:styleId="1062" w:customStyle="1">
    <w:name w:val="正文文本11"/>
    <w:basedOn w:val="828"/>
    <w:uiPriority w:val="99"/>
    <w:qFormat/>
    <w:rPr>
      <w:rFonts w:ascii="楷体_GB2312" w:hAnsi="宋体" w:eastAsia="楷体_GB2312"/>
      <w:sz w:val="28"/>
      <w:szCs w:val="28"/>
    </w:rPr>
  </w:style>
  <w:style w:type="character" w:styleId="1063" w:customStyle="1">
    <w:name w:val="标题 1 Char"/>
    <w:link w:val="829"/>
    <w:uiPriority w:val="0"/>
    <w:qFormat/>
    <w:rPr>
      <w:b/>
      <w:bCs/>
      <w:sz w:val="21"/>
      <w:szCs w:val="44"/>
    </w:rPr>
  </w:style>
  <w:style w:type="character" w:styleId="1064" w:customStyle="1">
    <w:name w:val="标题 6 Char"/>
    <w:link w:val="834"/>
    <w:uiPriority w:val="0"/>
    <w:qFormat/>
    <w:rPr>
      <w:rFonts w:ascii="等线 Light" w:hAnsi="等线 Light" w:eastAsia="等线 Light" w:cs="Times New Roman"/>
      <w:b/>
      <w:bCs/>
      <w:sz w:val="24"/>
      <w:szCs w:val="24"/>
    </w:rPr>
  </w:style>
  <w:style w:type="character" w:styleId="1065" w:customStyle="1">
    <w:name w:val="标题 8 Char"/>
    <w:link w:val="836"/>
    <w:uiPriority w:val="0"/>
    <w:semiHidden/>
    <w:qFormat/>
    <w:rPr>
      <w:rFonts w:ascii="等线 Light" w:hAnsi="等线 Light" w:eastAsia="等线 Light" w:cs="Times New Roman"/>
      <w:sz w:val="24"/>
      <w:szCs w:val="24"/>
    </w:rPr>
  </w:style>
  <w:style w:type="paragraph" w:styleId="1066" w:customStyle="1">
    <w:name w:val="目录 71"/>
    <w:basedOn w:val="828"/>
    <w:next w:val="828"/>
    <w:uiPriority w:val="39"/>
    <w:unhideWhenUsed/>
    <w:qFormat/>
    <w:pPr>
      <w:ind w:left="2520"/>
    </w:pPr>
    <w:rPr>
      <w:rFonts w:ascii="等线" w:hAnsi="等线" w:eastAsia="等线"/>
      <w:szCs w:val="22"/>
    </w:rPr>
  </w:style>
  <w:style w:type="character" w:styleId="1067" w:customStyle="1">
    <w:name w:val="正文缩进 Char"/>
    <w:link w:val="842"/>
    <w:uiPriority w:val="0"/>
    <w:qFormat/>
    <w:rPr>
      <w:sz w:val="21"/>
    </w:rPr>
  </w:style>
  <w:style w:type="character" w:styleId="1068" w:customStyle="1">
    <w:name w:val="文档结构图 Char"/>
    <w:link w:val="844"/>
    <w:uiPriority w:val="0"/>
    <w:qFormat/>
    <w:rPr>
      <w:sz w:val="21"/>
      <w:szCs w:val="24"/>
      <w:shd w:val="clear" w:color="auto" w:fill="000080"/>
    </w:rPr>
  </w:style>
  <w:style w:type="character" w:styleId="1069" w:customStyle="1">
    <w:name w:val="批注文字 Char"/>
    <w:link w:val="845"/>
    <w:uiPriority w:val="0"/>
    <w:qFormat/>
    <w:rPr>
      <w:sz w:val="21"/>
      <w:szCs w:val="24"/>
    </w:rPr>
  </w:style>
  <w:style w:type="character" w:styleId="1070" w:customStyle="1">
    <w:name w:val="正文文本 Char"/>
    <w:link w:val="846"/>
    <w:uiPriority w:val="1"/>
    <w:qFormat/>
    <w:rPr>
      <w:sz w:val="21"/>
      <w:szCs w:val="24"/>
    </w:rPr>
  </w:style>
  <w:style w:type="paragraph" w:styleId="1071" w:customStyle="1">
    <w:name w:val="目录 51"/>
    <w:basedOn w:val="828"/>
    <w:next w:val="828"/>
    <w:uiPriority w:val="39"/>
    <w:unhideWhenUsed/>
    <w:qFormat/>
    <w:pPr>
      <w:ind w:left="1680"/>
    </w:pPr>
    <w:rPr>
      <w:rFonts w:ascii="等线" w:hAnsi="等线" w:eastAsia="等线"/>
      <w:szCs w:val="22"/>
    </w:rPr>
  </w:style>
  <w:style w:type="paragraph" w:styleId="1072" w:customStyle="1">
    <w:name w:val="目录 31"/>
    <w:basedOn w:val="828"/>
    <w:next w:val="828"/>
    <w:uiPriority w:val="39"/>
    <w:unhideWhenUsed/>
    <w:qFormat/>
    <w:pPr>
      <w:ind w:left="440"/>
      <w:jc w:val="left"/>
      <w:spacing w:after="100" w:line="259" w:lineRule="auto"/>
      <w:widowControl/>
    </w:pPr>
    <w:rPr>
      <w:rFonts w:ascii="等线" w:hAnsi="等线" w:eastAsia="等线"/>
      <w:sz w:val="22"/>
      <w:szCs w:val="22"/>
    </w:rPr>
  </w:style>
  <w:style w:type="character" w:styleId="1073" w:customStyle="1">
    <w:name w:val="纯文本 Char1"/>
    <w:link w:val="851"/>
    <w:uiPriority w:val="0"/>
    <w:qFormat/>
    <w:rPr>
      <w:rFonts w:ascii="宋体" w:hAnsi="Courier New" w:cs="Courier New"/>
      <w:sz w:val="21"/>
      <w:szCs w:val="21"/>
    </w:rPr>
  </w:style>
  <w:style w:type="paragraph" w:styleId="1074" w:customStyle="1">
    <w:name w:val="目录 81"/>
    <w:basedOn w:val="828"/>
    <w:next w:val="828"/>
    <w:uiPriority w:val="39"/>
    <w:unhideWhenUsed/>
    <w:qFormat/>
    <w:pPr>
      <w:ind w:left="2940"/>
    </w:pPr>
    <w:rPr>
      <w:rFonts w:ascii="等线" w:hAnsi="等线" w:eastAsia="等线"/>
      <w:szCs w:val="22"/>
    </w:rPr>
  </w:style>
  <w:style w:type="character" w:styleId="1075" w:customStyle="1">
    <w:name w:val="日期 Char"/>
    <w:link w:val="853"/>
    <w:uiPriority w:val="0"/>
    <w:qFormat/>
    <w:rPr>
      <w:sz w:val="24"/>
    </w:rPr>
  </w:style>
  <w:style w:type="character" w:styleId="1076" w:customStyle="1">
    <w:name w:val="批注框文本 Char"/>
    <w:link w:val="855"/>
    <w:uiPriority w:val="0"/>
    <w:qFormat/>
    <w:rPr>
      <w:sz w:val="18"/>
      <w:szCs w:val="18"/>
    </w:rPr>
  </w:style>
  <w:style w:type="character" w:styleId="1077" w:customStyle="1">
    <w:name w:val="页脚 Char1"/>
    <w:link w:val="856"/>
    <w:uiPriority w:val="99"/>
    <w:qFormat/>
    <w:rPr>
      <w:sz w:val="18"/>
      <w:szCs w:val="18"/>
    </w:rPr>
  </w:style>
  <w:style w:type="character" w:styleId="1078" w:customStyle="1">
    <w:name w:val="页眉 Char"/>
    <w:link w:val="858"/>
    <w:uiPriority w:val="99"/>
    <w:qFormat/>
    <w:rPr>
      <w:sz w:val="18"/>
      <w:szCs w:val="18"/>
    </w:rPr>
  </w:style>
  <w:style w:type="paragraph" w:styleId="1079" w:customStyle="1">
    <w:name w:val="目录 11"/>
    <w:basedOn w:val="828"/>
    <w:next w:val="828"/>
    <w:uiPriority w:val="39"/>
    <w:qFormat/>
    <w:rPr>
      <w:rFonts w:ascii="仿宋_GB2312" w:eastAsia="仿宋_GB2312"/>
      <w:sz w:val="24"/>
    </w:rPr>
  </w:style>
  <w:style w:type="paragraph" w:styleId="1080" w:customStyle="1">
    <w:name w:val="目录 41"/>
    <w:basedOn w:val="828"/>
    <w:next w:val="828"/>
    <w:uiPriority w:val="39"/>
    <w:unhideWhenUsed/>
    <w:qFormat/>
    <w:pPr>
      <w:ind w:left="1260"/>
    </w:pPr>
    <w:rPr>
      <w:rFonts w:ascii="等线" w:hAnsi="等线" w:eastAsia="等线"/>
      <w:szCs w:val="22"/>
    </w:rPr>
  </w:style>
  <w:style w:type="paragraph" w:styleId="1081" w:customStyle="1">
    <w:name w:val="目录 61"/>
    <w:basedOn w:val="828"/>
    <w:next w:val="828"/>
    <w:uiPriority w:val="39"/>
    <w:unhideWhenUsed/>
    <w:qFormat/>
    <w:pPr>
      <w:ind w:left="2100"/>
    </w:pPr>
    <w:rPr>
      <w:rFonts w:ascii="等线" w:hAnsi="等线" w:eastAsia="等线"/>
      <w:szCs w:val="22"/>
    </w:rPr>
  </w:style>
  <w:style w:type="paragraph" w:styleId="1082" w:customStyle="1">
    <w:name w:val="目录 21"/>
    <w:basedOn w:val="828"/>
    <w:next w:val="828"/>
    <w:uiPriority w:val="39"/>
    <w:unhideWhenUsed/>
    <w:qFormat/>
    <w:pPr>
      <w:ind w:left="220"/>
      <w:jc w:val="left"/>
      <w:spacing w:after="100" w:line="259" w:lineRule="auto"/>
      <w:widowControl/>
    </w:pPr>
    <w:rPr>
      <w:rFonts w:ascii="等线" w:hAnsi="等线" w:eastAsia="等线"/>
      <w:sz w:val="22"/>
      <w:szCs w:val="22"/>
    </w:rPr>
  </w:style>
  <w:style w:type="paragraph" w:styleId="1083" w:customStyle="1">
    <w:name w:val="目录 91"/>
    <w:basedOn w:val="828"/>
    <w:next w:val="828"/>
    <w:uiPriority w:val="39"/>
    <w:unhideWhenUsed/>
    <w:qFormat/>
    <w:pPr>
      <w:ind w:left="3360"/>
    </w:pPr>
    <w:rPr>
      <w:rFonts w:ascii="等线" w:hAnsi="等线" w:eastAsia="等线"/>
      <w:szCs w:val="22"/>
    </w:rPr>
  </w:style>
  <w:style w:type="character" w:styleId="1084" w:customStyle="1">
    <w:name w:val="正文文本 2 Char"/>
    <w:link w:val="867"/>
    <w:uiPriority w:val="0"/>
    <w:qFormat/>
    <w:rPr>
      <w:rFonts w:ascii="Calibri" w:hAnsi="Calibri"/>
      <w:sz w:val="21"/>
      <w:szCs w:val="24"/>
    </w:rPr>
  </w:style>
  <w:style w:type="character" w:styleId="1085" w:customStyle="1">
    <w:name w:val="标题 Char"/>
    <w:link w:val="869"/>
    <w:uiPriority w:val="0"/>
    <w:qFormat/>
    <w:rPr>
      <w:rFonts w:ascii="等线 Light" w:hAnsi="等线 Light" w:eastAsia="宋体" w:cs="Times New Roman"/>
      <w:b/>
      <w:bCs/>
      <w:sz w:val="32"/>
      <w:szCs w:val="32"/>
    </w:rPr>
  </w:style>
  <w:style w:type="character" w:styleId="1086" w:customStyle="1">
    <w:name w:val="批注主题 Char"/>
    <w:link w:val="870"/>
    <w:uiPriority w:val="0"/>
    <w:qFormat/>
    <w:rPr>
      <w:b/>
      <w:bCs/>
      <w:sz w:val="21"/>
      <w:szCs w:val="24"/>
    </w:rPr>
  </w:style>
  <w:style w:type="character" w:styleId="1087" w:customStyle="1">
    <w:name w:val="p0 Char"/>
    <w:link w:val="1088"/>
    <w:uiPriority w:val="0"/>
    <w:qFormat/>
    <w:rPr>
      <w:rFonts w:eastAsia="宋体"/>
      <w:sz w:val="21"/>
      <w:szCs w:val="21"/>
      <w:lang w:val="en-US" w:eastAsia="zh-CN" w:bidi="ar-SA"/>
    </w:rPr>
  </w:style>
  <w:style w:type="paragraph" w:styleId="1088" w:customStyle="1">
    <w:name w:val="p0"/>
    <w:basedOn w:val="828"/>
    <w:link w:val="1087"/>
    <w:uiPriority w:val="0"/>
    <w:qFormat/>
    <w:pPr>
      <w:widowControl/>
    </w:pPr>
    <w:rPr>
      <w:szCs w:val="21"/>
    </w:rPr>
  </w:style>
  <w:style w:type="character" w:styleId="1089" w:customStyle="1">
    <w:name w:val="标题 2 Char Char Char"/>
    <w:uiPriority w:val="0"/>
    <w:qFormat/>
    <w:rPr>
      <w:rFonts w:ascii="Arial" w:hAnsi="Arial" w:eastAsia="黑体"/>
      <w:b/>
      <w:bCs/>
      <w:sz w:val="32"/>
      <w:szCs w:val="32"/>
      <w:lang w:val="en-US" w:eastAsia="zh-CN" w:bidi="ar-SA"/>
    </w:rPr>
  </w:style>
  <w:style w:type="character" w:styleId="1090" w:customStyle="1">
    <w:name w:val="NormalCharacter"/>
    <w:uiPriority w:val="0"/>
    <w:semiHidden/>
    <w:qFormat/>
  </w:style>
  <w:style w:type="paragraph" w:styleId="1091" w:customStyle="1">
    <w:name w:val="标题 21"/>
    <w:basedOn w:val="828"/>
    <w:next w:val="828"/>
    <w:uiPriority w:val="0"/>
    <w:qFormat/>
    <w:pPr>
      <w:jc w:val="center"/>
      <w:keepNext/>
      <w:widowControl/>
    </w:pPr>
    <w:rPr>
      <w:rFonts w:ascii="楷体_GB2312" w:eastAsia="楷体_GB2312"/>
      <w:sz w:val="18"/>
      <w:szCs w:val="20"/>
    </w:rPr>
  </w:style>
  <w:style w:type="paragraph" w:styleId="1092" w:customStyle="1">
    <w:name w:val="TOC 标题11"/>
    <w:basedOn w:val="829"/>
    <w:next w:val="82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93">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94" w:customStyle="1">
    <w:name w:val="样式1"/>
    <w:basedOn w:val="829"/>
    <w:link w:val="1095"/>
    <w:uiPriority w:val="0"/>
    <w:qFormat/>
    <w:pPr>
      <w:ind w:left="210" w:right="210"/>
    </w:pPr>
  </w:style>
  <w:style w:type="character" w:styleId="1095" w:customStyle="1">
    <w:name w:val="样式1 字符"/>
    <w:link w:val="1094"/>
    <w:uiPriority w:val="0"/>
    <w:qFormat/>
  </w:style>
  <w:style w:type="paragraph" w:styleId="1096" w:customStyle="1">
    <w:name w:val="标题 211"/>
    <w:basedOn w:val="82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97" w:customStyle="1">
    <w:name w:val="列出段落1"/>
    <w:basedOn w:val="828"/>
    <w:uiPriority w:val="1"/>
    <w:qFormat/>
    <w:pPr>
      <w:ind w:left="400" w:firstLine="420"/>
      <w:jc w:val="left"/>
    </w:pPr>
    <w:rPr>
      <w:rFonts w:ascii="宋体" w:hAnsi="宋体" w:cs="宋体"/>
      <w:sz w:val="22"/>
      <w:szCs w:val="22"/>
      <w:lang w:val="zh-CN" w:bidi="zh-CN"/>
    </w:rPr>
  </w:style>
  <w:style w:type="paragraph" w:styleId="1098" w:customStyle="1">
    <w:name w:val="Table Paragraph"/>
    <w:basedOn w:val="828"/>
    <w:uiPriority w:val="1"/>
    <w:qFormat/>
    <w:pPr>
      <w:jc w:val="left"/>
    </w:pPr>
    <w:rPr>
      <w:rFonts w:ascii="宋体" w:hAnsi="宋体" w:cs="宋体"/>
      <w:sz w:val="22"/>
      <w:szCs w:val="22"/>
      <w:lang w:val="zh-CN" w:bidi="zh-CN"/>
    </w:rPr>
  </w:style>
  <w:style w:type="character" w:styleId="1099" w:customStyle="1">
    <w:name w:val="ask-title2"/>
    <w:uiPriority w:val="0"/>
    <w:qFormat/>
  </w:style>
  <w:style w:type="paragraph" w:styleId="1100" w:customStyle="1">
    <w:name w:val="列出段落2"/>
    <w:basedOn w:val="828"/>
    <w:uiPriority w:val="99"/>
    <w:unhideWhenUsed/>
    <w:qFormat/>
    <w:pPr>
      <w:ind w:firstLine="420"/>
      <w:jc w:val="left"/>
    </w:pPr>
    <w:rPr>
      <w:rFonts w:ascii="宋体"/>
      <w:sz w:val="20"/>
      <w:szCs w:val="20"/>
    </w:rPr>
  </w:style>
  <w:style w:type="paragraph" w:styleId="1101" w:customStyle="1">
    <w:name w:val="纯文本1"/>
    <w:basedOn w:val="828"/>
    <w:uiPriority w:val="0"/>
    <w:qFormat/>
    <w:rPr>
      <w:rFonts w:ascii="宋体" w:hAnsi="Courier New"/>
      <w:sz w:val="20"/>
      <w:szCs w:val="21"/>
    </w:rPr>
  </w:style>
  <w:style w:type="character" w:styleId="1102" w:customStyle="1">
    <w:name w:val="纯文本 Char2"/>
    <w:uiPriority w:val="0"/>
    <w:qFormat/>
    <w:rPr>
      <w:rFonts w:ascii="宋体" w:hAnsi="Courier New"/>
      <w:sz w:val="21"/>
    </w:rPr>
  </w:style>
  <w:style w:type="paragraph" w:styleId="1103" w:customStyle="1">
    <w:name w:val="列出段落11"/>
    <w:basedOn w:val="828"/>
    <w:uiPriority w:val="0"/>
    <w:qFormat/>
    <w:pPr>
      <w:ind w:firstLine="420"/>
      <w:spacing w:line="0" w:lineRule="atLeast"/>
    </w:pPr>
    <w:rPr>
      <w:rFonts w:eastAsia="微软雅黑"/>
      <w:sz w:val="20"/>
      <w:szCs w:val="20"/>
    </w:rPr>
  </w:style>
  <w:style w:type="character" w:styleId="1104" w:customStyle="1">
    <w:name w:val="纯文本 Char"/>
    <w:link w:val="1105"/>
    <w:uiPriority w:val="0"/>
    <w:qFormat/>
    <w:rPr>
      <w:rFonts w:ascii="宋体" w:hAnsi="Courier New"/>
    </w:rPr>
  </w:style>
  <w:style w:type="paragraph" w:styleId="1105" w:customStyle="1">
    <w:name w:val="纯文本2"/>
    <w:basedOn w:val="828"/>
    <w:link w:val="1104"/>
    <w:uiPriority w:val="0"/>
    <w:qFormat/>
    <w:pPr>
      <w:ind w:firstLine="200"/>
      <w:spacing w:line="360" w:lineRule="auto"/>
    </w:pPr>
    <w:rPr>
      <w:rFonts w:ascii="宋体" w:hAnsi="Courier New"/>
      <w:sz w:val="20"/>
      <w:szCs w:val="20"/>
    </w:rPr>
  </w:style>
  <w:style w:type="character" w:styleId="1106" w:customStyle="1">
    <w:name w:val="页脚 Char"/>
    <w:uiPriority w:val="0"/>
    <w:qFormat/>
    <w:rPr>
      <w:sz w:val="18"/>
      <w:szCs w:val="18"/>
    </w:rPr>
  </w:style>
  <w:style w:type="paragraph" w:styleId="1107" w:customStyle="1">
    <w:name w:val="_Style 83"/>
    <w:basedOn w:val="828"/>
    <w:next w:val="1097"/>
    <w:uiPriority w:val="99"/>
    <w:qFormat/>
    <w:pPr>
      <w:ind w:firstLine="420"/>
    </w:pPr>
  </w:style>
  <w:style w:type="character" w:styleId="1108">
    <w:name w:val="Placeholder Text"/>
    <w:basedOn w:val="838"/>
    <w:uiPriority w:val="99"/>
    <w:unhideWhenUsed/>
    <w:qFormat/>
    <w:rPr>
      <w:color w:val="808080"/>
    </w:rPr>
  </w:style>
  <w:style w:type="paragraph" w:styleId="1109" w:customStyle="1">
    <w:name w:val="pf0"/>
    <w:basedOn w:val="828"/>
    <w:uiPriority w:val="0"/>
    <w:qFormat/>
    <w:pPr>
      <w:jc w:val="left"/>
      <w:spacing w:before="100" w:beforeAutospacing="1" w:after="100" w:afterAutospacing="1"/>
      <w:widowControl/>
    </w:pPr>
    <w:rPr>
      <w:rFonts w:ascii="宋体" w:hAnsi="宋体" w:cs="宋体"/>
      <w:sz w:val="24"/>
    </w:rPr>
  </w:style>
  <w:style w:type="character" w:styleId="1110" w:customStyle="1">
    <w:name w:val="cf01"/>
    <w:basedOn w:val="838"/>
    <w:uiPriority w:val="0"/>
    <w:qFormat/>
    <w:rPr>
      <w:rFonts w:hint="eastAsia" w:ascii="Microsoft YaHei UI" w:hAnsi="Microsoft YaHei UI" w:eastAsia="Microsoft YaHei UI"/>
      <w:sz w:val="18"/>
      <w:szCs w:val="18"/>
    </w:rPr>
  </w:style>
  <w:style w:type="character" w:styleId="1111" w:customStyle="1">
    <w:name w:val="cf11"/>
    <w:basedOn w:val="838"/>
    <w:uiPriority w:val="0"/>
    <w:qFormat/>
    <w:rPr>
      <w:rFonts w:hint="eastAsia" w:ascii="Microsoft YaHei UI" w:hAnsi="Microsoft YaHei UI" w:eastAsia="Microsoft YaHei UI"/>
      <w:sz w:val="18"/>
      <w:szCs w:val="18"/>
    </w:rPr>
  </w:style>
  <w:style w:type="paragraph" w:styleId="1112">
    <w:name w:val="List Paragraph"/>
    <w:basedOn w:val="828"/>
    <w:uiPriority w:val="1"/>
    <w:qFormat/>
    <w:pPr>
      <w:ind w:firstLine="420"/>
    </w:pPr>
  </w:style>
  <w:style w:type="paragraph" w:styleId="1113" w:customStyle="1">
    <w:name w:val="标题1，章节第一层"/>
    <w:basedOn w:val="828"/>
    <w:next w:val="828"/>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14" w:customStyle="1">
    <w:name w:val="标准文本"/>
    <w:basedOn w:val="828"/>
    <w:uiPriority w:val="0"/>
    <w:qFormat/>
    <w:pPr>
      <w:ind w:firstLine="480"/>
      <w:spacing w:line="360" w:lineRule="auto"/>
    </w:pPr>
    <w:rPr>
      <w:rFonts w:ascii="Calibri" w:hAnsi="Calibri" w:eastAsia="Calibri" w:cs="宋体"/>
      <w:sz w:val="24"/>
      <w:lang w:val="zh-CN"/>
    </w:rPr>
  </w:style>
  <w:style w:type="character" w:styleId="1115" w:customStyle="1">
    <w:name w:val="标准文本 Char Char"/>
    <w:uiPriority w:val="0"/>
    <w:qFormat/>
    <w:rPr>
      <w:rFonts w:eastAsia="宋体" w:cs="宋体"/>
      <w:sz w:val="24"/>
      <w:szCs w:val="24"/>
      <w:lang w:val="en-US" w:eastAsia="zh-CN" w:bidi="ar-SA"/>
    </w:rPr>
  </w:style>
  <w:style w:type="character" w:styleId="1116" w:customStyle="1">
    <w:name w:val="标准小四 Char Char"/>
    <w:uiPriority w:val="0"/>
    <w:qFormat/>
    <w:rPr>
      <w:rFonts w:ascii="Arial" w:hAnsi="Arial" w:eastAsia="宋体"/>
      <w:sz w:val="24"/>
      <w:szCs w:val="21"/>
      <w:lang w:val="en-US" w:eastAsia="zh-CN" w:bidi="ar-SA"/>
    </w:rPr>
  </w:style>
  <w:style w:type="character" w:styleId="1117" w:customStyle="1">
    <w:name w:val="标准文本 Char"/>
    <w:uiPriority w:val="0"/>
    <w:qFormat/>
    <w:rPr>
      <w:rFonts w:eastAsia="宋体" w:cs="宋体"/>
      <w:sz w:val="24"/>
      <w:szCs w:val="24"/>
      <w:lang w:val="en-US" w:eastAsia="zh-CN" w:bidi="ar-SA"/>
    </w:rPr>
  </w:style>
  <w:style w:type="character" w:styleId="1118" w:customStyle="1">
    <w:name w:val="未处理的提及1"/>
    <w:basedOn w:val="838"/>
    <w:uiPriority w:val="99"/>
    <w:semiHidden/>
    <w:unhideWhenUsed/>
    <w:qFormat/>
    <w:rPr>
      <w:color w:val="605e5c"/>
      <w:shd w:val="clear" w:color="auto" w:fill="e1dfdd"/>
    </w:rPr>
  </w:style>
  <w:style w:type="paragraph" w:styleId="1119" w:customStyle="1">
    <w:name w:val="列出段落3"/>
    <w:basedOn w:val="828"/>
    <w:uiPriority w:val="99"/>
    <w:qFormat/>
    <w:pPr>
      <w:ind w:firstLine="420"/>
    </w:pPr>
  </w:style>
  <w:style w:type="paragraph" w:styleId="1120"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121"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122" w:customStyle="1">
    <w:name w:val="font41"/>
    <w:basedOn w:val="838"/>
    <w:uiPriority w:val="0"/>
    <w:qFormat/>
    <w:rPr>
      <w:rFonts w:hint="default" w:ascii="方正仿宋_GBK" w:hAnsi="方正仿宋_GBK" w:eastAsia="方正仿宋_GBK" w:cs="方正仿宋_GBK"/>
      <w:b/>
      <w:bCs/>
      <w:color w:val="000000"/>
      <w:sz w:val="22"/>
      <w:szCs w:val="22"/>
      <w:u w:val="none"/>
    </w:rPr>
  </w:style>
  <w:style w:type="character" w:styleId="1123" w:customStyle="1">
    <w:name w:val="font31"/>
    <w:basedOn w:val="838"/>
    <w:uiPriority w:val="0"/>
    <w:qFormat/>
    <w:rPr>
      <w:rFonts w:hint="default" w:ascii="方正仿宋_GBK" w:hAnsi="方正仿宋_GBK" w:eastAsia="方正仿宋_GBK" w:cs="方正仿宋_GBK"/>
      <w:color w:val="000000"/>
      <w:sz w:val="22"/>
      <w:szCs w:val="22"/>
      <w:u w:val="none"/>
    </w:rPr>
  </w:style>
  <w:style w:type="character" w:styleId="1124" w:customStyle="1">
    <w:name w:val="不明显参考1"/>
    <w:uiPriority w:val="31"/>
    <w:qFormat/>
    <w:rPr>
      <w:smallCaps/>
    </w:rPr>
  </w:style>
  <w:style w:type="paragraph" w:styleId="1125"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126" w:customStyle="1">
    <w:name w:val="默认段落字体11"/>
    <w:uiPriority w:val="1"/>
    <w:unhideWhenUsed/>
    <w:qFormat/>
  </w:style>
  <w:style w:type="paragraph" w:styleId="1127"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28"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29"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30"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131" w:customStyle="1">
    <w:name w:val="列表段落1"/>
    <w:basedOn w:val="828"/>
    <w:uiPriority w:val="99"/>
    <w:qFormat/>
    <w:pPr>
      <w:ind w:firstLine="420"/>
    </w:pPr>
  </w:style>
  <w:style w:type="character" w:styleId="1132" w:customStyle="1">
    <w:name w:val="font21"/>
    <w:basedOn w:val="838"/>
    <w:uiPriority w:val="0"/>
    <w:qFormat/>
    <w:rPr>
      <w:rFonts w:hint="eastAsia" w:ascii="等线" w:hAnsi="等线" w:eastAsia="等线" w:cs="等线"/>
      <w:color w:val="000000"/>
      <w:sz w:val="21"/>
      <w:szCs w:val="21"/>
      <w:u w:val="none"/>
    </w:rPr>
  </w:style>
  <w:style w:type="character" w:styleId="1133" w:customStyle="1">
    <w:name w:val="font11"/>
    <w:basedOn w:val="838"/>
    <w:uiPriority w:val="0"/>
    <w:qFormat/>
    <w:rPr>
      <w:rFonts w:hint="eastAsia" w:ascii="宋体" w:hAnsi="宋体" w:eastAsia="宋体" w:cs="宋体"/>
      <w:color w:val="000000"/>
      <w:sz w:val="21"/>
      <w:szCs w:val="21"/>
      <w:u w:val="none"/>
    </w:rPr>
  </w:style>
  <w:style w:type="paragraph" w:styleId="1134" w:customStyle="1">
    <w:name w:val="null3"/>
    <w:hidden/>
    <w:uiPriority w:val="0"/>
    <w:qFormat/>
    <w:rPr>
      <w:rFonts w:hint="eastAsia" w:asciiTheme="minorHAnsi" w:hAnsiTheme="minorHAnsi" w:eastAsiaTheme="minorEastAsia" w:cstheme="minorBidi"/>
      <w:lang w:val="en-US" w:eastAsia="zh-CN" w:bidi="ar-SA"/>
    </w:rPr>
  </w:style>
  <w:style w:type="character" w:styleId="1135" w:customStyle="1">
    <w:name w:val="font51"/>
    <w:basedOn w:val="838"/>
    <w:uiPriority w:val="0"/>
    <w:qFormat/>
    <w:rPr>
      <w:rFonts w:hint="eastAsia" w:ascii="宋体" w:hAnsi="宋体" w:eastAsia="宋体" w:cs="宋体"/>
      <w:color w:val="000000"/>
      <w:sz w:val="21"/>
      <w:szCs w:val="21"/>
      <w:u w:val="none"/>
    </w:rPr>
  </w:style>
  <w:style w:type="character" w:styleId="1136" w:customStyle="1">
    <w:name w:val="font61"/>
    <w:basedOn w:val="838"/>
    <w:uiPriority w:val="0"/>
    <w:qFormat/>
    <w:rPr>
      <w:rFonts w:hint="default" w:ascii="Times New Roman" w:hAnsi="Times New Roman" w:cs="Times New Roman"/>
      <w:color w:val="000000"/>
      <w:sz w:val="21"/>
      <w:szCs w:val="21"/>
      <w:u w:val="none"/>
    </w:rPr>
  </w:style>
  <w:style w:type="paragraph" w:styleId="1137" w:customStyle="1">
    <w:name w:val="修订2"/>
    <w:hidden/>
    <w:uiPriority w:val="99"/>
    <w:semiHidden/>
    <w:qFormat/>
    <w:rPr>
      <w:rFonts w:hint="default" w:ascii="Times New Roman" w:hAnsi="Times New Roman" w:eastAsia="宋体" w:cs="Times New Roman"/>
      <w:sz w:val="21"/>
      <w:szCs w:val="24"/>
      <w:lang w:val="en-US" w:eastAsia="zh-CN" w:bidi="ar-SA"/>
    </w:rPr>
  </w:style>
  <w:style w:type="paragraph" w:styleId="1138" w:customStyle="1">
    <w:name w:val="标题一级"/>
    <w:basedOn w:val="828"/>
    <w:uiPriority w:val="0"/>
    <w:qFormat/>
    <w:pPr>
      <w:ind w:left="422"/>
    </w:pPr>
    <w:rPr>
      <w:rFonts w:ascii="宋体" w:hAnsi="宋体"/>
      <w:b/>
      <w:szCs w:val="21"/>
    </w:rPr>
  </w:style>
  <w:style w:type="numbering" w:styleId="1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97867fe7-5d61-4f1b-9909-88ba0846745a}"/>
        <w:description w:val=""/>
        <w:category>
          <w:name w:val="常规"/>
          <w:gallery w:val="placeholder"/>
        </w:category>
        <w:types>
          <w:type w:val="bbPlcHdr"/>
        </w:types>
        <w:behaviors>
          <w:behavior w:val="content"/>
        </w:behaviors>
        <w:guid w:val="{97867fe7-5d61-4f1b-9909-88ba0846745a}"/>
      </w:docPartPr>
      <w:docPartBody>
        <w:p>
          <w:pPr>
            <w:pStyle w:val="1767"/>
            <w:rPr>
              <w:rFonts w:hint="eastAsia"/>
            </w:rPr>
          </w:pPr>
          <w:r>
            <w:rPr>
              <w:rStyle w:val="1768"/>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88">
    <w:name w:val="Heading 1"/>
    <w:link w:val="1589"/>
    <w:uiPriority w:val="9"/>
    <w:qFormat/>
    <w:pPr>
      <w:keepLines/>
      <w:keepNext/>
      <w:spacing w:before="480" w:after="200"/>
      <w:outlineLvl w:val="0"/>
    </w:pPr>
    <w:rPr>
      <w:rFonts w:ascii="Arial" w:hAnsi="Arial" w:eastAsia="Arial" w:cs="Arial"/>
      <w:sz w:val="40"/>
      <w:szCs w:val="40"/>
    </w:rPr>
  </w:style>
  <w:style w:type="character" w:styleId="1589">
    <w:name w:val="Heading 1 Char"/>
    <w:basedOn w:val="1766"/>
    <w:link w:val="1588"/>
    <w:uiPriority w:val="9"/>
    <w:rPr>
      <w:rFonts w:ascii="Arial" w:hAnsi="Arial" w:eastAsia="Arial" w:cs="Arial"/>
      <w:sz w:val="40"/>
      <w:szCs w:val="40"/>
    </w:rPr>
  </w:style>
  <w:style w:type="paragraph" w:styleId="1590">
    <w:name w:val="Heading 2"/>
    <w:link w:val="1591"/>
    <w:uiPriority w:val="9"/>
    <w:unhideWhenUsed/>
    <w:qFormat/>
    <w:pPr>
      <w:keepLines/>
      <w:keepNext/>
      <w:spacing w:before="360" w:after="200"/>
      <w:outlineLvl w:val="1"/>
    </w:pPr>
    <w:rPr>
      <w:rFonts w:ascii="Arial" w:hAnsi="Arial" w:eastAsia="Arial" w:cs="Arial"/>
      <w:sz w:val="34"/>
    </w:rPr>
  </w:style>
  <w:style w:type="character" w:styleId="1591">
    <w:name w:val="Heading 2 Char"/>
    <w:basedOn w:val="1766"/>
    <w:link w:val="1590"/>
    <w:uiPriority w:val="9"/>
    <w:rPr>
      <w:rFonts w:ascii="Arial" w:hAnsi="Arial" w:eastAsia="Arial" w:cs="Arial"/>
      <w:sz w:val="34"/>
    </w:rPr>
  </w:style>
  <w:style w:type="paragraph" w:styleId="1592">
    <w:name w:val="Heading 3"/>
    <w:link w:val="1593"/>
    <w:uiPriority w:val="9"/>
    <w:unhideWhenUsed/>
    <w:qFormat/>
    <w:pPr>
      <w:keepLines/>
      <w:keepNext/>
      <w:spacing w:before="320" w:after="200"/>
      <w:outlineLvl w:val="2"/>
    </w:pPr>
    <w:rPr>
      <w:rFonts w:ascii="Arial" w:hAnsi="Arial" w:eastAsia="Arial" w:cs="Arial"/>
      <w:sz w:val="30"/>
      <w:szCs w:val="30"/>
    </w:rPr>
  </w:style>
  <w:style w:type="character" w:styleId="1593">
    <w:name w:val="Heading 3 Char"/>
    <w:basedOn w:val="1766"/>
    <w:link w:val="1592"/>
    <w:uiPriority w:val="9"/>
    <w:rPr>
      <w:rFonts w:ascii="Arial" w:hAnsi="Arial" w:eastAsia="Arial" w:cs="Arial"/>
      <w:sz w:val="30"/>
      <w:szCs w:val="30"/>
    </w:rPr>
  </w:style>
  <w:style w:type="paragraph" w:styleId="1594">
    <w:name w:val="Heading 4"/>
    <w:link w:val="1595"/>
    <w:uiPriority w:val="9"/>
    <w:unhideWhenUsed/>
    <w:qFormat/>
    <w:pPr>
      <w:keepLines/>
      <w:keepNext/>
      <w:spacing w:before="320" w:after="200"/>
      <w:outlineLvl w:val="3"/>
    </w:pPr>
    <w:rPr>
      <w:rFonts w:ascii="Arial" w:hAnsi="Arial" w:eastAsia="Arial" w:cs="Arial"/>
      <w:b/>
      <w:bCs/>
      <w:sz w:val="26"/>
      <w:szCs w:val="26"/>
    </w:rPr>
  </w:style>
  <w:style w:type="character" w:styleId="1595">
    <w:name w:val="Heading 4 Char"/>
    <w:basedOn w:val="1766"/>
    <w:link w:val="1594"/>
    <w:uiPriority w:val="9"/>
    <w:rPr>
      <w:rFonts w:ascii="Arial" w:hAnsi="Arial" w:eastAsia="Arial" w:cs="Arial"/>
      <w:b/>
      <w:bCs/>
      <w:sz w:val="26"/>
      <w:szCs w:val="26"/>
    </w:rPr>
  </w:style>
  <w:style w:type="paragraph" w:styleId="1596">
    <w:name w:val="Heading 5"/>
    <w:link w:val="1597"/>
    <w:uiPriority w:val="9"/>
    <w:unhideWhenUsed/>
    <w:qFormat/>
    <w:pPr>
      <w:keepLines/>
      <w:keepNext/>
      <w:spacing w:before="320" w:after="200"/>
      <w:outlineLvl w:val="4"/>
    </w:pPr>
    <w:rPr>
      <w:rFonts w:ascii="Arial" w:hAnsi="Arial" w:eastAsia="Arial" w:cs="Arial"/>
      <w:b/>
      <w:bCs/>
      <w:sz w:val="24"/>
      <w:szCs w:val="24"/>
    </w:rPr>
  </w:style>
  <w:style w:type="character" w:styleId="1597">
    <w:name w:val="Heading 5 Char"/>
    <w:basedOn w:val="1766"/>
    <w:link w:val="1596"/>
    <w:uiPriority w:val="9"/>
    <w:rPr>
      <w:rFonts w:ascii="Arial" w:hAnsi="Arial" w:eastAsia="Arial" w:cs="Arial"/>
      <w:b/>
      <w:bCs/>
      <w:sz w:val="24"/>
      <w:szCs w:val="24"/>
    </w:rPr>
  </w:style>
  <w:style w:type="paragraph" w:styleId="1598">
    <w:name w:val="Heading 6"/>
    <w:link w:val="1599"/>
    <w:uiPriority w:val="9"/>
    <w:unhideWhenUsed/>
    <w:qFormat/>
    <w:pPr>
      <w:keepLines/>
      <w:keepNext/>
      <w:spacing w:before="320" w:after="200"/>
      <w:outlineLvl w:val="5"/>
    </w:pPr>
    <w:rPr>
      <w:rFonts w:ascii="Arial" w:hAnsi="Arial" w:eastAsia="Arial" w:cs="Arial"/>
      <w:b/>
      <w:bCs/>
      <w:sz w:val="22"/>
      <w:szCs w:val="22"/>
    </w:rPr>
  </w:style>
  <w:style w:type="character" w:styleId="1599">
    <w:name w:val="Heading 6 Char"/>
    <w:basedOn w:val="1766"/>
    <w:link w:val="1598"/>
    <w:uiPriority w:val="9"/>
    <w:rPr>
      <w:rFonts w:ascii="Arial" w:hAnsi="Arial" w:eastAsia="Arial" w:cs="Arial"/>
      <w:b/>
      <w:bCs/>
      <w:sz w:val="22"/>
      <w:szCs w:val="22"/>
    </w:rPr>
  </w:style>
  <w:style w:type="paragraph" w:styleId="1600">
    <w:name w:val="Heading 7"/>
    <w:link w:val="1601"/>
    <w:uiPriority w:val="9"/>
    <w:unhideWhenUsed/>
    <w:qFormat/>
    <w:pPr>
      <w:keepLines/>
      <w:keepNext/>
      <w:spacing w:before="320" w:after="200"/>
      <w:outlineLvl w:val="6"/>
    </w:pPr>
    <w:rPr>
      <w:rFonts w:ascii="Arial" w:hAnsi="Arial" w:eastAsia="Arial" w:cs="Arial"/>
      <w:b/>
      <w:bCs/>
      <w:i/>
      <w:iCs/>
      <w:sz w:val="22"/>
      <w:szCs w:val="22"/>
    </w:rPr>
  </w:style>
  <w:style w:type="character" w:styleId="1601">
    <w:name w:val="Heading 7 Char"/>
    <w:basedOn w:val="1766"/>
    <w:link w:val="1600"/>
    <w:uiPriority w:val="9"/>
    <w:rPr>
      <w:rFonts w:ascii="Arial" w:hAnsi="Arial" w:eastAsia="Arial" w:cs="Arial"/>
      <w:b/>
      <w:bCs/>
      <w:i/>
      <w:iCs/>
      <w:sz w:val="22"/>
      <w:szCs w:val="22"/>
    </w:rPr>
  </w:style>
  <w:style w:type="paragraph" w:styleId="1602">
    <w:name w:val="Heading 8"/>
    <w:link w:val="1603"/>
    <w:uiPriority w:val="9"/>
    <w:unhideWhenUsed/>
    <w:qFormat/>
    <w:pPr>
      <w:keepLines/>
      <w:keepNext/>
      <w:spacing w:before="320" w:after="200"/>
      <w:outlineLvl w:val="7"/>
    </w:pPr>
    <w:rPr>
      <w:rFonts w:ascii="Arial" w:hAnsi="Arial" w:eastAsia="Arial" w:cs="Arial"/>
      <w:i/>
      <w:iCs/>
      <w:sz w:val="22"/>
      <w:szCs w:val="22"/>
    </w:rPr>
  </w:style>
  <w:style w:type="character" w:styleId="1603">
    <w:name w:val="Heading 8 Char"/>
    <w:basedOn w:val="1766"/>
    <w:link w:val="1602"/>
    <w:uiPriority w:val="9"/>
    <w:rPr>
      <w:rFonts w:ascii="Arial" w:hAnsi="Arial" w:eastAsia="Arial" w:cs="Arial"/>
      <w:i/>
      <w:iCs/>
      <w:sz w:val="22"/>
      <w:szCs w:val="22"/>
    </w:rPr>
  </w:style>
  <w:style w:type="paragraph" w:styleId="1604">
    <w:name w:val="Heading 9"/>
    <w:link w:val="1605"/>
    <w:uiPriority w:val="9"/>
    <w:unhideWhenUsed/>
    <w:qFormat/>
    <w:pPr>
      <w:keepLines/>
      <w:keepNext/>
      <w:spacing w:before="320" w:after="200"/>
      <w:outlineLvl w:val="8"/>
    </w:pPr>
    <w:rPr>
      <w:rFonts w:ascii="Arial" w:hAnsi="Arial" w:eastAsia="Arial" w:cs="Arial"/>
      <w:i/>
      <w:iCs/>
      <w:sz w:val="21"/>
      <w:szCs w:val="21"/>
    </w:rPr>
  </w:style>
  <w:style w:type="character" w:styleId="1605">
    <w:name w:val="Heading 9 Char"/>
    <w:basedOn w:val="1766"/>
    <w:link w:val="1604"/>
    <w:uiPriority w:val="9"/>
    <w:rPr>
      <w:rFonts w:ascii="Arial" w:hAnsi="Arial" w:eastAsia="Arial" w:cs="Arial"/>
      <w:i/>
      <w:iCs/>
      <w:sz w:val="21"/>
      <w:szCs w:val="21"/>
    </w:rPr>
  </w:style>
  <w:style w:type="paragraph" w:styleId="1606">
    <w:name w:val="List Paragraph"/>
    <w:uiPriority w:val="34"/>
    <w:qFormat/>
    <w:pPr>
      <w:contextualSpacing/>
      <w:ind w:left="720"/>
    </w:pPr>
  </w:style>
  <w:style w:type="paragraph" w:styleId="1607">
    <w:name w:val="No Spacing"/>
    <w:uiPriority w:val="1"/>
    <w:qFormat/>
    <w:pPr>
      <w:spacing w:before="0" w:after="0" w:line="240" w:lineRule="auto"/>
    </w:pPr>
  </w:style>
  <w:style w:type="paragraph" w:styleId="1608">
    <w:name w:val="Title"/>
    <w:link w:val="1609"/>
    <w:uiPriority w:val="10"/>
    <w:qFormat/>
    <w:pPr>
      <w:contextualSpacing/>
      <w:spacing w:before="300" w:after="200"/>
    </w:pPr>
    <w:rPr>
      <w:sz w:val="48"/>
      <w:szCs w:val="48"/>
    </w:rPr>
  </w:style>
  <w:style w:type="character" w:styleId="1609">
    <w:name w:val="Title Char"/>
    <w:basedOn w:val="1766"/>
    <w:link w:val="1608"/>
    <w:uiPriority w:val="10"/>
    <w:rPr>
      <w:sz w:val="48"/>
      <w:szCs w:val="48"/>
    </w:rPr>
  </w:style>
  <w:style w:type="paragraph" w:styleId="1610">
    <w:name w:val="Subtitle"/>
    <w:link w:val="1611"/>
    <w:uiPriority w:val="11"/>
    <w:qFormat/>
    <w:pPr>
      <w:spacing w:before="200" w:after="200"/>
    </w:pPr>
    <w:rPr>
      <w:sz w:val="24"/>
      <w:szCs w:val="24"/>
    </w:rPr>
  </w:style>
  <w:style w:type="character" w:styleId="1611">
    <w:name w:val="Subtitle Char"/>
    <w:basedOn w:val="1766"/>
    <w:link w:val="1610"/>
    <w:uiPriority w:val="11"/>
    <w:rPr>
      <w:sz w:val="24"/>
      <w:szCs w:val="24"/>
    </w:rPr>
  </w:style>
  <w:style w:type="paragraph" w:styleId="1612">
    <w:name w:val="Quote"/>
    <w:link w:val="1613"/>
    <w:uiPriority w:val="29"/>
    <w:qFormat/>
    <w:pPr>
      <w:ind w:left="720" w:right="720"/>
    </w:pPr>
    <w:rPr>
      <w:i/>
    </w:rPr>
  </w:style>
  <w:style w:type="character" w:styleId="1613">
    <w:name w:val="Quote Char"/>
    <w:link w:val="1612"/>
    <w:uiPriority w:val="29"/>
    <w:rPr>
      <w:i/>
    </w:rPr>
  </w:style>
  <w:style w:type="paragraph" w:styleId="1614">
    <w:name w:val="Intense Quote"/>
    <w:link w:val="16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15">
    <w:name w:val="Intense Quote Char"/>
    <w:link w:val="1614"/>
    <w:uiPriority w:val="30"/>
    <w:rPr>
      <w:i/>
    </w:rPr>
  </w:style>
  <w:style w:type="paragraph" w:styleId="1616">
    <w:name w:val="Header"/>
    <w:link w:val="1617"/>
    <w:uiPriority w:val="99"/>
    <w:unhideWhenUsed/>
    <w:pPr>
      <w:spacing w:after="0" w:line="240" w:lineRule="auto"/>
      <w:tabs>
        <w:tab w:val="center" w:pos="7143" w:leader="none"/>
        <w:tab w:val="right" w:pos="14287" w:leader="none"/>
      </w:tabs>
    </w:pPr>
  </w:style>
  <w:style w:type="character" w:styleId="1617">
    <w:name w:val="Header Char"/>
    <w:basedOn w:val="1766"/>
    <w:link w:val="1616"/>
    <w:uiPriority w:val="99"/>
  </w:style>
  <w:style w:type="paragraph" w:styleId="1618">
    <w:name w:val="Footer"/>
    <w:link w:val="1621"/>
    <w:uiPriority w:val="99"/>
    <w:unhideWhenUsed/>
    <w:pPr>
      <w:spacing w:after="0" w:line="240" w:lineRule="auto"/>
      <w:tabs>
        <w:tab w:val="center" w:pos="7143" w:leader="none"/>
        <w:tab w:val="right" w:pos="14287" w:leader="none"/>
      </w:tabs>
    </w:pPr>
  </w:style>
  <w:style w:type="character" w:styleId="1619">
    <w:name w:val="Footer Char"/>
    <w:basedOn w:val="1766"/>
    <w:link w:val="1618"/>
    <w:uiPriority w:val="99"/>
  </w:style>
  <w:style w:type="paragraph" w:styleId="1620">
    <w:name w:val="Caption"/>
    <w:uiPriority w:val="35"/>
    <w:semiHidden/>
    <w:unhideWhenUsed/>
    <w:qFormat/>
    <w:pPr>
      <w:spacing w:line="276" w:lineRule="auto"/>
    </w:pPr>
    <w:rPr>
      <w:b/>
      <w:bCs/>
      <w:color w:val="4f81bd" w:themeColor="accent1"/>
      <w:sz w:val="18"/>
      <w:szCs w:val="18"/>
    </w:rPr>
  </w:style>
  <w:style w:type="character" w:styleId="1621">
    <w:name w:val="Caption Char"/>
    <w:basedOn w:val="1620"/>
    <w:link w:val="1618"/>
    <w:uiPriority w:val="99"/>
  </w:style>
  <w:style w:type="table" w:styleId="16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6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6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6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6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6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6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6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6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6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6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6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6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6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6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6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16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6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6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6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16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6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16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6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6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6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6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6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6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6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6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6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6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6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6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6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6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6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6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6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7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7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7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7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7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7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7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7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7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7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7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7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7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7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7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7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7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7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7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7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7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7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7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7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7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7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7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7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7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7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7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7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7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7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48">
    <w:name w:val="Hyperlink"/>
    <w:uiPriority w:val="99"/>
    <w:unhideWhenUsed/>
    <w:rPr>
      <w:color w:val="0000ff" w:themeColor="hyperlink"/>
      <w:u w:val="single"/>
    </w:rPr>
  </w:style>
  <w:style w:type="paragraph" w:styleId="1749">
    <w:name w:val="footnote text"/>
    <w:link w:val="1750"/>
    <w:uiPriority w:val="99"/>
    <w:semiHidden/>
    <w:unhideWhenUsed/>
    <w:pPr>
      <w:spacing w:after="40" w:line="240" w:lineRule="auto"/>
    </w:pPr>
    <w:rPr>
      <w:sz w:val="18"/>
    </w:rPr>
  </w:style>
  <w:style w:type="character" w:styleId="1750">
    <w:name w:val="Footnote Text Char"/>
    <w:link w:val="1749"/>
    <w:uiPriority w:val="99"/>
    <w:rPr>
      <w:sz w:val="18"/>
    </w:rPr>
  </w:style>
  <w:style w:type="character" w:styleId="1751">
    <w:name w:val="footnote reference"/>
    <w:basedOn w:val="1766"/>
    <w:uiPriority w:val="99"/>
    <w:unhideWhenUsed/>
    <w:rPr>
      <w:vertAlign w:val="superscript"/>
    </w:rPr>
  </w:style>
  <w:style w:type="paragraph" w:styleId="1752">
    <w:name w:val="endnote text"/>
    <w:link w:val="1753"/>
    <w:uiPriority w:val="99"/>
    <w:semiHidden/>
    <w:unhideWhenUsed/>
    <w:pPr>
      <w:spacing w:after="0" w:line="240" w:lineRule="auto"/>
    </w:pPr>
    <w:rPr>
      <w:sz w:val="20"/>
    </w:rPr>
  </w:style>
  <w:style w:type="character" w:styleId="1753">
    <w:name w:val="Endnote Text Char"/>
    <w:link w:val="1752"/>
    <w:uiPriority w:val="99"/>
    <w:rPr>
      <w:sz w:val="20"/>
    </w:rPr>
  </w:style>
  <w:style w:type="character" w:styleId="1754">
    <w:name w:val="endnote reference"/>
    <w:basedOn w:val="1766"/>
    <w:uiPriority w:val="99"/>
    <w:semiHidden/>
    <w:unhideWhenUsed/>
    <w:rPr>
      <w:vertAlign w:val="superscript"/>
    </w:rPr>
  </w:style>
  <w:style w:type="paragraph" w:styleId="1755">
    <w:name w:val="toc 1"/>
    <w:uiPriority w:val="39"/>
    <w:unhideWhenUsed/>
    <w:pPr>
      <w:ind w:left="0" w:right="0" w:firstLine="0"/>
      <w:spacing w:after="57"/>
    </w:pPr>
  </w:style>
  <w:style w:type="paragraph" w:styleId="1756">
    <w:name w:val="toc 2"/>
    <w:uiPriority w:val="39"/>
    <w:unhideWhenUsed/>
    <w:pPr>
      <w:ind w:left="283" w:right="0" w:firstLine="0"/>
      <w:spacing w:after="57"/>
    </w:pPr>
  </w:style>
  <w:style w:type="paragraph" w:styleId="1757">
    <w:name w:val="toc 3"/>
    <w:uiPriority w:val="39"/>
    <w:unhideWhenUsed/>
    <w:pPr>
      <w:ind w:left="567" w:right="0" w:firstLine="0"/>
      <w:spacing w:after="57"/>
    </w:pPr>
  </w:style>
  <w:style w:type="paragraph" w:styleId="1758">
    <w:name w:val="toc 4"/>
    <w:uiPriority w:val="39"/>
    <w:unhideWhenUsed/>
    <w:pPr>
      <w:ind w:left="850" w:right="0" w:firstLine="0"/>
      <w:spacing w:after="57"/>
    </w:pPr>
  </w:style>
  <w:style w:type="paragraph" w:styleId="1759">
    <w:name w:val="toc 5"/>
    <w:uiPriority w:val="39"/>
    <w:unhideWhenUsed/>
    <w:pPr>
      <w:ind w:left="1134" w:right="0" w:firstLine="0"/>
      <w:spacing w:after="57"/>
    </w:pPr>
  </w:style>
  <w:style w:type="paragraph" w:styleId="1760">
    <w:name w:val="toc 6"/>
    <w:uiPriority w:val="39"/>
    <w:unhideWhenUsed/>
    <w:pPr>
      <w:ind w:left="1417" w:right="0" w:firstLine="0"/>
      <w:spacing w:after="57"/>
    </w:pPr>
  </w:style>
  <w:style w:type="paragraph" w:styleId="1761">
    <w:name w:val="toc 7"/>
    <w:uiPriority w:val="39"/>
    <w:unhideWhenUsed/>
    <w:pPr>
      <w:ind w:left="1701" w:right="0" w:firstLine="0"/>
      <w:spacing w:after="57"/>
    </w:pPr>
  </w:style>
  <w:style w:type="paragraph" w:styleId="1762">
    <w:name w:val="toc 8"/>
    <w:uiPriority w:val="39"/>
    <w:unhideWhenUsed/>
    <w:pPr>
      <w:ind w:left="1984" w:right="0" w:firstLine="0"/>
      <w:spacing w:after="57"/>
    </w:pPr>
  </w:style>
  <w:style w:type="paragraph" w:styleId="1763">
    <w:name w:val="toc 9"/>
    <w:uiPriority w:val="39"/>
    <w:unhideWhenUsed/>
    <w:pPr>
      <w:ind w:left="2268" w:right="0" w:firstLine="0"/>
      <w:spacing w:after="57"/>
    </w:pPr>
  </w:style>
  <w:style w:type="paragraph" w:styleId="1764">
    <w:name w:val="TOC Heading"/>
    <w:uiPriority w:val="39"/>
    <w:unhideWhenUsed/>
  </w:style>
  <w:style w:type="paragraph" w:styleId="1765">
    <w:name w:val="table of figures"/>
    <w:uiPriority w:val="99"/>
    <w:unhideWhenUsed/>
    <w:pPr>
      <w:spacing w:after="0" w:afterAutospacing="0"/>
    </w:pPr>
  </w:style>
  <w:style w:type="character" w:styleId="1766" w:default="1">
    <w:name w:val="Default Paragraph Font"/>
    <w:uiPriority w:val="1"/>
    <w:semiHidden/>
    <w:unhideWhenUsed/>
    <w:qFormat/>
  </w:style>
  <w:style w:type="paragraph" w:styleId="1767" w:customStyle="1">
    <w:name w:val="40972909C00547EF89E6E87F19707554"/>
    <w:uiPriority w:val="0"/>
    <w:qFormat/>
    <w:pPr>
      <w:jc w:val="both"/>
      <w:spacing w:after="160" w:line="278" w:lineRule="auto"/>
      <w:widowControl w:val="off"/>
    </w:pPr>
    <w:rPr>
      <w:rFonts w:hint="default" w:asciiTheme="minorHAnsi" w:hAnsiTheme="minorHAnsi" w:eastAsiaTheme="minorEastAsia" w:cstheme="minorBidi"/>
      <w:sz w:val="21"/>
      <w:szCs w:val="22"/>
      <w:lang w:val="en-US" w:eastAsia="zh-CN" w:bidi="ar-SA"/>
    </w:rPr>
  </w:style>
  <w:style w:type="character" w:styleId="1768">
    <w:name w:val="Placeholder Text"/>
    <w:basedOn w:val="1766"/>
    <w:uiPriority w:val="99"/>
    <w:unhideWhenUsed/>
    <w:qFormat/>
    <w:rPr>
      <w:color w:val="808080"/>
    </w:rPr>
  </w:style>
  <w:style w:type="numbering" w:styleId="1769" w:default="1">
    <w:name w:val="No List"/>
    <w:uiPriority w:val="99"/>
    <w:semiHidden/>
    <w:unhideWhenUsed/>
  </w:style>
  <w:style w:type="paragraph" w:styleId="1770" w:default="1">
    <w:name w:val="Normal"/>
    <w:qFormat/>
  </w:style>
  <w:style w:type="table" w:styleId="1771"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0C62881-5ACE-4567-955F-2AE83CC0102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24</cp:revision>
  <dcterms:created xsi:type="dcterms:W3CDTF">2024-10-22T06:28:00Z</dcterms:created>
  <dcterms:modified xsi:type="dcterms:W3CDTF">2026-06-25T02:58:15Z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2C3DE40FA8724372A0D3872CBE259F37_13</vt:lpwstr>
  </property>
  <property fmtid="{D5CDD505-2E9C-101B-9397-08002B2CF9AE}" pid="4" name="KSOTemplateDocerSaveRecord">
    <vt:lpwstr>eyJoZGlkIjoiMWYxYmUwODIzYzk0M2QzOTM3M2I1MzA0NjYxZWNjMTciLCJ1c2VySWQiOiI3MDY5OTM5NjQifQ==</vt:lpwstr>
  </property>
</Properties>
</file>