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0"/>
        <w:rPr>
          <w:rFonts w:hint="eastAsia" w:eastAsia="黑体"/>
          <w:b/>
          <w:bCs/>
          <w:sz w:val="84"/>
        </w:rPr>
      </w:pPr>
      <w:r>
        <w:rPr>
          <w:rFonts w:hint="eastAsia" w:eastAsia="黑体"/>
          <w:b/>
          <w:bCs/>
          <w:sz w:val="84"/>
        </w:rPr>
      </w:r>
      <w:r/>
    </w:p>
    <w:p>
      <w:pPr>
        <w:pStyle w:val="1048"/>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rPr>
          <w:rFonts w:hint="eastAsia" w:ascii="方正小标宋_GBK" w:hAnsi="方正小标宋_GBK" w:eastAsia="方正小标宋_GBK" w:cs="方正小标宋_GBK"/>
          <w:sz w:val="28"/>
          <w:szCs w:val="28"/>
        </w:rPr>
      </w:r>
      <w:r/>
    </w:p>
    <w:p>
      <w:pPr>
        <w:pStyle w:val="1048"/>
        <w:ind w:firstLine="1968"/>
        <w:spacing w:line="400" w:lineRule="exact"/>
        <w:rPr>
          <w:rFonts w:hint="eastAsia"/>
          <w:b/>
          <w:bCs/>
          <w:sz w:val="28"/>
          <w:szCs w:val="28"/>
        </w:rPr>
      </w:pPr>
      <w:r>
        <w:rPr>
          <w:rFonts w:hint="eastAsia"/>
          <w:b/>
          <w:bCs/>
          <w:sz w:val="28"/>
          <w:szCs w:val="28"/>
        </w:rPr>
      </w:r>
      <w:r/>
    </w:p>
    <w:p>
      <w:pPr>
        <w:pStyle w:val="960"/>
        <w:ind w:firstLine="112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项目名称：_泰州学院2026年8月-2029年7月物业管理服务采购项目__</w:t>
      </w:r>
      <w:r>
        <w:rPr>
          <w:rFonts w:hint="eastAsia" w:ascii="方正黑体_GBK" w:hAnsi="方正黑体_GBK" w:eastAsia="方正黑体_GBK" w:cs="方正黑体_GBK"/>
          <w:color w:val="000000"/>
          <w:sz w:val="28"/>
          <w:szCs w:val="28"/>
        </w:rPr>
      </w:r>
      <w:r/>
    </w:p>
    <w:p>
      <w:pPr>
        <w:pStyle w:val="960"/>
        <w:ind w:firstLine="112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JSZC-320000-SCZX-G2026-0243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1048"/>
        <w:ind w:firstLine="0"/>
        <w:spacing w:before="0" w:after="0"/>
        <w:rPr>
          <w:rFonts w:hint="eastAsia" w:ascii="宋体" w:hAnsi="宋体"/>
          <w:sz w:val="28"/>
          <w:szCs w:val="28"/>
        </w:rPr>
      </w:pPr>
      <w:r>
        <w:rPr>
          <w:rFonts w:hint="eastAsia" w:ascii="宋体" w:hAnsi="宋体"/>
          <w:sz w:val="28"/>
          <w:szCs w:val="28"/>
        </w:rPr>
      </w:r>
      <w:r/>
    </w:p>
    <w:p>
      <w:pPr>
        <w:pStyle w:val="9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_2026_年_6_月</w:t>
      </w:r>
      <w:r>
        <w:rPr>
          <w:rFonts w:hint="eastAsia" w:ascii="方正黑体_GBK" w:hAnsi="方正黑体_GBK" w:eastAsia="方正黑体_GBK" w:cs="方正黑体_GBK"/>
          <w:color w:val="000000"/>
          <w:sz w:val="28"/>
          <w:szCs w:val="28"/>
        </w:rPr>
      </w:r>
      <w:r/>
    </w:p>
    <w:p>
      <w:pPr>
        <w:pStyle w:val="1048"/>
        <w:ind w:firstLine="0"/>
        <w:rPr>
          <w:rFonts w:hint="eastAsia"/>
          <w:u w:val="single"/>
        </w:rPr>
      </w:pPr>
      <w:r>
        <w:rPr>
          <w:rFonts w:hint="eastAsia"/>
        </w:rPr>
        <w:t xml:space="preserve">                        </w:t>
      </w:r>
      <w:r>
        <w:rPr>
          <w:rFonts w:hint="eastAsia"/>
          <w:u w:val="single"/>
        </w:rPr>
      </w:r>
      <w:r/>
    </w:p>
    <w:p>
      <w:pPr>
        <w:pStyle w:val="1048"/>
        <w:ind w:firstLine="0"/>
        <w:jc w:val="center"/>
        <w:rPr>
          <w:rFonts w:hint="eastAsia"/>
        </w:rPr>
      </w:pPr>
      <w:r>
        <w:rPr>
          <w:rFonts w:hint="eastAsia"/>
        </w:rPr>
      </w:r>
      <w:r/>
    </w:p>
    <w:p>
      <w:pPr>
        <w:pStyle w:val="960"/>
        <w:jc w:val="center"/>
        <w:spacing w:line="400" w:lineRule="exact"/>
        <w:rPr>
          <w:rFonts w:hint="eastAsia" w:ascii="黑体" w:hAnsi="Arial" w:eastAsia="黑体"/>
          <w:b/>
          <w:sz w:val="28"/>
          <w:szCs w:val="28"/>
        </w:rPr>
        <w:outlineLvl w:val="0"/>
      </w:pPr>
      <w: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6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0"/>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投标邀请……………………………………1</w:t>
      </w:r>
      <w:r>
        <w:rPr>
          <w:rFonts w:hint="eastAsia" w:ascii="方正黑体_GBK" w:hAnsi="方正黑体_GBK" w:eastAsia="方正黑体_GBK" w:cs="方正黑体_GBK"/>
          <w:color w:val="000000"/>
          <w:sz w:val="28"/>
          <w:szCs w:val="28"/>
        </w:rPr>
      </w:r>
      <w:r/>
    </w:p>
    <w:p>
      <w:pPr>
        <w:pStyle w:val="960"/>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4</w:t>
      </w:r>
      <w:r>
        <w:rPr>
          <w:rFonts w:hint="eastAsia" w:ascii="方正黑体_GBK" w:hAnsi="方正黑体_GBK" w:eastAsia="方正黑体_GBK" w:cs="方正黑体_GBK"/>
          <w:color w:val="000000"/>
          <w:sz w:val="28"/>
          <w:szCs w:val="28"/>
          <w:lang w:val="en-US" w:eastAsia="zh-CN"/>
        </w:rPr>
      </w:r>
      <w:r/>
    </w:p>
    <w:p>
      <w:pPr>
        <w:pStyle w:val="960"/>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14</w:t>
      </w:r>
      <w:r>
        <w:rPr>
          <w:rFonts w:ascii="方正黑体_GBK" w:hAnsi="方正黑体_GBK" w:eastAsia="方正黑体_GBK" w:cs="方正黑体_GBK"/>
          <w:color w:val="000000"/>
          <w:sz w:val="28"/>
          <w:szCs w:val="28"/>
          <w:lang w:val="en-US" w:eastAsia="zh-CN"/>
        </w:rPr>
      </w:r>
      <w:r/>
    </w:p>
    <w:p>
      <w:pPr>
        <w:pStyle w:val="960"/>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19</w:t>
      </w:r>
      <w:r>
        <w:rPr>
          <w:rFonts w:ascii="方正黑体_GBK" w:hAnsi="方正黑体_GBK" w:eastAsia="方正黑体_GBK" w:cs="方正黑体_GBK"/>
          <w:color w:val="000000"/>
          <w:sz w:val="28"/>
          <w:szCs w:val="28"/>
          <w:lang w:val="en-US" w:eastAsia="zh-CN"/>
        </w:rPr>
      </w:r>
      <w:r/>
    </w:p>
    <w:p>
      <w:pPr>
        <w:pStyle w:val="960"/>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39</w:t>
      </w:r>
      <w:r>
        <w:rPr>
          <w:rFonts w:ascii="方正黑体_GBK" w:hAnsi="方正黑体_GBK" w:eastAsia="方正黑体_GBK" w:cs="方正黑体_GBK"/>
          <w:color w:val="000000"/>
          <w:sz w:val="28"/>
          <w:szCs w:val="28"/>
          <w:lang w:val="en-US" w:eastAsia="zh-CN"/>
        </w:rPr>
      </w:r>
      <w:r/>
    </w:p>
    <w:p>
      <w:pPr>
        <w:pStyle w:val="960"/>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46</w:t>
      </w:r>
      <w:r>
        <w:rPr>
          <w:rFonts w:ascii="方正黑体_GBK" w:hAnsi="方正黑体_GBK" w:eastAsia="方正黑体_GBK" w:cs="方正黑体_GBK"/>
          <w:color w:val="000000"/>
          <w:sz w:val="28"/>
          <w:szCs w:val="28"/>
          <w:lang w:val="en-US" w:eastAsia="zh-CN"/>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jc w:val="center"/>
        <w:keepNext/>
        <w:spacing w:line="400" w:lineRule="exact"/>
        <w:rPr>
          <w:rFonts w:hint="eastAsia" w:ascii="方正黑体_GBK" w:hAnsi="方正黑体_GBK" w:eastAsia="方正黑体_GBK" w:cs="方正黑体_GBK"/>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rPr>
      </w:r>
      <w:r/>
    </w:p>
    <w:p>
      <w:pPr>
        <w:pStyle w:val="960"/>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受泰州学院的委托，江苏省政府采购中心就〔泰州学院2026年8月-2029年7月物业管理服务采购项目〕(〔JSZC-320000-S</w:t>
      </w:r>
      <w:r>
        <w:rPr>
          <w:rFonts w:hint="eastAsia" w:ascii="方正仿宋_GBK" w:hAnsi="方正仿宋_GBK" w:eastAsia="方正仿宋_GBK" w:cs="方正仿宋_GBK"/>
          <w:color w:val="000000"/>
          <w:sz w:val="28"/>
          <w:szCs w:val="28"/>
        </w:rPr>
        <w:t xml:space="preserve">CZX-G2026-0243〕)项目进行公开招标采购，欢迎符合条件的供应商投标。</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60"/>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泰州学院2026年8月-2029年7月物业管理服务采购项目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7月17</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6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：JSZC-320000-SCZX-G2026-0243  </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泰州学院2026年8月-2029年7月物业管理服务采购项目</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60"/>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0"/>
              <w:ind w:firstLine="1120"/>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color w:val="000000"/>
                <w:sz w:val="28"/>
                <w:szCs w:val="28"/>
              </w:rPr>
              <w:t xml:space="preserve">2,950.4793</w:t>
            </w:r>
            <w:r>
              <w:rPr>
                <w:rFonts w:hint="eastAsia" w:ascii="方正仿宋_GBK" w:hAnsi="方正仿宋_GBK" w:eastAsia="方正仿宋_GBK" w:cs="方正仿宋_GBK"/>
                <w:sz w:val="28"/>
                <w:szCs w:val="28"/>
              </w:rPr>
            </w:r>
            <w:r/>
          </w:p>
        </w:tc>
      </w:tr>
    </w:tbl>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color w:val="000000"/>
                <w:sz w:val="28"/>
                <w:szCs w:val="28"/>
              </w:rPr>
              <w:t xml:space="preserve">2,950.4793</w:t>
            </w:r>
            <w:r>
              <w:rPr>
                <w:rFonts w:hint="eastAsia" w:ascii="方正仿宋_GBK" w:hAnsi="方正仿宋_GBK" w:eastAsia="方正仿宋_GBK" w:cs="方正仿宋_GBK"/>
                <w:sz w:val="28"/>
                <w:szCs w:val="28"/>
              </w:rPr>
            </w:r>
            <w:r/>
          </w:p>
        </w:tc>
      </w:tr>
    </w:tbl>
    <w:p>
      <w:pPr>
        <w:pStyle w:val="960"/>
        <w:ind w:firstLine="560"/>
        <w:jc w:val="left"/>
        <w:spacing w:line="400" w:lineRule="exact"/>
        <w:rPr>
          <w:rFonts w:hint="eastAsia" w:ascii="方正仿宋_GBK" w:hAnsi="方正仿宋_GBK" w:eastAsia="方正仿宋_GBK" w:cs="方正仿宋_GBK"/>
          <w:sz w:val="28"/>
          <w:szCs w:val="28"/>
          <w:u w:val="single"/>
        </w:rPr>
      </w:pPr>
      <w:r/>
      <w:bookmarkStart w:id="12" w:name="_Toc28359080"/>
      <w:r/>
      <w:bookmarkStart w:id="13" w:name="_Toc28359003"/>
      <w:r/>
      <w:bookmarkStart w:id="14" w:name="_Toc38985264"/>
      <w:r/>
      <w:bookmarkStart w:id="15" w:name="_Toc35393622"/>
      <w:r/>
      <w:bookmarkStart w:id="16" w:name="_Toc35393791"/>
      <w:r>
        <w:rPr>
          <w:rFonts w:hint="eastAsia" w:ascii="方正仿宋_GBK" w:hAnsi="方正仿宋_GBK" w:eastAsia="方正仿宋_GBK" w:cs="方正仿宋_GBK"/>
          <w:sz w:val="28"/>
          <w:szCs w:val="28"/>
        </w:rPr>
        <w:t xml:space="preserve">5.采购需求(简介)：本项目为</w:t>
      </w:r>
      <w:r>
        <w:rPr>
          <w:rFonts w:hint="eastAsia" w:eastAsia="方正仿宋_GBK"/>
          <w:color w:val="000000"/>
          <w:sz w:val="28"/>
          <w:szCs w:val="28"/>
        </w:rPr>
        <w:t xml:space="preserve">泰州学院2026年8月-2029年7月物业管理服务，</w:t>
      </w:r>
      <w:r>
        <w:rPr>
          <w:rFonts w:hint="eastAsia" w:ascii="方正仿宋_GBK" w:hAnsi="方正仿宋_GBK" w:eastAsia="方正仿宋_GBK" w:cs="方正仿宋_GBK"/>
          <w:sz w:val="28"/>
          <w:szCs w:val="28"/>
        </w:rPr>
        <w:t xml:space="preserve">服务内容包含：楼宇管理服务、宿舍公寓管理服务、公共设施管理服务、环境卫生管理服务、小型维修服务。</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合同签订之日起3年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color w:val="000000"/>
          <w:sz w:val="28"/>
          <w:szCs w:val="28"/>
          <w:u w:val="single"/>
          <w:lang w:val="en-US" w:eastAsia="zh-CN"/>
        </w:rPr>
      </w:r>
      <w:r/>
    </w:p>
    <w:p>
      <w:pPr>
        <w:pStyle w:val="960"/>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楷体_GBK" w:hAnsi="方正楷体_GBK" w:eastAsia="方正楷体_GBK" w:cs="方正楷体_GBK"/>
          <w:color w:val="000000"/>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2024或2025年度的财务状况报告（成立不满一年无需提供）；</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0"/>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0"/>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60"/>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28359007"/>
      <w:r/>
      <w:bookmarkStart w:id="24" w:name="_Toc28359084"/>
      <w:r/>
      <w:bookmarkStart w:id="25" w:name="_Toc35393794"/>
      <w:r/>
      <w:bookmarkStart w:id="26" w:name="_Toc38985267"/>
      <w:r/>
      <w:bookmarkStart w:id="27" w:name="_Toc28359082"/>
      <w:r/>
      <w:bookmarkStart w:id="28" w:name="_Toc28359005"/>
      <w:r/>
      <w:bookmarkStart w:id="29" w:name="_Toc35393793"/>
      <w:r/>
      <w:bookmarkStart w:id="30" w:name="_Toc35393624"/>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7</w:t>
      </w:r>
      <w:r>
        <w:rPr>
          <w:rFonts w:hint="eastAsia" w:ascii="方正仿宋_GBK" w:hAnsi="方正仿宋_GBK" w:eastAsia="方正仿宋_GBK" w:cs="方正仿宋_GBK"/>
          <w:bCs/>
          <w:color w:val="000000"/>
          <w:sz w:val="28"/>
          <w:szCs w:val="28"/>
        </w:rPr>
        <w:t xml:space="preserve">月17</w:t>
      </w:r>
      <w:r>
        <w:rPr>
          <w:rFonts w:hint="eastAsia" w:ascii="方正仿宋_GBK" w:hAnsi="方正仿宋_GBK" w:eastAsia="方正仿宋_GBK" w:cs="方正仿宋_GBK"/>
          <w:bCs/>
          <w:color w:val="000000"/>
          <w:sz w:val="28"/>
          <w:szCs w:val="28"/>
        </w:rPr>
        <w:t xml:space="preserve">日9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60"/>
        <w:ind w:firstLine="560"/>
        <w:jc w:val="left"/>
        <w:keepNext/>
        <w:spacing w:line="400" w:lineRule="exact"/>
        <w:rPr>
          <w:rFonts w:hint="eastAsia" w:ascii="方正黑体_GBK" w:hAnsi="方正黑体_GBK" w:eastAsia="方正黑体_GBK" w:cs="方正黑体_GBK"/>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sz w:val="28"/>
          <w:szCs w:val="28"/>
        </w:rPr>
        <w:t xml:space="preserve">五、公告期限</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60"/>
        <w:ind w:firstLine="560"/>
        <w:jc w:val="left"/>
        <w:keepNext/>
        <w:spacing w:line="400" w:lineRule="exact"/>
        <w:rPr>
          <w:rFonts w:hint="eastAsia" w:ascii="方正黑体_GBK" w:hAnsi="方正黑体_GBK" w:eastAsia="方正黑体_GBK" w:cs="方正黑体_GBK"/>
          <w:sz w:val="28"/>
          <w:szCs w:val="28"/>
        </w:rPr>
        <w:outlineLvl w:val="0"/>
      </w:pPr>
      <w:r/>
      <w:bookmarkEnd w:id="32"/>
      <w:r/>
      <w:bookmarkEnd w:id="33"/>
      <w:r/>
      <w:bookmarkEnd w:id="34"/>
      <w:r/>
      <w:bookmarkStart w:id="35" w:name="_Toc35393796"/>
      <w:r/>
      <w:bookmarkStart w:id="36" w:name="_Toc35393627"/>
      <w:r/>
      <w:bookmarkStart w:id="37" w:name="_Toc28359085"/>
      <w:r/>
      <w:bookmarkStart w:id="38" w:name="_Toc28359008"/>
      <w:r/>
      <w:bookmarkStart w:id="39" w:name="_Toc38985269"/>
      <w:r>
        <w:rPr>
          <w:rFonts w:hint="eastAsia" w:ascii="方正黑体_GBK" w:hAnsi="方正黑体_GBK" w:eastAsia="方正黑体_GBK" w:cs="方正黑体_GBK"/>
          <w:sz w:val="28"/>
          <w:szCs w:val="28"/>
        </w:rPr>
        <w:t xml:space="preserve">六、其他补充事宜</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60"/>
        <w:ind w:firstLine="560"/>
        <w:jc w:val="left"/>
        <w:keepNext/>
        <w:spacing w:line="400" w:lineRule="exact"/>
        <w:rPr>
          <w:rFonts w:hint="eastAsia" w:ascii="方正黑体_GBK" w:hAnsi="方正黑体_GBK" w:eastAsia="方正黑体_GBK" w:cs="方正黑体_GBK"/>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sz w:val="28"/>
          <w:szCs w:val="28"/>
        </w:rPr>
        <w:t xml:space="preserve">七、本次招标联系方式</w:t>
      </w:r>
      <w:r>
        <w:rPr>
          <w:rFonts w:hint="eastAsia" w:ascii="方正黑体_GBK" w:hAnsi="方正黑体_GBK" w:eastAsia="方正黑体_GBK" w:cs="方正黑体_GBK"/>
          <w:sz w:val="28"/>
          <w:szCs w:val="28"/>
        </w:rPr>
      </w:r>
      <w:r/>
    </w:p>
    <w:p>
      <w:pPr>
        <w:pStyle w:val="960"/>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泰州学院　　　　　　　 　</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泰州市海陵区济川东路9</w:t>
      </w:r>
      <w:r>
        <w:rPr>
          <w:rFonts w:ascii="方正仿宋_GBK" w:hAnsi="方正仿宋_GBK" w:eastAsia="方正仿宋_GBK" w:cs="方正仿宋_GBK"/>
          <w:sz w:val="28"/>
          <w:szCs w:val="28"/>
          <w:u w:val="single"/>
        </w:rPr>
        <w:t xml:space="preserve">3</w:t>
      </w:r>
      <w:r>
        <w:rPr>
          <w:rFonts w:hint="eastAsia" w:ascii="方正仿宋_GBK" w:hAnsi="方正仿宋_GBK" w:eastAsia="方正仿宋_GBK" w:cs="方正仿宋_GBK"/>
          <w:sz w:val="28"/>
          <w:szCs w:val="28"/>
          <w:u w:val="single"/>
        </w:rPr>
        <w:t xml:space="preserve">号</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仿宋_GB2312" w:hAnsi="方正仿宋_GBK" w:eastAsia="仿宋_GB2312" w:cs="方正仿宋_GBK"/>
          <w:sz w:val="28"/>
          <w:szCs w:val="28"/>
          <w:u w:val="single"/>
        </w:rPr>
        <w:t xml:space="preserve"> </w:t>
      </w:r>
      <w:r>
        <w:rPr>
          <w:rFonts w:hint="eastAsia" w:ascii="仿宋_GB2312" w:hAnsi="宋体" w:eastAsia="仿宋_GB2312" w:cs="宋体"/>
          <w:sz w:val="28"/>
          <w:szCs w:val="28"/>
          <w:u w:val="single"/>
        </w:rPr>
        <w:t xml:space="preserve">朱老师</w:t>
      </w:r>
      <w:r>
        <w:rPr>
          <w:rFonts w:hint="eastAsia" w:ascii="仿宋_GB2312" w:hAnsi="方正仿宋_GBK" w:eastAsia="仿宋_GB2312"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0523-80769112</w:t>
      </w:r>
      <w:bookmarkStart w:id="40" w:name="_Toc28359009"/>
      <w:r/>
      <w:bookmarkStart w:id="41" w:name="_Toc28359086"/>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0"/>
      <w:r/>
      <w:bookmarkEnd w:id="41"/>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南京市汉中门大街145号省政务中心二期3楼南区　</w:t>
      </w:r>
      <w:r>
        <w:rPr>
          <w:rFonts w:hint="eastAsia" w:ascii="方正仿宋_GBK" w:hAnsi="方正仿宋_GBK" w:eastAsia="方正仿宋_GBK" w:cs="方正仿宋_GBK"/>
          <w:color w:val="000000"/>
          <w:sz w:val="28"/>
          <w:szCs w:val="28"/>
          <w:u w:val="single"/>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厉彬彬、唐文                     </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　025-83668517/83668519　　　　　　</w:t>
      </w:r>
      <w:r>
        <w:rPr>
          <w:rFonts w:hint="eastAsia" w:ascii="方正仿宋_GBK" w:hAnsi="方正仿宋_GBK" w:eastAsia="方正仿宋_GBK" w:cs="方正仿宋_GBK"/>
          <w:color w:val="000000"/>
          <w:sz w:val="28"/>
          <w:szCs w:val="28"/>
        </w:rPr>
      </w:r>
      <w:r/>
    </w:p>
    <w:p>
      <w:pPr>
        <w:pStyle w:val="960"/>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6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6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60"/>
        <w:ind w:right="840"/>
        <w:rPr>
          <w:rFonts w:hint="eastAsia" w:ascii="宋体" w:hAnsi="宋体"/>
          <w:color w:val="000000"/>
          <w:sz w:val="24"/>
          <w:szCs w:val="24"/>
        </w:rPr>
      </w:pPr>
      <w:r>
        <w:rPr>
          <w:rFonts w:hint="eastAsia" w:ascii="宋体" w:hAnsi="宋体"/>
          <w:color w:val="000000"/>
          <w:sz w:val="24"/>
          <w:szCs w:val="24"/>
        </w:rPr>
      </w:r>
      <w:r/>
    </w:p>
    <w:p>
      <w:pPr>
        <w:pStyle w:val="960"/>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479757207"/>
      <w:r/>
      <w:bookmarkStart w:id="46" w:name="_Toc16938558"/>
      <w:r/>
      <w:bookmarkStart w:id="47" w:name="_Toc120614221"/>
      <w:r/>
      <w:bookmarkStart w:id="48" w:name="_Toc20823314"/>
      <w:r/>
      <w:bookmarkStart w:id="49" w:name="_Toc513029242"/>
      <w:r>
        <w:rPr>
          <w:rFonts w:hint="eastAsia" w:ascii="方正黑体_GBK" w:hAnsi="方正黑体_GBK" w:eastAsia="方正黑体_GBK" w:cs="方正黑体_GBK"/>
          <w:color w:val="000000"/>
          <w:sz w:val="28"/>
          <w:szCs w:val="28"/>
        </w:rPr>
        <w:t xml:space="preserve">第二章  </w:t>
      </w:r>
      <w:bookmarkEnd w:id="44"/>
      <w:r/>
      <w:bookmarkStart w:id="50" w:name="_Toc513029202"/>
      <w:r/>
      <w:bookmarkStart w:id="51" w:name="_Toc16938518"/>
      <w:r/>
      <w:bookmarkStart w:id="52" w:name="_Toc20823274"/>
      <w:r/>
      <w:bookmarkStart w:id="53" w:name="_Toc120614213"/>
      <w:r>
        <w:rPr>
          <w:rFonts w:hint="eastAsia" w:ascii="方正黑体_GBK" w:hAnsi="方正黑体_GBK" w:eastAsia="方正黑体_GBK" w:cs="方正黑体_GBK"/>
          <w:color w:val="000000"/>
          <w:sz w:val="28"/>
          <w:szCs w:val="28"/>
        </w:rPr>
        <w:t xml:space="preserve">投标人须知</w:t>
      </w:r>
      <w:bookmarkEnd w:id="50"/>
      <w:r/>
      <w:bookmarkEnd w:id="51"/>
      <w:r/>
      <w:bookmarkEnd w:id="52"/>
      <w:r/>
      <w:bookmarkEnd w:id="53"/>
      <w:r>
        <w:rPr>
          <w:rFonts w:hint="eastAsia" w:ascii="宋体" w:hAnsi="宋体"/>
          <w:sz w:val="28"/>
          <w:szCs w:val="28"/>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54" w:name="_Toc462564072"/>
      <w:r/>
      <w:bookmarkStart w:id="55" w:name="_Toc120614216"/>
      <w:r/>
      <w:bookmarkStart w:id="56" w:name="_Toc513029213"/>
      <w:r/>
      <w:bookmarkStart w:id="57" w:name="_Toc20823285"/>
      <w:r/>
      <w:bookmarkStart w:id="58" w:name="_Toc16938529"/>
      <w:r>
        <w:rPr>
          <w:rFonts w:hint="eastAsia" w:ascii="方正黑体_GBK" w:hAnsi="方正黑体_GBK" w:eastAsia="方正黑体_GBK" w:cs="方正黑体_GBK"/>
          <w:color w:val="000000"/>
          <w:sz w:val="28"/>
          <w:szCs w:val="28"/>
        </w:rPr>
        <w:t xml:space="preserve">三、投标文件的编制</w:t>
      </w:r>
      <w:bookmarkEnd w:id="54"/>
      <w:r/>
      <w:bookmarkEnd w:id="55"/>
      <w:r/>
      <w:bookmarkEnd w:id="56"/>
      <w:r/>
      <w:bookmarkEnd w:id="57"/>
      <w:r/>
      <w:bookmarkEnd w:id="58"/>
      <w:r>
        <w:rPr>
          <w:rFonts w:hint="eastAsia" w:ascii="方正黑体_GBK" w:hAnsi="方正黑体_GBK" w:eastAsia="方正黑体_GBK" w:cs="方正黑体_GBK"/>
          <w:color w:val="000000"/>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9" w:name="_Toc20823286"/>
      <w:r/>
      <w:bookmarkStart w:id="60" w:name="_Toc462564073"/>
      <w:r/>
      <w:bookmarkStart w:id="61" w:name="_Toc16938530"/>
      <w:r/>
      <w:bookmarkStart w:id="62"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9"/>
      <w:r/>
      <w:bookmarkEnd w:id="60"/>
      <w:r/>
      <w:bookmarkEnd w:id="61"/>
      <w:r/>
      <w:bookmarkEnd w:id="62"/>
      <w:r>
        <w:rPr>
          <w:rFonts w:hint="eastAsia" w:ascii="方正仿宋_GBK" w:hAnsi="方正仿宋_GBK" w:eastAsia="方正仿宋_GBK" w:cs="方正仿宋_GBK"/>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3" w:name="_Toc513029215"/>
      <w:r/>
      <w:bookmarkStart w:id="64" w:name="_Toc462564074"/>
      <w:r/>
      <w:bookmarkStart w:id="65" w:name="_Toc20823287"/>
      <w:r/>
      <w:bookmarkStart w:id="66"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63"/>
      <w:r/>
      <w:bookmarkEnd w:id="64"/>
      <w:r/>
      <w:bookmarkEnd w:id="65"/>
      <w:r/>
      <w:bookmarkEnd w:id="66"/>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7" w:name="_Hlt26954838"/>
      <w:r/>
      <w:bookmarkEnd w:id="67"/>
      <w:r/>
      <w:bookmarkStart w:id="68" w:name="_Hlt26668975"/>
      <w:r/>
      <w:bookmarkEnd w:id="68"/>
      <w:r/>
      <w:bookmarkStart w:id="69" w:name="_Hlt26670360"/>
      <w:r/>
      <w:bookmarkEnd w:id="69"/>
      <w:r/>
      <w:bookmarkStart w:id="70" w:name="_Toc49090509"/>
      <w:r/>
      <w:bookmarkStart w:id="71" w:name="_Toc513029219"/>
      <w:r/>
      <w:bookmarkStart w:id="72" w:name="_Toc14577357"/>
      <w:r/>
      <w:bookmarkStart w:id="73" w:name="_Toc14577354"/>
      <w:r/>
      <w:bookmarkStart w:id="74" w:name="_Toc513029216"/>
      <w:r/>
      <w:bookmarkStart w:id="75"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70"/>
      <w:r/>
      <w:bookmarkEnd w:id="71"/>
      <w:r/>
      <w:bookmarkEnd w:id="72"/>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bookmarkEnd w:id="73"/>
      <w:r/>
      <w:bookmarkEnd w:id="74"/>
      <w:r/>
      <w:bookmarkEnd w:id="75"/>
      <w:r/>
      <w:bookmarkStart w:id="76" w:name="_Toc14577355"/>
      <w:r/>
      <w:bookmarkStart w:id="77"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6"/>
      <w:r/>
      <w:bookmarkStart w:id="78" w:name="_Hlt26670373"/>
      <w:r/>
      <w:bookmarkEnd w:id="78"/>
      <w:r>
        <w:rPr>
          <w:rFonts w:hint="eastAsia" w:ascii="方正仿宋_GBK" w:hAnsi="方正仿宋_GBK" w:eastAsia="方正仿宋_GBK" w:cs="方正仿宋_GBK"/>
          <w:b w:val="0"/>
          <w:bCs w:val="0"/>
          <w:sz w:val="28"/>
          <w:szCs w:val="28"/>
        </w:rPr>
        <w:t xml:space="preserve">表</w:t>
      </w:r>
      <w:bookmarkEnd w:id="77"/>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9" w:name="_Hlt26954840"/>
      <w:r/>
      <w:bookmarkEnd w:id="79"/>
      <w:r>
        <w:rPr>
          <w:rFonts w:hint="eastAsia" w:ascii="方正仿宋_GBK" w:hAnsi="方正仿宋_GBK" w:eastAsia="方正仿宋_GBK" w:cs="方正仿宋_GBK"/>
          <w:sz w:val="28"/>
          <w:szCs w:val="28"/>
        </w:rPr>
        <w:t xml:space="preserve">标人按照招标文件规定格式填报投标分项报价表</w:t>
      </w:r>
      <w:bookmarkStart w:id="80" w:name="_Hlt26670399"/>
      <w:r/>
      <w:bookmarkEnd w:id="80"/>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1" w:name="_Hlt26954842"/>
      <w:r/>
      <w:bookmarkEnd w:id="81"/>
      <w:r/>
      <w:bookmarkStart w:id="82" w:name="_Hlt26670486"/>
      <w:r/>
      <w:bookmarkEnd w:id="82"/>
      <w:r/>
      <w:bookmarkStart w:id="83" w:name="_Hlt26954846"/>
      <w:r/>
      <w:bookmarkEnd w:id="83"/>
      <w:r/>
      <w:bookmarkStart w:id="84" w:name="_Hlt26954731"/>
      <w:r/>
      <w:bookmarkEnd w:id="84"/>
      <w:r/>
      <w:bookmarkStart w:id="85" w:name="_Hlt26954844"/>
      <w:r/>
      <w:bookmarkEnd w:id="85"/>
      <w:r/>
      <w:bookmarkStart w:id="86" w:name="_Hlt26668983"/>
      <w:r/>
      <w:bookmarkEnd w:id="86"/>
      <w:r/>
      <w:bookmarkStart w:id="87" w:name="_Hlt26670403"/>
      <w:r/>
      <w:bookmarkEnd w:id="87"/>
      <w:r/>
      <w:bookmarkStart w:id="88" w:name="_Hlt26954848"/>
      <w:r/>
      <w:bookmarkEnd w:id="88"/>
      <w:r/>
      <w:bookmarkStart w:id="89" w:name="_Hlt26670425"/>
      <w:r/>
      <w:bookmarkEnd w:id="89"/>
      <w:r/>
      <w:bookmarkStart w:id="90" w:name="_Hlt26670482"/>
      <w:r/>
      <w:bookmarkEnd w:id="90"/>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91" w:name="_Toc49090510"/>
      <w:r/>
      <w:bookmarkStart w:id="92"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91"/>
      <w:r/>
      <w:bookmarkEnd w:id="92"/>
      <w:r/>
      <w:bookmarkStart w:id="93" w:name="_Hlt26954734"/>
      <w:r/>
      <w:bookmarkEnd w:id="93"/>
      <w:r/>
      <w:bookmarkStart w:id="94" w:name="_Hlt26670489"/>
      <w:r/>
      <w:bookmarkEnd w:id="94"/>
      <w:r/>
      <w:bookmarkStart w:id="95" w:name="_Hlt26954850"/>
      <w:r/>
      <w:bookmarkEnd w:id="95"/>
      <w:r/>
      <w:bookmarkStart w:id="96" w:name="_Toc14577360"/>
      <w:r/>
      <w:bookmarkStart w:id="97"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6"/>
      <w:r/>
      <w:bookmarkEnd w:id="97"/>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8" w:name="_Hlt26954739"/>
      <w:r/>
      <w:bookmarkEnd w:id="98"/>
      <w:r/>
      <w:bookmarkStart w:id="99" w:name="_Hlt26954852"/>
      <w:r/>
      <w:bookmarkEnd w:id="99"/>
      <w:r/>
      <w:bookmarkStart w:id="100" w:name="_Toc120614217"/>
      <w:r/>
      <w:bookmarkStart w:id="101" w:name="_Toc20823296"/>
      <w:r/>
      <w:bookmarkStart w:id="102" w:name="_Toc513029224"/>
      <w:r/>
      <w:bookmarkStart w:id="103" w:name="_Toc16938540"/>
      <w:r>
        <w:rPr>
          <w:rFonts w:hint="eastAsia" w:ascii="方正黑体_GBK" w:hAnsi="方正黑体_GBK" w:eastAsia="方正黑体_GBK" w:cs="方正黑体_GBK"/>
          <w:color w:val="000000"/>
          <w:sz w:val="28"/>
          <w:szCs w:val="28"/>
        </w:rPr>
        <w:t xml:space="preserve">四、投标文件的递交</w:t>
      </w:r>
      <w:bookmarkEnd w:id="100"/>
      <w:r/>
      <w:bookmarkEnd w:id="101"/>
      <w:r/>
      <w:bookmarkEnd w:id="102"/>
      <w:r/>
      <w:bookmarkEnd w:id="103"/>
      <w:r>
        <w:rPr>
          <w:rFonts w:hint="eastAsia" w:ascii="方正黑体_GBK" w:hAnsi="方正黑体_GBK" w:eastAsia="方正黑体_GBK" w:cs="方正黑体_GBK"/>
          <w:color w:val="000000"/>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5"/>
      <w:r/>
      <w:bookmarkStart w:id="105" w:name="_Toc462564084"/>
      <w:r/>
      <w:bookmarkStart w:id="106" w:name="_Toc16938541"/>
      <w:r/>
      <w:bookmarkStart w:id="107"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bookmarkEnd w:id="107"/>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8" w:name="_Toc513029226"/>
      <w:r/>
      <w:bookmarkStart w:id="109" w:name="_Toc16938542"/>
      <w:r/>
      <w:bookmarkStart w:id="110" w:name="_Toc20823298"/>
      <w:r>
        <w:rPr>
          <w:rFonts w:hint="eastAsia" w:ascii="方正仿宋_GBK" w:hAnsi="方正仿宋_GBK" w:eastAsia="方正仿宋_GBK" w:cs="方正仿宋_GBK"/>
          <w:bCs/>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8"/>
      <w:r/>
      <w:bookmarkEnd w:id="109"/>
      <w:r/>
      <w:bookmarkEnd w:id="110"/>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11" w:name="_Toc20823299"/>
      <w:r/>
      <w:bookmarkStart w:id="112" w:name="_Toc513029227"/>
      <w:r/>
      <w:bookmarkStart w:id="113"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11"/>
      <w:r/>
      <w:bookmarkEnd w:id="112"/>
      <w:r/>
      <w:bookmarkEnd w:id="113"/>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14" w:name="_Toc20823300"/>
      <w:r/>
      <w:bookmarkStart w:id="115" w:name="_Toc513029228"/>
      <w:r/>
      <w:bookmarkStart w:id="116"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14"/>
      <w:r/>
      <w:bookmarkEnd w:id="115"/>
      <w:r/>
      <w:bookmarkEnd w:id="116"/>
      <w:r>
        <w:rPr>
          <w:rFonts w:hint="eastAsia" w:ascii="方正仿宋_GBK" w:hAnsi="方正仿宋_GBK" w:eastAsia="方正仿宋_GBK" w:cs="方正仿宋_GBK"/>
          <w:b w:val="0"/>
          <w:bCs w:val="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7" w:name="_Toc16938545"/>
      <w:r/>
      <w:bookmarkStart w:id="118" w:name="_Toc20823301"/>
      <w:r/>
      <w:bookmarkStart w:id="119" w:name="_Toc513029229"/>
      <w:r/>
      <w:bookmarkStart w:id="120" w:name="_Toc120614218"/>
      <w:r>
        <w:rPr>
          <w:rFonts w:hint="eastAsia" w:ascii="方正黑体_GBK" w:hAnsi="方正黑体_GBK" w:eastAsia="方正黑体_GBK" w:cs="方正黑体_GBK"/>
          <w:color w:val="000000"/>
          <w:sz w:val="28"/>
          <w:szCs w:val="28"/>
        </w:rPr>
        <w:t xml:space="preserve">五、开标与评标</w:t>
      </w:r>
      <w:bookmarkEnd w:id="117"/>
      <w:r/>
      <w:bookmarkEnd w:id="118"/>
      <w:r/>
      <w:bookmarkEnd w:id="119"/>
      <w:r/>
      <w:bookmarkEnd w:id="120"/>
      <w:r>
        <w:rPr>
          <w:rFonts w:hint="eastAsia" w:ascii="方正黑体_GBK" w:hAnsi="方正黑体_GBK" w:eastAsia="方正黑体_GBK" w:cs="方正黑体_GBK"/>
          <w:color w:val="000000"/>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16938546"/>
      <w:r/>
      <w:bookmarkStart w:id="122" w:name="_Toc20823302"/>
      <w:r/>
      <w:bookmarkStart w:id="123"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21"/>
      <w:r/>
      <w:bookmarkEnd w:id="122"/>
      <w:r/>
      <w:bookmarkEnd w:id="123"/>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bookmarkStart w:id="124" w:name="_Toc16938547"/>
      <w:r/>
      <w:bookmarkStart w:id="125" w:name="_Toc20823303"/>
      <w:r/>
      <w:bookmarkStart w:id="126"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bookmarkEnd w:id="124"/>
      <w:r/>
      <w:bookmarkEnd w:id="125"/>
      <w:r/>
      <w:bookmarkEnd w:id="126"/>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bookmarkStart w:id="127" w:name="_Toc16938548"/>
      <w:r/>
      <w:bookmarkStart w:id="128" w:name="_Toc20823304"/>
      <w:r/>
      <w:bookmarkStart w:id="129"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7"/>
      <w:r/>
      <w:bookmarkEnd w:id="128"/>
      <w:r/>
      <w:bookmarkEnd w:id="129"/>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20823305"/>
      <w:r/>
      <w:bookmarkStart w:id="131" w:name="_Toc513029233"/>
      <w:r/>
      <w:bookmarkStart w:id="132" w:name="_Toc16938549"/>
      <w:r>
        <w:rPr>
          <w:rFonts w:hint="eastAsia" w:ascii="方正仿宋_GBK" w:hAnsi="方正仿宋_GBK" w:eastAsia="方正仿宋_GBK" w:cs="方正仿宋_GBK"/>
          <w:sz w:val="28"/>
          <w:szCs w:val="28"/>
          <w:lang w:val="en-US" w:eastAsia="zh-CN"/>
        </w:rPr>
        <w:t xml:space="preserve">24.对投标文件的初审</w:t>
      </w:r>
      <w:bookmarkEnd w:id="130"/>
      <w:r/>
      <w:bookmarkEnd w:id="131"/>
      <w:r/>
      <w:bookmarkEnd w:id="132"/>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16938550"/>
      <w:r/>
      <w:bookmarkStart w:id="134" w:name="_Toc20823306"/>
      <w:r/>
      <w:bookmarkStart w:id="135"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yellow"/>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33"/>
      <w:r/>
      <w:bookmarkEnd w:id="134"/>
      <w:r/>
      <w:bookmarkEnd w:id="135"/>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16938551"/>
      <w:r/>
      <w:bookmarkStart w:id="137" w:name="_Toc20823307"/>
      <w:r/>
      <w:bookmarkStart w:id="138"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19"/>
      <w:r>
        <w:rPr>
          <w:rFonts w:hint="eastAsia" w:ascii="方正黑体_GBK" w:hAnsi="方正黑体_GBK" w:eastAsia="方正黑体_GBK" w:cs="方正黑体_GBK"/>
          <w:color w:val="000000"/>
          <w:sz w:val="28"/>
          <w:szCs w:val="28"/>
        </w:rPr>
        <w:t xml:space="preserve">六、</w:t>
      </w:r>
      <w:bookmarkEnd w:id="136"/>
      <w:r/>
      <w:bookmarkEnd w:id="137"/>
      <w:r/>
      <w:bookmarkEnd w:id="138"/>
      <w:r>
        <w:rPr>
          <w:rFonts w:hint="eastAsia" w:ascii="方正黑体_GBK" w:hAnsi="方正黑体_GBK" w:eastAsia="方正黑体_GBK" w:cs="方正黑体_GBK"/>
          <w:color w:val="000000"/>
          <w:sz w:val="28"/>
          <w:szCs w:val="28"/>
        </w:rPr>
        <w:t xml:space="preserve">定标</w:t>
      </w:r>
      <w:bookmarkEnd w:id="139"/>
      <w:r>
        <w:rPr>
          <w:rFonts w:hint="eastAsia" w:ascii="方正黑体_GBK" w:hAnsi="方正黑体_GBK" w:eastAsia="方正黑体_GBK" w:cs="方正黑体_GBK"/>
          <w:color w:val="000000"/>
          <w:sz w:val="28"/>
          <w:szCs w:val="28"/>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0" w:name="_Toc513029238"/>
      <w:r/>
      <w:bookmarkStart w:id="141" w:name="_Toc16938554"/>
      <w:r/>
      <w:bookmarkStart w:id="142" w:name="_Toc20823310"/>
      <w:r>
        <w:rPr>
          <w:rFonts w:hint="eastAsia" w:ascii="方正仿宋_GBK" w:hAnsi="方正仿宋_GBK" w:eastAsia="方正仿宋_GBK" w:cs="方正仿宋_GBK"/>
          <w:sz w:val="28"/>
          <w:szCs w:val="28"/>
          <w:lang w:val="en-US" w:eastAsia="zh-CN"/>
        </w:rPr>
        <w:t xml:space="preserve">26</w:t>
      </w:r>
      <w:bookmarkEnd w:id="140"/>
      <w:r>
        <w:rPr>
          <w:rFonts w:hint="eastAsia" w:ascii="方正仿宋_GBK" w:hAnsi="方正仿宋_GBK" w:eastAsia="方正仿宋_GBK" w:cs="方正仿宋_GBK"/>
          <w:sz w:val="28"/>
          <w:szCs w:val="28"/>
          <w:lang w:val="en-US" w:eastAsia="zh-CN"/>
        </w:rPr>
        <w:t xml:space="preserve">.确定</w:t>
      </w:r>
      <w:bookmarkEnd w:id="141"/>
      <w:r/>
      <w:bookmarkEnd w:id="142"/>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3"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43"/>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yellow"/>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44" w:name="_Toc120614220"/>
      <w:r/>
      <w:bookmarkStart w:id="145" w:name="_Toc16938552"/>
      <w:r/>
      <w:bookmarkStart w:id="146" w:name="_Toc20823308"/>
      <w:r/>
      <w:bookmarkStart w:id="147" w:name="_Toc513029236"/>
      <w:r>
        <w:rPr>
          <w:rFonts w:hint="eastAsia" w:ascii="方正黑体_GBK" w:hAnsi="方正黑体_GBK" w:eastAsia="方正黑体_GBK" w:cs="方正黑体_GBK"/>
          <w:color w:val="000000"/>
          <w:sz w:val="28"/>
          <w:szCs w:val="28"/>
        </w:rPr>
        <w:t xml:space="preserve">七、授予合同</w:t>
      </w:r>
      <w:bookmarkEnd w:id="144"/>
      <w:r>
        <w:rPr>
          <w:rFonts w:hint="eastAsia" w:ascii="方正黑体_GBK" w:hAnsi="方正黑体_GBK" w:eastAsia="方正黑体_GBK" w:cs="方正黑体_GBK"/>
          <w:color w:val="000000"/>
          <w:sz w:val="28"/>
          <w:szCs w:val="28"/>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5"/>
      <w:r/>
      <w:bookmarkEnd w:id="146"/>
      <w:r/>
      <w:bookmarkEnd w:id="147"/>
      <w:r/>
      <w:bookmarkStart w:id="148" w:name="_Toc20823309"/>
      <w:r/>
      <w:bookmarkStart w:id="149" w:name="_Toc16938553"/>
      <w:r/>
      <w:bookmarkStart w:id="150"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8"/>
      <w:r/>
      <w:bookmarkEnd w:id="149"/>
      <w:r/>
      <w:bookmarkEnd w:id="150"/>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75"/>
        <w:spacing w:line="400" w:lineRule="exact"/>
        <w:rPr>
          <w:rFonts w:hint="eastAsia" w:ascii="宋体" w:hAnsi="宋体"/>
          <w:bCs/>
          <w:sz w:val="24"/>
        </w:rPr>
      </w:pPr>
      <w:r>
        <w:rPr>
          <w:rFonts w:hint="eastAsia" w:ascii="宋体" w:hAnsi="宋体"/>
          <w:bCs/>
          <w:sz w:val="24"/>
        </w:rPr>
      </w:r>
      <w:r/>
    </w:p>
    <w:p>
      <w:pPr>
        <w:pStyle w:val="96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75"/>
        <w:spacing w:line="400" w:lineRule="exact"/>
        <w:rPr>
          <w:rFonts w:hint="eastAsia" w:ascii="宋体" w:hAnsi="宋体"/>
          <w:bCs/>
          <w:sz w:val="24"/>
        </w:rPr>
      </w:pPr>
      <w:r>
        <w:rPr>
          <w:rFonts w:hint="eastAsia" w:ascii="宋体" w:hAnsi="宋体"/>
          <w:bCs/>
          <w:sz w:val="24"/>
        </w:rPr>
      </w:r>
      <w:r/>
    </w:p>
    <w:p>
      <w:pPr>
        <w:pStyle w:val="960"/>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45"/>
      <w:r/>
      <w:bookmarkEnd w:id="46"/>
      <w:r/>
      <w:bookmarkEnd w:id="47"/>
      <w:r/>
      <w:bookmarkEnd w:id="48"/>
      <w:r/>
      <w:bookmarkEnd w:id="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60"/>
        <w:ind w:firstLine="560"/>
        <w:spacing w:line="400" w:lineRule="exact"/>
        <w:rPr>
          <w:rFonts w:hint="eastAsia" w:ascii="方正仿宋_GBK" w:hAnsi="方正仿宋_GBK" w:eastAsia="方正仿宋_GBK" w:cs="方正仿宋_GBK"/>
          <w:bCs/>
          <w:sz w:val="28"/>
          <w:szCs w:val="28"/>
          <w:highlight w:val="yellow"/>
        </w:rPr>
      </w:pPr>
      <w:r/>
      <w:bookmarkStart w:id="151" w:name="_Toc513029243"/>
      <w:r/>
      <w:bookmarkStart w:id="152" w:name="_Toc16938559"/>
      <w:r/>
      <w:bookmarkStart w:id="153" w:name="_Toc20823315"/>
      <w:r>
        <w:rPr>
          <w:rFonts w:hint="eastAsia" w:ascii="方正仿宋_GBK" w:hAnsi="方正仿宋_GBK" w:eastAsia="方正仿宋_GBK" w:cs="方正仿宋_GBK"/>
          <w:bCs/>
          <w:sz w:val="28"/>
          <w:szCs w:val="28"/>
          <w:highlight w:val="yellow"/>
        </w:rPr>
      </w:r>
      <w:r/>
    </w:p>
    <w:p>
      <w:pPr>
        <w:pStyle w:val="99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9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60"/>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0"/>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6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6.1 乙方</w:t>
      </w:r>
      <w:r>
        <w:rPr>
          <w:rFonts w:hint="eastAsia" w:ascii="方正仿宋_GBK" w:hAnsi="方正仿宋_GBK" w:eastAsia="方正仿宋_GBK" w:cs="方正仿宋_GBK"/>
          <w:color w:val="000000"/>
          <w:sz w:val="28"/>
          <w:szCs w:val="28"/>
          <w:highlight w:val="none"/>
          <w:lang w:val="en-US" w:eastAsia="zh-CN"/>
        </w:rPr>
        <w:t xml:space="preserve">应于合同签订前</w:t>
      </w:r>
      <w:r>
        <w:rPr>
          <w:rFonts w:hint="eastAsia" w:ascii="方正仿宋_GBK" w:hAnsi="方正仿宋_GBK" w:eastAsia="方正仿宋_GBK" w:cs="方正仿宋_GBK"/>
          <w:color w:val="000000"/>
          <w:sz w:val="28"/>
          <w:szCs w:val="28"/>
          <w:highlight w:val="none"/>
        </w:rPr>
        <w:t xml:space="preserve">交纳人民币__每期合同金额的</w:t>
      </w: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rPr>
        <w:t xml:space="preserve">%__</w:t>
      </w:r>
      <w:r>
        <w:rPr>
          <w:rFonts w:hint="eastAsia" w:ascii="方正仿宋_GBK" w:hAnsi="方正仿宋_GBK" w:eastAsia="方正仿宋_GBK" w:cs="方正仿宋_GBK"/>
          <w:color w:val="000000"/>
          <w:sz w:val="28"/>
          <w:szCs w:val="28"/>
          <w:highlight w:val="none"/>
          <w:lang w:val="en-US" w:eastAsia="zh-CN"/>
        </w:rPr>
        <w:t xml:space="preserve">万元</w:t>
      </w:r>
      <w:r>
        <w:rPr>
          <w:rFonts w:hint="eastAsia" w:ascii="方正仿宋_GBK" w:hAnsi="方正仿宋_GBK" w:eastAsia="方正仿宋_GBK" w:cs="方正仿宋_GBK"/>
          <w:color w:val="000000"/>
          <w:sz w:val="28"/>
          <w:szCs w:val="28"/>
          <w:highlight w:val="none"/>
        </w:rPr>
        <w:t xml:space="preserve">作为本期合同的履约保证金。</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具体金额以中标价为准）</w:t>
      </w:r>
      <w:r>
        <w:rPr>
          <w:rFonts w:ascii="方正仿宋_GBK" w:hAnsi="方正仿宋_GBK" w:eastAsia="方正仿宋_GBK" w:cs="方正仿宋_GBK"/>
          <w:sz w:val="28"/>
          <w:szCs w:val="28"/>
          <w:highlight w:val="none"/>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履约保证金的形式：银行保函、转账支票、本票、汇票、电汇。</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按照履约保证金缴纳方式原路返还。</w:t>
      </w:r>
      <w:r>
        <w:rPr>
          <w:rFonts w:hint="eastAsia" w:ascii="方正仿宋_GBK" w:hAnsi="方正仿宋_GBK" w:eastAsia="方正仿宋_GBK" w:cs="方正仿宋_GBK"/>
          <w:bCs/>
          <w:sz w:val="28"/>
          <w:szCs w:val="28"/>
        </w:rPr>
        <w:t xml:space="preserve">履约保证金不计利息。</w:t>
      </w:r>
      <w:r>
        <w:rPr>
          <w:rFonts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6.2.2履约保证金退还时间：在本期合同履行完毕，甲方验收合格，无任何服务和质量问题，且交接进驻手续完成，</w:t>
      </w:r>
      <w:r>
        <w:rPr>
          <w:rFonts w:hint="eastAsia" w:ascii="方正仿宋_GBK" w:hAnsi="方正仿宋_GBK" w:eastAsia="方正仿宋_GBK" w:cs="方正仿宋_GBK"/>
          <w:bCs/>
          <w:sz w:val="28"/>
          <w:szCs w:val="28"/>
        </w:rPr>
        <w:t xml:space="preserve">乙方提交书面申请后</w:t>
      </w:r>
      <w:r>
        <w:rPr>
          <w:rFonts w:ascii="方正仿宋_GBK" w:hAnsi="方正仿宋_GBK" w:eastAsia="方正仿宋_GBK" w:cs="方正仿宋_GBK"/>
          <w:sz w:val="28"/>
          <w:szCs w:val="28"/>
        </w:rPr>
        <w:t xml:space="preserve">15个工作日内无息退还</w:t>
      </w:r>
      <w:r>
        <w:rPr>
          <w:rFonts w:hint="eastAsia" w:ascii="方正仿宋_GBK" w:hAnsi="方正仿宋_GBK" w:eastAsia="方正仿宋_GBK" w:cs="方正仿宋_GBK"/>
          <w:bCs/>
          <w:sz w:val="28"/>
          <w:szCs w:val="28"/>
        </w:rPr>
        <w:t xml:space="preserve">剩余的履约保证金</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6.2.3履约保证金退还条件：本期合同履行完毕，甲方验收合格，无任何服务和质量</w:t>
      </w:r>
      <w:r>
        <w:rPr>
          <w:rFonts w:hint="eastAsia" w:ascii="方正仿宋_GBK" w:hAnsi="方正仿宋_GBK" w:eastAsia="方正仿宋_GBK" w:cs="方正仿宋_GBK"/>
          <w:sz w:val="28"/>
          <w:szCs w:val="28"/>
          <w:highlight w:val="none"/>
        </w:rPr>
        <w:t xml:space="preserve">问题，且</w:t>
      </w:r>
      <w:r>
        <w:rPr>
          <w:rFonts w:hint="eastAsia" w:ascii="方正仿宋_GBK" w:hAnsi="方正仿宋_GBK" w:eastAsia="方正仿宋_GBK" w:cs="方正仿宋_GBK"/>
          <w:sz w:val="28"/>
          <w:szCs w:val="28"/>
          <w:highlight w:val="none"/>
          <w:lang w:val="en-US" w:eastAsia="zh-CN"/>
        </w:rPr>
        <w:t xml:space="preserve">相关</w:t>
      </w:r>
      <w:r>
        <w:rPr>
          <w:rFonts w:hint="eastAsia" w:ascii="方正仿宋_GBK" w:hAnsi="方正仿宋_GBK" w:eastAsia="方正仿宋_GBK" w:cs="方正仿宋_GBK"/>
          <w:sz w:val="28"/>
          <w:szCs w:val="28"/>
          <w:highlight w:val="none"/>
        </w:rPr>
        <w:t xml:space="preserve">交</w:t>
      </w:r>
      <w:r>
        <w:rPr>
          <w:rFonts w:hint="eastAsia" w:ascii="方正仿宋_GBK" w:hAnsi="方正仿宋_GBK" w:eastAsia="方正仿宋_GBK" w:cs="方正仿宋_GBK"/>
          <w:sz w:val="28"/>
          <w:szCs w:val="28"/>
        </w:rPr>
        <w:t xml:space="preserve">接进驻手续完成。</w:t>
      </w:r>
      <w:r>
        <w:rPr>
          <w:rFonts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ascii="方正仿宋_GBK" w:hAnsi="方正仿宋_GBK" w:eastAsia="方正仿宋_GBK" w:cs="方正仿宋_GBK"/>
          <w:sz w:val="28"/>
          <w:szCs w:val="28"/>
        </w:rPr>
        <w:t xml:space="preserve">若</w:t>
      </w:r>
      <w:r>
        <w:rPr>
          <w:rFonts w:hint="eastAsia" w:ascii="方正仿宋_GBK" w:hAnsi="方正仿宋_GBK" w:eastAsia="方正仿宋_GBK" w:cs="方正仿宋_GBK"/>
          <w:sz w:val="28"/>
          <w:szCs w:val="28"/>
        </w:rPr>
        <w:t xml:space="preserve">乙方发生不能交付服务等</w:t>
      </w:r>
      <w:r>
        <w:rPr>
          <w:rFonts w:ascii="方正仿宋_GBK" w:hAnsi="方正仿宋_GBK" w:eastAsia="方正仿宋_GBK" w:cs="方正仿宋_GBK"/>
          <w:sz w:val="28"/>
          <w:szCs w:val="28"/>
        </w:rPr>
        <w:t xml:space="preserve">违约</w:t>
      </w:r>
      <w:r>
        <w:rPr>
          <w:rFonts w:hint="eastAsia" w:ascii="方正仿宋_GBK" w:hAnsi="方正仿宋_GBK" w:eastAsia="方正仿宋_GBK" w:cs="方正仿宋_GBK"/>
          <w:sz w:val="28"/>
          <w:szCs w:val="28"/>
        </w:rPr>
        <w:t xml:space="preserve">行为</w:t>
      </w:r>
      <w:r>
        <w:rPr>
          <w:rFonts w:ascii="方正仿宋_GBK" w:hAnsi="方正仿宋_GBK" w:eastAsia="方正仿宋_GBK" w:cs="方正仿宋_GBK"/>
          <w:sz w:val="28"/>
          <w:szCs w:val="28"/>
        </w:rPr>
        <w:t xml:space="preserve">导致合同终止的，该</w:t>
      </w:r>
      <w:r>
        <w:rPr>
          <w:rFonts w:hint="eastAsia" w:ascii="方正仿宋_GBK" w:hAnsi="方正仿宋_GBK" w:eastAsia="方正仿宋_GBK" w:cs="方正仿宋_GBK"/>
          <w:sz w:val="28"/>
          <w:szCs w:val="28"/>
        </w:rPr>
        <w:t xml:space="preserve">履约</w:t>
      </w:r>
      <w:r>
        <w:rPr>
          <w:rFonts w:ascii="方正仿宋_GBK" w:hAnsi="方正仿宋_GBK" w:eastAsia="方正仿宋_GBK" w:cs="方正仿宋_GBK"/>
          <w:sz w:val="28"/>
          <w:szCs w:val="28"/>
        </w:rPr>
        <w:t xml:space="preserve">保证金将根据合同约定不予退还。</w:t>
      </w:r>
      <w:r>
        <w:rPr>
          <w:rFonts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 xml:space="preserve">8.1合同款项的支付方式及进度安排</w:t>
      </w:r>
      <w:r>
        <w:rPr>
          <w:rFonts w:hint="eastAsia" w:ascii="方正仿宋_GBK" w:hAnsi="方正仿宋_GBK" w:eastAsia="方正仿宋_GBK" w:cs="方正仿宋_GBK"/>
          <w:bCs/>
          <w:sz w:val="28"/>
          <w:szCs w:val="28"/>
          <w:lang w:val="en-US"/>
        </w:rPr>
      </w:r>
      <w:r/>
    </w:p>
    <w:p>
      <w:pPr>
        <w:pStyle w:val="999"/>
        <w:ind w:firstLine="560"/>
        <w:spacing w:before="120" w:after="120" w:line="400" w:lineRule="exact"/>
        <w:rPr>
          <w:rFonts w:hint="eastAsia" w:ascii="方正仿宋_GBK" w:hAnsi="方正仿宋_GBK" w:eastAsia="方正仿宋_GBK" w:cs="方正仿宋_GBK"/>
          <w:bCs/>
          <w:sz w:val="28"/>
          <w:szCs w:val="28"/>
          <w:highlight w:val="none"/>
          <w:lang w:val="en-US"/>
        </w:rPr>
      </w:pPr>
      <w:r>
        <w:rPr>
          <w:rFonts w:hint="eastAsia" w:ascii="方正仿宋_GBK" w:hAnsi="方正仿宋_GBK" w:eastAsia="方正仿宋_GBK" w:cs="方正仿宋_GBK"/>
          <w:bCs/>
          <w:sz w:val="28"/>
          <w:szCs w:val="28"/>
          <w:highlight w:val="none"/>
          <w:lang w:val="en-US" w:eastAsia="zh-CN"/>
        </w:rPr>
        <w:t xml:space="preserve">8.1.1 预付款支付时间：合同签订后30日内，预付款支付比例：当期合同金额的10%。</w:t>
      </w:r>
      <w:r>
        <w:rPr>
          <w:rFonts w:hint="eastAsia" w:ascii="方正仿宋_GBK" w:hAnsi="方正仿宋_GBK" w:eastAsia="方正仿宋_GBK" w:cs="方正仿宋_GBK"/>
          <w:bCs/>
          <w:sz w:val="28"/>
          <w:szCs w:val="28"/>
          <w:highlight w:val="none"/>
          <w:lang w:val="en-US"/>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en-US" w:eastAsia="zh-CN"/>
        </w:rPr>
        <w:t xml:space="preserve">8.1.2 尾款支付时间：</w:t>
      </w:r>
      <w:r>
        <w:rPr>
          <w:rFonts w:hint="eastAsia" w:ascii="方正仿宋_GBK" w:hAnsi="方正仿宋_GBK" w:eastAsia="方正仿宋_GBK" w:cs="方正仿宋_GBK"/>
          <w:sz w:val="28"/>
          <w:szCs w:val="28"/>
          <w:highlight w:val="none"/>
        </w:rPr>
        <w:t xml:space="preserve">服务费用按学期结算，甲方每学期末根据该学期各月份考核结果的平均值，按照《泰州学院采购履约验收管理办法（试行）》组织验收，验收合格（平均值≥75分为验收合格的必备条件），乙方开具</w:t>
      </w:r>
      <w:r>
        <w:rPr>
          <w:rFonts w:hint="eastAsia" w:ascii="方正仿宋_GBK" w:hAnsi="方正仿宋_GBK" w:eastAsia="方正仿宋_GBK" w:cs="方正仿宋_GBK"/>
          <w:sz w:val="28"/>
          <w:szCs w:val="28"/>
          <w:highlight w:val="none"/>
          <w:lang w:val="en-US" w:eastAsia="zh-CN"/>
        </w:rPr>
        <w:t xml:space="preserve">扣除预付款后</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val="en-US" w:eastAsia="zh-CN"/>
        </w:rPr>
        <w:t xml:space="preserve">该学期相关费用的</w:t>
      </w:r>
      <w:r>
        <w:rPr>
          <w:rFonts w:hint="eastAsia" w:ascii="方正仿宋_GBK" w:hAnsi="方正仿宋_GBK" w:eastAsia="方正仿宋_GBK" w:cs="方正仿宋_GBK"/>
          <w:sz w:val="28"/>
          <w:szCs w:val="28"/>
          <w:highlight w:val="none"/>
        </w:rPr>
        <w:t xml:space="preserve">增值税发票。甲方在收到发票后10个工作日内</w:t>
      </w:r>
      <w:r>
        <w:rPr>
          <w:rFonts w:hint="eastAsia" w:ascii="方正仿宋_GBK" w:hAnsi="方正仿宋_GBK" w:eastAsia="方正仿宋_GBK" w:cs="方正仿宋_GBK"/>
          <w:sz w:val="28"/>
          <w:szCs w:val="28"/>
          <w:highlight w:val="none"/>
          <w:lang w:val="en-US" w:eastAsia="zh-CN"/>
        </w:rPr>
        <w:t xml:space="preserve">予以</w:t>
      </w:r>
      <w:r>
        <w:rPr>
          <w:rFonts w:hint="eastAsia" w:ascii="方正仿宋_GBK" w:hAnsi="方正仿宋_GBK" w:eastAsia="方正仿宋_GBK" w:cs="方正仿宋_GBK"/>
          <w:sz w:val="28"/>
          <w:szCs w:val="28"/>
          <w:highlight w:val="none"/>
        </w:rPr>
        <w:t xml:space="preserve">支付。如验收不合格，甲方有权解除合同并追究其违约责任。</w:t>
      </w:r>
      <w:r>
        <w:rPr>
          <w:rFonts w:hint="eastAsia" w:ascii="方正仿宋_GBK" w:hAnsi="方正仿宋_GBK" w:eastAsia="方正仿宋_GBK" w:cs="方正仿宋_GBK"/>
          <w:sz w:val="28"/>
          <w:szCs w:val="28"/>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w:t>
      </w:r>
      <w:r>
        <w:rPr>
          <w:rFonts w:hint="eastAsia" w:ascii="方正仿宋_GBK" w:hAnsi="方正仿宋_GBK" w:eastAsia="方正仿宋_GBK" w:cs="方正仿宋_GBK"/>
          <w:sz w:val="28"/>
          <w:szCs w:val="28"/>
          <w:highlight w:val="none"/>
        </w:rPr>
        <w:t xml:space="preserve">，甲</w:t>
      </w:r>
      <w:r>
        <w:rPr>
          <w:rFonts w:hint="eastAsia" w:ascii="方正仿宋_GBK" w:hAnsi="方正仿宋_GBK" w:eastAsia="方正仿宋_GBK" w:cs="方正仿宋_GBK"/>
          <w:sz w:val="28"/>
          <w:szCs w:val="28"/>
        </w:rPr>
        <w:t xml:space="preserve">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w:t>
      </w:r>
      <w:r>
        <w:rPr>
          <w:rFonts w:hint="eastAsia" w:ascii="方正仿宋_GBK" w:hAnsi="方正仿宋_GBK" w:eastAsia="方正仿宋_GBK" w:cs="方正仿宋_GBK"/>
          <w:sz w:val="28"/>
          <w:szCs w:val="28"/>
          <w:highlight w:val="none"/>
        </w:rPr>
        <w:t xml:space="preserve">影响期相同</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9"/>
        <w:jc w:val="center"/>
        <w:spacing w:before="120" w:after="120" w:line="400" w:lineRule="exact"/>
        <w:rPr>
          <w:sz w:val="28"/>
          <w:szCs w:val="28"/>
        </w:rPr>
      </w:pPr>
      <w:r>
        <w:rPr>
          <w:rFonts w:hint="eastAsia"/>
          <w:sz w:val="28"/>
          <w:szCs w:val="28"/>
        </w:rPr>
        <w:t xml:space="preserve">                                         </w:t>
      </w:r>
      <w:r>
        <w:rPr>
          <w:sz w:val="28"/>
          <w:szCs w:val="28"/>
        </w:rPr>
      </w:r>
      <w:r/>
    </w:p>
    <w:p>
      <w:pPr>
        <w:pStyle w:val="999"/>
        <w:jc w:val="right"/>
        <w:spacing w:before="120" w:after="120" w:line="400" w:lineRule="exact"/>
        <w:rPr>
          <w:sz w:val="28"/>
          <w:szCs w:val="28"/>
        </w:rPr>
      </w:pPr>
      <w:r>
        <w:rPr>
          <w:rFonts w:hint="eastAsia"/>
          <w:sz w:val="28"/>
          <w:szCs w:val="28"/>
        </w:rPr>
        <w:t xml:space="preserve"> </w:t>
      </w:r>
      <w:r>
        <w:rPr>
          <w:sz w:val="28"/>
          <w:szCs w:val="28"/>
        </w:rPr>
      </w:r>
      <w:r/>
    </w:p>
    <w:p>
      <w:pPr>
        <w:pStyle w:val="999"/>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99"/>
        <w:ind w:firstLine="560"/>
        <w:spacing w:before="120" w:after="120" w:line="400" w:lineRule="exact"/>
        <w:rPr>
          <w:rFonts w:hint="eastAsia" w:ascii="方正黑体_GBK" w:hAnsi="方正黑体_GBK" w:eastAsia="方正黑体_GBK" w:cs="方正黑体_GBK"/>
          <w:bCs/>
          <w:sz w:val="28"/>
          <w:szCs w:val="28"/>
        </w:rPr>
      </w:pPr>
      <w:r/>
      <w:bookmarkStart w:id="161" w:name="_Toc49090575"/>
      <w:r/>
      <w:bookmarkStart w:id="162" w:name="_Toc26554093"/>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05"/>
        <w:gridCol w:w="3792"/>
        <w:gridCol w:w="2815"/>
      </w:tblGrid>
      <w:tr>
        <w:trPr>
          <w:cantSplit/>
          <w:trHeight w:val="701"/>
        </w:trPr>
        <w:tc>
          <w:tcPr>
            <w:tcW w:w="79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90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792"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81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645"/>
        </w:trPr>
        <w:tc>
          <w:tcPr>
            <w:tcW w:w="790" w:type="dxa"/>
            <w:vAlign w:val="center"/>
            <w:textDirection w:val="lrTb"/>
            <w:noWrap w:val="false"/>
          </w:tcPr>
          <w:p>
            <w:pPr>
              <w:pStyle w:val="9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90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92" w:type="dxa"/>
            <w:vAlign w:val="top"/>
            <w:textDirection w:val="lrTb"/>
            <w:noWrap w:val="false"/>
          </w:tcPr>
          <w:p>
            <w:pPr>
              <w:pStyle w:val="960"/>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泰州学院2026年8月-2029年7月物业管理服务采购项目</w:t>
            </w:r>
            <w:r>
              <w:rPr>
                <w:rFonts w:hint="eastAsia" w:ascii="方正仿宋_GBK" w:hAnsi="方正仿宋_GBK" w:eastAsia="方正仿宋_GBK" w:cs="方正仿宋_GBK"/>
                <w:sz w:val="28"/>
                <w:szCs w:val="28"/>
              </w:rPr>
            </w:r>
            <w:r/>
          </w:p>
        </w:tc>
        <w:tc>
          <w:tcPr>
            <w:tcW w:w="2815" w:type="dxa"/>
            <w:vAlign w:val="center"/>
            <w:textDirection w:val="lrTb"/>
            <w:noWrap w:val="false"/>
          </w:tcPr>
          <w:p>
            <w:pPr>
              <w:pStyle w:val="960"/>
              <w:jc w:val="center"/>
              <w:spacing w:line="400" w:lineRule="exact"/>
              <w:tabs>
                <w:tab w:val="left" w:pos="2020" w:leader="none"/>
              </w:tabs>
              <w:rPr>
                <w:rFonts w:hint="eastAsia" w:ascii="Times New Roman" w:hAnsi="Times New Roman" w:eastAsia="方正仿宋_GBK"/>
                <w:color w:val="000000"/>
                <w:sz w:val="28"/>
                <w:szCs w:val="28"/>
              </w:rPr>
            </w:pPr>
            <w:r>
              <w:rPr>
                <w:rFonts w:hint="eastAsia" w:ascii="Times New Roman" w:hAnsi="Times New Roman" w:eastAsia="方正仿宋_GBK"/>
                <w:color w:val="000000"/>
                <w:sz w:val="28"/>
                <w:szCs w:val="28"/>
              </w:rPr>
              <w:t xml:space="preserve">物业服务管理</w:t>
            </w:r>
            <w:r>
              <w:rPr>
                <w:rFonts w:hint="eastAsia" w:ascii="Times New Roman" w:hAnsi="Times New Roman" w:eastAsia="方正仿宋_GBK"/>
                <w:color w:val="000000"/>
                <w:sz w:val="28"/>
                <w:szCs w:val="28"/>
              </w:rPr>
            </w:r>
            <w:r/>
          </w:p>
        </w:tc>
      </w:tr>
    </w:tbl>
    <w:p>
      <w:pPr>
        <w:pStyle w:val="999"/>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60"/>
        <w:ind w:firstLine="560"/>
        <w:spacing w:line="400" w:lineRule="exact"/>
        <w:rPr>
          <w:rFonts w:hint="eastAsia" w:ascii="宋体" w:hAnsi="宋体"/>
          <w:b/>
          <w:bCs/>
          <w:sz w:val="28"/>
          <w:szCs w:val="28"/>
        </w:rPr>
      </w:pPr>
      <w:r>
        <w:rPr>
          <w:rFonts w:hint="eastAsia" w:ascii="方正仿宋_GBK" w:hAnsi="方正仿宋_GBK" w:eastAsia="方正仿宋_GBK" w:cs="方正仿宋_GBK"/>
          <w:sz w:val="28"/>
          <w:szCs w:val="28"/>
        </w:rPr>
        <w:t xml:space="preserve">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宋体" w:hAnsi="宋体"/>
          <w:b/>
          <w:bCs/>
          <w:sz w:val="28"/>
          <w:szCs w:val="28"/>
        </w:rPr>
      </w:r>
      <w:r/>
    </w:p>
    <w:p>
      <w:pPr>
        <w:pStyle w:val="960"/>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三、项目概况</w:t>
      </w:r>
      <w:r>
        <w:rPr>
          <w:rFonts w:hint="eastAsia" w:ascii="方正仿宋_GBK" w:hAnsi="方正仿宋_GBK" w:eastAsia="方正仿宋_GBK" w:cs="方正仿宋_GBK"/>
          <w:b/>
          <w:bCs/>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泰州学院位于泰州市海陵区济川东路93号。本项目托管范围建筑物面积357283.14平方米。本项目物业承接服务包含：（1）楼宇管理服务；（2）宿舍公寓管理服务；（3）公共设施管理服务；（4）环境卫生管理服务；（5）小型维修服务。</w:t>
      </w:r>
      <w:r>
        <w:rPr>
          <w:rFonts w:hint="eastAsia" w:ascii="方正仿宋_GBK" w:hAnsi="方正仿宋_GBK" w:eastAsia="方正仿宋_GBK" w:cs="方正仿宋_GBK"/>
          <w:sz w:val="28"/>
          <w:szCs w:val="28"/>
        </w:rPr>
      </w:r>
      <w:r/>
    </w:p>
    <w:p>
      <w:pPr>
        <w:pStyle w:val="960"/>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四、服务主要区域和特殊要求</w:t>
      </w:r>
      <w:r>
        <w:rPr>
          <w:rFonts w:hint="eastAsia" w:ascii="方正仿宋_GBK" w:hAnsi="方正仿宋_GBK" w:eastAsia="方正仿宋_GBK" w:cs="方正仿宋_GBK"/>
          <w:b/>
          <w:bCs/>
          <w:sz w:val="28"/>
          <w:szCs w:val="28"/>
        </w:rPr>
      </w:r>
      <w:r/>
    </w:p>
    <w:p>
      <w:pPr>
        <w:pStyle w:val="960"/>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（一）托管范围平面图</w:t>
      </w:r>
      <w:r>
        <w:rPr>
          <w:rFonts w:hint="eastAsia" w:ascii="方正仿宋_GBK" w:hAnsi="方正仿宋_GBK" w:eastAsia="方正仿宋_GBK" w:cs="方正仿宋_GBK"/>
          <w:b/>
          <w:bCs/>
          <w:sz w:val="28"/>
          <w:szCs w:val="28"/>
        </w:rPr>
      </w:r>
      <w:r/>
    </w:p>
    <w:p>
      <w:pPr>
        <w:pStyle w:val="960"/>
        <w:ind w:firstLine="240"/>
        <w:rPr>
          <w:rFonts w:ascii="仿宋" w:hAnsi="仿宋" w:eastAsia="仿宋"/>
          <w:sz w:val="24"/>
          <w:szCs w:val="24"/>
        </w:rPr>
      </w:pPr>
      <w:r>
        <w:rPr>
          <w:rFonts w:ascii="仿宋" w:hAnsi="仿宋" w:eastAsia="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right</wp:align>
                </wp:positionH>
                <wp:positionV relativeFrom="paragraph">
                  <wp:posOffset>46990</wp:posOffset>
                </wp:positionV>
                <wp:extent cx="5274310" cy="36442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4310" cy="364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so-position-horizontal:right;mso-position-vertical-relative:text;margin-top:3.7pt;mso-position-vertical:absolute;width:415.3pt;height:286.9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ascii="仿宋" w:hAnsi="仿宋" w:eastAsia="仿宋"/>
          <w:sz w:val="24"/>
          <w:szCs w:val="24"/>
        </w:rPr>
        <w:t xml:space="preserve">备注：上图标红部分为本次招标物业管理服务范围。</w:t>
      </w:r>
      <w:r>
        <w:rPr>
          <w:rFonts w:ascii="仿宋" w:hAnsi="仿宋" w:eastAsia="仿宋"/>
          <w:sz w:val="24"/>
          <w:szCs w:val="24"/>
        </w:rPr>
      </w:r>
      <w:r/>
    </w:p>
    <w:p>
      <w:pPr>
        <w:pStyle w:val="960"/>
        <w:ind w:firstLine="562"/>
        <w:jc w:val="left"/>
        <w:spacing w:line="440" w:lineRule="exact"/>
        <w:widowControl/>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（二）托管范围建筑物面积（平方）</w:t>
      </w:r>
      <w:r>
        <w:rPr>
          <w:rFonts w:hint="eastAsia" w:ascii="方正仿宋_GB2312" w:hAnsi="方正仿宋_GB2312" w:eastAsia="方正仿宋_GB2312" w:cs="方正仿宋_GB2312"/>
          <w:b/>
          <w:bCs/>
          <w:sz w:val="28"/>
          <w:szCs w:val="28"/>
        </w:rPr>
      </w:r>
      <w:r/>
    </w:p>
    <w:tbl>
      <w:tblPr>
        <w:tblW w:w="8931" w:type="dxa"/>
        <w:tblInd w:w="-255" w:type="dxa"/>
        <w:tblLayout w:type="fixed"/>
        <w:tblCellMar>
          <w:left w:w="108" w:type="dxa"/>
          <w:top w:w="0" w:type="dxa"/>
          <w:right w:w="108" w:type="dxa"/>
          <w:bottom w:w="0" w:type="dxa"/>
        </w:tblCellMar>
        <w:tblLook w:val="04A0" w:firstRow="1" w:lastRow="0" w:firstColumn="1" w:lastColumn="0" w:noHBand="0" w:noVBand="1"/>
      </w:tblPr>
      <w:tblGrid>
        <w:gridCol w:w="1673"/>
        <w:gridCol w:w="1559"/>
        <w:gridCol w:w="1276"/>
        <w:gridCol w:w="850"/>
        <w:gridCol w:w="1730"/>
        <w:gridCol w:w="1843"/>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楼宇名称</w:t>
            </w:r>
            <w:r>
              <w:rPr>
                <w:rFonts w:hint="eastAsia" w:ascii="方正仿宋_GB2312" w:hAnsi="方正仿宋_GB2312" w:eastAsia="方正仿宋_GB2312" w:cs="方正仿宋_GB2312"/>
                <w:b/>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总面积</w:t>
            </w:r>
            <w:r>
              <w:rPr>
                <w:rFonts w:hint="eastAsia" w:ascii="方正仿宋_GB2312" w:hAnsi="方正仿宋_GB2312" w:eastAsia="方正仿宋_GB2312" w:cs="方正仿宋_GB2312"/>
                <w:b/>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地下室</w:t>
            </w:r>
            <w:r>
              <w:rPr>
                <w:rFonts w:hint="eastAsia" w:ascii="方正仿宋_GB2312" w:hAnsi="方正仿宋_GB2312" w:eastAsia="方正仿宋_GB2312" w:cs="方正仿宋_GB2312"/>
                <w:b/>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楼层</w:t>
            </w:r>
            <w:r>
              <w:rPr>
                <w:rFonts w:hint="eastAsia" w:ascii="方正仿宋_GB2312" w:hAnsi="方正仿宋_GB2312" w:eastAsia="方正仿宋_GB2312" w:cs="方正仿宋_GB2312"/>
                <w:b/>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公共卫生间/残卫/淋浴间</w:t>
            </w:r>
            <w:r>
              <w:rPr>
                <w:rFonts w:hint="eastAsia" w:ascii="方正仿宋_GB2312" w:hAnsi="方正仿宋_GB2312" w:eastAsia="方正仿宋_GB2312" w:cs="方正仿宋_GB2312"/>
                <w:b/>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备注</w:t>
            </w:r>
            <w:r>
              <w:rPr>
                <w:rFonts w:hint="eastAsia" w:ascii="方正仿宋_GB2312" w:hAnsi="方正仿宋_GB2312" w:eastAsia="方正仿宋_GB2312" w:cs="方正仿宋_GB2312"/>
                <w:b/>
                <w:sz w:val="28"/>
                <w:szCs w:val="28"/>
              </w:rPr>
            </w:r>
            <w:r/>
          </w:p>
        </w:tc>
      </w:tr>
      <w:tr>
        <w:trPr>
          <w:trHeight w:val="498"/>
        </w:trPr>
        <w:tc>
          <w:tcPr>
            <w:tcBorders>
              <w:top w:val="single" w:color="000000" w:sz="4" w:space="0"/>
              <w:left w:val="single" w:color="000000" w:sz="4" w:space="0"/>
              <w:bottom w:val="none" w:color="000000" w:sz="0"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行政办公楼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28321.40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6091</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32/8/2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none" w:color="000000" w:sz="0"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艺术楼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31584.84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10995.25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32/8/0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实验实训楼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30797.65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ind w:firstLine="5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30/10/0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教学楼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34904.49</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4105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30/5/0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图书馆</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37764.4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7748.79</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30/12/0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大学生活动</w:t>
            </w:r>
            <w:r>
              <w:rPr>
                <w:rFonts w:hint="eastAsia" w:ascii="方正仿宋_GB2312" w:hAnsi="方正仿宋_GB2312" w:eastAsia="方正仿宋_GB2312" w:cs="方正仿宋_GB2312"/>
                <w:sz w:val="28"/>
                <w:szCs w:val="28"/>
              </w:rPr>
            </w:r>
            <w:r/>
          </w:p>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中心</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17106.23</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2136.41</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20/8/0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含西南角楼7837.82平方</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综合教学楼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39522.66</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44/18/0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含3栋办公楼、东侧辅楼和连廊</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音乐楼</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13338.22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14/0/0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人才公寓</w:t>
            </w:r>
            <w:r>
              <w:rPr>
                <w:rFonts w:hint="eastAsia" w:ascii="方正仿宋_GB2312" w:hAnsi="方正仿宋_GB2312" w:eastAsia="方正仿宋_GB2312" w:cs="方正仿宋_GB2312"/>
                <w:sz w:val="28"/>
                <w:szCs w:val="28"/>
              </w:rPr>
            </w:r>
            <w:r/>
          </w:p>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（南侧）</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5795.62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9383.81</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洗衣房1间</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地下室面积</w:t>
            </w:r>
            <w:r>
              <w:rPr>
                <w:rFonts w:hint="eastAsia" w:ascii="方正仿宋_GB2312" w:hAnsi="方正仿宋_GB2312" w:eastAsia="方正仿宋_GB2312" w:cs="方正仿宋_GB2312"/>
                <w:sz w:val="28"/>
                <w:szCs w:val="28"/>
              </w:rPr>
            </w:r>
            <w:r/>
          </w:p>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包含北侧楼</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学生公寓ABC</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35368.86</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36/0/36</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含楼宇间连廊和架空层</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学生公寓DEF</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37433.58</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38/0/36</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含楼宇间连廊和商铺</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学生公寓GHI</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45345.19</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33/0/0</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含架空层</w:t>
            </w:r>
            <w:r>
              <w:rPr>
                <w:rFonts w:hint="eastAsia" w:ascii="方正仿宋_GB2312" w:hAnsi="方正仿宋_GB2312" w:eastAsia="方正仿宋_GB2312" w:cs="方正仿宋_GB2312"/>
                <w:sz w:val="28"/>
                <w:szCs w:val="28"/>
              </w:rPr>
            </w:r>
            <w:r/>
          </w:p>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和一楼用房</w:t>
            </w:r>
            <w:r>
              <w:rPr>
                <w:rFonts w:hint="eastAsia" w:ascii="方正仿宋_GB2312" w:hAnsi="方正仿宋_GB2312" w:eastAsia="方正仿宋_GB2312" w:cs="方正仿宋_GB2312"/>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67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合计</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357283.14</w:t>
            </w: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pStyle w:val="960"/>
              <w:ind w:firstLine="405"/>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960"/>
              <w:ind w:firstLine="405"/>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pStyle w:val="960"/>
        <w:ind w:firstLine="482"/>
        <w:spacing w:line="0" w:lineRule="atLeas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备注：1.总面积中包括地下室面积；2.公共卫生间数量为男女分别统计数，学生公寓ABC和DEF公共卫生间和淋浴房以一大间为统计数，学生公寓GHI公共卫生间平时常闭。</w:t>
      </w:r>
      <w:r>
        <w:rPr>
          <w:rFonts w:ascii="方正仿宋_GB2312" w:hAnsi="方正仿宋_GB2312" w:eastAsia="方正仿宋_GB2312" w:cs="方正仿宋_GB2312"/>
          <w:sz w:val="28"/>
          <w:szCs w:val="28"/>
        </w:rPr>
      </w:r>
      <w:r/>
    </w:p>
    <w:p>
      <w:pPr>
        <w:pStyle w:val="960"/>
        <w:ind w:firstLine="482"/>
        <w:spacing w:line="0" w:lineRule="atLeast"/>
        <w:rPr>
          <w:rFonts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（三）特殊要求</w:t>
      </w:r>
      <w:r>
        <w:rPr>
          <w:rFonts w:ascii="方正仿宋_GB2312" w:hAnsi="方正仿宋_GB2312" w:eastAsia="方正仿宋_GB2312" w:cs="方正仿宋_GB2312"/>
          <w:b/>
          <w:bCs/>
          <w:sz w:val="28"/>
          <w:szCs w:val="28"/>
        </w:rPr>
      </w:r>
      <w:r/>
    </w:p>
    <w:p>
      <w:pPr>
        <w:pStyle w:val="960"/>
        <w:ind w:firstLine="482"/>
        <w:spacing w:line="0" w:lineRule="atLeast"/>
        <w:rPr>
          <w:rFonts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w:t>
      </w:r>
      <w:r>
        <w:rPr>
          <w:rFonts w:ascii="方正仿宋_GB2312" w:hAnsi="方正仿宋_GB2312" w:eastAsia="方正仿宋_GB2312" w:cs="方正仿宋_GB2312"/>
          <w:b/>
          <w:bCs/>
          <w:sz w:val="28"/>
          <w:szCs w:val="28"/>
        </w:rPr>
        <w:t xml:space="preserve">.</w:t>
      </w:r>
      <w:r>
        <w:rPr>
          <w:rFonts w:hint="eastAsia" w:ascii="方正仿宋_GB2312" w:hAnsi="方正仿宋_GB2312" w:eastAsia="方正仿宋_GB2312" w:cs="方正仿宋_GB2312"/>
          <w:b/>
          <w:bCs/>
          <w:sz w:val="28"/>
          <w:szCs w:val="28"/>
        </w:rPr>
        <w:t xml:space="preserve">设施设备</w:t>
      </w:r>
      <w:r>
        <w:rPr>
          <w:rFonts w:ascii="方正仿宋_GB2312" w:hAnsi="方正仿宋_GB2312" w:eastAsia="方正仿宋_GB2312" w:cs="方正仿宋_GB2312"/>
          <w:b/>
          <w:bCs/>
          <w:sz w:val="28"/>
          <w:szCs w:val="28"/>
        </w:rPr>
      </w:r>
      <w:r/>
    </w:p>
    <w:p>
      <w:pPr>
        <w:pStyle w:val="960"/>
        <w:ind w:firstLine="482"/>
        <w:spacing w:line="0" w:lineRule="atLeas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投标人须结合本项目服务特点、工作内容和实施场景，科学合理配置充足、齐全、性能优良的专业作业工具、设备及辅助设施</w:t>
      </w:r>
      <w:r>
        <w:rPr>
          <w:rFonts w:hint="eastAsia" w:ascii="方正仿宋_GB2312" w:hAnsi="方正仿宋_GB2312" w:eastAsia="方正仿宋_GB2312" w:cs="方正仿宋_GB2312"/>
          <w:sz w:val="28"/>
          <w:szCs w:val="28"/>
          <w:highlight w:val="none"/>
          <w:lang w:eastAsia="zh-CN"/>
        </w:rPr>
        <w:t xml:space="preserve">，有</w:t>
      </w:r>
      <w:r>
        <w:rPr>
          <w:rFonts w:hint="eastAsia" w:ascii="方正仿宋_GB2312" w:hAnsi="方正仿宋_GB2312" w:eastAsia="方正仿宋_GB2312" w:cs="方正仿宋_GB2312"/>
          <w:sz w:val="28"/>
          <w:szCs w:val="28"/>
          <w:highlight w:val="none"/>
        </w:rPr>
        <w:t xml:space="preserve">扫地车、高压清洗机、垃圾分类转运车辆、驾驶式洗地机和吸尘吸水机</w:t>
      </w:r>
      <w:r>
        <w:rPr>
          <w:rFonts w:hint="eastAsia" w:ascii="方正仿宋_GB2312" w:hAnsi="方正仿宋_GB2312" w:eastAsia="方正仿宋_GB2312" w:cs="方正仿宋_GB2312"/>
          <w:sz w:val="28"/>
          <w:szCs w:val="28"/>
          <w:highlight w:val="none"/>
          <w:lang w:eastAsia="zh-CN"/>
        </w:rPr>
        <w:t xml:space="preserve">等相关设施设备</w:t>
      </w:r>
      <w:r>
        <w:rPr>
          <w:rFonts w:hint="eastAsia" w:ascii="方正仿宋_GB2312" w:hAnsi="方正仿宋_GB2312" w:eastAsia="方正仿宋_GB2312" w:cs="方正仿宋_GB2312"/>
          <w:sz w:val="28"/>
          <w:szCs w:val="28"/>
          <w:highlight w:val="none"/>
        </w:rPr>
        <w:t xml:space="preserve">。所有投入本项目的设备工具须状态完好、性能达标、满足项目需求，保障项目高效、规范、顺利完成。</w:t>
      </w:r>
      <w:r>
        <w:rPr>
          <w:rFonts w:ascii="方正仿宋_GB2312" w:hAnsi="方正仿宋_GB2312" w:eastAsia="方正仿宋_GB2312" w:cs="方正仿宋_GB2312"/>
          <w:sz w:val="28"/>
          <w:szCs w:val="28"/>
          <w:highlight w:val="none"/>
        </w:rPr>
      </w:r>
      <w:r/>
    </w:p>
    <w:p>
      <w:pPr>
        <w:pStyle w:val="960"/>
        <w:ind w:firstLine="482"/>
        <w:spacing w:line="0" w:lineRule="atLeas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2</w:t>
      </w:r>
      <w:r>
        <w:rPr>
          <w:rFonts w:ascii="方正仿宋_GB2312" w:hAnsi="方正仿宋_GB2312" w:eastAsia="方正仿宋_GB2312" w:cs="方正仿宋_GB2312"/>
          <w:b/>
          <w:bCs/>
          <w:sz w:val="28"/>
          <w:szCs w:val="28"/>
          <w:highlight w:val="none"/>
        </w:rPr>
        <w:t xml:space="preserve">.</w:t>
      </w:r>
      <w:r>
        <w:rPr>
          <w:rFonts w:hint="eastAsia" w:ascii="方正仿宋_GB2312" w:hAnsi="方正仿宋_GB2312" w:eastAsia="方正仿宋_GB2312" w:cs="方正仿宋_GB2312"/>
          <w:b/>
          <w:bCs/>
          <w:sz w:val="28"/>
          <w:szCs w:val="28"/>
          <w:highlight w:val="none"/>
        </w:rPr>
        <w:t xml:space="preserve">信息化管理</w:t>
      </w:r>
      <w:r>
        <w:rPr>
          <w:rFonts w:hint="eastAsia" w:ascii="方正仿宋_GB2312" w:hAnsi="方正仿宋_GB2312" w:eastAsia="方正仿宋_GB2312" w:cs="方正仿宋_GB2312"/>
          <w:b/>
          <w:bCs/>
          <w:sz w:val="28"/>
          <w:szCs w:val="28"/>
          <w:highlight w:val="none"/>
        </w:rPr>
      </w:r>
      <w:r/>
    </w:p>
    <w:p>
      <w:pPr>
        <w:pStyle w:val="960"/>
        <w:ind w:firstLine="482"/>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highlight w:val="none"/>
        </w:rPr>
        <w:t xml:space="preserve">投标人应根据本项目专业特点、作业场景及管理标准，建立适配的信息化管理体系，运用数字化手段开展进度、质量、安全、台账、资料全过程信息化管理，具有楼宇管理系统功能、学生公寓管理系统功能、智能报修系统功能、服务监管管理系统及投诉管理系统功能</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rPr>
        <w:t xml:space="preserve">实现业务流程可追溯、数据资料可核查、项目管控可监管，满足招标人数字</w:t>
      </w:r>
      <w:r>
        <w:rPr>
          <w:rFonts w:hint="eastAsia" w:ascii="方正仿宋_GB2312" w:hAnsi="方正仿宋_GB2312" w:eastAsia="方正仿宋_GB2312" w:cs="方正仿宋_GB2312"/>
          <w:sz w:val="28"/>
          <w:szCs w:val="28"/>
        </w:rPr>
        <w:t xml:space="preserve">化管理要求。</w:t>
      </w:r>
      <w:r>
        <w:rPr>
          <w:rFonts w:hint="eastAsia" w:ascii="方正仿宋_GB2312" w:hAnsi="方正仿宋_GB2312" w:eastAsia="方正仿宋_GB2312" w:cs="方正仿宋_GB2312"/>
          <w:sz w:val="28"/>
          <w:szCs w:val="28"/>
        </w:rPr>
      </w:r>
      <w:r/>
    </w:p>
    <w:p>
      <w:pPr>
        <w:pStyle w:val="960"/>
        <w:ind w:firstLine="56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五、服务内容及具体要求</w:t>
      </w:r>
      <w:r>
        <w:rPr>
          <w:rFonts w:hint="eastAsia" w:ascii="方正仿宋_GB2312" w:hAnsi="方正仿宋_GB2312" w:eastAsia="方正仿宋_GB2312" w:cs="方正仿宋_GB2312"/>
          <w:sz w:val="28"/>
          <w:szCs w:val="28"/>
        </w:rPr>
      </w:r>
      <w:r/>
    </w:p>
    <w:p>
      <w:pPr>
        <w:pStyle w:val="960"/>
        <w:ind w:firstLine="562"/>
        <w:jc w:val="left"/>
        <w:spacing w:line="440" w:lineRule="exact"/>
        <w:widowControl/>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（一）物业管理服务内容</w:t>
      </w:r>
      <w:r>
        <w:rPr>
          <w:rFonts w:hint="eastAsia" w:ascii="方正仿宋_GB2312" w:hAnsi="方正仿宋_GB2312" w:eastAsia="方正仿宋_GB2312" w:cs="方正仿宋_GB2312"/>
          <w:b/>
          <w:bCs/>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1.楼宇管理服务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（1）楼宇管理服务区域包括行政办公楼、艺术楼、实验实训楼、教学楼、图书馆、大学生活动中心区域、综合教学楼、音乐楼和人才公寓（南楼）等。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行政办公楼、艺术楼、实验实训楼、图书馆、大学生活动中心（B区）和音乐楼分别设立一个值班室，教学楼设立三个值班室，综合教学楼设立两个值班室，值班人员需统一着装，佩戴标识，每天在岗时间不少于16小时。值班室办公桌椅、空调、电话、网络和柜子（1-2组）由招标人负责提供，其他由物业方负责添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（3）负责楼宇内公共区域（含教室和会场等）钥匙的管理、发放、借用、登记等工作，其中会场主要包括行政楼D1216、D1214、D2109、大学生活动中心剧场、图书馆负一层会场和音乐楼大剧场等。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（4）负责楼宇内教室（包括教学楼、综合教学楼G4、艺术楼和音乐楼教室等）多媒体设备使用管理和桌椅调配等工作。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（5）负责楼宇内公共区域的巡查与管理，包括但不限于电动车进楼充电、违章电器的使用、公共区域资产物品的擅自挪用等。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（6）负责楼宇内设施设备的日常巡视、记录、报修等工作；做好电梯的开关、日常巡查、报修和配合做好应急处置。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（7）负责做好楼宇内控电、控水（节能降耗等）管理，及时关闭长明灯、长流水。</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（8）负责对楼宇内公共区域的环境进行卫生巡查，发现问题及时提醒保洁人员处理。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（9）负责做好每日晚间清楼巡查工作，关闭空调、照明和设备，并锁好门窗，做好记录工作。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（10）定期检查楼宇屋顶、天台和天沟；雨季前要特别检查，确保无杂物、无淤泥、排水口畅通、屋顶与墙面无杂草。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（11）按照物业管理规范要求做好管理范围内的其他工作及招标人安排的临时性工作。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2.学生公寓管理服务         </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（1）学生公寓管理服务区域包括学生公寓ABC、DEF和GHI。</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学生公寓ABC、DEF和GHI分别设立两个值班室，值班人员需统一着装，佩戴标识，24小时值班值守。值班室办公桌椅、空调、电话、微波炉、网络设备和柜子（1-2组）由招标人负责提供，其他由中标单位负责添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（3）负责学生公寓内公共区域（含配电间等）钥匙的管理、发放、借用、登记等工作。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（4）负责学生公寓内公共区域的巡查与管理，包括但不限于电动车进楼充电、违章电器的使用、公共区域资产物品的擅自挪用等。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（5）负责学生公寓内设施设备（含热水系统、开水炉和洗衣机等专业维保设施）的日常巡查、记录和报修等工作；做好电梯日常巡查、报修和配合做好应急处置。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（6）负责做好学生公寓内水电（节能降耗等）管理，及时关闭长明灯、长流水。</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（7）负责对学生公寓公共区域的环境卫生进行巡查，发现问题及时提醒保洁人员处理。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（8）定期检查楼宇屋顶、天台和天沟；雨季前要特别检查，确保无杂物、无淤泥、排水口畅通、屋顶与墙面无杂草。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（9）日常管理工作台账归属权属招标人，招标人有责任、有义务对有关台账予以保密。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（10）学生公寓实行封闭式管理，按规定实行门禁管理，严格执行学生公寓作息时间，发现异常情况及时上报。</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（11）制定学生公寓各类突发事件的处理预案，发生异常情况立即按预案处置。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（12）按照学生公寓管理规范要求做好管理范围内的其他工作及招标人安排的临时性工作。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3.公共设施管理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公共设施管理区域包括托管范围内（不含学生食堂、人才公寓北楼和商铺门店）所有区域的供电、照明、给排水、盥洗和洗浴等设施设备，不包含热水系统、消防、空调、电梯、开水炉和洗衣机等专业维保设施。</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（2）对高低压配电房、配电柜、电器设备和供电线路等的日常巡查，保障供电设备的良好运转；做好校内重大活动的保电工作。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highlight w:val="yellow"/>
        </w:rPr>
      </w:pPr>
      <w:r>
        <w:rPr>
          <w:rFonts w:hint="eastAsia" w:ascii="方正仿宋_GB2312" w:hAnsi="方正仿宋_GB2312" w:eastAsia="方正仿宋_GB2312" w:cs="方正仿宋_GB2312"/>
          <w:sz w:val="28"/>
          <w:szCs w:val="28"/>
        </w:rPr>
        <w:t xml:space="preserve">（3）利用信息化手段远程24小时在线监测，定期现场巡检，做好高压配电房安全工具年检和高压配电房预防性试验，负责对7个配电房当年累计配件费用不超过10000元的维修，超出部分维修方案和经费预算需经招标人同意后实施，配件费用由招标人进行支付。</w:t>
      </w:r>
      <w:r>
        <w:rPr>
          <w:rFonts w:hint="eastAsia" w:ascii="方正仿宋_GB2312" w:hAnsi="方正仿宋_GB2312" w:eastAsia="方正仿宋_GB2312" w:cs="方正仿宋_GB2312"/>
          <w:sz w:val="28"/>
          <w:szCs w:val="28"/>
          <w:highlight w:val="yellow"/>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（4）负责对楼宇和学生公寓内外公共区域照明设备进行日常巡查，控制路灯开闭时间并根据需要及时调整。</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（5）负责对给水系统（水表井、阀门井、水泵、水箱、管道和水龙头等）进行日常巡查，学生公寓水箱需每学期初清洗一次，并做好相关记录。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（6）负责对排水系统（天台楼顶排水口、雨水口、排水管/沟、检查井、进水格栅、雨水污水泵站等）进行日常巡查、清理、疏通。</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（7）负责对公共卫生间和洗浴间设施等进行巡查，对下水管道进行日常清理和疏通。</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（8）负责定期对化粪池清理和疏通，及时处理出现的堵塞问题，所有费用均由物业方承担。</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（9）负责对巡查中发现的各类问题及时报修，发现重大安全隐患及时向招标人报告。</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（10）制定设施设备管理制度及重大故障应急处置预案，定期进行业务培训、实操演练。</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（11）配合招标人后勤管理部门做好安全检查，以及招标人防汛防台、减灾救灾等应急处置和公共突发事件处置工作。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（12）按照物业管理规范要求做好管理范围内的其他工作及招标人安排的临时性工作。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4.环境卫生管理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环境卫生管理的范围包括委托管理的楼宇和学生公寓内公共区域（含公共教室、自习室、乒乓室和羽毛球场地等）环境卫生管理；行政楼D1216、D1214、D2109、D1505、D1605、大学生活动中心大剧场、图书馆负一层会场、音乐楼大剧场等卫生管理；管理范围内所有道路环境卫生管理和绿化内白色垃圾等杂物清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（2）保洁所需垃圾清运车、垃圾桶（含转运用）、门厅防滑垫、电梯垫、扫帚、拖把、垃圾篓、垃圾袋、杀虫剂、消毒液、樟脑丸、檀香和清洁剂等设备耗材由物业方提供，保洁人员需统一着装，佩戴标识。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（3）加强垃圾管理，垃圾桶合理摆放，及时将生活垃圾收集运到集中回收点，做到楼宇垃圾袋装化、日产日清；定期对垃圾房、垃圾桶及周边冲刷消毒，垃圾桶破损及时更换，做到没有蝇虫和异味。</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（4）负责落实专业公司做好校园内除“四害”工作，对公共卫生间、公共沐浴房和电梯间等区域进行消杀，并做好相关记录。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（5）定期更换和清洗门厅防滑垫和电梯垫，及时做好雨雪天气道路、地下车库和长廊等积水积雪结冰的清理工作。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（6）做好大型会议、赛事、重要接待和施工等临时或突发事项的事前事后的保洁工作及招标人安排的其他临时性工作。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5.小型维修服务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小型维修服务的范围包括托管范围内（不含学生食堂、人才公寓北楼和商铺门店）的所有楼宇室内外单项维修耗材和零配件费用在600元以内（含）的维修工作，维修范围包括但不限于管道、各类阀门、水龙头、水表、卫生洁具、洗浴设备、下水疏通、屋面天沟疏通、低压配电房及配电间内各类元器件、楼内线路线槽线管、开关、插座、照明灯具、门窗及配件、门锁（不含智能锁）、墙面污损粉刷、地砖、踢脚线、道板砖、台阶、井盖、纱窗、窗帘及配件、家具、卫生间隔断、电风扇、课桌椅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（2）维修专业人员需持证上岗，统一着装，佩戴标识。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（3）做到自接到报修任务起24小时内维修到位，维修耗材及配件与原使用品牌尽量一致，对人为损坏的维修按市场价收费。</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（4）如涉及高空作业，物业方应安排有相关高空作业资质的专业人员进行；如涉及动火作业，需提前履行报备手续。</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（5）非规定维修范围内的故障，及时上报招标人，并协助招标人做好相关维修工作。</w:t>
      </w:r>
      <w:r>
        <w:rPr>
          <w:rFonts w:hint="eastAsia" w:ascii="方正仿宋_GB2312" w:hAnsi="方正仿宋_GB2312" w:eastAsia="方正仿宋_GB2312" w:cs="方正仿宋_GB2312"/>
          <w:sz w:val="28"/>
          <w:szCs w:val="28"/>
        </w:rPr>
      </w:r>
      <w:r/>
    </w:p>
    <w:p>
      <w:pPr>
        <w:pStyle w:val="960"/>
        <w:ind w:firstLine="48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（二）物业管理服务要求</w:t>
      </w:r>
      <w:r>
        <w:rPr>
          <w:rFonts w:hint="eastAsia" w:ascii="方正仿宋_GB2312" w:hAnsi="方正仿宋_GB2312" w:eastAsia="方正仿宋_GB2312" w:cs="方正仿宋_GB2312"/>
          <w:b/>
          <w:bCs/>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1.楼宇管理服务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（1）物业管理要对楼宇的布局、结构、给排水、电气、消防、各种线路等的数据要十分清楚，并熟悉教室等各种设备使用方法以及应急措施。</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（2）每日对楼宇公共设施要进行巡查，负责日常管理和维修养护，负责小项目维修，并做好检修记录和保养记录。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（3）每日检查办公楼宇各项设备，不能正常使用时，要及时联络相关部门维修。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（4）楼宇管理员每日按设定的路线巡查，重点部位应设巡更点，有巡更记录，确保公共设施、照明系统、门窗、玻璃、供水、供电等安全，做好巡查记录，一旦发现损坏或故障，应及时维修。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（5）定期检查楼宇屋顶、天台和天沟，每月至少清理1次。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（6）负责全校范围内雨污水管道的定期疏通，每年寒、暑假集中清理管辖范围内化粪池各一次，确保室外化粪池无满溢。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（7）针对灭“四害”的实际需要和季节特点制定具体计划；灭鼠需每年至少进行2次；检查仓库、地下室，目视无明显蚊虫在飞。</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（8）对火灾等突发事件应备有应急预案，每年演练两次，一旦事故发生应立即报告有关部门，并及时采取积极的应急措施防止灾情漫延和扩大。</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（9）每天做好相应的值班记录。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2.学生公寓管理服务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学生公寓封闭式管理，实行24小时值班制度。每天做好值班和交接班记录，发现异常情况及时上报；禁止异性进入学生公寓，因工作需要确需进入者须与相关部门确认后并做好相关登记工作；严格执行公寓作息时间，按时开、闭门。对晚归、不归等，坚持验证登记制度，做好统计并按要求及时上报。</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（2）制定学生公寓各类突发事件的处理预案，并张贴在醒目位置。每年至少举行2次应急预案演练。有突发事件及时处理，并迅速上报招标人有关部门，确保学生人身和财产安全。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（3）每周组织2次以上安全检查，及时排除安全隐患，并做好相关记录，发现问题及时报告相关部门。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（4）严禁任何人在公寓内使用禁用电器，杜绝违章用电，发现违章电器，须及时书面报告相关二级学院。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（5）学生公寓走廊、楼梯等公共部位每天清扫、拖洗2次以上，并全天保持整洁。做到地面无积水、无污垢、无痰迹、无纸屑、无瓜皮果壳。</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（6）墙面保持整洁，无污迹、无乱悬挂、无乱张贴等现象。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（7）每年新生入住寝室的门窗阳台玻璃、家具、卫生间、洗漱间等所有设施均打扫清洗干净，无明显灰尘和污垢。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（8）定期检查楼宇屋顶、天台和天沟，每月至少清理1次。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（9）有效制止学生在公寓内吸烟、酗酒等不文明现象。促进学生文明行为的养成，并将有关情况书面报告相关二级学院。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（10）公用设施、设备（床、柜子、吊扇、灯、沟、渠、池、井盖、水箱、卫生洁具等）的使用、管理和维修，负责管理区域设施设备的维护保养工作。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（11）严格执行招标人报修流程，建立报修制度，并建立报修档案。告知师生报修流程及相关内容。报修响应不超过30分钟，确保师生学习、生活正常。</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（12）确保公寓的公共财物齐全、无损坏，完好率在98%以上。公共部位的照明和应急灯具必须每天巡查保证完好无损、正常使用。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（13）定期对水电设施等公用设施进行检查并做好记录。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（14）负责对维修人员的维修质量和服务态度进行检查、监督、考核，维修材料品牌、数量检查确认。</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（15）负责区域内固定资产的管理，确保财产的安全、完整，建立财产登记账本。</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（16）工作人员要熟悉本公寓住宿学生，积极协助招标人加强对学生的日常行为规范教育和管理，通过服务打造提升学生素质的第二课堂，营造温馨的育人环境，推动开展住宿教育。</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（17）积极配合学生党团组织进公寓，学生思想政治教育进公寓的工作。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（18）配合招标人做好校文明宿舍评比。</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（19）及时做好说服教育工作，做到管理育人、服务于人，及时向二级学院辅导员和老师反馈公寓的有关情况。</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（20）每学期至少进行1 次学生满意度调研，公示结果并整改。</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（21）投诉渠道畅通（电话/线上/意见箱），30分钟内响应、24小时内办结反馈。</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3.公共设施管理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制定完善的设施设备管理制度及重大故障应急处置预案，定期组织业务培训与实操演练；重大节假日及恶劣天气前后，开展设施设备系统巡检；设施设备出现一般故障即时处理，重大故障立即处置并同步向招标人提交书面报告，做好维修全过程监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严格执行招标人报修流程，建立规范的报修制度与报修档案，报修响应时间不超过30分钟，故障需在24小时内解决，保障师生正常的学习与生活秩序。水泵房每日巡查1次，地下室给排水设备每日巡查1次，电梯、机房设施设备每日巡查1次，配电箱接线端每季度全面覆盖巡查1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（3）负责各类设施设备的日常使用、管理、巡查与值守工作，确保设备机房门窗、锁具完好有效；按照设备技术规范开展巡视检查，并做好详细记录。</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（4）完成固定资产的盘点统计与管理工作，落实设施设备日常维护保养措施，确保各类设施设备完好、整洁、无污损。</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（5）定期对水电设施等公用设施进行检查并留存记录，协助招标人开展节电节水工作。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（6）保障公共财物齐全、无损坏，对公共部位的照明和应急灯具实施每日巡查，确保其完好无损、正常使用。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（7）每半年度监督具备专业资质的公司开展水箱清洗与保养，每学期1次，留存完整清洗记录，确保水质达标。</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（8）对维修人员的维修质量、服务态度进行检查、监督与考核，对维修材料的品牌、数量进行严格检查确认。</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（9）完成规定范围内的其他公共设施管理相关工作。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4.环境卫生管理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（1）楼宇内公共部位</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①楼宇内公共部位卫生每日清扫 2 次以上，拖洗至少1次，清洁地面、台面，巡回保洁，保持地面、台面无灰尘、无纸屑、无痰迹、无水渍，每半月彻底清洗1 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②保持门厅玻璃、玻璃门、门框、柱子、窗户等干净明亮，无手印、无灰尘、无水印。</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③每日清洁墙面、窗台、风口等处灰尘、蛛网，确保无指印、污迹，并定期用消毒水清洗。垃圾不能满过筒身高度的2/3。每日清倒垃圾2次，及时处理垃圾筒上面的痰迹，使其外表干净、光亮、无满溢垃圾现象。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④每日清洁楼梯及其栏杆、扶手，保持清洁、无尘；墙角、墙顶、墙面每周用掸帚掸清，保持墙上四周无灰尘。</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⑤每日清洁指示牌、告示牌、显示牌、多媒体显示屏、接待台、开关、踢脚线、应急灯等设施，保持清洁无尘，每周彻底清理 1次沙发、茶几等各处卫生死角。</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⑥电梯轿厢每日清扫不少于2次，循环保洁。电梯垫每周清洗1次，循环保洁，及时更换。电梯轿厢内壁每天擦净、循环保洁，保持无手印、污渍、灰尘，每周用不锈钢保养剂进行保养，减少氧化、锈蚀的程度，保持光亮、洁净。 </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⑦擦净所有3米以下大理石、木板、玻璃墙面，每周1次。 </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（2）楼宇周边及公共区域保洁</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①保证楼宇外观整洁、完好；楼顶无破损、无垃圾、无杂树杂草；楼宇外立面、裸露的管道、立柱等无蛛网、杂物；外墙2米以下随时保洁，保持清洁、无污渍。</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②每日清扫责任范围内地面和道路、停车场、广场的地面至少 2 次，保持路面整洁、无垃圾、沙土、纸屑、油迹、脏物、积水、表苔。不间断巡视，发现垃圾及时处理，保持干净、整洁。根据各种地面卫生情况及时清洗。</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③保持公共区域内的宣传栏及公共装饰品、路牌、标识等各种设施设备表面清洁。及时处理违章乱贴、乱画、海报、小广告及污迹。</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④保证楼宇周围绿化带内无白色垃圾等，保洁时应不损坏绿化、草皮。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⑤每日清洁广场及旗杆、护栏、标示牌等设施，保持干净、整洁，定期清洗广场地面。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⑥水沟清洁：明沟每天彻底清洁1次，暗沟每月清洁不少于1次，及时维护；水沟内无纸屑、杂物，无积沙，无明显污染，水沟内无杂草、树枝；水沟流水通畅，无淤泥堵塞。</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（3）教室、教师课间休息区、会议室的管理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①保证以上场所的清洁卫生，按时开关门窗。</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②教室课桌椅、讲台等教具设施、会议室桌椅每天清洁2次，每周彻底清洁1次，座椅保持无灰尘、无污渍。 </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③按照招标人课表的安排做好上课前准备工作，承担招标人安排的各类考试的考场准备工作。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④上述场所内各种设施外表清洁干净，无积尘污迹。</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（4）公共部位洗手间、开水间</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①每日清洁洗手间，保持无灰尘、无垃圾、无异味、无手脚印、无污渍、无积水等。</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②每日清洁洗手间隔板、擦手纸盒、卷纸盒。每日定时冲洗小便池、厕位、水池，使用消毒液清洗，每周1次全面消毒。每周1 次全面清洗墙面、地面。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③定时保洁及巡查要有时间表并有书面记录，上班期间每半小时巡视1次，发现污迹、水迹、积水、头发、手印、便迹、异味、废物等及时清理。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④确保厕所室内到室外化粪池之间管道畅通，及时清理化粪池内淤积，确保无漫溢。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（5）地下车库、露天停车场</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①每日清扫地面垃圾杂物，特别注意车上抛出的垃圾物。保持地面无垃圾、无杂物、无积水、无尘土，保持干净、整洁。</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②雨天增加清扫力度，发现泥土、积水及时处理，及时清理集水沟、井的杂物。</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③定期清洁墙面、立柱、库顶及各种管道、桥架、消火栓、标识标牌等设施设备，保持无蛛网、无灰尘。</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④每月彻底清理1次卫生死角（包括通道口集水沟、井），清除车位地面油污。</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（6）卫生消杀和除“四害”管理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①定期对办公区公共场所和周围环境进行预防性卫生消杀，达到全国爱卫会规定的标准。</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②定期做好消灭老鼠、蚊虫、苍蝇、蟑螂等工作，做到室内基本无鼠、无蝇，室内外蚊虫孳生得到有效控制。</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③在化学防治中，注重科学合理用药，不使用国家禁用药品。</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（7）其它</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①每日产生的垃圾做到日产日清，每天清理不少于2次，并及时清运至校区垃圾集中点，清运垃圾时不将垃圾散落在地，保持垃圾桶的整洁，更换垃圾袋，打扫垃圾箱周围通道地面，保持干净、无异味、无满溢。</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②雨雪天各道路及时清理，台阶无积雪，有防滑措施。</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③露天固定座椅（含标识等）每天维护不少于1次，每周彻底清洁1次；固定露天座椅（含标识等）表面无杂物、无污渍、无蛛网、无积灰、无破损。</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④值班室每日整理打扫，保持干净整洁。</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⑤及时开关灯，节约能耗。</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⑥运动场馆每天至少打扫1次，使用前及使用后再各清扫1次，定期通风。</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5.小型维修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（1）对委托管理范围内所有区域开展小型维修作业，做好维修记录，确保各类设施设备正常使用。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（2）接到报修电话后，紧急小型维修需30分钟内到场，24小时内完成维修作业。</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（3）维修人员必须持证上岗，带电、涉水作业时严格做好安全防护措施，所有维修服务不得影响正常的教学实训活动。</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（4）对螺丝、灯泡、水龙头等常用耗材建立常备库存，保障快速取用，并做好耗材领用登记工作。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（5）遇非规定维修范围内的故障等特殊情况，及时与招标人对接，做好解释说明，并协助招标人开展相关维修工作。</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单项、单次维修耗材及零配件费用在600元以内（含）的，由中标人自行采购符合国家标准的耗材并完成维修。单项、单次维修耗材及零配件费用在600元以上的，中标人需及时上报招标人。维修与报修工作均需建立台账，实现项目全流程跟进。2024年、2025年该项年均产生费用约80万元（600元以内的小型维修）。</w:t>
      </w:r>
      <w:r>
        <w:rPr>
          <w:rFonts w:hint="eastAsia" w:ascii="方正仿宋_GB2312" w:hAnsi="方正仿宋_GB2312" w:eastAsia="方正仿宋_GB2312" w:cs="方正仿宋_GB2312"/>
          <w:sz w:val="28"/>
          <w:szCs w:val="28"/>
        </w:rPr>
      </w:r>
      <w:r/>
    </w:p>
    <w:p>
      <w:pPr>
        <w:pStyle w:val="960"/>
        <w:ind w:firstLine="560"/>
        <w:spacing w:line="0" w:lineRule="atLeas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（7）对委托管理区域的设施设备开展日常巡视、检查并做好记录，定期向招标人上报设施设备运行情况及优化建议。</w:t>
      </w:r>
      <w:r>
        <w:rPr>
          <w:rFonts w:hint="eastAsia" w:ascii="方正仿宋_GB2312" w:hAnsi="方正仿宋_GB2312" w:eastAsia="方正仿宋_GB2312" w:cs="方正仿宋_GB2312"/>
          <w:sz w:val="28"/>
          <w:szCs w:val="28"/>
        </w:rPr>
      </w:r>
      <w:r/>
    </w:p>
    <w:p>
      <w:pPr>
        <w:pStyle w:val="960"/>
        <w:ind w:firstLine="482"/>
        <w:spacing w:line="0" w:lineRule="atLeas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六、物业管理服务人数和任职基本要求</w:t>
      </w:r>
      <w:r>
        <w:rPr>
          <w:rFonts w:hint="eastAsia" w:ascii="方正仿宋_GB2312" w:hAnsi="方正仿宋_GB2312" w:eastAsia="方正仿宋_GB2312" w:cs="方正仿宋_GB2312"/>
          <w:b/>
          <w:bCs/>
          <w:sz w:val="28"/>
          <w:szCs w:val="28"/>
        </w:rPr>
      </w:r>
      <w:r/>
    </w:p>
    <w:tbl>
      <w:tblPr>
        <w:tblW w:w="925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
        <w:gridCol w:w="670"/>
        <w:gridCol w:w="1521"/>
        <w:gridCol w:w="2706"/>
        <w:gridCol w:w="3529"/>
      </w:tblGrid>
      <w:tr>
        <w:trPr>
          <w:trHeight w:val="4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sz w:val="22"/>
                <w:szCs w:val="22"/>
              </w:rPr>
            </w:pPr>
            <w:r>
              <w:rPr>
                <w:rFonts w:hint="eastAsia" w:ascii="方正仿宋_GB2312" w:hAnsi="方正仿宋_GB2312" w:eastAsia="方正仿宋_GB2312" w:cs="方正仿宋_GB2312"/>
                <w:b/>
                <w:sz w:val="22"/>
                <w:szCs w:val="22"/>
                <w:lang w:bidi="ar"/>
              </w:rPr>
              <w:t xml:space="preserve">岗位名称</w:t>
            </w:r>
            <w:r>
              <w:rPr>
                <w:rFonts w:hint="eastAsia" w:ascii="方正仿宋_GB2312" w:hAnsi="方正仿宋_GB2312" w:eastAsia="方正仿宋_GB2312" w:cs="方正仿宋_GB2312"/>
                <w:b/>
                <w:sz w:val="22"/>
                <w:szCs w:val="22"/>
              </w:rPr>
            </w:r>
            <w:r/>
          </w:p>
        </w:tc>
        <w:tc>
          <w:tcPr>
            <w:gridSpan w:val="2"/>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sz w:val="22"/>
                <w:szCs w:val="22"/>
                <w:lang w:bidi="ar"/>
              </w:rPr>
            </w:pPr>
            <w:r>
              <w:rPr>
                <w:rFonts w:hint="eastAsia" w:ascii="方正仿宋_GB2312" w:hAnsi="方正仿宋_GB2312" w:eastAsia="方正仿宋_GB2312" w:cs="方正仿宋_GB2312"/>
                <w:b/>
                <w:sz w:val="22"/>
                <w:szCs w:val="22"/>
                <w:lang w:bidi="ar"/>
              </w:rPr>
              <w:t xml:space="preserve">人数</w:t>
            </w:r>
            <w:r>
              <w:rPr>
                <w:rFonts w:hint="eastAsia" w:ascii="方正仿宋_GB2312" w:hAnsi="方正仿宋_GB2312" w:eastAsia="方正仿宋_GB2312" w:cs="方正仿宋_GB2312"/>
                <w:b/>
                <w:sz w:val="22"/>
                <w:szCs w:val="22"/>
                <w:lang w:bidi="ar"/>
              </w:rPr>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sz w:val="22"/>
                <w:szCs w:val="22"/>
              </w:rPr>
            </w:pPr>
            <w:r>
              <w:rPr>
                <w:rFonts w:hint="eastAsia" w:ascii="方正仿宋_GB2312" w:hAnsi="方正仿宋_GB2312" w:eastAsia="方正仿宋_GB2312" w:cs="方正仿宋_GB2312"/>
                <w:b/>
                <w:sz w:val="22"/>
                <w:szCs w:val="22"/>
                <w:lang w:bidi="ar"/>
              </w:rPr>
              <w:t xml:space="preserve">主要职责</w:t>
            </w:r>
            <w:r>
              <w:rPr>
                <w:rFonts w:hint="eastAsia" w:ascii="方正仿宋_GB2312" w:hAnsi="方正仿宋_GB2312" w:eastAsia="方正仿宋_GB2312" w:cs="方正仿宋_GB2312"/>
                <w:b/>
                <w:sz w:val="22"/>
                <w:szCs w:val="22"/>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sz w:val="22"/>
                <w:szCs w:val="22"/>
              </w:rPr>
            </w:pPr>
            <w:r>
              <w:rPr>
                <w:rFonts w:hint="eastAsia" w:ascii="方正仿宋_GB2312" w:hAnsi="方正仿宋_GB2312" w:eastAsia="方正仿宋_GB2312" w:cs="方正仿宋_GB2312"/>
                <w:b/>
                <w:sz w:val="22"/>
                <w:szCs w:val="22"/>
                <w:lang w:bidi="ar"/>
              </w:rPr>
              <w:t xml:space="preserve">基本要求</w:t>
            </w:r>
            <w:r>
              <w:rPr>
                <w:rFonts w:hint="eastAsia" w:ascii="方正仿宋_GB2312" w:hAnsi="方正仿宋_GB2312" w:eastAsia="方正仿宋_GB2312" w:cs="方正仿宋_GB2312"/>
                <w:b/>
                <w:sz w:val="22"/>
                <w:szCs w:val="22"/>
              </w:rPr>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项目经理</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1</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全面负责物业管理服务工作。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K" w:hAnsi="方正仿宋_GBK" w:eastAsia="方正仿宋_GBK" w:cs="方正仿宋_GBK"/>
                <w:iCs/>
                <w:color w:val="000000"/>
                <w:sz w:val="20"/>
                <w:szCs w:val="20"/>
                <w:highlight w:val="none"/>
                <w:lang w:bidi="ar"/>
              </w:rPr>
              <w:t xml:space="preserve">在合同履行期内未达到国家法定退休年龄，大专以上学历；3年以上担任过类似物业项目负责人的从业经历；</w:t>
            </w:r>
            <w:r>
              <w:rPr>
                <w:rFonts w:hint="eastAsia" w:ascii="方正仿宋_GBK" w:hAnsi="方正仿宋_GBK" w:eastAsia="方正仿宋_GBK" w:cs="方正仿宋_GBK"/>
                <w:color w:val="000000"/>
                <w:sz w:val="22"/>
                <w:szCs w:val="22"/>
                <w:highlight w:val="none"/>
              </w:rPr>
              <w:t xml:space="preserve">具有人社部门颁发的管理类相关专业中级及以上职称证书；</w:t>
            </w:r>
            <w:r>
              <w:rPr>
                <w:rFonts w:hint="eastAsia" w:ascii="方正仿宋_GBK" w:hAnsi="方正仿宋_GBK" w:eastAsia="方正仿宋_GBK" w:cs="方正仿宋_GBK"/>
                <w:iCs/>
                <w:color w:val="000000"/>
                <w:sz w:val="20"/>
                <w:szCs w:val="20"/>
                <w:highlight w:val="none"/>
                <w:lang w:bidi="ar"/>
              </w:rPr>
              <w:t xml:space="preserve">责任心强，具备良好的沟通协调能力。</w:t>
            </w:r>
            <w:r>
              <w:rPr>
                <w:rFonts w:hint="eastAsia" w:ascii="方正仿宋_GB2312" w:hAnsi="方正仿宋_GB2312" w:eastAsia="方正仿宋_GB2312" w:cs="方正仿宋_GB2312"/>
                <w:iCs/>
                <w:color w:val="000000"/>
                <w:sz w:val="22"/>
                <w:szCs w:val="22"/>
                <w:highlight w:val="none"/>
                <w:u w:val="single"/>
              </w:rPr>
            </w:r>
            <w:r/>
          </w:p>
        </w:tc>
      </w:tr>
      <w:tr>
        <w:trPr>
          <w:trHeight w:val="546"/>
        </w:trPr>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楼宇</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管理员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35</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lang w:bidi="ar"/>
              </w:rPr>
            </w:pPr>
            <w:r>
              <w:rPr>
                <w:rFonts w:hint="eastAsia" w:ascii="方正仿宋_GB2312" w:hAnsi="方正仿宋_GB2312" w:eastAsia="方正仿宋_GB2312" w:cs="方正仿宋_GB2312"/>
                <w:color w:val="000000"/>
                <w:sz w:val="22"/>
                <w:szCs w:val="22"/>
                <w:highlight w:val="none"/>
                <w:lang w:bidi="ar"/>
              </w:rPr>
              <w:t xml:space="preserve">教学区主管</w:t>
            </w:r>
            <w:r>
              <w:rPr>
                <w:rFonts w:hint="eastAsia" w:ascii="方正仿宋_GB2312" w:hAnsi="方正仿宋_GB2312" w:eastAsia="方正仿宋_GB2312" w:cs="方正仿宋_GB2312"/>
                <w:color w:val="000000"/>
                <w:sz w:val="22"/>
                <w:szCs w:val="22"/>
                <w:highlight w:val="none"/>
                <w:lang w:bidi="ar"/>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2人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主要负责楼宇值班值守、设施设备的巡查及报修、楼宇水电节能管理等工作。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合同履行期内未达到国家法定退休年龄，大专以上学历；3年及以上类似物业项目的管理经历。</w:t>
            </w:r>
            <w:r>
              <w:rPr>
                <w:rFonts w:hint="eastAsia" w:ascii="方正仿宋_GB2312" w:hAnsi="方正仿宋_GB2312" w:eastAsia="方正仿宋_GB2312" w:cs="方正仿宋_GB2312"/>
                <w:iCs/>
                <w:color w:val="000000"/>
                <w:sz w:val="22"/>
                <w:szCs w:val="22"/>
                <w:highlight w:val="none"/>
                <w:u w:val="single"/>
              </w:rPr>
            </w:r>
            <w:r/>
          </w:p>
        </w:tc>
      </w:tr>
      <w:tr>
        <w:trPr>
          <w:trHeight w:val="339"/>
        </w:trPr>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管理员33人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non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未达到国家法定退休年龄。</w:t>
            </w:r>
            <w:r>
              <w:rPr>
                <w:rFonts w:hint="eastAsia" w:ascii="方正仿宋_GB2312" w:hAnsi="方正仿宋_GB2312" w:eastAsia="方正仿宋_GB2312" w:cs="方正仿宋_GB2312"/>
                <w:iCs/>
                <w:color w:val="000000"/>
                <w:sz w:val="22"/>
                <w:szCs w:val="22"/>
                <w:highlight w:val="none"/>
                <w:u w:val="single"/>
              </w:rPr>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学生公寓</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管理员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30</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lang w:bidi="ar"/>
              </w:rPr>
            </w:pPr>
            <w:r>
              <w:rPr>
                <w:rFonts w:hint="eastAsia" w:ascii="方正仿宋_GB2312" w:hAnsi="方正仿宋_GB2312" w:eastAsia="方正仿宋_GB2312" w:cs="方正仿宋_GB2312"/>
                <w:color w:val="000000"/>
                <w:sz w:val="22"/>
                <w:szCs w:val="22"/>
                <w:highlight w:val="none"/>
                <w:lang w:bidi="ar"/>
              </w:rPr>
              <w:t xml:space="preserve">生活区主管</w:t>
            </w:r>
            <w:r>
              <w:rPr>
                <w:rFonts w:hint="eastAsia" w:ascii="方正仿宋_GB2312" w:hAnsi="方正仿宋_GB2312" w:eastAsia="方正仿宋_GB2312" w:cs="方正仿宋_GB2312"/>
                <w:color w:val="000000"/>
                <w:sz w:val="22"/>
                <w:szCs w:val="22"/>
                <w:highlight w:val="none"/>
                <w:lang w:bidi="ar"/>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3人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主要负责学生公寓值班工作，安全巡视、人员进出管理、区域秩序维护等。</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合同履行期内未达到国家法定退休年龄，大专以上学历；3年及以上类似物业项目的管理经历。</w:t>
            </w:r>
            <w:r>
              <w:rPr>
                <w:rFonts w:hint="eastAsia" w:ascii="方正仿宋_GB2312" w:hAnsi="方正仿宋_GB2312" w:eastAsia="方正仿宋_GB2312" w:cs="方正仿宋_GB2312"/>
                <w:iCs/>
                <w:color w:val="000000"/>
                <w:sz w:val="22"/>
                <w:szCs w:val="22"/>
                <w:highlight w:val="none"/>
                <w:u w:val="single"/>
              </w:rPr>
            </w:r>
            <w:r/>
          </w:p>
        </w:tc>
      </w:tr>
      <w:tr>
        <w:trPr>
          <w:trHeight w:val="824"/>
        </w:trPr>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管理员27人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iCs/>
                <w:color w:val="000000"/>
                <w:sz w:val="22"/>
                <w:szCs w:val="22"/>
                <w:highlight w:val="none"/>
                <w:lang w:bidi="ar"/>
              </w:rPr>
              <w:t xml:space="preserve">未达到国家法定退休年龄。</w:t>
            </w:r>
            <w:r>
              <w:rPr>
                <w:rFonts w:hint="eastAsia" w:ascii="方正仿宋_GB2312" w:hAnsi="方正仿宋_GB2312" w:eastAsia="方正仿宋_GB2312" w:cs="方正仿宋_GB2312"/>
                <w:color w:val="000000"/>
                <w:sz w:val="22"/>
                <w:szCs w:val="22"/>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教学区</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保洁人员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46</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环境卫生主管1人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负责教学管理服务区域的卫生保洁工作。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ind w:firstLine="440"/>
              <w:spacing w:line="0" w:lineRule="atLeas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具有人社部门或人社部门授权机构颁发的中级（四级）及以上保洁员职业技能等级证书或者中级（四级）及以上有害生物防制员证书；3年及以上类似物业项目的管理经历。卫生消杀和除“四害”管理。</w:t>
            </w:r>
            <w:r>
              <w:rPr>
                <w:rFonts w:hint="eastAsia" w:ascii="方正仿宋_GB2312" w:hAnsi="方正仿宋_GB2312" w:eastAsia="方正仿宋_GB2312" w:cs="方正仿宋_GB2312"/>
                <w:iCs/>
                <w:color w:val="000000"/>
                <w:sz w:val="22"/>
                <w:szCs w:val="22"/>
                <w:highlight w:val="none"/>
                <w:u w:val="single"/>
              </w:rPr>
            </w:r>
            <w:r/>
          </w:p>
        </w:tc>
      </w:tr>
      <w:tr>
        <w:trPr>
          <w:trHeight w:val="535"/>
        </w:trPr>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保洁员45人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iCs/>
                <w:color w:val="000000"/>
                <w:sz w:val="22"/>
                <w:szCs w:val="22"/>
                <w:highlight w:val="none"/>
                <w:lang w:bidi="ar"/>
              </w:rPr>
              <w:t xml:space="preserve">能吃苦耐劳，具有较好的体力劳动能力。</w:t>
            </w:r>
            <w:r>
              <w:rPr>
                <w:rFonts w:hint="eastAsia" w:ascii="方正仿宋_GB2312" w:hAnsi="方正仿宋_GB2312" w:eastAsia="方正仿宋_GB2312" w:cs="方正仿宋_GB2312"/>
                <w:color w:val="000000"/>
                <w:sz w:val="22"/>
                <w:szCs w:val="22"/>
                <w:highlight w:val="none"/>
              </w:rPr>
            </w:r>
            <w:r/>
          </w:p>
        </w:tc>
      </w:tr>
      <w:tr>
        <w:trPr>
          <w:trHeight w:val="355"/>
        </w:trPr>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生活公寓</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保洁人员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28</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bookmarkStart w:id="163" w:name="OLE_LINK1"/>
            <w:r>
              <w:rPr>
                <w:rFonts w:hint="eastAsia" w:ascii="方正仿宋_GB2312" w:hAnsi="方正仿宋_GB2312" w:eastAsia="方正仿宋_GB2312" w:cs="方正仿宋_GB2312"/>
                <w:color w:val="000000"/>
                <w:sz w:val="22"/>
                <w:szCs w:val="22"/>
                <w:highlight w:val="none"/>
                <w:lang w:bidi="ar"/>
              </w:rPr>
              <w:t xml:space="preserve">环境卫生主管</w:t>
            </w:r>
            <w:bookmarkEnd w:id="163"/>
            <w:r>
              <w:rPr>
                <w:rFonts w:hint="eastAsia" w:ascii="方正仿宋_GB2312" w:hAnsi="方正仿宋_GB2312" w:eastAsia="方正仿宋_GB2312" w:cs="方正仿宋_GB2312"/>
                <w:color w:val="000000"/>
                <w:sz w:val="22"/>
                <w:szCs w:val="22"/>
                <w:highlight w:val="none"/>
                <w:lang w:bidi="ar"/>
              </w:rPr>
              <w:t xml:space="preserve">1人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负责生活管理服务区域的卫生保洁工作。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ind w:firstLine="440"/>
              <w:spacing w:line="0" w:lineRule="atLeas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具有人社部门或人社部门授权机构颁发的中级（四级）及以上保洁员职业技能等级证书或者中级（四级）及以上有害生物防制员证书；3年及以上类似物业项目的管理经历。卫生消杀和除“四害”管理。</w:t>
            </w:r>
            <w:r>
              <w:rPr>
                <w:rFonts w:hint="eastAsia" w:ascii="方正仿宋_GB2312" w:hAnsi="方正仿宋_GB2312" w:eastAsia="方正仿宋_GB2312" w:cs="方正仿宋_GB2312"/>
                <w:iCs/>
                <w:color w:val="000000"/>
                <w:sz w:val="22"/>
                <w:szCs w:val="22"/>
                <w:highlight w:val="none"/>
                <w:u w:val="single"/>
              </w:rPr>
            </w:r>
            <w:r/>
          </w:p>
        </w:tc>
      </w:tr>
      <w:tr>
        <w:trPr>
          <w:trHeight w:val="355"/>
        </w:trPr>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保洁员27人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iCs/>
                <w:color w:val="000000"/>
                <w:sz w:val="22"/>
                <w:szCs w:val="22"/>
                <w:highlight w:val="none"/>
                <w:lang w:bidi="ar"/>
              </w:rPr>
              <w:t xml:space="preserve">能吃苦耐劳，具有较好的体力劳动能力。</w:t>
            </w:r>
            <w:r>
              <w:rPr>
                <w:rFonts w:hint="eastAsia" w:ascii="方正仿宋_GB2312" w:hAnsi="方正仿宋_GB2312" w:eastAsia="方正仿宋_GB2312" w:cs="方正仿宋_GB2312"/>
                <w:color w:val="000000"/>
                <w:sz w:val="22"/>
                <w:szCs w:val="22"/>
                <w:highlight w:val="none"/>
              </w:rPr>
            </w:r>
            <w:r/>
          </w:p>
        </w:tc>
      </w:tr>
      <w:tr>
        <w:trPr>
          <w:trHeight w:val="355"/>
        </w:trPr>
        <w:tc>
          <w:tcPr>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外场</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保洁人员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7</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外场保洁5人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负责外场管理服务区域的卫生保洁工作。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能吃苦耐劳，具有较好的体力劳动能力。</w:t>
            </w:r>
            <w:r>
              <w:rPr>
                <w:rFonts w:hint="eastAsia" w:ascii="方正仿宋_GB2312" w:hAnsi="方正仿宋_GB2312" w:eastAsia="方正仿宋_GB2312" w:cs="方正仿宋_GB2312"/>
                <w:iCs/>
                <w:color w:val="000000"/>
                <w:sz w:val="22"/>
                <w:szCs w:val="22"/>
                <w:highlight w:val="none"/>
                <w:u w:val="single"/>
              </w:rPr>
            </w:r>
            <w:r/>
          </w:p>
        </w:tc>
      </w:tr>
      <w:tr>
        <w:trPr>
          <w:trHeight w:val="355"/>
        </w:trPr>
        <w:tc>
          <w:tcPr>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垃圾清运2人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r>
      <w:tr>
        <w:trPr>
          <w:trHeight w:val="720"/>
        </w:trPr>
        <w:tc>
          <w:tcPr>
            <w:tcBorders>
              <w:top w:val="single" w:color="000000" w:sz="4" w:space="0"/>
              <w:left w:val="single" w:color="000000" w:sz="4" w:space="0"/>
              <w:bottom w:val="none" w:color="000000" w:sz="4" w:space="0"/>
              <w:right w:val="single" w:color="000000" w:sz="4" w:space="0"/>
            </w:tcBorders>
            <w:tcW w:w="827"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日常维修</w:t>
            </w:r>
            <w:r>
              <w:rPr>
                <w:rFonts w:hint="eastAsia" w:ascii="方正仿宋_GB2312" w:hAnsi="方正仿宋_GB2312" w:eastAsia="方正仿宋_GB2312" w:cs="方正仿宋_GB2312"/>
                <w:color w:val="000000"/>
                <w:sz w:val="22"/>
                <w:szCs w:val="22"/>
                <w:highlight w:val="none"/>
              </w:rPr>
            </w:r>
            <w:r/>
          </w:p>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人员</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670" w:type="dxa"/>
            <w:vAlign w:val="center"/>
            <w:vMerge w:val="restart"/>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7</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维修主管1人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2706" w:type="dxa"/>
            <w:vAlign w:val="center"/>
            <w:vMerge w:val="restart"/>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巡查供电供水设施，保障供电供水设备的良好运转，做好校园水电等维修工作。</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iCs/>
                <w:color w:val="000000"/>
                <w:sz w:val="22"/>
                <w:szCs w:val="22"/>
                <w:highlight w:val="none"/>
                <w:u w:val="singl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合同履行期内未达到国家法定退休年龄，持有电工证，3年及以上类似物业项目的管理经历。</w:t>
            </w:r>
            <w:r>
              <w:rPr>
                <w:rFonts w:hint="eastAsia" w:ascii="方正仿宋_GB2312" w:hAnsi="方正仿宋_GB2312" w:eastAsia="方正仿宋_GB2312" w:cs="方正仿宋_GB2312"/>
                <w:iCs/>
                <w:color w:val="000000"/>
                <w:sz w:val="22"/>
                <w:szCs w:val="22"/>
                <w:highlight w:val="none"/>
                <w:u w:val="single"/>
              </w:rPr>
            </w:r>
            <w:r/>
          </w:p>
        </w:tc>
      </w:tr>
      <w:tr>
        <w:trPr>
          <w:trHeight w:val="812"/>
        </w:trPr>
        <w:tc>
          <w:tcPr>
            <w:tcBorders>
              <w:top w:val="single" w:color="000000" w:sz="4" w:space="0"/>
              <w:left w:val="single" w:color="000000" w:sz="4" w:space="0"/>
              <w:bottom w:val="none" w:color="000000" w:sz="4" w:space="0"/>
              <w:right w:val="single" w:color="000000" w:sz="4" w:space="0"/>
            </w:tcBorders>
            <w:tcW w:w="827"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none" w:color="000000" w:sz="4" w:space="0"/>
              <w:right w:val="single" w:color="000000" w:sz="4" w:space="0"/>
            </w:tcBorders>
            <w:tcW w:w="670"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维修人员6人</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2706" w:type="dxa"/>
            <w:vAlign w:val="center"/>
            <w:vMerge w:val="continue"/>
            <w:textDirection w:val="lrTb"/>
            <w:noWrap w:val="false"/>
          </w:tcPr>
          <w:p>
            <w:pPr>
              <w:pStyle w:val="960"/>
              <w:rPr>
                <w:color w:val="000000"/>
                <w:sz w:val="16"/>
                <w:szCs w:val="16"/>
                <w:highlight w:val="none"/>
              </w:rPr>
            </w:pPr>
            <w:r>
              <w:rPr>
                <w:color w:val="000000"/>
                <w:sz w:val="16"/>
                <w:szCs w:val="16"/>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iCs/>
                <w:color w:val="000000"/>
                <w:sz w:val="22"/>
                <w:szCs w:val="22"/>
                <w:highlight w:val="none"/>
                <w:lang w:bidi="ar"/>
              </w:rPr>
              <w:t xml:space="preserve">合同履行期内未达到国家法定退休年龄，其中3人需持有电工证且具有3年及以上电工工作经历。</w:t>
            </w:r>
            <w:r>
              <w:rPr>
                <w:rFonts w:hint="eastAsia" w:ascii="方正仿宋_GB2312" w:hAnsi="方正仿宋_GB2312" w:eastAsia="方正仿宋_GB2312" w:cs="方正仿宋_GB2312"/>
                <w:color w:val="000000"/>
                <w:sz w:val="22"/>
                <w:szCs w:val="22"/>
                <w:highlight w:val="none"/>
              </w:rPr>
            </w:r>
            <w:r/>
          </w:p>
        </w:tc>
      </w:tr>
      <w:tr>
        <w:trPr>
          <w:trHeight w:val="6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合计</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lang w:bidi="ar"/>
              </w:rPr>
              <w:t xml:space="preserve">154</w:t>
            </w: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29" w:type="dxa"/>
            <w:vAlign w:val="center"/>
            <w:textDirection w:val="lrTb"/>
            <w:noWrap w:val="false"/>
          </w:tcPr>
          <w:p>
            <w:pPr>
              <w:pStyle w:val="960"/>
              <w:spacing w:line="360" w:lineRule="exact"/>
              <w:rPr>
                <w:rFonts w:hint="eastAsia" w:ascii="方正仿宋_GB2312" w:hAnsi="方正仿宋_GB2312" w:eastAsia="方正仿宋_GB2312" w:cs="方正仿宋_GB2312"/>
                <w:color w:val="000000"/>
                <w:sz w:val="22"/>
                <w:szCs w:val="22"/>
                <w:highlight w:val="none"/>
              </w:rPr>
            </w:pPr>
            <w:r>
              <w:rPr>
                <w:rFonts w:hint="eastAsia" w:ascii="方正仿宋_GB2312" w:hAnsi="方正仿宋_GB2312" w:eastAsia="方正仿宋_GB2312" w:cs="方正仿宋_GB2312"/>
                <w:color w:val="000000"/>
                <w:sz w:val="22"/>
                <w:szCs w:val="22"/>
                <w:highlight w:val="none"/>
              </w:rPr>
            </w:r>
            <w:r/>
          </w:p>
        </w:tc>
      </w:tr>
    </w:tbl>
    <w:p>
      <w:pPr>
        <w:pStyle w:val="960"/>
        <w:ind w:firstLine="560"/>
        <w:spacing w:line="440" w:lineRule="exact"/>
        <w:rPr>
          <w:rFonts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color w:val="000000"/>
          <w:sz w:val="28"/>
          <w:szCs w:val="28"/>
          <w:highlight w:val="none"/>
        </w:rPr>
      </w:r>
      <w:r/>
    </w:p>
    <w:p>
      <w:pPr>
        <w:pStyle w:val="960"/>
        <w:ind w:firstLine="562"/>
        <w:spacing w:line="440" w:lineRule="exact"/>
        <w:rPr>
          <w:rFonts w:ascii="方正仿宋_GB2312" w:hAnsi="方正仿宋_GB2312" w:eastAsia="方正仿宋_GB2312" w:cs="方正仿宋_GB2312"/>
          <w:b/>
          <w:i/>
          <w:color w:val="000000"/>
          <w:sz w:val="28"/>
          <w:szCs w:val="28"/>
          <w:highlight w:val="none"/>
          <w:u w:val="single"/>
          <w:lang w:val="en-US" w:eastAsia="zh-CN"/>
        </w:rPr>
      </w:pPr>
      <w:r>
        <w:rPr>
          <w:rFonts w:hint="eastAsia" w:ascii="方正仿宋_GB2312" w:hAnsi="方正仿宋_GB2312" w:eastAsia="方正仿宋_GB2312" w:cs="方正仿宋_GB2312"/>
          <w:b/>
          <w:bCs/>
          <w:color w:val="000000"/>
          <w:sz w:val="28"/>
          <w:szCs w:val="28"/>
          <w:highlight w:val="none"/>
        </w:rPr>
        <w:t xml:space="preserve">备</w:t>
      </w:r>
      <w:r>
        <w:rPr>
          <w:rFonts w:hint="eastAsia" w:ascii="方正仿宋_GB2312" w:hAnsi="方正仿宋_GB2312" w:eastAsia="方正仿宋_GB2312" w:cs="方正仿宋_GB2312"/>
          <w:b/>
          <w:i/>
          <w:color w:val="000000"/>
          <w:sz w:val="28"/>
          <w:szCs w:val="28"/>
          <w:highlight w:val="none"/>
          <w:u w:val="single"/>
        </w:rPr>
        <w:t xml:space="preserve">注：</w:t>
      </w:r>
      <w:r>
        <w:rPr>
          <w:rFonts w:ascii="方正仿宋_GB2312" w:hAnsi="方正仿宋_GB2312" w:eastAsia="方正仿宋_GB2312" w:cs="方正仿宋_GB2312"/>
          <w:b/>
          <w:i/>
          <w:color w:val="000000"/>
          <w:sz w:val="28"/>
          <w:szCs w:val="28"/>
          <w:highlight w:val="none"/>
          <w:u w:val="single"/>
          <w:lang w:val="en-US" w:eastAsia="zh-CN"/>
        </w:rPr>
      </w:r>
      <w:r/>
    </w:p>
    <w:p>
      <w:pPr>
        <w:pStyle w:val="960"/>
        <w:ind w:firstLine="562"/>
        <w:spacing w:line="440" w:lineRule="exact"/>
        <w:rPr>
          <w:rFonts w:ascii="方正仿宋_GB2312" w:hAnsi="方正仿宋_GB2312" w:eastAsia="方正仿宋_GB2312" w:cs="方正仿宋_GB2312"/>
          <w:b/>
          <w:bCs w:val="0"/>
          <w:i/>
          <w:iCs w:val="0"/>
          <w:color w:val="000000"/>
          <w:sz w:val="28"/>
          <w:szCs w:val="28"/>
          <w:highlight w:val="none"/>
          <w:u w:val="single"/>
        </w:rPr>
      </w:pPr>
      <w:r>
        <w:rPr>
          <w:rFonts w:hint="eastAsia" w:ascii="方正仿宋_GB2312" w:hAnsi="方正仿宋_GB2312" w:eastAsia="方正仿宋_GB2312" w:cs="方正仿宋_GB2312"/>
          <w:b/>
          <w:i/>
          <w:color w:val="000000"/>
          <w:sz w:val="28"/>
          <w:szCs w:val="28"/>
          <w:highlight w:val="none"/>
          <w:u w:val="single"/>
          <w:lang w:val="en-US" w:eastAsia="zh-CN"/>
        </w:rPr>
        <w:t xml:space="preserve">1</w:t>
      </w:r>
      <w:r>
        <w:rPr>
          <w:rFonts w:hint="eastAsia" w:ascii="方正仿宋_GB2312" w:hAnsi="方正仿宋_GB2312" w:eastAsia="方正仿宋_GB2312" w:cs="方正仿宋_GB2312"/>
          <w:b/>
          <w:i/>
          <w:color w:val="000000"/>
          <w:sz w:val="28"/>
          <w:szCs w:val="28"/>
          <w:highlight w:val="none"/>
          <w:u w:val="single"/>
        </w:rPr>
        <w:t xml:space="preserve">.投标人投标时需提供项目经理和主管（共计9人）名册，包括姓名、性别、年龄、身份证号码和联系电话等信息，同时提供身份证复印件、维修主管提供电工证复印件或扫描件、具有相关工作经历（管理经历以过往服务单位管理部门出具的盖章证明为准）</w:t>
      </w:r>
      <w:r>
        <w:rPr>
          <w:rFonts w:hint="eastAsia" w:ascii="方正仿宋_GB2312" w:hAnsi="方正仿宋_GB2312" w:eastAsia="方正仿宋_GB2312" w:cs="方正仿宋_GB2312"/>
          <w:b/>
          <w:i/>
          <w:color w:val="000000"/>
          <w:sz w:val="28"/>
          <w:szCs w:val="28"/>
          <w:highlight w:val="none"/>
          <w:u w:val="single"/>
        </w:rPr>
        <w:t xml:space="preserve">的</w:t>
      </w:r>
      <w:r>
        <w:rPr>
          <w:rFonts w:hint="eastAsia" w:ascii="方正仿宋_GB2312" w:hAnsi="方正仿宋_GB2312" w:eastAsia="方正仿宋_GB2312" w:cs="方正仿宋_GB2312"/>
          <w:b/>
          <w:i/>
          <w:color w:val="000000"/>
          <w:sz w:val="28"/>
          <w:szCs w:val="28"/>
          <w:highlight w:val="none"/>
          <w:u w:val="single"/>
        </w:rPr>
        <w:t xml:space="preserve">证明材料等；中标后，实际驻场项目经理和主管须与投标文件中提供的人员信息保持一致，合同期内不得随意更换。确需更换的，中标人须至少提前一个月以书面形式通知采购人并经采购人书面同意，方可更换符合同等或更高要求的人员，且人员更换不得影响学校物业服务正常开展；</w:t>
      </w:r>
      <w:r>
        <w:rPr>
          <w:rFonts w:hint="eastAsia" w:ascii="方正仿宋_GB2312" w:hAnsi="方正仿宋_GB2312" w:eastAsia="方正仿宋_GB2312" w:cs="方正仿宋_GB2312"/>
          <w:b/>
          <w:bCs w:val="0"/>
          <w:i/>
          <w:iCs w:val="0"/>
          <w:color w:val="000000"/>
          <w:sz w:val="28"/>
          <w:szCs w:val="28"/>
          <w:highlight w:val="none"/>
          <w:u w:val="single"/>
          <w:lang w:eastAsia="zh-CN"/>
        </w:rPr>
        <w:t xml:space="preserve">（</w:t>
      </w:r>
      <w:r>
        <w:rPr>
          <w:rFonts w:hint="eastAsia" w:ascii="方正仿宋_GB2312" w:hAnsi="方正仿宋_GB2312" w:eastAsia="方正仿宋_GB2312" w:cs="方正仿宋_GB2312"/>
          <w:b/>
          <w:bCs w:val="0"/>
          <w:i/>
          <w:iCs w:val="0"/>
          <w:color w:val="000000"/>
          <w:sz w:val="28"/>
          <w:szCs w:val="28"/>
          <w:highlight w:val="none"/>
          <w:u w:val="single"/>
        </w:rPr>
        <w:t xml:space="preserve">提供投标人缴纳的以上人员近3个月中任意一个月的社会保险证明</w:t>
      </w:r>
      <w:r>
        <w:rPr>
          <w:rFonts w:hint="eastAsia" w:ascii="方正仿宋_GB2312" w:hAnsi="方正仿宋_GB2312" w:eastAsia="方正仿宋_GB2312" w:cs="方正仿宋_GB2312"/>
          <w:b/>
          <w:bCs w:val="0"/>
          <w:i/>
          <w:iCs w:val="0"/>
          <w:color w:val="000000"/>
          <w:sz w:val="28"/>
          <w:szCs w:val="28"/>
          <w:highlight w:val="none"/>
          <w:u w:val="single"/>
          <w:lang w:eastAsia="zh-CN"/>
        </w:rPr>
        <w:t xml:space="preserve">）</w:t>
      </w:r>
      <w:r>
        <w:rPr>
          <w:rFonts w:ascii="方正仿宋_GB2312" w:hAnsi="方正仿宋_GB2312" w:eastAsia="方正仿宋_GB2312" w:cs="方正仿宋_GB2312"/>
          <w:b/>
          <w:bCs w:val="0"/>
          <w:i/>
          <w:iCs w:val="0"/>
          <w:color w:val="000000"/>
          <w:sz w:val="28"/>
          <w:szCs w:val="28"/>
          <w:highlight w:val="none"/>
          <w:u w:val="single"/>
        </w:rPr>
      </w:r>
      <w:r/>
    </w:p>
    <w:p>
      <w:pPr>
        <w:pStyle w:val="960"/>
        <w:ind w:firstLine="562"/>
        <w:spacing w:line="440" w:lineRule="exact"/>
        <w:rPr>
          <w:rFonts w:hint="eastAsia" w:ascii="方正仿宋_GB2312" w:hAnsi="方正仿宋_GB2312" w:eastAsia="方正仿宋_GB2312" w:cs="方正仿宋_GB2312"/>
          <w:b/>
          <w:i/>
          <w:sz w:val="28"/>
          <w:szCs w:val="28"/>
          <w:highlight w:val="cyan"/>
          <w:lang w:eastAsia="zh-CN"/>
        </w:rPr>
      </w:pPr>
      <w:r>
        <w:rPr>
          <w:rFonts w:hint="eastAsia" w:ascii="方正仿宋_GB2312" w:hAnsi="方正仿宋_GB2312" w:eastAsia="方正仿宋_GB2312" w:cs="方正仿宋_GB2312"/>
          <w:b/>
          <w:i/>
          <w:color w:val="000000"/>
          <w:sz w:val="28"/>
          <w:szCs w:val="28"/>
          <w:highlight w:val="none"/>
          <w:u w:val="single"/>
          <w:lang w:val="en-US" w:eastAsia="zh-CN"/>
        </w:rPr>
        <w:t xml:space="preserve">2</w:t>
      </w:r>
      <w:r>
        <w:rPr>
          <w:rFonts w:hint="eastAsia" w:ascii="方正仿宋_GB2312" w:hAnsi="方正仿宋_GB2312" w:eastAsia="方正仿宋_GB2312" w:cs="方正仿宋_GB2312"/>
          <w:b/>
          <w:i/>
          <w:color w:val="000000"/>
          <w:sz w:val="28"/>
          <w:szCs w:val="28"/>
          <w:highlight w:val="none"/>
          <w:u w:val="single"/>
          <w:lang w:val="en-US" w:eastAsia="zh-CN"/>
        </w:rPr>
        <w:t xml:space="preserve">.</w:t>
      </w:r>
      <w:r>
        <w:rPr>
          <w:rFonts w:hint="eastAsia" w:ascii="方正仿宋_GB2312" w:hAnsi="方正仿宋_GB2312" w:eastAsia="方正仿宋_GB2312" w:cs="方正仿宋_GB2312"/>
          <w:b/>
          <w:i/>
          <w:color w:val="000000"/>
          <w:sz w:val="28"/>
          <w:szCs w:val="28"/>
          <w:highlight w:val="none"/>
          <w:u w:val="single"/>
        </w:rPr>
        <w:t xml:space="preserve">投标人须书面承诺：（1）其他人员（除项目经理和主管外）上岗时均满足上表中基本要求；（2）须严格遵守并执行《中华人民共和国劳动法》等相关法律法规，合同履行期间发生的劳动用工纠纷等各类矛盾，均由中标人独立承担责任，采购人不承担任何连带责任；（3）所有物业服务从业人员均要求身体健康、责任心强，无犯罪记录、无不良嗜好；具备良好的职业修养，爱岗敬业、工作勤勉、礼貌待人，中标人可根据项目实际工作需求对人员进行合理调配使用。</w:t>
      </w:r>
      <w:r>
        <w:rPr>
          <w:rFonts w:hint="eastAsia" w:ascii="方正仿宋_GB2312" w:hAnsi="方正仿宋_GB2312" w:eastAsia="方正仿宋_GB2312" w:cs="方正仿宋_GB2312"/>
          <w:b/>
          <w:i/>
          <w:color w:val="000000"/>
          <w:sz w:val="28"/>
          <w:szCs w:val="28"/>
          <w:highlight w:val="none"/>
          <w:u w:val="single"/>
          <w:lang w:eastAsia="zh-CN"/>
        </w:rPr>
        <w:t xml:space="preserve">（</w:t>
      </w:r>
      <w:r>
        <w:rPr>
          <w:rFonts w:hint="eastAsia" w:ascii="方正仿宋_GB2312" w:hAnsi="方正仿宋_GB2312" w:eastAsia="方正仿宋_GB2312" w:cs="方正仿宋_GB2312"/>
          <w:b/>
          <w:i/>
          <w:color w:val="000000"/>
          <w:sz w:val="28"/>
          <w:szCs w:val="28"/>
          <w:highlight w:val="none"/>
          <w:u w:val="single"/>
          <w:lang w:val="en-US" w:eastAsia="zh-CN"/>
        </w:rPr>
        <w:t xml:space="preserve">4</w:t>
      </w:r>
      <w:r>
        <w:rPr>
          <w:rFonts w:hint="eastAsia" w:ascii="方正仿宋_GB2312" w:hAnsi="方正仿宋_GB2312" w:eastAsia="方正仿宋_GB2312" w:cs="方正仿宋_GB2312"/>
          <w:b/>
          <w:i/>
          <w:color w:val="000000"/>
          <w:sz w:val="28"/>
          <w:szCs w:val="28"/>
          <w:highlight w:val="none"/>
          <w:u w:val="single"/>
          <w:lang w:eastAsia="zh-CN"/>
        </w:rPr>
        <w:t xml:space="preserve">）</w:t>
      </w:r>
      <w:r>
        <w:rPr>
          <w:rFonts w:hint="eastAsia" w:ascii="方正仿宋_GB2312" w:hAnsi="方正仿宋_GB2312" w:eastAsia="方正仿宋_GB2312" w:cs="方正仿宋_GB2312"/>
          <w:b/>
          <w:i/>
          <w:color w:val="000000"/>
          <w:sz w:val="28"/>
          <w:szCs w:val="28"/>
          <w:highlight w:val="none"/>
          <w:u w:val="single"/>
        </w:rPr>
        <w:t xml:space="preserve">各岗位人员数量不得少于要求，总计不得少于154人（投标人可根据工作需要增设岗位和人员）。</w:t>
      </w:r>
      <w:r>
        <w:rPr>
          <w:rFonts w:hint="eastAsia" w:ascii="方正仿宋_GB2312" w:hAnsi="方正仿宋_GB2312" w:eastAsia="方正仿宋_GB2312" w:cs="方正仿宋_GB2312"/>
          <w:b/>
          <w:i/>
          <w:sz w:val="28"/>
          <w:szCs w:val="28"/>
          <w:highlight w:val="cyan"/>
          <w:lang w:eastAsia="zh-CN"/>
        </w:rPr>
      </w:r>
      <w:r/>
    </w:p>
    <w:p>
      <w:pPr>
        <w:pStyle w:val="960"/>
        <w:ind w:firstLine="562"/>
        <w:spacing w:line="4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七、服务方案</w:t>
      </w:r>
      <w:r>
        <w:rPr>
          <w:rFonts w:hint="eastAsia" w:ascii="方正仿宋_GB2312" w:hAnsi="方正仿宋_GB2312" w:eastAsia="方正仿宋_GB2312" w:cs="方正仿宋_GB2312"/>
          <w:b/>
          <w:bCs/>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1.整体组织管理实施方案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对本项目服务内容和项目进行总体分</w:t>
      </w:r>
      <w:r>
        <w:rPr>
          <w:rFonts w:hint="eastAsia" w:ascii="仿宋_GB2312" w:hAnsi="宋体" w:eastAsia="仿宋_GB2312" w:cs="宋体"/>
          <w:sz w:val="28"/>
          <w:szCs w:val="28"/>
        </w:rPr>
        <w:t xml:space="preserve">析</w:t>
      </w:r>
      <w:r>
        <w:rPr>
          <w:rFonts w:hint="eastAsia" w:ascii="仿宋_GB2312" w:hAnsi="___WRD_EMBED_SUB_44" w:eastAsia="仿宋_GB2312" w:cs="___WRD_EMBED_SUB_44"/>
          <w:sz w:val="28"/>
          <w:szCs w:val="28"/>
        </w:rPr>
        <w:t xml:space="preserve">，物业管理服务定位准确，思路清晰，目标合理，措施</w:t>
      </w:r>
      <w:r>
        <w:rPr>
          <w:rFonts w:hint="eastAsia" w:ascii="仿宋_GB2312" w:hAnsi="方正仿宋_GB2312" w:eastAsia="仿宋_GB2312" w:cs="方正仿宋_GB2312"/>
          <w:sz w:val="28"/>
          <w:szCs w:val="28"/>
        </w:rPr>
        <w:t xml:space="preserve">具有</w:t>
      </w:r>
      <w:r>
        <w:rPr>
          <w:rFonts w:hint="eastAsia" w:ascii="仿宋_GB2312" w:hAnsi="___WRD_EMBED_SUB_44" w:eastAsia="仿宋_GB2312" w:cs="___WRD_EMBED_SUB_44"/>
          <w:sz w:val="28"/>
          <w:szCs w:val="28"/>
        </w:rPr>
        <w:t xml:space="preserve">较强的针对性，针对现场情况等识别出项目特点、难点和关键控制点，以及</w:t>
      </w:r>
      <w:r>
        <w:rPr>
          <w:rFonts w:hint="eastAsia" w:ascii="仿宋_GB2312" w:hAnsi="宋体" w:eastAsia="仿宋_GB2312" w:cs="宋体"/>
          <w:sz w:val="28"/>
          <w:szCs w:val="28"/>
        </w:rPr>
        <w:t xml:space="preserve">潜</w:t>
      </w:r>
      <w:r>
        <w:rPr>
          <w:rFonts w:hint="eastAsia" w:ascii="仿宋_GB2312" w:hAnsi="___WRD_EMBED_SUB_44" w:eastAsia="仿宋_GB2312" w:cs="___WRD_EMBED_SUB_44"/>
          <w:sz w:val="28"/>
          <w:szCs w:val="28"/>
        </w:rPr>
        <w:t xml:space="preserve">在服务需求能有相应的预</w:t>
      </w:r>
      <w:r>
        <w:rPr>
          <w:rFonts w:hint="eastAsia" w:ascii="仿宋_GB2312" w:hAnsi="宋体" w:eastAsia="仿宋_GB2312" w:cs="宋体"/>
          <w:sz w:val="28"/>
          <w:szCs w:val="28"/>
        </w:rPr>
        <w:t xml:space="preserve">判</w:t>
      </w:r>
      <w:r>
        <w:rPr>
          <w:rFonts w:hint="eastAsia" w:ascii="仿宋_GB2312" w:hAnsi="___WRD_EMBED_SUB_44" w:eastAsia="仿宋_GB2312" w:cs="___WRD_EMBED_SUB_44"/>
          <w:sz w:val="28"/>
          <w:szCs w:val="28"/>
        </w:rPr>
        <w:t xml:space="preserve">，管理架构的设置安排合理、高效，能对服务质量起到较强的保障；培训安排合理，有针对性，能满足项目现场实际管理需求；提出总体物业管理服务</w:t>
      </w:r>
      <w:r>
        <w:rPr>
          <w:rFonts w:hint="eastAsia" w:ascii="仿宋_GB2312" w:hAnsi="宋体" w:eastAsia="仿宋_GB2312" w:cs="宋体"/>
          <w:sz w:val="28"/>
          <w:szCs w:val="28"/>
        </w:rPr>
        <w:t xml:space="preserve">模</w:t>
      </w:r>
      <w:r>
        <w:rPr>
          <w:rFonts w:hint="eastAsia" w:ascii="仿宋_GB2312" w:hAnsi="___WRD_EMBED_SUB_44" w:eastAsia="仿宋_GB2312" w:cs="___WRD_EMBED_SUB_44"/>
          <w:sz w:val="28"/>
          <w:szCs w:val="28"/>
        </w:rPr>
        <w:t xml:space="preserve">式及理</w:t>
      </w:r>
      <w:r>
        <w:rPr>
          <w:rFonts w:hint="eastAsia" w:ascii="仿宋_GB2312" w:hAnsi="宋体" w:eastAsia="仿宋_GB2312" w:cs="宋体"/>
          <w:sz w:val="28"/>
          <w:szCs w:val="28"/>
        </w:rPr>
        <w:t xml:space="preserve">念</w:t>
      </w:r>
      <w:r>
        <w:rPr>
          <w:rFonts w:hint="eastAsia" w:ascii="仿宋_GB2312" w:hAnsi="___WRD_EMBED_SUB_44" w:eastAsia="仿宋_GB2312" w:cs="___WRD_EMBED_SUB_44"/>
          <w:sz w:val="28"/>
          <w:szCs w:val="28"/>
        </w:rPr>
        <w:t xml:space="preserve">，提供对本项目整体设想、拟采用的管理服务</w:t>
      </w:r>
      <w:r>
        <w:rPr>
          <w:rFonts w:hint="eastAsia" w:ascii="仿宋_GB2312" w:hAnsi="宋体" w:eastAsia="仿宋_GB2312" w:cs="宋体"/>
          <w:sz w:val="28"/>
          <w:szCs w:val="28"/>
        </w:rPr>
        <w:t xml:space="preserve">模</w:t>
      </w:r>
      <w:r>
        <w:rPr>
          <w:rFonts w:hint="eastAsia" w:ascii="仿宋_GB2312" w:hAnsi="___WRD_EMBED_SUB_44" w:eastAsia="仿宋_GB2312" w:cs="___WRD_EMBED_SUB_44"/>
          <w:sz w:val="28"/>
          <w:szCs w:val="28"/>
        </w:rPr>
        <w:t xml:space="preserve">式等方案，紧扣招标人实际需求，</w:t>
      </w:r>
      <w:r>
        <w:rPr>
          <w:rFonts w:hint="eastAsia" w:ascii="仿宋_GB2312" w:hAnsi="宋体" w:eastAsia="仿宋_GB2312" w:cs="宋体"/>
          <w:sz w:val="28"/>
          <w:szCs w:val="28"/>
        </w:rPr>
        <w:t xml:space="preserve">富</w:t>
      </w:r>
      <w:r>
        <w:rPr>
          <w:rFonts w:hint="eastAsia" w:ascii="仿宋_GB2312" w:hAnsi="___WRD_EMBED_SUB_44" w:eastAsia="仿宋_GB2312" w:cs="___WRD_EMBED_SUB_44"/>
          <w:sz w:val="28"/>
          <w:szCs w:val="28"/>
        </w:rPr>
        <w:t xml:space="preserve">有前</w:t>
      </w:r>
      <w:r>
        <w:rPr>
          <w:rFonts w:hint="eastAsia" w:ascii="仿宋_GB2312" w:hAnsi="宋体" w:eastAsia="仿宋_GB2312" w:cs="宋体"/>
          <w:sz w:val="28"/>
          <w:szCs w:val="28"/>
        </w:rPr>
        <w:t xml:space="preserve">瞻</w:t>
      </w:r>
      <w:r>
        <w:rPr>
          <w:rFonts w:hint="eastAsia" w:ascii="仿宋_GB2312" w:hAnsi="___WRD_EMBED_SUB_44" w:eastAsia="仿宋_GB2312" w:cs="___WRD_EMBED_SUB_44"/>
          <w:sz w:val="28"/>
          <w:szCs w:val="28"/>
        </w:rPr>
        <w:t xml:space="preserve">性、具备科学性和可操作性。</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2.楼宇管理服务方案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供应商应根据教学楼、行政楼、实训楼、艺术楼、图书馆等不同楼宇的功能特点，制定</w:t>
      </w:r>
      <w:r>
        <w:rPr>
          <w:rFonts w:hint="eastAsia" w:ascii="仿宋_GB2312" w:hAnsi="宋体" w:eastAsia="仿宋_GB2312" w:cs="宋体"/>
          <w:sz w:val="28"/>
          <w:szCs w:val="28"/>
        </w:rPr>
        <w:t xml:space="preserve">差</w:t>
      </w:r>
      <w:r>
        <w:rPr>
          <w:rFonts w:hint="eastAsia" w:ascii="仿宋_GB2312" w:hAnsi="___WRD_EMBED_SUB_44" w:eastAsia="仿宋_GB2312" w:cs="___WRD_EMBED_SUB_44"/>
          <w:sz w:val="28"/>
          <w:szCs w:val="28"/>
        </w:rPr>
        <w:t xml:space="preserve">异化的楼宇综合管理服务方案，包括门禁管控、秩序维护、结构巡查、设施巡检、安全检查等内容。方案应明确各楼宇的开放关闭管理、外来人员登记、课后清场巡查等具体要求，建立日常巡检台账与问题整改闭环机制，确保楼宇使用安全、秩序规范、环境整洁。</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3.学生公寓管理服务方案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根据本项目要求，并结合学生公寓特点和学生需求，立足教育、管理、服务“三位一体”，制定学生公寓管理服务方案，包括住宿秩序管理、安全管控、卫生管理、设施设备管理、人员管理、应急管理，提供基</w:t>
      </w:r>
      <w:r>
        <w:rPr>
          <w:rFonts w:hint="eastAsia" w:ascii="仿宋_GB2312" w:hAnsi="宋体" w:eastAsia="仿宋_GB2312" w:cs="宋体"/>
          <w:sz w:val="28"/>
          <w:szCs w:val="28"/>
        </w:rPr>
        <w:t xml:space="preserve">础</w:t>
      </w:r>
      <w:r>
        <w:rPr>
          <w:rFonts w:hint="eastAsia" w:ascii="仿宋_GB2312" w:hAnsi="___WRD_EMBED_SUB_44" w:eastAsia="仿宋_GB2312" w:cs="___WRD_EMBED_SUB_44"/>
          <w:sz w:val="28"/>
          <w:szCs w:val="28"/>
        </w:rPr>
        <w:t xml:space="preserve">住宿、后勤保障、育人</w:t>
      </w:r>
      <w:r>
        <w:rPr>
          <w:rFonts w:hint="eastAsia" w:ascii="仿宋_GB2312" w:hAnsi="方正仿宋_GB2312" w:eastAsia="仿宋_GB2312" w:cs="方正仿宋_GB2312"/>
          <w:sz w:val="28"/>
          <w:szCs w:val="28"/>
        </w:rPr>
        <w:t xml:space="preserve">辅助、便</w:t>
      </w:r>
      <w:r>
        <w:rPr>
          <w:rFonts w:hint="eastAsia" w:ascii="仿宋_GB2312" w:hAnsi="宋体" w:eastAsia="仿宋_GB2312" w:cs="宋体"/>
          <w:sz w:val="28"/>
          <w:szCs w:val="28"/>
        </w:rPr>
        <w:t xml:space="preserve">民</w:t>
      </w:r>
      <w:r>
        <w:rPr>
          <w:rFonts w:hint="eastAsia" w:ascii="仿宋_GB2312" w:hAnsi="___WRD_EMBED_SUB_44" w:eastAsia="仿宋_GB2312" w:cs="___WRD_EMBED_SUB_44"/>
          <w:sz w:val="28"/>
          <w:szCs w:val="28"/>
        </w:rPr>
        <w:t xml:space="preserve">贴心等相关服务等方面。方案应完整全面、科学合理、</w:t>
      </w:r>
      <w:r>
        <w:rPr>
          <w:rFonts w:hint="eastAsia" w:ascii="仿宋_GB2312" w:hAnsi="宋体" w:eastAsia="仿宋_GB2312" w:cs="宋体"/>
          <w:sz w:val="28"/>
          <w:szCs w:val="28"/>
        </w:rPr>
        <w:t xml:space="preserve">切</w:t>
      </w:r>
      <w:r>
        <w:rPr>
          <w:rFonts w:hint="eastAsia" w:ascii="仿宋_GB2312" w:hAnsi="___WRD_EMBED_SUB_44" w:eastAsia="仿宋_GB2312" w:cs="___WRD_EMBED_SUB_44"/>
          <w:sz w:val="28"/>
          <w:szCs w:val="28"/>
        </w:rPr>
        <w:t xml:space="preserve">实可行，</w:t>
      </w:r>
      <w:r>
        <w:rPr>
          <w:rFonts w:hint="eastAsia" w:ascii="仿宋_GB2312" w:hAnsi="宋体" w:eastAsia="仿宋_GB2312" w:cs="宋体"/>
          <w:sz w:val="28"/>
          <w:szCs w:val="28"/>
        </w:rPr>
        <w:t xml:space="preserve">既</w:t>
      </w:r>
      <w:r>
        <w:rPr>
          <w:rFonts w:hint="eastAsia" w:ascii="仿宋_GB2312" w:hAnsi="___WRD_EMBED_SUB_44" w:eastAsia="仿宋_GB2312" w:cs="___WRD_EMBED_SUB_44"/>
          <w:sz w:val="28"/>
          <w:szCs w:val="28"/>
        </w:rPr>
        <w:t xml:space="preserve">要体现公寓物业服务的共性，</w:t>
      </w:r>
      <w:r>
        <w:rPr>
          <w:rFonts w:hint="eastAsia" w:ascii="仿宋_GB2312" w:hAnsi="宋体" w:eastAsia="仿宋_GB2312" w:cs="宋体"/>
          <w:sz w:val="28"/>
          <w:szCs w:val="28"/>
        </w:rPr>
        <w:t xml:space="preserve">也</w:t>
      </w:r>
      <w:r>
        <w:rPr>
          <w:rFonts w:hint="eastAsia" w:ascii="仿宋_GB2312" w:hAnsi="___WRD_EMBED_SUB_44" w:eastAsia="仿宋_GB2312" w:cs="___WRD_EMBED_SUB_44"/>
          <w:sz w:val="28"/>
          <w:szCs w:val="28"/>
        </w:rPr>
        <w:t xml:space="preserve">要体现高校学生公寓作为育人重要</w:t>
      </w:r>
      <w:r>
        <w:rPr>
          <w:rFonts w:hint="eastAsia" w:ascii="仿宋_GB2312" w:hAnsi="宋体" w:eastAsia="仿宋_GB2312" w:cs="宋体"/>
          <w:sz w:val="28"/>
          <w:szCs w:val="28"/>
        </w:rPr>
        <w:t xml:space="preserve">阵</w:t>
      </w:r>
      <w:r>
        <w:rPr>
          <w:rFonts w:hint="eastAsia" w:ascii="仿宋_GB2312" w:hAnsi="___WRD_EMBED_SUB_44" w:eastAsia="仿宋_GB2312" w:cs="___WRD_EMBED_SUB_44"/>
          <w:sz w:val="28"/>
          <w:szCs w:val="28"/>
        </w:rPr>
        <w:t xml:space="preserve">地的价值。</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4.公共设施管理及维修服务方案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根据学校公共设施分布广、类型多的特点，制定覆盖设施台账建立、日常巡检维护、故障分级响应、重大事项报告等全流程的公共设施管理服务方案。方案应明确各类设施的巡查</w:t>
      </w:r>
      <w:r>
        <w:rPr>
          <w:rFonts w:hint="eastAsia" w:ascii="仿宋_GB2312" w:hAnsi="宋体" w:eastAsia="仿宋_GB2312" w:cs="宋体"/>
          <w:sz w:val="28"/>
          <w:szCs w:val="28"/>
        </w:rPr>
        <w:t xml:space="preserve">频</w:t>
      </w:r>
      <w:r>
        <w:rPr>
          <w:rFonts w:hint="eastAsia" w:ascii="仿宋_GB2312" w:hAnsi="___WRD_EMBED_SUB_44" w:eastAsia="仿宋_GB2312" w:cs="___WRD_EMBED_SUB_44"/>
          <w:sz w:val="28"/>
          <w:szCs w:val="28"/>
        </w:rPr>
        <w:t xml:space="preserve">次、保养标准及完好率目标，严格执行响应</w:t>
      </w:r>
      <w:r>
        <w:rPr>
          <w:rFonts w:hint="eastAsia" w:ascii="仿宋_GB2312" w:hAnsi="方正仿宋_GB2312" w:eastAsia="仿宋_GB2312" w:cs="方正仿宋_GB2312"/>
          <w:sz w:val="28"/>
          <w:szCs w:val="28"/>
        </w:rPr>
        <w:t xml:space="preserve">和修复的报修时效要求，明确维修人员持证上岗与安全作业要求，建立常用耗材常备库存与领用登记制度，同时建立设施运行档案与维修记录，确保设施管理和维修服务的</w:t>
      </w:r>
      <w:r>
        <w:rPr>
          <w:rFonts w:hint="eastAsia" w:ascii="仿宋_GB2312" w:hAnsi="宋体" w:eastAsia="仿宋_GB2312" w:cs="宋体"/>
          <w:sz w:val="28"/>
          <w:szCs w:val="28"/>
        </w:rPr>
        <w:t xml:space="preserve">精</w:t>
      </w:r>
      <w:r>
        <w:rPr>
          <w:rFonts w:hint="eastAsia" w:ascii="仿宋_GB2312" w:hAnsi="___WRD_EMBED_SUB_44" w:eastAsia="仿宋_GB2312" w:cs="___WRD_EMBED_SUB_44"/>
          <w:sz w:val="28"/>
          <w:szCs w:val="28"/>
        </w:rPr>
        <w:t xml:space="preserve">细化、常态化、可追</w:t>
      </w:r>
      <w:r>
        <w:rPr>
          <w:rFonts w:hint="eastAsia" w:ascii="仿宋_GB2312" w:hAnsi="宋体" w:eastAsia="仿宋_GB2312" w:cs="宋体"/>
          <w:sz w:val="28"/>
          <w:szCs w:val="28"/>
        </w:rPr>
        <w:t xml:space="preserve">溯</w:t>
      </w:r>
      <w:r>
        <w:rPr>
          <w:rFonts w:hint="eastAsia" w:ascii="仿宋_GB2312" w:hAnsi="___WRD_EMBED_SUB_44" w:eastAsia="仿宋_GB2312" w:cs="___WRD_EMBED_SUB_44"/>
          <w:sz w:val="28"/>
          <w:szCs w:val="28"/>
        </w:rPr>
        <w:t xml:space="preserve">。</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5.高压配电房管理方案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针对核心供电设施，制定专项运行维护服务方案，明确配电房24小时专人值班、设备巡视、运行记录、安全操作等具体要求。方案须包含高低压柜、</w:t>
      </w:r>
      <w:r>
        <w:rPr>
          <w:rFonts w:hint="eastAsia" w:ascii="仿宋_GB2312" w:hAnsi="宋体" w:eastAsia="仿宋_GB2312" w:cs="宋体"/>
          <w:sz w:val="28"/>
          <w:szCs w:val="28"/>
        </w:rPr>
        <w:t xml:space="preserve">变</w:t>
      </w:r>
      <w:r>
        <w:rPr>
          <w:rFonts w:hint="eastAsia" w:ascii="仿宋_GB2312" w:hAnsi="___WRD_EMBED_SUB_44" w:eastAsia="仿宋_GB2312" w:cs="___WRD_EMBED_SUB_44"/>
          <w:sz w:val="28"/>
          <w:szCs w:val="28"/>
        </w:rPr>
        <w:t xml:space="preserve">压器、</w:t>
      </w:r>
      <w:r>
        <w:rPr>
          <w:rFonts w:hint="eastAsia" w:ascii="仿宋_GB2312" w:hAnsi="宋体" w:eastAsia="仿宋_GB2312" w:cs="宋体"/>
          <w:sz w:val="28"/>
          <w:szCs w:val="28"/>
        </w:rPr>
        <w:t xml:space="preserve">继</w:t>
      </w:r>
      <w:r>
        <w:rPr>
          <w:rFonts w:hint="eastAsia" w:ascii="仿宋_GB2312" w:hAnsi="___WRD_EMBED_SUB_44" w:eastAsia="仿宋_GB2312" w:cs="___WRD_EMBED_SUB_44"/>
          <w:sz w:val="28"/>
          <w:szCs w:val="28"/>
        </w:rPr>
        <w:t xml:space="preserve">电保护等设备的定期检查与预防性试验计划，落实绝</w:t>
      </w:r>
      <w:r>
        <w:rPr>
          <w:rFonts w:hint="eastAsia" w:ascii="仿宋_GB2312" w:hAnsi="宋体" w:eastAsia="仿宋_GB2312" w:cs="宋体"/>
          <w:sz w:val="28"/>
          <w:szCs w:val="28"/>
        </w:rPr>
        <w:t xml:space="preserve">缘</w:t>
      </w:r>
      <w:r>
        <w:rPr>
          <w:rFonts w:hint="eastAsia" w:ascii="仿宋_GB2312" w:hAnsi="___WRD_EMBED_SUB_44" w:eastAsia="仿宋_GB2312" w:cs="___WRD_EMBED_SUB_44"/>
          <w:sz w:val="28"/>
          <w:szCs w:val="28"/>
        </w:rPr>
        <w:t xml:space="preserve">工具检测、防鼠防</w:t>
      </w:r>
      <w:r>
        <w:rPr>
          <w:rFonts w:hint="eastAsia" w:ascii="仿宋_GB2312" w:hAnsi="宋体" w:eastAsia="仿宋_GB2312" w:cs="宋体"/>
          <w:sz w:val="28"/>
          <w:szCs w:val="28"/>
        </w:rPr>
        <w:t xml:space="preserve">潮</w:t>
      </w:r>
      <w:r>
        <w:rPr>
          <w:rFonts w:hint="eastAsia" w:ascii="仿宋_GB2312" w:hAnsi="___WRD_EMBED_SUB_44" w:eastAsia="仿宋_GB2312" w:cs="___WRD_EMBED_SUB_44"/>
          <w:sz w:val="28"/>
          <w:szCs w:val="28"/>
        </w:rPr>
        <w:t xml:space="preserve">措施及安全</w:t>
      </w:r>
      <w:r>
        <w:rPr>
          <w:rFonts w:hint="eastAsia" w:ascii="仿宋_GB2312" w:hAnsi="宋体" w:eastAsia="仿宋_GB2312" w:cs="宋体"/>
          <w:sz w:val="28"/>
          <w:szCs w:val="28"/>
        </w:rPr>
        <w:t xml:space="preserve">警</w:t>
      </w:r>
      <w:r>
        <w:rPr>
          <w:rFonts w:hint="eastAsia" w:ascii="仿宋_GB2312" w:hAnsi="___WRD_EMBED_SUB_44" w:eastAsia="仿宋_GB2312" w:cs="___WRD_EMBED_SUB_44"/>
          <w:sz w:val="28"/>
          <w:szCs w:val="28"/>
        </w:rPr>
        <w:t xml:space="preserve">示标识设置，建立故障</w:t>
      </w:r>
      <w:r>
        <w:rPr>
          <w:rFonts w:hint="eastAsia" w:ascii="仿宋_GB2312" w:hAnsi="宋体" w:eastAsia="仿宋_GB2312" w:cs="宋体"/>
          <w:sz w:val="28"/>
          <w:szCs w:val="28"/>
        </w:rPr>
        <w:t xml:space="preserve">抢</w:t>
      </w:r>
      <w:r>
        <w:rPr>
          <w:rFonts w:hint="eastAsia" w:ascii="仿宋_GB2312" w:hAnsi="___WRD_EMBED_SUB_44" w:eastAsia="仿宋_GB2312" w:cs="___WRD_EMBED_SUB_44"/>
          <w:sz w:val="28"/>
          <w:szCs w:val="28"/>
        </w:rPr>
        <w:t xml:space="preserve">修与突发停电应急预案，确保核心供电系统安全可</w:t>
      </w:r>
      <w:r>
        <w:rPr>
          <w:rFonts w:hint="eastAsia" w:ascii="仿宋_GB2312" w:hAnsi="宋体" w:eastAsia="仿宋_GB2312" w:cs="宋体"/>
          <w:sz w:val="28"/>
          <w:szCs w:val="28"/>
        </w:rPr>
        <w:t xml:space="preserve">靠</w:t>
      </w:r>
      <w:r>
        <w:rPr>
          <w:rFonts w:hint="eastAsia" w:ascii="仿宋_GB2312" w:hAnsi="___WRD_EMBED_SUB_44" w:eastAsia="仿宋_GB2312" w:cs="___WRD_EMBED_SUB_44"/>
          <w:sz w:val="28"/>
          <w:szCs w:val="28"/>
        </w:rPr>
        <w:t xml:space="preserve">运行。</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6.环境卫生管理服务方案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根据室内外各类区域的保洁需求，制定分级分类的环境卫生服务方案，</w:t>
      </w:r>
      <w:r>
        <w:rPr>
          <w:rFonts w:hint="eastAsia" w:ascii="仿宋_GB2312" w:hAnsi="宋体" w:eastAsia="仿宋_GB2312" w:cs="宋体"/>
          <w:sz w:val="28"/>
          <w:szCs w:val="28"/>
        </w:rPr>
        <w:t xml:space="preserve">涵</w:t>
      </w:r>
      <w:r>
        <w:rPr>
          <w:rFonts w:hint="eastAsia" w:ascii="仿宋_GB2312" w:hAnsi="___WRD_EMBED_SUB_44" w:eastAsia="仿宋_GB2312" w:cs="___WRD_EMBED_SUB_44"/>
          <w:sz w:val="28"/>
          <w:szCs w:val="28"/>
        </w:rPr>
        <w:t xml:space="preserve">盖公共区域、教学实训区、</w:t>
      </w:r>
      <w:r>
        <w:rPr>
          <w:rFonts w:hint="eastAsia" w:ascii="仿宋_GB2312" w:hAnsi="方正仿宋_GB2312" w:eastAsia="仿宋_GB2312" w:cs="方正仿宋_GB2312"/>
          <w:sz w:val="28"/>
          <w:szCs w:val="28"/>
        </w:rPr>
        <w:t xml:space="preserve">生活区、食堂周边、绿化区域及卫生间的日常保洁、循环保洁和周期性</w:t>
      </w:r>
      <w:r>
        <w:rPr>
          <w:rFonts w:hint="eastAsia" w:ascii="仿宋_GB2312" w:hAnsi="宋体" w:eastAsia="仿宋_GB2312" w:cs="宋体"/>
          <w:sz w:val="28"/>
          <w:szCs w:val="28"/>
        </w:rPr>
        <w:t xml:space="preserve">深</w:t>
      </w:r>
      <w:r>
        <w:rPr>
          <w:rFonts w:hint="eastAsia" w:ascii="仿宋_GB2312" w:hAnsi="___WRD_EMBED_SUB_44" w:eastAsia="仿宋_GB2312" w:cs="___WRD_EMBED_SUB_44"/>
          <w:sz w:val="28"/>
          <w:szCs w:val="28"/>
        </w:rPr>
        <w:t xml:space="preserve">度清洁。方案须明确各区域的清洁</w:t>
      </w:r>
      <w:r>
        <w:rPr>
          <w:rFonts w:hint="eastAsia" w:ascii="仿宋_GB2312" w:hAnsi="宋体" w:eastAsia="仿宋_GB2312" w:cs="宋体"/>
          <w:sz w:val="28"/>
          <w:szCs w:val="28"/>
        </w:rPr>
        <w:t xml:space="preserve">频</w:t>
      </w:r>
      <w:r>
        <w:rPr>
          <w:rFonts w:hint="eastAsia" w:ascii="仿宋_GB2312" w:hAnsi="___WRD_EMBED_SUB_44" w:eastAsia="仿宋_GB2312" w:cs="___WRD_EMBED_SUB_44"/>
          <w:sz w:val="28"/>
          <w:szCs w:val="28"/>
        </w:rPr>
        <w:t xml:space="preserve">次、作业流程、质量标准及消杀防</w:t>
      </w:r>
      <w:r>
        <w:rPr>
          <w:rFonts w:hint="eastAsia" w:ascii="仿宋_GB2312" w:hAnsi="宋体" w:eastAsia="仿宋_GB2312" w:cs="宋体"/>
          <w:sz w:val="28"/>
          <w:szCs w:val="28"/>
        </w:rPr>
        <w:t xml:space="preserve">疫</w:t>
      </w:r>
      <w:r>
        <w:rPr>
          <w:rFonts w:hint="eastAsia" w:ascii="仿宋_GB2312" w:hAnsi="___WRD_EMBED_SUB_44" w:eastAsia="仿宋_GB2312" w:cs="___WRD_EMBED_SUB_44"/>
          <w:sz w:val="28"/>
          <w:szCs w:val="28"/>
        </w:rPr>
        <w:t xml:space="preserve">要求，落实垃圾分类收集与日产日清，并针对大型活动、恶劣天气等特殊情形制定专项保洁保障措施。</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7.突发事件处理方案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坚持“预防为主、生</w:t>
      </w:r>
      <w:r>
        <w:rPr>
          <w:rFonts w:hint="eastAsia" w:ascii="仿宋_GB2312" w:hAnsi="宋体" w:eastAsia="仿宋_GB2312" w:cs="宋体"/>
          <w:sz w:val="28"/>
          <w:szCs w:val="28"/>
        </w:rPr>
        <w:t xml:space="preserve">命</w:t>
      </w:r>
      <w:r>
        <w:rPr>
          <w:rFonts w:hint="eastAsia" w:ascii="仿宋_GB2312" w:hAnsi="___WRD_EMBED_SUB_44" w:eastAsia="仿宋_GB2312" w:cs="___WRD_EMBED_SUB_44"/>
          <w:sz w:val="28"/>
          <w:szCs w:val="28"/>
        </w:rPr>
        <w:t xml:space="preserve">至上</w:t>
      </w:r>
      <w:r>
        <w:rPr>
          <w:rFonts w:hint="eastAsia" w:ascii="仿宋_GB2312" w:hAnsi="方正仿宋_GB2312" w:eastAsia="仿宋_GB2312" w:cs="方正仿宋_GB2312"/>
          <w:sz w:val="28"/>
          <w:szCs w:val="28"/>
        </w:rPr>
        <w:t xml:space="preserve">”原则，制定覆盖水电故障、恶劣天气、治安事件、公共卫生等各类突发情况的应急处理预案。预案须明确应急组织架构、响应流程、处置措施、物资</w:t>
      </w:r>
      <w:r>
        <w:rPr>
          <w:rFonts w:hint="eastAsia" w:ascii="仿宋_GB2312" w:hAnsi="宋体" w:eastAsia="仿宋_GB2312" w:cs="宋体"/>
          <w:sz w:val="28"/>
          <w:szCs w:val="28"/>
        </w:rPr>
        <w:t xml:space="preserve">储</w:t>
      </w:r>
      <w:r>
        <w:rPr>
          <w:rFonts w:hint="eastAsia" w:ascii="仿宋_GB2312" w:hAnsi="___WRD_EMBED_SUB_44" w:eastAsia="仿宋_GB2312" w:cs="___WRD_EMBED_SUB_44"/>
          <w:sz w:val="28"/>
          <w:szCs w:val="28"/>
        </w:rPr>
        <w:t xml:space="preserve">备及外部联动机制，落实</w:t>
      </w:r>
      <w:r>
        <w:rPr>
          <w:rFonts w:hint="eastAsia" w:ascii="仿宋_GB2312" w:hAnsi="方正仿宋_GB2312" w:eastAsia="仿宋_GB2312" w:cs="方正仿宋_GB2312"/>
          <w:sz w:val="28"/>
          <w:szCs w:val="28"/>
        </w:rPr>
        <w:t xml:space="preserve">3-5分钟到场处置的时效要求，建立常态化隐患排查与应急演练机制，确保突发事件响应迅速、处置得当、保障有力。</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8.物业档案管理方案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建立标准化、数字化、可追</w:t>
      </w:r>
      <w:r>
        <w:rPr>
          <w:rFonts w:hint="eastAsia" w:ascii="仿宋_GB2312" w:hAnsi="宋体" w:eastAsia="仿宋_GB2312" w:cs="宋体"/>
          <w:sz w:val="28"/>
          <w:szCs w:val="28"/>
        </w:rPr>
        <w:t xml:space="preserve">溯</w:t>
      </w:r>
      <w:r>
        <w:rPr>
          <w:rFonts w:hint="eastAsia" w:ascii="仿宋_GB2312" w:hAnsi="___WRD_EMBED_SUB_44" w:eastAsia="仿宋_GB2312" w:cs="___WRD_EMBED_SUB_44"/>
          <w:sz w:val="28"/>
          <w:szCs w:val="28"/>
        </w:rPr>
        <w:t xml:space="preserve">的物业档案及台账管理制度。制度应明确各类档案资料的收集范围（包括但不限于设施设备台账、巡检维修记录、保洁消杀记录、值班值守日</w:t>
      </w:r>
      <w:r>
        <w:rPr>
          <w:rFonts w:hint="eastAsia" w:ascii="仿宋_GB2312" w:hAnsi="宋体" w:eastAsia="仿宋_GB2312" w:cs="宋体"/>
          <w:sz w:val="28"/>
          <w:szCs w:val="28"/>
        </w:rPr>
        <w:t xml:space="preserve">志</w:t>
      </w:r>
      <w:r>
        <w:rPr>
          <w:rFonts w:hint="eastAsia" w:ascii="仿宋_GB2312" w:hAnsi="___WRD_EMBED_SUB_44" w:eastAsia="仿宋_GB2312" w:cs="___WRD_EMBED_SUB_44"/>
          <w:sz w:val="28"/>
          <w:szCs w:val="28"/>
        </w:rPr>
        <w:t xml:space="preserve">、师生投诉处理记录、应急预案演练记录等）、归档标准、保管期限及查</w:t>
      </w:r>
      <w:r>
        <w:rPr>
          <w:rFonts w:hint="eastAsia" w:ascii="仿宋_GB2312" w:hAnsi="宋体" w:eastAsia="仿宋_GB2312" w:cs="宋体"/>
          <w:sz w:val="28"/>
          <w:szCs w:val="28"/>
        </w:rPr>
        <w:t xml:space="preserve">阅</w:t>
      </w:r>
      <w:r>
        <w:rPr>
          <w:rFonts w:hint="eastAsia" w:ascii="仿宋_GB2312" w:hAnsi="___WRD_EMBED_SUB_44" w:eastAsia="仿宋_GB2312" w:cs="___WRD_EMBED_SUB_44"/>
          <w:sz w:val="28"/>
          <w:szCs w:val="28"/>
        </w:rPr>
        <w:t xml:space="preserve">权限。台账记录须</w:t>
      </w:r>
      <w:r>
        <w:rPr>
          <w:rFonts w:hint="eastAsia" w:ascii="仿宋_GB2312" w:hAnsi="宋体" w:eastAsia="仿宋_GB2312" w:cs="宋体"/>
          <w:sz w:val="28"/>
          <w:szCs w:val="28"/>
        </w:rPr>
        <w:t xml:space="preserve">真</w:t>
      </w:r>
      <w:r>
        <w:rPr>
          <w:rFonts w:hint="eastAsia" w:ascii="仿宋_GB2312" w:hAnsi="___WRD_EMBED_SUB_44" w:eastAsia="仿宋_GB2312" w:cs="___WRD_EMBED_SUB_44"/>
          <w:sz w:val="28"/>
          <w:szCs w:val="28"/>
        </w:rPr>
        <w:t xml:space="preserve">实、准确、完整，确保纸质台账与信息化管理系统数据同步。通过完善的档案管理，为日常服务监督、问题复盘</w:t>
      </w:r>
      <w:r>
        <w:rPr>
          <w:rFonts w:hint="eastAsia" w:ascii="仿宋_GB2312" w:hAnsi="宋体" w:eastAsia="仿宋_GB2312" w:cs="宋体"/>
          <w:sz w:val="28"/>
          <w:szCs w:val="28"/>
        </w:rPr>
        <w:t xml:space="preserve">溯源</w:t>
      </w:r>
      <w:r>
        <w:rPr>
          <w:rFonts w:hint="eastAsia" w:ascii="仿宋_GB2312" w:hAnsi="___WRD_EMBED_SUB_44" w:eastAsia="仿宋_GB2312" w:cs="___WRD_EMBED_SUB_44"/>
          <w:sz w:val="28"/>
          <w:szCs w:val="28"/>
        </w:rPr>
        <w:t xml:space="preserve">、服务质量评</w:t>
      </w:r>
      <w:r>
        <w:rPr>
          <w:rFonts w:hint="eastAsia" w:ascii="仿宋_GB2312" w:hAnsi="宋体" w:eastAsia="仿宋_GB2312" w:cs="宋体"/>
          <w:sz w:val="28"/>
          <w:szCs w:val="28"/>
        </w:rPr>
        <w:t xml:space="preserve">估</w:t>
      </w:r>
      <w:r>
        <w:rPr>
          <w:rFonts w:hint="eastAsia" w:ascii="仿宋_GB2312" w:hAnsi="___WRD_EMBED_SUB_44" w:eastAsia="仿宋_GB2312" w:cs="___WRD_EMBED_SUB_44"/>
          <w:sz w:val="28"/>
          <w:szCs w:val="28"/>
        </w:rPr>
        <w:t xml:space="preserve">提供坚实的数据支</w:t>
      </w:r>
      <w:r>
        <w:rPr>
          <w:rFonts w:hint="eastAsia" w:ascii="仿宋_GB2312" w:hAnsi="宋体" w:eastAsia="仿宋_GB2312" w:cs="宋体"/>
          <w:sz w:val="28"/>
          <w:szCs w:val="28"/>
        </w:rPr>
        <w:t xml:space="preserve">撑</w:t>
      </w:r>
      <w:r>
        <w:rPr>
          <w:rFonts w:hint="eastAsia" w:ascii="仿宋_GB2312" w:hAnsi="___WRD_EMBED_SUB_44" w:eastAsia="仿宋_GB2312" w:cs="___WRD_EMBED_SUB_44"/>
          <w:sz w:val="28"/>
          <w:szCs w:val="28"/>
        </w:rPr>
        <w:t xml:space="preserve">。</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9.人员管理方案</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结合学校物业服务岗位多样化的特点，制定覆盖项目经理到一线保洁、维修、宿管等所有岗位的人员考核管理制度。制度应建立量化考核指标体系，将工作</w:t>
      </w:r>
      <w:r>
        <w:rPr>
          <w:rFonts w:hint="eastAsia" w:ascii="仿宋_GB2312" w:hAnsi="宋体" w:eastAsia="仿宋_GB2312" w:cs="宋体"/>
          <w:sz w:val="28"/>
          <w:szCs w:val="28"/>
        </w:rPr>
        <w:t xml:space="preserve">纪律</w:t>
      </w:r>
      <w:r>
        <w:rPr>
          <w:rFonts w:hint="eastAsia" w:ascii="仿宋_GB2312" w:hAnsi="___WRD_EMBED_SUB_44" w:eastAsia="仿宋_GB2312" w:cs="___WRD_EMBED_SUB_44"/>
          <w:sz w:val="28"/>
          <w:szCs w:val="28"/>
        </w:rPr>
        <w:t xml:space="preserve">、服务态度、任务完成质量、师生满意度、应急处置表现等内容纳入考核范</w:t>
      </w:r>
      <w:r>
        <w:rPr>
          <w:rFonts w:hint="eastAsia" w:ascii="仿宋_GB2312" w:hAnsi="宋体" w:eastAsia="仿宋_GB2312" w:cs="宋体"/>
          <w:sz w:val="28"/>
          <w:szCs w:val="28"/>
        </w:rPr>
        <w:t xml:space="preserve">畴</w:t>
      </w:r>
      <w:r>
        <w:rPr>
          <w:rFonts w:hint="eastAsia" w:ascii="仿宋_GB2312" w:hAnsi="___WRD_EMBED_SUB_44" w:eastAsia="仿宋_GB2312" w:cs="___WRD_EMBED_SUB_44"/>
          <w:sz w:val="28"/>
          <w:szCs w:val="28"/>
        </w:rPr>
        <w:t xml:space="preserve">，实行日常</w:t>
      </w:r>
      <w:r>
        <w:rPr>
          <w:rFonts w:hint="eastAsia" w:ascii="仿宋_GB2312" w:hAnsi="宋体" w:eastAsia="仿宋_GB2312" w:cs="宋体"/>
          <w:sz w:val="28"/>
          <w:szCs w:val="28"/>
        </w:rPr>
        <w:t xml:space="preserve">抽</w:t>
      </w:r>
      <w:r>
        <w:rPr>
          <w:rFonts w:hint="eastAsia" w:ascii="仿宋_GB2312" w:hAnsi="___WRD_EMBED_SUB_44" w:eastAsia="仿宋_GB2312" w:cs="___WRD_EMBED_SUB_44"/>
          <w:sz w:val="28"/>
          <w:szCs w:val="28"/>
        </w:rPr>
        <w:t xml:space="preserve">查、月度考评与季度综合评定相结合的方式。考核结果应</w:t>
      </w:r>
      <w:r>
        <w:rPr>
          <w:rFonts w:hint="eastAsia" w:ascii="仿宋_GB2312" w:hAnsi="宋体" w:eastAsia="仿宋_GB2312" w:cs="宋体"/>
          <w:sz w:val="28"/>
          <w:szCs w:val="28"/>
        </w:rPr>
        <w:t xml:space="preserve">直</w:t>
      </w:r>
      <w:r>
        <w:rPr>
          <w:rFonts w:hint="eastAsia" w:ascii="仿宋_GB2312" w:hAnsi="___WRD_EMBED_SUB_44" w:eastAsia="仿宋_GB2312" w:cs="___WRD_EMBED_SUB_44"/>
          <w:sz w:val="28"/>
          <w:szCs w:val="28"/>
        </w:rPr>
        <w:t xml:space="preserve">接与员工</w:t>
      </w:r>
      <w:r>
        <w:rPr>
          <w:rFonts w:hint="eastAsia" w:ascii="仿宋_GB2312" w:hAnsi="宋体" w:eastAsia="仿宋_GB2312" w:cs="宋体"/>
          <w:sz w:val="28"/>
          <w:szCs w:val="28"/>
        </w:rPr>
        <w:t xml:space="preserve">薪酬</w:t>
      </w:r>
      <w:r>
        <w:rPr>
          <w:rFonts w:hint="eastAsia" w:ascii="仿宋_GB2312" w:hAnsi="___WRD_EMBED_SUB_44" w:eastAsia="仿宋_GB2312" w:cs="___WRD_EMBED_SUB_44"/>
          <w:sz w:val="28"/>
          <w:szCs w:val="28"/>
        </w:rPr>
        <w:t xml:space="preserve">待遇、评优</w:t>
      </w:r>
      <w:r>
        <w:rPr>
          <w:rFonts w:hint="eastAsia" w:ascii="仿宋_GB2312" w:hAnsi="宋体" w:eastAsia="仿宋_GB2312" w:cs="宋体"/>
          <w:sz w:val="28"/>
          <w:szCs w:val="28"/>
        </w:rPr>
        <w:t xml:space="preserve">晋</w:t>
      </w:r>
      <w:r>
        <w:rPr>
          <w:rFonts w:hint="eastAsia" w:ascii="仿宋_GB2312" w:hAnsi="___WRD_EMBED_SUB_44" w:eastAsia="仿宋_GB2312" w:cs="___WRD_EMBED_SUB_44"/>
          <w:sz w:val="28"/>
          <w:szCs w:val="28"/>
        </w:rPr>
        <w:t xml:space="preserve">升挂</w:t>
      </w:r>
      <w:r>
        <w:rPr>
          <w:rFonts w:hint="eastAsia" w:ascii="仿宋_GB2312" w:hAnsi="宋体" w:eastAsia="仿宋_GB2312" w:cs="宋体"/>
          <w:sz w:val="28"/>
          <w:szCs w:val="28"/>
        </w:rPr>
        <w:t xml:space="preserve">钩</w:t>
      </w:r>
      <w:r>
        <w:rPr>
          <w:rFonts w:hint="eastAsia" w:ascii="仿宋_GB2312" w:hAnsi="___WRD_EMBED_SUB_44" w:eastAsia="仿宋_GB2312" w:cs="___WRD_EMBED_SUB_44"/>
          <w:sz w:val="28"/>
          <w:szCs w:val="28"/>
        </w:rPr>
        <w:t xml:space="preserve">，建立</w:t>
      </w:r>
      <w:r>
        <w:rPr>
          <w:rFonts w:hint="eastAsia" w:ascii="仿宋_GB2312" w:hAnsi="宋体" w:eastAsia="仿宋_GB2312" w:cs="宋体"/>
          <w:sz w:val="28"/>
          <w:szCs w:val="28"/>
        </w:rPr>
        <w:t xml:space="preserve">奖惩</w:t>
      </w:r>
      <w:r>
        <w:rPr>
          <w:rFonts w:hint="eastAsia" w:ascii="仿宋_GB2312" w:hAnsi="___WRD_EMBED_SUB_44" w:eastAsia="仿宋_GB2312" w:cs="___WRD_EMBED_SUB_44"/>
          <w:sz w:val="28"/>
          <w:szCs w:val="28"/>
        </w:rPr>
        <w:t xml:space="preserve">分明的</w:t>
      </w:r>
      <w:r>
        <w:rPr>
          <w:rFonts w:hint="eastAsia" w:ascii="仿宋_GB2312" w:hAnsi="宋体" w:eastAsia="仿宋_GB2312" w:cs="宋体"/>
          <w:sz w:val="28"/>
          <w:szCs w:val="28"/>
        </w:rPr>
        <w:t xml:space="preserve">激励</w:t>
      </w:r>
      <w:r>
        <w:rPr>
          <w:rFonts w:hint="eastAsia" w:ascii="仿宋_GB2312" w:hAnsi="___WRD_EMBED_SUB_44" w:eastAsia="仿宋_GB2312" w:cs="___WRD_EMBED_SUB_44"/>
          <w:sz w:val="28"/>
          <w:szCs w:val="28"/>
        </w:rPr>
        <w:t xml:space="preserve">约</w:t>
      </w:r>
      <w:r>
        <w:rPr>
          <w:rFonts w:hint="eastAsia" w:ascii="仿宋_GB2312" w:hAnsi="宋体" w:eastAsia="仿宋_GB2312" w:cs="宋体"/>
          <w:sz w:val="28"/>
          <w:szCs w:val="28"/>
        </w:rPr>
        <w:t xml:space="preserve">束</w:t>
      </w:r>
      <w:r>
        <w:rPr>
          <w:rFonts w:hint="eastAsia" w:ascii="仿宋_GB2312" w:hAnsi="___WRD_EMBED_SUB_44" w:eastAsia="仿宋_GB2312" w:cs="___WRD_EMBED_SUB_44"/>
          <w:sz w:val="28"/>
          <w:szCs w:val="28"/>
        </w:rPr>
        <w:t xml:space="preserve">机制，</w:t>
      </w:r>
      <w:r>
        <w:rPr>
          <w:rFonts w:hint="eastAsia" w:ascii="仿宋_GB2312" w:hAnsi="宋体" w:eastAsia="仿宋_GB2312" w:cs="宋体"/>
          <w:sz w:val="28"/>
          <w:szCs w:val="28"/>
        </w:rPr>
        <w:t xml:space="preserve">激</w:t>
      </w:r>
      <w:r>
        <w:rPr>
          <w:rFonts w:hint="eastAsia" w:ascii="仿宋_GB2312" w:hAnsi="___WRD_EMBED_SUB_44" w:eastAsia="仿宋_GB2312" w:cs="___WRD_EMBED_SUB_44"/>
          <w:sz w:val="28"/>
          <w:szCs w:val="28"/>
        </w:rPr>
        <w:t xml:space="preserve">发员工工作积极性与主动性，保障整体服务品质持续优化。</w:t>
      </w:r>
      <w:r>
        <w:rPr>
          <w:rFonts w:hint="eastAsia" w:ascii="仿宋_GB2312" w:hAnsi="方正仿宋_GB2312" w:eastAsia="仿宋_GB2312" w:cs="方正仿宋_GB2312"/>
          <w:sz w:val="28"/>
          <w:szCs w:val="28"/>
        </w:rPr>
      </w:r>
      <w:r/>
    </w:p>
    <w:p>
      <w:pPr>
        <w:pStyle w:val="960"/>
        <w:ind w:firstLine="560"/>
        <w:spacing w:line="440" w:lineRule="exact"/>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 xml:space="preserve">10.交接进驻方案</w:t>
      </w:r>
      <w:r>
        <w:rPr>
          <w:rFonts w:hint="eastAsia" w:ascii="仿宋_GB2312" w:hAnsi="方正仿宋_GB2312" w:eastAsia="仿宋_GB2312" w:cs="方正仿宋_GB2312"/>
          <w:sz w:val="28"/>
          <w:szCs w:val="28"/>
        </w:rPr>
      </w:r>
      <w:r/>
    </w:p>
    <w:p>
      <w:pPr>
        <w:pStyle w:val="960"/>
        <w:ind w:firstLine="560"/>
        <w:spacing w:line="440" w:lineRule="exact"/>
        <w:rPr>
          <w:rFonts w:ascii="方正仿宋_GB2312" w:hAnsi="方正仿宋_GB2312" w:eastAsia="方正仿宋_GB2312" w:cs="方正仿宋_GB2312"/>
          <w:sz w:val="28"/>
          <w:szCs w:val="28"/>
        </w:rPr>
      </w:pPr>
      <w:r>
        <w:rPr>
          <w:rFonts w:hint="eastAsia" w:ascii="仿宋_GB2312" w:hAnsi="方正仿宋_GB2312" w:eastAsia="仿宋_GB2312" w:cs="方正仿宋_GB2312"/>
          <w:sz w:val="28"/>
          <w:szCs w:val="28"/>
        </w:rPr>
        <w:t xml:space="preserve">制定规范严</w:t>
      </w:r>
      <w:r>
        <w:rPr>
          <w:rFonts w:hint="eastAsia" w:ascii="仿宋_GB2312" w:hAnsi="宋体" w:eastAsia="仿宋_GB2312" w:cs="宋体"/>
          <w:sz w:val="28"/>
          <w:szCs w:val="28"/>
        </w:rPr>
        <w:t xml:space="preserve">谨</w:t>
      </w:r>
      <w:r>
        <w:rPr>
          <w:rFonts w:hint="eastAsia" w:ascii="仿宋_GB2312" w:hAnsi="___WRD_EMBED_SUB_44" w:eastAsia="仿宋_GB2312" w:cs="___WRD_EMBED_SUB_44"/>
          <w:sz w:val="28"/>
          <w:szCs w:val="28"/>
        </w:rPr>
        <w:t xml:space="preserve">的进退场交接方案，明确交接程序、内容标准、时间节点及责任主体。进场交接须包括设施设备清点、钥匙资料</w:t>
      </w:r>
      <w:r>
        <w:rPr>
          <w:rFonts w:hint="eastAsia" w:ascii="仿宋_GB2312" w:hAnsi="宋体" w:eastAsia="仿宋_GB2312" w:cs="宋体"/>
          <w:sz w:val="28"/>
          <w:szCs w:val="28"/>
        </w:rPr>
        <w:t xml:space="preserve">移</w:t>
      </w:r>
      <w:r>
        <w:rPr>
          <w:rFonts w:hint="eastAsia" w:ascii="仿宋_GB2312" w:hAnsi="___WRD_EMBED_SUB_44" w:eastAsia="仿宋_GB2312" w:cs="___WRD_EMBED_SUB_44"/>
          <w:sz w:val="28"/>
          <w:szCs w:val="28"/>
        </w:rPr>
        <w:t xml:space="preserve">交、运行</w:t>
      </w:r>
      <w:r>
        <w:rPr>
          <w:rFonts w:hint="eastAsia" w:ascii="仿宋_GB2312" w:hAnsi="宋体" w:eastAsia="仿宋_GB2312" w:cs="宋体"/>
          <w:sz w:val="28"/>
          <w:szCs w:val="28"/>
        </w:rPr>
        <w:t xml:space="preserve">状</w:t>
      </w:r>
      <w:r>
        <w:rPr>
          <w:rFonts w:hint="eastAsia" w:ascii="仿宋_GB2312" w:hAnsi="___WRD_EMBED_SUB_44" w:eastAsia="仿宋_GB2312" w:cs="___WRD_EMBED_SUB_44"/>
          <w:sz w:val="28"/>
          <w:szCs w:val="28"/>
        </w:rPr>
        <w:t xml:space="preserve">态确认、</w:t>
      </w:r>
      <w:r>
        <w:rPr>
          <w:rFonts w:hint="eastAsia" w:ascii="仿宋_GB2312" w:hAnsi="宋体" w:eastAsia="仿宋_GB2312" w:cs="宋体"/>
          <w:sz w:val="28"/>
          <w:szCs w:val="28"/>
        </w:rPr>
        <w:t xml:space="preserve">遗</w:t>
      </w:r>
      <w:r>
        <w:rPr>
          <w:rFonts w:hint="eastAsia" w:ascii="仿宋_GB2312" w:hAnsi="___WRD_EMBED_SUB_44" w:eastAsia="仿宋_GB2312" w:cs="___WRD_EMBED_SUB_44"/>
          <w:sz w:val="28"/>
          <w:szCs w:val="28"/>
        </w:rPr>
        <w:t xml:space="preserve">留问题记录等环节；退场交接须确保各项资料完整归档、设施设备完好</w:t>
      </w:r>
      <w:r>
        <w:rPr>
          <w:rFonts w:hint="eastAsia" w:ascii="仿宋_GB2312" w:hAnsi="宋体" w:eastAsia="仿宋_GB2312" w:cs="宋体"/>
          <w:sz w:val="28"/>
          <w:szCs w:val="28"/>
        </w:rPr>
        <w:t xml:space="preserve">移</w:t>
      </w:r>
      <w:r>
        <w:rPr>
          <w:rFonts w:hint="eastAsia" w:ascii="仿宋_GB2312" w:hAnsi="___WRD_EMBED_SUB_44" w:eastAsia="仿宋_GB2312" w:cs="___WRD_EMBED_SUB_44"/>
          <w:sz w:val="28"/>
          <w:szCs w:val="28"/>
        </w:rPr>
        <w:t xml:space="preserve">交、未完成事项清晰</w:t>
      </w:r>
      <w:r>
        <w:rPr>
          <w:rFonts w:hint="eastAsia" w:ascii="仿宋_GB2312" w:hAnsi="方正仿宋_GB2312" w:eastAsia="仿宋_GB2312" w:cs="方正仿宋_GB2312"/>
          <w:sz w:val="28"/>
          <w:szCs w:val="28"/>
        </w:rPr>
        <w:t xml:space="preserve">说明。方案应保障交接工作平</w:t>
      </w:r>
      <w:r>
        <w:rPr>
          <w:rFonts w:hint="eastAsia" w:ascii="仿宋_GB2312" w:hAnsi="宋体" w:eastAsia="仿宋_GB2312" w:cs="宋体"/>
          <w:sz w:val="28"/>
          <w:szCs w:val="28"/>
        </w:rPr>
        <w:t xml:space="preserve">稳</w:t>
      </w:r>
      <w:r>
        <w:rPr>
          <w:rFonts w:hint="eastAsia" w:ascii="仿宋_GB2312" w:hAnsi="___WRD_EMBED_SUB_44" w:eastAsia="仿宋_GB2312" w:cs="___WRD_EMBED_SUB_44"/>
          <w:sz w:val="28"/>
          <w:szCs w:val="28"/>
        </w:rPr>
        <w:t xml:space="preserve">有序、无</w:t>
      </w:r>
      <w:r>
        <w:rPr>
          <w:rFonts w:hint="eastAsia" w:ascii="仿宋_GB2312" w:hAnsi="宋体" w:eastAsia="仿宋_GB2312" w:cs="宋体"/>
          <w:sz w:val="28"/>
          <w:szCs w:val="28"/>
        </w:rPr>
        <w:t xml:space="preserve">缝衔</w:t>
      </w:r>
      <w:r>
        <w:rPr>
          <w:rFonts w:hint="eastAsia" w:ascii="仿宋_GB2312" w:hAnsi="___WRD_EMBED_SUB_44" w:eastAsia="仿宋_GB2312" w:cs="___WRD_EMBED_SUB_44"/>
          <w:sz w:val="28"/>
          <w:szCs w:val="28"/>
        </w:rPr>
        <w:t xml:space="preserve">接，不影响</w:t>
      </w:r>
      <w:r>
        <w:rPr>
          <w:rFonts w:hint="eastAsia" w:ascii="仿宋_GB2312" w:hAnsi="方正仿宋_GB2312" w:eastAsia="仿宋_GB2312" w:cs="方正仿宋_GB2312"/>
          <w:sz w:val="28"/>
          <w:szCs w:val="28"/>
        </w:rPr>
        <w:t xml:space="preserve">学校正常物业服务秩序。</w:t>
      </w:r>
      <w:r>
        <w:rPr>
          <w:rFonts w:ascii="方正仿宋_GB2312" w:hAnsi="方正仿宋_GB2312" w:eastAsia="方正仿宋_GB2312" w:cs="方正仿宋_GB2312"/>
          <w:sz w:val="28"/>
          <w:szCs w:val="28"/>
        </w:rPr>
      </w:r>
      <w:r/>
    </w:p>
    <w:p>
      <w:pPr>
        <w:pStyle w:val="960"/>
        <w:ind w:firstLine="562"/>
        <w:spacing w:line="4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八、考核和验收</w:t>
      </w:r>
      <w:r>
        <w:rPr>
          <w:rFonts w:hint="eastAsia" w:ascii="方正仿宋_GB2312" w:hAnsi="方正仿宋_GB2312" w:eastAsia="方正仿宋_GB2312" w:cs="方正仿宋_GB2312"/>
          <w:b/>
          <w:bCs/>
          <w:sz w:val="28"/>
          <w:szCs w:val="28"/>
        </w:rPr>
      </w:r>
      <w:r/>
    </w:p>
    <w:p>
      <w:pPr>
        <w:pStyle w:val="960"/>
        <w:ind w:firstLine="560"/>
        <w:spacing w:line="440" w:lineRule="exact"/>
        <w:rPr>
          <w:rFonts w:ascii="仿宋_GB2312" w:hAnsi="___WRD_EMBED_SUB_44" w:eastAsia="仿宋_GB2312" w:cs="___WRD_EMBED_SUB_44"/>
          <w:sz w:val="28"/>
          <w:szCs w:val="28"/>
          <w:highlight w:val="yellow"/>
        </w:rPr>
      </w:pPr>
      <w:r>
        <w:rPr>
          <w:rFonts w:hint="eastAsia" w:ascii="仿宋_GB2312" w:hAnsi="___WRD_EMBED_SUB_44" w:eastAsia="仿宋_GB2312" w:cs="___WRD_EMBED_SUB_44"/>
          <w:sz w:val="28"/>
          <w:szCs w:val="28"/>
        </w:rPr>
        <w:t xml:space="preserve">招标人每月按《泰州学院物业管理量化考核表》（详见下表）进行考核打分。考核得分≥85分，当月合同款全额支付；考核得分在85分以下的，每少</w:t>
      </w:r>
      <w:r>
        <w:rPr>
          <w:rFonts w:ascii="仿宋_GB2312" w:hAnsi="___WRD_EMBED_SUB_44" w:eastAsia="仿宋_GB2312" w:cs="___WRD_EMBED_SUB_44"/>
          <w:sz w:val="28"/>
          <w:szCs w:val="28"/>
        </w:rPr>
        <w:t xml:space="preserve">1</w:t>
      </w:r>
      <w:r>
        <w:rPr>
          <w:rFonts w:hint="eastAsia" w:ascii="仿宋_GB2312" w:hAnsi="___WRD_EMBED_SUB_44" w:eastAsia="仿宋_GB2312" w:cs="___WRD_EMBED_SUB_44"/>
          <w:sz w:val="28"/>
          <w:szCs w:val="28"/>
        </w:rPr>
        <w:t xml:space="preserve">分，扣款2</w:t>
      </w:r>
      <w:r>
        <w:rPr>
          <w:rFonts w:ascii="仿宋_GB2312" w:hAnsi="___WRD_EMBED_SUB_44" w:eastAsia="仿宋_GB2312" w:cs="___WRD_EMBED_SUB_44"/>
          <w:sz w:val="28"/>
          <w:szCs w:val="28"/>
        </w:rPr>
        <w:t xml:space="preserve">000</w:t>
      </w:r>
      <w:r>
        <w:rPr>
          <w:rFonts w:hint="eastAsia" w:ascii="仿宋_GB2312" w:hAnsi="___WRD_EMBED_SUB_44" w:eastAsia="仿宋_GB2312" w:cs="___WRD_EMBED_SUB_44"/>
          <w:sz w:val="28"/>
          <w:szCs w:val="28"/>
        </w:rPr>
        <w:t xml:space="preserve">元；考核得分＜75分为不合格，当月费用不予支付，招标人有权单方面终止合同并追究其违约责任。招标人每学期末根据该学期各月份考核结果的平均值，按照《泰州学院采购履约验收管理办法（试行）》组织验收。</w:t>
      </w:r>
      <w:r>
        <w:rPr>
          <w:rFonts w:ascii="仿宋_GB2312" w:hAnsi="___WRD_EMBED_SUB_44" w:eastAsia="仿宋_GB2312" w:cs="___WRD_EMBED_SUB_44"/>
          <w:sz w:val="28"/>
          <w:szCs w:val="28"/>
          <w:highlight w:val="yellow"/>
        </w:rPr>
      </w:r>
      <w:r/>
    </w:p>
    <w:p>
      <w:pPr>
        <w:pStyle w:val="960"/>
        <w:ind w:firstLine="560"/>
        <w:spacing w:line="440" w:lineRule="exact"/>
        <w:rPr>
          <w:rFonts w:hint="eastAsia" w:ascii="方正仿宋_GB2312" w:hAnsi="方正仿宋_GB2312" w:eastAsia="方正仿宋_GB2312" w:cs="方正仿宋_GB2312"/>
          <w:color w:val="ff0000"/>
          <w:sz w:val="28"/>
          <w:szCs w:val="28"/>
        </w:rPr>
      </w:pPr>
      <w:r>
        <w:rPr>
          <w:rFonts w:hint="eastAsia" w:ascii="方正仿宋_GB2312" w:hAnsi="方正仿宋_GB2312" w:eastAsia="方正仿宋_GB2312" w:cs="方正仿宋_GB2312"/>
          <w:color w:val="ff0000"/>
          <w:sz w:val="28"/>
          <w:szCs w:val="28"/>
        </w:rPr>
      </w:r>
      <w:r/>
    </w:p>
    <w:p>
      <w:pPr>
        <w:pStyle w:val="960"/>
        <w:jc w:val="center"/>
        <w:spacing w:line="440" w:lineRule="exact"/>
        <w:widowControl/>
        <w:rPr>
          <w:rFonts w:hint="eastAsia" w:eastAsia="仿宋_GB2312" w:cs="仿宋_GB2312"/>
          <w:b/>
          <w:sz w:val="28"/>
          <w:szCs w:val="28"/>
        </w:rPr>
      </w:pPr>
      <w:r>
        <w:rPr>
          <w:rFonts w:hint="eastAsia" w:eastAsia="仿宋_GB2312" w:cs="仿宋_GB2312"/>
          <w:b/>
          <w:sz w:val="28"/>
          <w:szCs w:val="28"/>
        </w:rPr>
      </w:r>
      <w:r/>
    </w:p>
    <w:p>
      <w:pPr>
        <w:pStyle w:val="960"/>
        <w:jc w:val="center"/>
        <w:spacing w:line="440" w:lineRule="exact"/>
        <w:widowControl/>
        <w:rPr>
          <w:rFonts w:eastAsia="仿宋_GB2312" w:cs="仿宋_GB2312"/>
          <w:sz w:val="28"/>
          <w:szCs w:val="28"/>
        </w:rPr>
      </w:pPr>
      <w:r>
        <w:rPr>
          <w:rFonts w:hint="eastAsia" w:eastAsia="仿宋_GB2312" w:cs="仿宋_GB2312"/>
          <w:b/>
          <w:sz w:val="28"/>
          <w:szCs w:val="28"/>
        </w:rPr>
        <w:t xml:space="preserve">泰州学院物业管理量化考核表（总分100分）</w:t>
      </w:r>
      <w:r>
        <w:rPr>
          <w:rFonts w:eastAsia="仿宋_GB2312" w:cs="仿宋_GB2312"/>
          <w:sz w:val="28"/>
          <w:szCs w:val="28"/>
        </w:rPr>
      </w:r>
      <w:r/>
    </w:p>
    <w:tbl>
      <w:tblPr>
        <w:tblW w:w="818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111"/>
        <w:gridCol w:w="2126"/>
        <w:gridCol w:w="1134"/>
      </w:tblGrid>
      <w:tr>
        <w:trPr/>
        <w:tc>
          <w:tcPr>
            <w:tcW w:w="817" w:type="dxa"/>
            <w:vAlign w:val="center"/>
            <w:textDirection w:val="lrTb"/>
            <w:noWrap w:val="false"/>
          </w:tcPr>
          <w:p>
            <w:pPr>
              <w:pStyle w:val="960"/>
              <w:jc w:val="center"/>
              <w:spacing w:line="360" w:lineRule="exact"/>
              <w:rPr>
                <w:rFonts w:ascii="Times New Roman" w:hAnsi="Times New Roman" w:eastAsia="仿宋_GB2312"/>
                <w:b/>
              </w:rPr>
            </w:pPr>
            <w:r>
              <w:rPr>
                <w:rFonts w:hint="eastAsia" w:ascii="Times New Roman" w:hAnsi="Times New Roman" w:eastAsia="仿宋_GB2312"/>
                <w:b/>
              </w:rPr>
              <w:t xml:space="preserve">项目</w:t>
            </w:r>
            <w:r>
              <w:rPr>
                <w:rFonts w:ascii="Times New Roman" w:hAnsi="Times New Roman" w:eastAsia="仿宋_GB2312"/>
                <w:b/>
              </w:rPr>
            </w:r>
            <w:r/>
          </w:p>
        </w:tc>
        <w:tc>
          <w:tcPr>
            <w:tcW w:w="4111" w:type="dxa"/>
            <w:vAlign w:val="center"/>
            <w:textDirection w:val="lrTb"/>
            <w:noWrap w:val="false"/>
          </w:tcPr>
          <w:p>
            <w:pPr>
              <w:pStyle w:val="960"/>
              <w:jc w:val="center"/>
              <w:spacing w:line="360" w:lineRule="exact"/>
              <w:rPr>
                <w:rFonts w:ascii="Times New Roman" w:hAnsi="Times New Roman" w:eastAsia="仿宋_GB2312"/>
                <w:b/>
              </w:rPr>
            </w:pPr>
            <w:r>
              <w:rPr>
                <w:rFonts w:hint="eastAsia" w:ascii="Times New Roman" w:hAnsi="Times New Roman" w:eastAsia="仿宋_GB2312"/>
                <w:b/>
              </w:rPr>
              <w:t xml:space="preserve">评分要点</w:t>
            </w:r>
            <w:r>
              <w:rPr>
                <w:rFonts w:ascii="Times New Roman" w:hAnsi="Times New Roman" w:eastAsia="仿宋_GB2312"/>
                <w:b/>
              </w:rPr>
            </w:r>
            <w:r/>
          </w:p>
        </w:tc>
        <w:tc>
          <w:tcPr>
            <w:tcW w:w="2126" w:type="dxa"/>
            <w:vAlign w:val="center"/>
            <w:textDirection w:val="lrTb"/>
            <w:noWrap w:val="false"/>
          </w:tcPr>
          <w:p>
            <w:pPr>
              <w:pStyle w:val="960"/>
              <w:jc w:val="center"/>
              <w:spacing w:line="360" w:lineRule="exact"/>
              <w:rPr>
                <w:rFonts w:ascii="Times New Roman" w:hAnsi="Times New Roman" w:eastAsia="仿宋_GB2312"/>
                <w:b/>
              </w:rPr>
            </w:pPr>
            <w:r>
              <w:rPr>
                <w:rFonts w:hint="eastAsia" w:ascii="Times New Roman" w:hAnsi="Times New Roman" w:eastAsia="仿宋_GB2312"/>
                <w:b/>
              </w:rPr>
              <w:t xml:space="preserve">扣分规则</w:t>
            </w:r>
            <w:r>
              <w:rPr>
                <w:rFonts w:ascii="Times New Roman" w:hAnsi="Times New Roman" w:eastAsia="仿宋_GB2312"/>
                <w:b/>
              </w:rPr>
            </w:r>
            <w:r/>
          </w:p>
        </w:tc>
        <w:tc>
          <w:tcPr>
            <w:tcW w:w="1134" w:type="dxa"/>
            <w:vAlign w:val="top"/>
            <w:textDirection w:val="lrTb"/>
            <w:noWrap w:val="false"/>
          </w:tcPr>
          <w:p>
            <w:pPr>
              <w:pStyle w:val="960"/>
              <w:jc w:val="center"/>
              <w:spacing w:line="360" w:lineRule="exact"/>
              <w:rPr>
                <w:rFonts w:ascii="Times New Roman" w:hAnsi="Times New Roman" w:eastAsia="仿宋_GB2312"/>
                <w:b/>
              </w:rPr>
            </w:pPr>
            <w:r>
              <w:rPr>
                <w:rFonts w:hint="eastAsia" w:ascii="Times New Roman" w:hAnsi="Times New Roman" w:eastAsia="仿宋_GB2312"/>
                <w:b/>
              </w:rPr>
              <w:t xml:space="preserve">扣分情况</w:t>
            </w:r>
            <w:r>
              <w:rPr>
                <w:rFonts w:ascii="Times New Roman" w:hAnsi="Times New Roman" w:eastAsia="仿宋_GB2312"/>
                <w:b/>
              </w:rPr>
            </w:r>
            <w:r/>
          </w:p>
        </w:tc>
      </w:tr>
      <w:tr>
        <w:trPr/>
        <w:tc>
          <w:tcPr>
            <w:tcW w:w="817" w:type="dxa"/>
            <w:vAlign w:val="center"/>
            <w:vMerge w:val="restart"/>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人员</w:t>
            </w:r>
            <w:r>
              <w:rPr>
                <w:rFonts w:ascii="Times New Roman" w:hAnsi="Times New Roman" w:eastAsia="仿宋_GB2312"/>
              </w:rPr>
            </w:r>
            <w:r/>
          </w:p>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管理（2</w:t>
            </w:r>
            <w:r>
              <w:rPr>
                <w:rFonts w:ascii="Times New Roman" w:hAnsi="Times New Roman" w:eastAsia="仿宋_GB2312"/>
              </w:rPr>
              <w:t xml:space="preserve">0</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按照招标文件要求配备物业服务工作人员，人员资质、数量符合约定。</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人员配备不符合要求，一人次扣2分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物业服务人员服务热情周到，文明用语，不得与师生发生任何形式的冲突。</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发生与师生冲突事件，一次扣2分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物业服务人员统一着工作服、佩戴工号牌上岗，仪容仪表整洁、形象得体。</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未着工作服、未带工号牌、奇装异服，有一例扣1分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物业服务人员遵纪守法，恪守职业道德，不发生任何违法乱纪现象。</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发生违法乱纪行为，有一例扣2分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restart"/>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学生公寓管理（2</w:t>
            </w:r>
            <w:r>
              <w:rPr>
                <w:rFonts w:ascii="Times New Roman" w:hAnsi="Times New Roman" w:eastAsia="仿宋_GB2312"/>
              </w:rPr>
              <w:t xml:space="preserve">5</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严格执行学校学生宿舍管理相关规定，实行24小时门卫值班制度；积极协助学校相关部门开展公寓区学生教育管理工作。</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未按要求开展相关工作，一次扣2分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rHeight w:val="643"/>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及时、规范办理学生住宿、调宿、退宿手续，确保学生住宿档案完整、信息准确无误。</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未按要求办理相关手续，一次扣1分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严格管控学生公寓人员进出，严禁闲杂人员进入，公寓区内无兜售物品、商业宣传等现象。</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存在闲杂人员进入、兜售物品等情况，一次扣2分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restart"/>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楼宇</w:t>
            </w:r>
            <w:r>
              <w:rPr>
                <w:rFonts w:ascii="Times New Roman" w:hAnsi="Times New Roman" w:eastAsia="仿宋_GB2312"/>
              </w:rPr>
            </w:r>
            <w:r/>
          </w:p>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管理（1</w:t>
            </w:r>
            <w:r>
              <w:rPr>
                <w:rFonts w:ascii="Times New Roman" w:hAnsi="Times New Roman" w:eastAsia="仿宋_GB2312"/>
              </w:rPr>
              <w:t xml:space="preserve">0</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按照学校规定时间开关楼宇门窗，做好教室开放使用管理工作，保障教学活动正常开展。</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未按规定执行开关门制度，一次扣1分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定期对楼宇设施开展检查与维修，及时处置设施故障，保证教学、生活等秩序正常运转。</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因设施故障处理不及时影响正常教学秩序，一次扣2分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楼宇公共区域整洁、无异味、无杂物，门窗、墙面、玻璃等部位整洁、无积灰、无蜘蛛网。</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发现1个不合格项扣1分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restart"/>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环境</w:t>
            </w:r>
            <w:r>
              <w:rPr>
                <w:rFonts w:ascii="Times New Roman" w:hAnsi="Times New Roman" w:eastAsia="仿宋_GB2312"/>
              </w:rPr>
            </w:r>
            <w:r/>
          </w:p>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卫生（1</w:t>
            </w:r>
            <w:r>
              <w:rPr>
                <w:rFonts w:ascii="Times New Roman" w:hAnsi="Times New Roman" w:eastAsia="仿宋_GB2312"/>
              </w:rPr>
              <w:t xml:space="preserve">0</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清洁抹布、扫把、拖把等保洁工具定点规范存放，摆放整齐。</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未按规定存放保洁工具，一次扣1分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会议室、楼道、走廊、卫生间、楼宇周边等卫生包干区整洁、无异味、无杂物，水面无白色垃圾，门窗、墙面、玻璃等整洁、无积灰、无蜘蛛网。</w:t>
            </w:r>
            <w:r>
              <w:rPr>
                <w:rFonts w:ascii="Times New Roman" w:hAnsi="Times New Roman" w:eastAsia="仿宋_GB2312"/>
              </w:rPr>
            </w:r>
            <w:r/>
          </w:p>
        </w:tc>
        <w:tc>
          <w:tcPr>
            <w:tcW w:w="2126" w:type="dxa"/>
            <w:vAlign w:val="center"/>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发现1个不合格项扣1分</w:t>
            </w:r>
            <w:r>
              <w:rPr>
                <w:rFonts w:ascii="Times New Roman" w:hAnsi="Times New Roman" w:eastAsia="仿宋_GB2312"/>
              </w:rPr>
            </w:r>
            <w:r/>
          </w:p>
        </w:tc>
        <w:tc>
          <w:tcPr>
            <w:tcW w:w="1134" w:type="dxa"/>
            <w:vAlign w:val="top"/>
            <w:textDirection w:val="lrTb"/>
            <w:noWrap w:val="false"/>
          </w:tcPr>
          <w:p>
            <w:pPr>
              <w:pStyle w:val="960"/>
              <w:spacing w:line="36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每日及时清理垃圾箱垃圾，做好垃圾箱日常保洁、垃圾外运工作，做到日产日清。</w:t>
            </w:r>
            <w:r>
              <w:rPr>
                <w:rFonts w:ascii="Times New Roman" w:hAnsi="Times New Roman" w:eastAsia="仿宋_GB2312"/>
              </w:rPr>
            </w:r>
            <w:r/>
          </w:p>
        </w:tc>
        <w:tc>
          <w:tcPr>
            <w:tcW w:w="2126" w:type="dxa"/>
            <w:vAlign w:val="center"/>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发现1个不合格项扣1分</w:t>
            </w:r>
            <w:r>
              <w:rPr>
                <w:rFonts w:ascii="Times New Roman" w:hAnsi="Times New Roman" w:eastAsia="仿宋_GB2312"/>
              </w:rPr>
            </w:r>
            <w:r/>
          </w:p>
        </w:tc>
        <w:tc>
          <w:tcPr>
            <w:tcW w:w="1134" w:type="dxa"/>
            <w:vAlign w:val="top"/>
            <w:textDirection w:val="lrTb"/>
            <w:noWrap w:val="false"/>
          </w:tcPr>
          <w:p>
            <w:pPr>
              <w:pStyle w:val="960"/>
              <w:spacing w:line="36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按照学校要求做好大型活动临时性保洁工作，保障活动现场环境整洁。</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及时清理未经学校同意的乱张贴广告、商业宣传单等，保持校园环境整洁。</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发现乱张贴未及时清理，一次扣1分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restart"/>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维护</w:t>
            </w:r>
            <w:r>
              <w:rPr>
                <w:rFonts w:ascii="Times New Roman" w:hAnsi="Times New Roman" w:eastAsia="仿宋_GB2312"/>
              </w:rPr>
            </w:r>
            <w:r/>
          </w:p>
          <w:p>
            <w:pPr>
              <w:pStyle w:val="960"/>
              <w:spacing w:line="360" w:lineRule="exact"/>
              <w:rPr>
                <w:rFonts w:ascii="Times New Roman" w:hAnsi="Times New Roman" w:eastAsia="仿宋_GB2312"/>
              </w:rPr>
            </w:pPr>
            <w:r>
              <w:rPr>
                <w:rFonts w:hint="eastAsia" w:ascii="Times New Roman" w:hAnsi="Times New Roman" w:eastAsia="仿宋_GB2312"/>
              </w:rPr>
              <w:t xml:space="preserve">与维修（1</w:t>
            </w:r>
            <w:r>
              <w:rPr>
                <w:rFonts w:ascii="Times New Roman" w:hAnsi="Times New Roman" w:eastAsia="仿宋_GB2312"/>
              </w:rPr>
              <w:t xml:space="preserve">5</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每日对校园设施开展巡查，发现问题及时维修，保持水电24小时正常供应；建立严格的维修管理制度，配备专业维修人员并持证上岗。</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维修服务及时到位，小修2</w:t>
            </w:r>
            <w:r>
              <w:rPr>
                <w:rFonts w:ascii="Times New Roman" w:hAnsi="Times New Roman" w:eastAsia="仿宋_GB2312"/>
              </w:rPr>
              <w:t xml:space="preserve">4</w:t>
            </w:r>
            <w:r>
              <w:rPr>
                <w:rFonts w:hint="eastAsia" w:ascii="Times New Roman" w:hAnsi="Times New Roman" w:eastAsia="仿宋_GB2312"/>
              </w:rPr>
              <w:t xml:space="preserve">小时内完成，大修4</w:t>
            </w:r>
            <w:r>
              <w:rPr>
                <w:rFonts w:ascii="Times New Roman" w:hAnsi="Times New Roman" w:eastAsia="仿宋_GB2312"/>
              </w:rPr>
              <w:t xml:space="preserve">8</w:t>
            </w:r>
            <w:r>
              <w:rPr>
                <w:rFonts w:hint="eastAsia" w:ascii="Times New Roman" w:hAnsi="Times New Roman" w:eastAsia="仿宋_GB2312"/>
              </w:rPr>
              <w:t xml:space="preserve">小时内完成；影响正常教学的报修必须立即赶到现场进行抢修。</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未按时完成维修，一次扣1分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对教室、宿舍、会议室等重点区域设施重点维护，保障楼内教学、科研工作正常运行；遇大型活动、考试等，提前做好设施维修检查，确保水电到位、设备设施完好。</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因设施维护不到位影响使用，一次扣2分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对楼内设备、设施定期开展维护、保养，更换维修材料确保质量合格、型号统一，并建立完善的维修档案。</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做好管理区域内学校固定资产的管理、维护工作，保障各项资产完好、安全和正常运转，不得私自动用学校任何物品。</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未按规定执行，一次扣1分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restart"/>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安全</w:t>
            </w:r>
            <w:r>
              <w:rPr>
                <w:rFonts w:ascii="Times New Roman" w:hAnsi="Times New Roman" w:eastAsia="仿宋_GB2312"/>
              </w:rPr>
            </w:r>
            <w:r/>
          </w:p>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管理（1</w:t>
            </w:r>
            <w:r>
              <w:rPr>
                <w:rFonts w:ascii="Times New Roman" w:hAnsi="Times New Roman" w:eastAsia="仿宋_GB2312"/>
              </w:rPr>
              <w:t xml:space="preserve">5</w:t>
            </w:r>
            <w:r>
              <w:rPr>
                <w:rFonts w:hint="eastAsia" w:ascii="Times New Roman" w:hAnsi="Times New Roman" w:eastAsia="仿宋_GB2312"/>
              </w:rPr>
              <w:t xml:space="preserve">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按照规定及时开、关闭照明灯，杜绝常流水现象，做好校园节水节电工作。</w:t>
            </w:r>
            <w:r>
              <w:rPr>
                <w:rFonts w:ascii="Times New Roman" w:hAnsi="Times New Roman" w:eastAsia="仿宋_GB2312"/>
              </w:rPr>
            </w:r>
            <w:r/>
          </w:p>
        </w:tc>
        <w:tc>
          <w:tcPr>
            <w:tcW w:w="2126" w:type="dxa"/>
            <w:vAlign w:val="center"/>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未按规定执行，一次扣1分</w:t>
            </w:r>
            <w:r>
              <w:rPr>
                <w:rFonts w:ascii="Times New Roman" w:hAnsi="Times New Roman" w:eastAsia="仿宋_GB2312"/>
              </w:rPr>
            </w:r>
            <w:r/>
          </w:p>
        </w:tc>
        <w:tc>
          <w:tcPr>
            <w:tcW w:w="1134" w:type="dxa"/>
            <w:vAlign w:val="top"/>
            <w:textDirection w:val="lrTb"/>
            <w:noWrap w:val="false"/>
          </w:tcPr>
          <w:p>
            <w:pPr>
              <w:pStyle w:val="960"/>
              <w:spacing w:line="36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每周至少开展1次安全检查并做好完整的安全检查记录；负责水电及公用设备的日常巡查，发现安全隐患及时上报并处置。</w:t>
            </w:r>
            <w:r>
              <w:rPr>
                <w:rFonts w:ascii="Times New Roman" w:hAnsi="Times New Roman" w:eastAsia="仿宋_GB2312"/>
              </w:rPr>
            </w:r>
            <w:r/>
          </w:p>
        </w:tc>
        <w:tc>
          <w:tcPr>
            <w:tcW w:w="2126" w:type="dxa"/>
            <w:vAlign w:val="center"/>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未按规定执行，一次扣2分</w:t>
            </w:r>
            <w:r>
              <w:rPr>
                <w:rFonts w:ascii="Times New Roman" w:hAnsi="Times New Roman" w:eastAsia="仿宋_GB2312"/>
              </w:rPr>
            </w:r>
            <w:r/>
          </w:p>
        </w:tc>
        <w:tc>
          <w:tcPr>
            <w:tcW w:w="1134" w:type="dxa"/>
            <w:vAlign w:val="top"/>
            <w:textDirection w:val="lrTb"/>
            <w:noWrap w:val="false"/>
          </w:tcPr>
          <w:p>
            <w:pPr>
              <w:pStyle w:val="960"/>
              <w:spacing w:line="36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严格按照规定负责楼宇大门的开启和关闭，做好学生公寓物品及外来人员进出管理等安全工作。</w:t>
            </w:r>
            <w:r>
              <w:rPr>
                <w:rFonts w:ascii="Times New Roman" w:hAnsi="Times New Roman" w:eastAsia="仿宋_GB2312"/>
              </w:rPr>
            </w:r>
            <w:r/>
          </w:p>
        </w:tc>
        <w:tc>
          <w:tcPr>
            <w:tcW w:w="2126" w:type="dxa"/>
            <w:vAlign w:val="center"/>
            <w:textDirection w:val="lrTb"/>
            <w:noWrap w:val="false"/>
          </w:tcPr>
          <w:p>
            <w:pPr>
              <w:pStyle w:val="960"/>
              <w:spacing w:line="360" w:lineRule="exact"/>
              <w:rPr>
                <w:rFonts w:ascii="Times New Roman" w:hAnsi="Times New Roman" w:eastAsia="仿宋_GB2312"/>
              </w:rPr>
            </w:pPr>
            <w:r>
              <w:rPr>
                <w:rFonts w:hint="eastAsia" w:ascii="Times New Roman" w:hAnsi="Times New Roman" w:eastAsia="仿宋_GB2312"/>
              </w:rPr>
              <w:t xml:space="preserve">未按规定执行，一次扣1分</w:t>
            </w:r>
            <w:r>
              <w:rPr>
                <w:rFonts w:ascii="Times New Roman" w:hAnsi="Times New Roman" w:eastAsia="仿宋_GB2312"/>
              </w:rPr>
            </w:r>
            <w:r/>
          </w:p>
        </w:tc>
        <w:tc>
          <w:tcPr>
            <w:tcW w:w="1134" w:type="dxa"/>
            <w:vAlign w:val="top"/>
            <w:textDirection w:val="lrTb"/>
            <w:noWrap w:val="false"/>
          </w:tcPr>
          <w:p>
            <w:pPr>
              <w:pStyle w:val="960"/>
              <w:spacing w:line="36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严禁校园内私拉乱接电线，禁止电瓶车进楼停放或充电，卫生间、通道口等区域禁止堆放闲杂物品；根据各类突发事件做好应急管理工作。</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vMerge w:val="continue"/>
            <w:textDirection w:val="lrTb"/>
            <w:noWrap w:val="false"/>
          </w:tcPr>
          <w:p>
            <w:pPr>
              <w:pStyle w:val="960"/>
              <w:ind w:firstLine="420"/>
              <w:spacing w:line="360" w:lineRule="exact"/>
              <w:rPr>
                <w:rFonts w:ascii="Times New Roman" w:hAnsi="Times New Roman" w:eastAsia="仿宋_GB2312"/>
              </w:rPr>
            </w:pP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保障校园排水管道、化粪池、检查井等通畅、无污物、无溢漏，地下室无积水。</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未按规定执行，一次扣2分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c>
          <w:tcPr>
            <w:tcW w:w="817" w:type="dxa"/>
            <w:vAlign w:val="center"/>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其他（5分）</w:t>
            </w:r>
            <w:r>
              <w:rPr>
                <w:rFonts w:ascii="Times New Roman" w:hAnsi="Times New Roman" w:eastAsia="仿宋_GB2312"/>
              </w:rPr>
            </w:r>
            <w:r/>
          </w:p>
        </w:tc>
        <w:tc>
          <w:tcPr>
            <w:tcW w:w="4111"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按照招标文件及物业服务合同约定的其他要求开展工作。</w:t>
            </w:r>
            <w:r>
              <w:rPr>
                <w:rFonts w:ascii="Times New Roman" w:hAnsi="Times New Roman" w:eastAsia="仿宋_GB2312"/>
              </w:rPr>
            </w:r>
            <w:r/>
          </w:p>
        </w:tc>
        <w:tc>
          <w:tcPr>
            <w:tcW w:w="2126" w:type="dxa"/>
            <w:vAlign w:val="center"/>
            <w:textDirection w:val="lrTb"/>
            <w:noWrap w:val="false"/>
          </w:tcPr>
          <w:p>
            <w:pPr>
              <w:pStyle w:val="960"/>
              <w:spacing w:line="320" w:lineRule="exact"/>
              <w:rPr>
                <w:rFonts w:ascii="Times New Roman" w:hAnsi="Times New Roman" w:eastAsia="仿宋_GB2312"/>
              </w:rPr>
            </w:pPr>
            <w:r>
              <w:rPr>
                <w:rFonts w:hint="eastAsia" w:ascii="Times New Roman" w:hAnsi="Times New Roman" w:eastAsia="仿宋_GB2312"/>
              </w:rPr>
              <w:t xml:space="preserve">未按规定执行，视严重情况酌情扣分</w:t>
            </w:r>
            <w:r>
              <w:rPr>
                <w:rFonts w:ascii="Times New Roman" w:hAnsi="Times New Roman" w:eastAsia="仿宋_GB2312"/>
              </w:rPr>
            </w:r>
            <w:r/>
          </w:p>
        </w:tc>
        <w:tc>
          <w:tcPr>
            <w:tcW w:w="1134" w:type="dxa"/>
            <w:vAlign w:val="top"/>
            <w:textDirection w:val="lrTb"/>
            <w:noWrap w:val="false"/>
          </w:tcPr>
          <w:p>
            <w:pPr>
              <w:pStyle w:val="960"/>
              <w:spacing w:line="320" w:lineRule="exact"/>
              <w:rPr>
                <w:rFonts w:ascii="Times New Roman" w:hAnsi="Times New Roman" w:eastAsia="仿宋_GB2312"/>
              </w:rPr>
            </w:pPr>
            <w:r>
              <w:rPr>
                <w:rFonts w:ascii="Times New Roman" w:hAnsi="Times New Roman" w:eastAsia="仿宋_GB2312"/>
              </w:rPr>
            </w:r>
            <w:r/>
          </w:p>
        </w:tc>
      </w:tr>
      <w:tr>
        <w:trPr>
          <w:trHeight w:val="419"/>
        </w:trPr>
        <w:tc>
          <w:tcPr>
            <w:tcW w:w="817" w:type="dxa"/>
            <w:vAlign w:val="center"/>
            <w:textDirection w:val="lrTb"/>
            <w:noWrap w:val="false"/>
          </w:tcPr>
          <w:p>
            <w:pPr>
              <w:pStyle w:val="960"/>
              <w:jc w:val="center"/>
              <w:spacing w:line="360" w:lineRule="exact"/>
              <w:rPr>
                <w:rFonts w:ascii="Times New Roman" w:hAnsi="Times New Roman" w:eastAsia="仿宋_GB2312"/>
              </w:rPr>
            </w:pPr>
            <w:r>
              <w:rPr>
                <w:rFonts w:hint="eastAsia" w:ascii="Times New Roman" w:hAnsi="Times New Roman" w:eastAsia="仿宋_GB2312"/>
              </w:rPr>
              <w:t xml:space="preserve">得分</w:t>
            </w:r>
            <w:r>
              <w:rPr>
                <w:rFonts w:ascii="Times New Roman" w:hAnsi="Times New Roman" w:eastAsia="仿宋_GB2312"/>
              </w:rPr>
            </w:r>
            <w:r/>
          </w:p>
        </w:tc>
        <w:tc>
          <w:tcPr>
            <w:gridSpan w:val="3"/>
            <w:tcW w:w="7371" w:type="dxa"/>
            <w:vAlign w:val="center"/>
            <w:textDirection w:val="lrTb"/>
            <w:noWrap w:val="false"/>
          </w:tcPr>
          <w:p>
            <w:pPr>
              <w:pStyle w:val="960"/>
              <w:jc w:val="center"/>
              <w:spacing w:line="360" w:lineRule="exact"/>
              <w:rPr>
                <w:rFonts w:ascii="Times New Roman" w:hAnsi="Times New Roman" w:eastAsia="仿宋_GB2312"/>
              </w:rPr>
            </w:pPr>
            <w:r>
              <w:rPr>
                <w:rFonts w:ascii="Times New Roman" w:hAnsi="Times New Roman" w:eastAsia="仿宋_GB2312"/>
              </w:rPr>
            </w:r>
            <w:r/>
          </w:p>
        </w:tc>
      </w:tr>
    </w:tbl>
    <w:p>
      <w:pPr>
        <w:pStyle w:val="999"/>
        <w:ind w:firstLine="560"/>
        <w:spacing w:before="120" w:after="120" w:line="4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九、商务要求</w:t>
      </w:r>
      <w:r>
        <w:rPr>
          <w:rFonts w:hint="eastAsia" w:ascii="方正黑体_GBK" w:hAnsi="方正黑体_GBK" w:eastAsia="方正黑体_GBK" w:cs="方正黑体_GBK"/>
          <w:bCs/>
          <w:sz w:val="28"/>
          <w:szCs w:val="28"/>
        </w:rPr>
      </w:r>
      <w:r/>
    </w:p>
    <w:p>
      <w:pPr>
        <w:pStyle w:val="960"/>
        <w:ind w:firstLine="560"/>
        <w:spacing w:line="4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92"/>
        <w:ind w:firstLine="560"/>
        <w:jc w:val="left"/>
        <w:spacing w:line="460" w:lineRule="exact"/>
        <w:rPr>
          <w:rFonts w:hint="eastAsia" w:ascii="方正仿宋_GBK" w:hAnsi="方正仿宋_GBK" w:eastAsia="方正仿宋_GBK" w:cs="方正仿宋_GBK"/>
          <w:bCs/>
        </w:rPr>
      </w:pPr>
      <w:r>
        <w:rPr>
          <w:rFonts w:hint="eastAsia" w:ascii="方正仿宋_GBK" w:hAnsi="方正仿宋_GBK" w:eastAsia="方正仿宋_GBK" w:cs="方正仿宋_GBK"/>
          <w:bCs/>
        </w:rPr>
        <w:t xml:space="preserve">1.服务期：三年，合同一年一签，合同期内招标人进行年度考核（两学期考核得分情况为考核重要依据），经年度考核合格（两学期考核得分平均值</w:t>
      </w:r>
      <w:r>
        <w:rPr>
          <w:rFonts w:hint="eastAsia" w:ascii="仿宋_GB2312" w:hAnsi="___WRD_EMBED_SUB_44" w:eastAsia="仿宋_GB2312" w:cs="___WRD_EMBED_SUB_44"/>
        </w:rPr>
        <w:t xml:space="preserve">≥75分为年度考核合格的必备条件</w:t>
      </w:r>
      <w:r>
        <w:rPr>
          <w:rFonts w:hint="eastAsia" w:ascii="方正仿宋_GBK" w:hAnsi="方正仿宋_GBK" w:eastAsia="方正仿宋_GBK" w:cs="方正仿宋_GBK"/>
          <w:bCs/>
        </w:rPr>
        <w:t xml:space="preserve">）后方可续签下一年度合同。</w:t>
      </w:r>
      <w:r>
        <w:rPr>
          <w:rFonts w:hint="eastAsia" w:ascii="方正仿宋_GBK" w:hAnsi="方正仿宋_GBK" w:eastAsia="方正仿宋_GBK" w:cs="方正仿宋_GBK"/>
          <w:bCs/>
        </w:rPr>
      </w:r>
      <w:r/>
    </w:p>
    <w:p>
      <w:pPr>
        <w:pStyle w:val="960"/>
        <w:ind w:firstLine="560"/>
        <w:jc w:val="left"/>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2.付款方式：</w:t>
      </w:r>
      <w:r>
        <w:rPr>
          <w:rFonts w:hint="eastAsia" w:ascii="方正仿宋_GBK" w:hAnsi="方正仿宋_GBK" w:eastAsia="方正仿宋_GBK" w:cs="方正仿宋_GBK"/>
          <w:bCs/>
          <w:sz w:val="28"/>
          <w:szCs w:val="28"/>
        </w:rPr>
      </w:r>
      <w:r/>
    </w:p>
    <w:p>
      <w:pPr>
        <w:pStyle w:val="999"/>
        <w:ind w:firstLine="560"/>
        <w:spacing w:before="120" w:after="120" w:line="400" w:lineRule="exact"/>
        <w:rPr>
          <w:rFonts w:hint="eastAsia" w:ascii="方正仿宋_GBK" w:hAnsi="方正仿宋_GBK" w:eastAsia="方正仿宋_GBK" w:cs="方正仿宋_GBK"/>
          <w:bCs/>
          <w:sz w:val="28"/>
          <w:szCs w:val="28"/>
          <w:highlight w:val="none"/>
          <w:lang w:val="en-US"/>
        </w:rPr>
      </w:pPr>
      <w:r>
        <w:rPr>
          <w:rFonts w:hint="eastAsia" w:ascii="方正仿宋_GBK" w:hAnsi="方正仿宋_GBK" w:eastAsia="方正仿宋_GBK" w:cs="方正仿宋_GBK"/>
          <w:bCs/>
          <w:sz w:val="28"/>
          <w:szCs w:val="28"/>
          <w:highlight w:val="none"/>
          <w:lang w:val="en-US" w:eastAsia="zh-CN"/>
        </w:rPr>
        <w:t xml:space="preserve">2.1 预付款支付时间：合同签订后30日内，预付款支付比例：当期合同金额的10%。</w:t>
      </w:r>
      <w:r>
        <w:rPr>
          <w:rFonts w:hint="eastAsia" w:ascii="方正仿宋_GBK" w:hAnsi="方正仿宋_GBK" w:eastAsia="方正仿宋_GBK" w:cs="方正仿宋_GBK"/>
          <w:bCs/>
          <w:sz w:val="28"/>
          <w:szCs w:val="28"/>
          <w:highlight w:val="none"/>
          <w:lang w:val="en-US"/>
        </w:rPr>
      </w:r>
      <w:r/>
    </w:p>
    <w:p>
      <w:pPr>
        <w:pStyle w:val="960"/>
        <w:ind w:firstLine="56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2.2 尾款支付时间：</w:t>
      </w:r>
      <w:r>
        <w:rPr>
          <w:rFonts w:hint="eastAsia" w:ascii="方正仿宋_GBK" w:hAnsi="方正仿宋_GBK" w:eastAsia="方正仿宋_GBK" w:cs="方正仿宋_GBK"/>
          <w:sz w:val="28"/>
          <w:szCs w:val="28"/>
          <w:highlight w:val="none"/>
        </w:rPr>
        <w:t xml:space="preserve">服务费用按学期结算，</w:t>
      </w:r>
      <w:r>
        <w:rPr>
          <w:rFonts w:hint="eastAsia" w:ascii="方正仿宋_GBK" w:hAnsi="方正仿宋_GBK" w:eastAsia="方正仿宋_GBK" w:cs="方正仿宋_GBK"/>
          <w:sz w:val="28"/>
          <w:szCs w:val="28"/>
          <w:highlight w:val="none"/>
          <w:lang w:val="en-US" w:eastAsia="zh-CN"/>
        </w:rPr>
        <w:t xml:space="preserve">招标人</w:t>
      </w:r>
      <w:r>
        <w:rPr>
          <w:rFonts w:hint="eastAsia" w:ascii="方正仿宋_GBK" w:hAnsi="方正仿宋_GBK" w:eastAsia="方正仿宋_GBK" w:cs="方正仿宋_GBK"/>
          <w:sz w:val="28"/>
          <w:szCs w:val="28"/>
          <w:highlight w:val="none"/>
        </w:rPr>
        <w:t xml:space="preserve">每学期末根据该学期各月份考核结果的平均值，按照《泰州学院采购履约验收管理办法（试行）》组织验收，验收合格（平均值≥75分为验收合格的必备条件），</w:t>
      </w:r>
      <w:r>
        <w:rPr>
          <w:rFonts w:hint="eastAsia" w:ascii="方正仿宋_GBK" w:hAnsi="方正仿宋_GBK" w:eastAsia="方正仿宋_GBK" w:cs="方正仿宋_GBK"/>
          <w:sz w:val="28"/>
          <w:szCs w:val="28"/>
          <w:highlight w:val="none"/>
          <w:lang w:val="en-US" w:eastAsia="zh-CN"/>
        </w:rPr>
        <w:t xml:space="preserve">中标人</w:t>
      </w:r>
      <w:r>
        <w:rPr>
          <w:rFonts w:hint="eastAsia" w:ascii="方正仿宋_GBK" w:hAnsi="方正仿宋_GBK" w:eastAsia="方正仿宋_GBK" w:cs="方正仿宋_GBK"/>
          <w:sz w:val="28"/>
          <w:szCs w:val="28"/>
          <w:highlight w:val="none"/>
        </w:rPr>
        <w:t xml:space="preserve">开具</w:t>
      </w:r>
      <w:r>
        <w:rPr>
          <w:rFonts w:hint="eastAsia" w:ascii="方正仿宋_GBK" w:hAnsi="方正仿宋_GBK" w:eastAsia="方正仿宋_GBK" w:cs="方正仿宋_GBK"/>
          <w:sz w:val="28"/>
          <w:szCs w:val="28"/>
          <w:highlight w:val="none"/>
          <w:lang w:val="en-US" w:eastAsia="zh-CN"/>
        </w:rPr>
        <w:t xml:space="preserve">扣除预付款后</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val="en-US" w:eastAsia="zh-CN"/>
        </w:rPr>
        <w:t xml:space="preserve">该学期相关费用的</w:t>
      </w:r>
      <w:r>
        <w:rPr>
          <w:rFonts w:hint="eastAsia" w:ascii="方正仿宋_GBK" w:hAnsi="方正仿宋_GBK" w:eastAsia="方正仿宋_GBK" w:cs="方正仿宋_GBK"/>
          <w:sz w:val="28"/>
          <w:szCs w:val="28"/>
          <w:highlight w:val="none"/>
        </w:rPr>
        <w:t xml:space="preserve">增值税发票。</w:t>
      </w:r>
      <w:r>
        <w:rPr>
          <w:rFonts w:hint="eastAsia" w:ascii="方正仿宋_GBK" w:hAnsi="方正仿宋_GBK" w:eastAsia="方正仿宋_GBK" w:cs="方正仿宋_GBK"/>
          <w:sz w:val="28"/>
          <w:szCs w:val="28"/>
          <w:highlight w:val="none"/>
          <w:lang w:val="en-US" w:eastAsia="zh-CN"/>
        </w:rPr>
        <w:t xml:space="preserve">招标人</w:t>
      </w:r>
      <w:r>
        <w:rPr>
          <w:rFonts w:hint="eastAsia" w:ascii="方正仿宋_GBK" w:hAnsi="方正仿宋_GBK" w:eastAsia="方正仿宋_GBK" w:cs="方正仿宋_GBK"/>
          <w:sz w:val="28"/>
          <w:szCs w:val="28"/>
          <w:highlight w:val="none"/>
        </w:rPr>
        <w:t xml:space="preserve">在收到发票后10个工作日内</w:t>
      </w:r>
      <w:r>
        <w:rPr>
          <w:rFonts w:hint="eastAsia" w:ascii="方正仿宋_GBK" w:hAnsi="方正仿宋_GBK" w:eastAsia="方正仿宋_GBK" w:cs="方正仿宋_GBK"/>
          <w:sz w:val="28"/>
          <w:szCs w:val="28"/>
          <w:highlight w:val="none"/>
          <w:lang w:val="en-US" w:eastAsia="zh-CN"/>
        </w:rPr>
        <w:t xml:space="preserve">予以</w:t>
      </w:r>
      <w:r>
        <w:rPr>
          <w:rFonts w:hint="eastAsia" w:ascii="方正仿宋_GBK" w:hAnsi="方正仿宋_GBK" w:eastAsia="方正仿宋_GBK" w:cs="方正仿宋_GBK"/>
          <w:sz w:val="28"/>
          <w:szCs w:val="28"/>
          <w:highlight w:val="none"/>
        </w:rPr>
        <w:t xml:space="preserve">支付。如验收不合格，</w:t>
      </w:r>
      <w:r>
        <w:rPr>
          <w:rFonts w:hint="eastAsia" w:ascii="方正仿宋_GBK" w:hAnsi="方正仿宋_GBK" w:eastAsia="方正仿宋_GBK" w:cs="方正仿宋_GBK"/>
          <w:sz w:val="28"/>
          <w:szCs w:val="28"/>
          <w:highlight w:val="none"/>
          <w:lang w:val="en-US" w:eastAsia="zh-CN"/>
        </w:rPr>
        <w:t xml:space="preserve">招标人</w:t>
      </w:r>
      <w:r>
        <w:rPr>
          <w:rFonts w:hint="eastAsia" w:ascii="方正仿宋_GBK" w:hAnsi="方正仿宋_GBK" w:eastAsia="方正仿宋_GBK" w:cs="方正仿宋_GBK"/>
          <w:sz w:val="28"/>
          <w:szCs w:val="28"/>
          <w:highlight w:val="none"/>
        </w:rPr>
        <w:t xml:space="preserve">有权解除合同并追究其违约责任。</w:t>
      </w:r>
      <w:r>
        <w:rPr>
          <w:rFonts w:hint="eastAsia" w:ascii="方正仿宋_GBK" w:hAnsi="方正仿宋_GBK" w:eastAsia="方正仿宋_GBK" w:cs="方正仿宋_GBK"/>
          <w:bCs/>
          <w:sz w:val="28"/>
          <w:szCs w:val="28"/>
          <w:highlight w:val="none"/>
        </w:rPr>
      </w:r>
      <w:r/>
    </w:p>
    <w:p>
      <w:pPr>
        <w:pStyle w:val="960"/>
        <w:ind w:firstLine="56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3.付款时间：招标人在收到发票后10个工作日内支付。</w:t>
      </w:r>
      <w:r>
        <w:rPr>
          <w:rFonts w:hint="eastAsia" w:ascii="方正仿宋_GBK" w:hAnsi="方正仿宋_GBK" w:eastAsia="方正仿宋_GBK" w:cs="方正仿宋_GBK"/>
          <w:bCs/>
          <w:sz w:val="28"/>
          <w:szCs w:val="28"/>
          <w:highlight w:val="none"/>
        </w:rPr>
      </w:r>
      <w:r/>
    </w:p>
    <w:p>
      <w:pPr>
        <w:pStyle w:val="960"/>
        <w:ind w:firstLine="56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4.本合同总价款包含以下内容：</w:t>
      </w:r>
      <w:r>
        <w:rPr>
          <w:rFonts w:hint="eastAsia" w:ascii="方正仿宋_GBK" w:hAnsi="方正仿宋_GBK" w:eastAsia="方正仿宋_GBK" w:cs="方正仿宋_GBK"/>
          <w:bCs/>
          <w:sz w:val="28"/>
          <w:szCs w:val="28"/>
          <w:highlight w:val="none"/>
        </w:rPr>
      </w:r>
      <w:r/>
    </w:p>
    <w:p>
      <w:pPr>
        <w:pStyle w:val="960"/>
        <w:ind w:right="-307" w:firstLine="42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本合同采用固定总价包干方式，总价款为完成本项目服务所发生的一切含税费用，中标人不得以任何理由要求招标人追加任何费用。</w:t>
      </w:r>
      <w:r>
        <w:rPr>
          <w:rFonts w:hint="eastAsia" w:ascii="方正仿宋_GBK" w:hAnsi="方正仿宋_GBK" w:eastAsia="方正仿宋_GBK" w:cs="方正仿宋_GBK"/>
          <w:bCs/>
          <w:sz w:val="28"/>
          <w:szCs w:val="28"/>
          <w:highlight w:val="none"/>
        </w:rPr>
      </w:r>
      <w:r/>
    </w:p>
    <w:p>
      <w:pPr>
        <w:pStyle w:val="960"/>
        <w:ind w:right="-307" w:firstLine="56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5.服务地点：江苏省泰州市海陵区济川东路93号泰州学院济川校区内。</w:t>
      </w:r>
      <w:r>
        <w:rPr>
          <w:rFonts w:hint="eastAsia" w:ascii="方正仿宋_GBK" w:hAnsi="方正仿宋_GBK" w:eastAsia="方正仿宋_GBK" w:cs="方正仿宋_GBK"/>
          <w:bCs/>
          <w:sz w:val="28"/>
          <w:szCs w:val="28"/>
          <w:highlight w:val="none"/>
        </w:rPr>
      </w:r>
      <w:r/>
    </w:p>
    <w:p>
      <w:pPr>
        <w:pStyle w:val="960"/>
        <w:ind w:right="-307" w:firstLine="560"/>
        <w:jc w:val="left"/>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6.履约保证金</w:t>
      </w:r>
      <w:r>
        <w:rPr>
          <w:rFonts w:hint="eastAsia" w:ascii="方正仿宋_GBK" w:hAnsi="方正仿宋_GBK" w:eastAsia="方正仿宋_GBK" w:cs="方正仿宋_GBK"/>
          <w:bCs/>
          <w:sz w:val="28"/>
          <w:szCs w:val="28"/>
          <w:highlight w:val="none"/>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6.1中标人应在合同签订前，向招标人交纳本期合同的履约保证金。</w:t>
      </w:r>
      <w:r>
        <w:rPr>
          <w:rFonts w:hint="eastAsia" w:ascii="方正仿宋_GBK" w:hAnsi="方正仿宋_GBK" w:eastAsia="方正仿宋_GBK" w:cs="方正仿宋_GBK"/>
          <w:bCs/>
          <w:sz w:val="28"/>
          <w:szCs w:val="28"/>
          <w:highlight w:val="none"/>
        </w:rPr>
        <w:t xml:space="preserve">否则招标人可以取消其中标资格。</w:t>
      </w:r>
      <w:r>
        <w:rPr>
          <w:rFonts w:hint="eastAsia" w:ascii="方正仿宋_GBK" w:hAnsi="方正仿宋_GBK" w:eastAsia="方正仿宋_GBK" w:cs="方正仿宋_GBK"/>
          <w:sz w:val="28"/>
          <w:szCs w:val="28"/>
          <w:highlight w:val="none"/>
        </w:rPr>
        <w:t xml:space="preserve">（交纳金额为每期合同金额的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rPr>
        <w:t xml:space="preserve">具体金额以中标价为准）</w:t>
      </w:r>
      <w:r>
        <w:rPr>
          <w:rFonts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履约保证金的形式：银行保函、转账支票、本票、汇票、电汇。</w:t>
      </w:r>
      <w:r>
        <w:rPr>
          <w:rFonts w:hint="eastAsia" w:ascii="方正仿宋_GBK" w:hAnsi="方正仿宋_GBK" w:eastAsia="方正仿宋_GBK" w:cs="方正仿宋_GBK"/>
          <w:sz w:val="28"/>
          <w:szCs w:val="28"/>
        </w:rPr>
      </w:r>
      <w:r/>
    </w:p>
    <w:p>
      <w:pPr>
        <w:pStyle w:val="99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6.2合同履行结束后，招标人应及时退还交纳的履约保证金。</w:t>
      </w:r>
      <w:r>
        <w:rPr>
          <w:rFonts w:hint="eastAsia"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按照履约保证金缴纳方式原路返还。</w:t>
      </w:r>
      <w:r>
        <w:rPr>
          <w:rFonts w:hint="eastAsia" w:ascii="方正仿宋_GBK" w:hAnsi="方正仿宋_GBK" w:eastAsia="方正仿宋_GBK" w:cs="方正仿宋_GBK"/>
          <w:bCs/>
          <w:sz w:val="28"/>
          <w:szCs w:val="28"/>
        </w:rPr>
        <w:t xml:space="preserve">履约保证金不计利息。</w:t>
      </w:r>
      <w:r>
        <w:rPr>
          <w:rFonts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6.2.2履约保证金退还时间：在本期合同履行完毕，招标人验收合格，无任何服务和质量问题，且交接进驻手续完成，</w:t>
      </w:r>
      <w:r>
        <w:rPr>
          <w:rFonts w:hint="eastAsia" w:ascii="方正仿宋_GBK" w:hAnsi="方正仿宋_GBK" w:eastAsia="方正仿宋_GBK" w:cs="方正仿宋_GBK"/>
          <w:bCs/>
          <w:sz w:val="28"/>
          <w:szCs w:val="28"/>
        </w:rPr>
        <w:t xml:space="preserve">中标人提交书面申请后</w:t>
      </w:r>
      <w:r>
        <w:rPr>
          <w:rFonts w:ascii="方正仿宋_GBK" w:hAnsi="方正仿宋_GBK" w:eastAsia="方正仿宋_GBK" w:cs="方正仿宋_GBK"/>
          <w:sz w:val="28"/>
          <w:szCs w:val="28"/>
        </w:rPr>
        <w:t xml:space="preserve">15个工作日内无息退还</w:t>
      </w:r>
      <w:r>
        <w:rPr>
          <w:rFonts w:hint="eastAsia" w:ascii="方正仿宋_GBK" w:hAnsi="方正仿宋_GBK" w:eastAsia="方正仿宋_GBK" w:cs="方正仿宋_GBK"/>
          <w:bCs/>
          <w:sz w:val="28"/>
          <w:szCs w:val="28"/>
        </w:rPr>
        <w:t xml:space="preserve">剩余的履约保证金</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99"/>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6.2.3履约保证金退还条件：本期合同履行完毕，招标人验收合格，无任何服务和质量问题</w:t>
      </w:r>
      <w:r>
        <w:rPr>
          <w:rFonts w:hint="eastAsia" w:ascii="方正仿宋_GBK" w:hAnsi="方正仿宋_GBK" w:eastAsia="方正仿宋_GBK" w:cs="方正仿宋_GBK"/>
          <w:sz w:val="28"/>
          <w:szCs w:val="28"/>
          <w:highlight w:val="none"/>
        </w:rPr>
        <w:t xml:space="preserve">，且</w:t>
      </w:r>
      <w:r>
        <w:rPr>
          <w:rFonts w:hint="eastAsia" w:ascii="方正仿宋_GBK" w:hAnsi="方正仿宋_GBK" w:eastAsia="方正仿宋_GBK" w:cs="方正仿宋_GBK"/>
          <w:sz w:val="28"/>
          <w:szCs w:val="28"/>
          <w:highlight w:val="none"/>
          <w:lang w:val="en-US" w:eastAsia="zh-CN"/>
        </w:rPr>
        <w:t xml:space="preserve">相关</w:t>
      </w:r>
      <w:r>
        <w:rPr>
          <w:rFonts w:hint="eastAsia" w:ascii="方正仿宋_GBK" w:hAnsi="方正仿宋_GBK" w:eastAsia="方正仿宋_GBK" w:cs="方正仿宋_GBK"/>
          <w:sz w:val="28"/>
          <w:szCs w:val="28"/>
          <w:highlight w:val="none"/>
        </w:rPr>
        <w:t xml:space="preserve">交接进驻手续完成。</w:t>
      </w:r>
      <w:r>
        <w:rPr>
          <w:rFonts w:ascii="方正仿宋_GBK" w:hAnsi="方正仿宋_GBK" w:eastAsia="方正仿宋_GBK" w:cs="方正仿宋_GBK"/>
          <w:sz w:val="28"/>
          <w:szCs w:val="28"/>
          <w:highlight w:val="none"/>
        </w:rPr>
      </w:r>
      <w:r/>
    </w:p>
    <w:p>
      <w:pPr>
        <w:pStyle w:val="960"/>
        <w:ind w:firstLine="560"/>
        <w:spacing w:line="4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w:t>
      </w:r>
      <w:r>
        <w:rPr>
          <w:rFonts w:ascii="方正仿宋_GBK" w:hAnsi="方正仿宋_GBK" w:eastAsia="方正仿宋_GBK" w:cs="方正仿宋_GBK"/>
          <w:sz w:val="28"/>
          <w:szCs w:val="28"/>
          <w:highlight w:val="none"/>
        </w:rPr>
        <w:t xml:space="preserve">若</w:t>
      </w:r>
      <w:r>
        <w:rPr>
          <w:rFonts w:hint="eastAsia" w:ascii="方正仿宋_GBK" w:hAnsi="方正仿宋_GBK" w:eastAsia="方正仿宋_GBK" w:cs="方正仿宋_GBK"/>
          <w:sz w:val="28"/>
          <w:szCs w:val="28"/>
          <w:highlight w:val="none"/>
        </w:rPr>
        <w:t xml:space="preserve">投标人发生不能交付服务等</w:t>
      </w:r>
      <w:r>
        <w:rPr>
          <w:rFonts w:ascii="方正仿宋_GBK" w:hAnsi="方正仿宋_GBK" w:eastAsia="方正仿宋_GBK" w:cs="方正仿宋_GBK"/>
          <w:sz w:val="28"/>
          <w:szCs w:val="28"/>
          <w:highlight w:val="none"/>
        </w:rPr>
        <w:t xml:space="preserve">违约</w:t>
      </w:r>
      <w:r>
        <w:rPr>
          <w:rFonts w:hint="eastAsia" w:ascii="方正仿宋_GBK" w:hAnsi="方正仿宋_GBK" w:eastAsia="方正仿宋_GBK" w:cs="方正仿宋_GBK"/>
          <w:sz w:val="28"/>
          <w:szCs w:val="28"/>
          <w:highlight w:val="none"/>
        </w:rPr>
        <w:t xml:space="preserve">行为</w:t>
      </w:r>
      <w:r>
        <w:rPr>
          <w:rFonts w:ascii="方正仿宋_GBK" w:hAnsi="方正仿宋_GBK" w:eastAsia="方正仿宋_GBK" w:cs="方正仿宋_GBK"/>
          <w:sz w:val="28"/>
          <w:szCs w:val="28"/>
          <w:highlight w:val="none"/>
        </w:rPr>
        <w:t xml:space="preserve">导致合同终止的，该</w:t>
      </w:r>
      <w:r>
        <w:rPr>
          <w:rFonts w:hint="eastAsia" w:ascii="方正仿宋_GBK" w:hAnsi="方正仿宋_GBK" w:eastAsia="方正仿宋_GBK" w:cs="方正仿宋_GBK"/>
          <w:sz w:val="28"/>
          <w:szCs w:val="28"/>
          <w:highlight w:val="none"/>
        </w:rPr>
        <w:t xml:space="preserve">履约</w:t>
      </w:r>
      <w:r>
        <w:rPr>
          <w:rFonts w:ascii="方正仿宋_GBK" w:hAnsi="方正仿宋_GBK" w:eastAsia="方正仿宋_GBK" w:cs="方正仿宋_GBK"/>
          <w:sz w:val="28"/>
          <w:szCs w:val="28"/>
          <w:highlight w:val="none"/>
        </w:rPr>
        <w:t xml:space="preserve">保证金将根据合同约定不予退还。</w:t>
      </w:r>
      <w:r>
        <w:rPr>
          <w:rFonts w:hint="eastAsia" w:ascii="方正仿宋_GBK" w:hAnsi="方正仿宋_GBK" w:eastAsia="方正仿宋_GBK" w:cs="方正仿宋_GBK"/>
          <w:bCs/>
          <w:sz w:val="28"/>
          <w:szCs w:val="28"/>
          <w:highlight w:val="none"/>
        </w:rPr>
      </w:r>
      <w:r/>
    </w:p>
    <w:p>
      <w:pPr>
        <w:pStyle w:val="999"/>
        <w:ind w:firstLine="560"/>
        <w:spacing w:before="120" w:after="120" w:line="46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十、其他要求</w:t>
      </w:r>
      <w:r>
        <w:rPr>
          <w:rFonts w:hint="eastAsia" w:ascii="方正黑体_GBK" w:hAnsi="方正黑体_GBK" w:eastAsia="方正黑体_GBK" w:cs="方正黑体_GBK"/>
          <w:bCs/>
          <w:sz w:val="28"/>
          <w:szCs w:val="28"/>
          <w:highlight w:val="none"/>
        </w:rPr>
      </w:r>
      <w:r/>
    </w:p>
    <w:p>
      <w:pPr>
        <w:pStyle w:val="96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960"/>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62"/>
        <w:spacing w:line="400" w:lineRule="exact"/>
        <w:rPr>
          <w:rFonts w:hint="eastAsia" w:ascii="黑体" w:hAnsi="黑体" w:eastAsia="黑体"/>
          <w:sz w:val="28"/>
          <w:szCs w:val="28"/>
        </w:rPr>
      </w:pPr>
      <w:r/>
      <w:bookmarkStart w:id="164" w:name="_Toc120614281"/>
      <w:r>
        <w:rPr>
          <w:rFonts w:hint="eastAsia" w:ascii="黑体" w:hAnsi="黑体" w:eastAsia="黑体"/>
          <w:sz w:val="28"/>
          <w:szCs w:val="28"/>
        </w:rPr>
        <w:br w:type="page" w:clear="all"/>
      </w: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8"/>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48"/>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48"/>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48"/>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48"/>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60"/>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60"/>
        <w:rPr>
          <w:rFonts w:hint="eastAsia"/>
        </w:rPr>
      </w:pPr>
      <w:r>
        <w:rPr>
          <w:rFonts w:hint="eastAsia"/>
        </w:rPr>
      </w:r>
      <w:r/>
    </w:p>
    <w:tbl>
      <w:tblPr>
        <w:tblW w:w="9413"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517"/>
        <w:gridCol w:w="6520"/>
        <w:gridCol w:w="666"/>
      </w:tblGrid>
      <w:tr>
        <w:trPr>
          <w:trHeight w:val="388"/>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评审因素</w:t>
            </w:r>
            <w:r>
              <w:rPr>
                <w:rFonts w:hint="eastAsia" w:ascii="方正仿宋_GB2312" w:hAnsi="方正仿宋_GB2312" w:eastAsia="方正仿宋_GB2312" w:cs="方正仿宋_GB2312"/>
                <w:b/>
                <w:color w:val="000000"/>
                <w:sz w:val="28"/>
                <w:szCs w:val="28"/>
              </w:rPr>
            </w:r>
            <w:r/>
          </w:p>
        </w:tc>
        <w:tc>
          <w:tcPr>
            <w:tcW w:w="652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评审细则</w:t>
            </w:r>
            <w:r>
              <w:rPr>
                <w:rFonts w:hint="eastAsia" w:ascii="方正仿宋_GB2312" w:hAnsi="方正仿宋_GB2312" w:eastAsia="方正仿宋_GB2312" w:cs="方正仿宋_GB2312"/>
                <w:b/>
                <w:color w:val="000000"/>
                <w:sz w:val="28"/>
                <w:szCs w:val="28"/>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分值</w:t>
            </w:r>
            <w:r>
              <w:rPr>
                <w:rFonts w:hint="eastAsia" w:ascii="方正仿宋_GB2312" w:hAnsi="方正仿宋_GB2312" w:eastAsia="方正仿宋_GB2312" w:cs="方正仿宋_GB2312"/>
                <w:b/>
                <w:color w:val="000000"/>
                <w:sz w:val="28"/>
                <w:szCs w:val="28"/>
              </w:rPr>
            </w:r>
            <w:r/>
          </w:p>
        </w:tc>
      </w:tr>
      <w:tr>
        <w:trPr>
          <w:trHeight w:val="260"/>
        </w:trPr>
        <w:tc>
          <w:tcPr>
            <w:gridSpan w:val="4"/>
            <w:tcW w:w="9413" w:type="dxa"/>
            <w:vAlign w:val="center"/>
            <w:textDirection w:val="lrTb"/>
            <w:noWrap w:val="false"/>
          </w:tcPr>
          <w:p>
            <w:pPr>
              <w:pStyle w:val="960"/>
              <w:spacing w:line="360" w:lineRule="exact"/>
              <w:widowControl/>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一、价格部分（25分）</w:t>
            </w:r>
            <w:r>
              <w:rPr>
                <w:rFonts w:hint="eastAsia" w:ascii="方正仿宋_GB2312" w:hAnsi="方正仿宋_GB2312" w:eastAsia="方正仿宋_GB2312" w:cs="方正仿宋_GB2312"/>
                <w:b/>
                <w:bCs/>
                <w:color w:val="000000"/>
                <w:sz w:val="28"/>
                <w:szCs w:val="28"/>
              </w:rPr>
            </w:r>
            <w:r/>
          </w:p>
        </w:tc>
      </w:tr>
      <w:tr>
        <w:trPr>
          <w:trHeight w:val="1604"/>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投标报价</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sz w:val="28"/>
                <w:szCs w:val="28"/>
              </w:rPr>
              <w:t xml:space="preserve">采用低价优先法计算，即满足招标文件要求的最低投标报价为评标基准价，其价格分为满分25分。其他投标人的价格分统一按照下列公式计算：其他投标报价得分=（评标基准价/其他投标报价）×25（小数点保留两位）</w:t>
            </w:r>
            <w:r>
              <w:rPr>
                <w:rFonts w:hint="eastAsia" w:ascii="方正仿宋_GB2312" w:hAnsi="方正仿宋_GB2312" w:eastAsia="方正仿宋_GB2312" w:cs="方正仿宋_GB2312"/>
                <w:color w:val="000000"/>
                <w:sz w:val="28"/>
                <w:szCs w:val="28"/>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25</w:t>
            </w:r>
            <w:r>
              <w:rPr>
                <w:rFonts w:hint="eastAsia" w:ascii="方正仿宋_GB2312" w:hAnsi="方正仿宋_GB2312" w:eastAsia="方正仿宋_GB2312" w:cs="方正仿宋_GB2312"/>
                <w:color w:val="000000"/>
                <w:sz w:val="28"/>
                <w:szCs w:val="28"/>
              </w:rPr>
            </w:r>
            <w:r/>
          </w:p>
        </w:tc>
      </w:tr>
      <w:tr>
        <w:trPr>
          <w:trHeight w:val="475"/>
        </w:trPr>
        <w:tc>
          <w:tcPr>
            <w:gridSpan w:val="4"/>
            <w:tcW w:w="9413" w:type="dxa"/>
            <w:vAlign w:val="center"/>
            <w:textDirection w:val="lrTb"/>
            <w:noWrap w:val="false"/>
          </w:tcPr>
          <w:p>
            <w:pPr>
              <w:pStyle w:val="960"/>
              <w:jc w:val="left"/>
              <w:keepLines w:val="0"/>
              <w:keepNext w:val="0"/>
              <w:pageBreakBefore w:val="0"/>
              <w:spacing w:line="340" w:lineRule="exact"/>
              <w:widowControl/>
              <w:rPr>
                <w:rFonts w:hint="eastAsia" w:ascii="方正仿宋_GB2312" w:hAnsi="方正仿宋_GB2312" w:eastAsia="方正仿宋_GB2312" w:cs="方正仿宋_GB2312"/>
                <w:color w:val="000000"/>
                <w:sz w:val="28"/>
                <w:szCs w:val="28"/>
              </w:rPr>
            </w:pPr>
            <w:r/>
            <w:bookmarkStart w:id="165" w:name="OLE_LINK17"/>
            <w:r>
              <w:rPr>
                <w:rFonts w:hint="eastAsia" w:ascii="方正仿宋_GB2312" w:hAnsi="方正仿宋_GB2312" w:eastAsia="方正仿宋_GB2312" w:cs="方正仿宋_GB2312"/>
                <w:b/>
                <w:bCs/>
                <w:color w:val="000000"/>
                <w:sz w:val="28"/>
                <w:szCs w:val="28"/>
              </w:rPr>
              <w:t xml:space="preserve">二、技术部分（</w:t>
            </w:r>
            <w:r>
              <w:rPr>
                <w:rFonts w:hint="eastAsia" w:ascii="方正仿宋_GB2312" w:hAnsi="方正仿宋_GB2312" w:eastAsia="方正仿宋_GB2312" w:cs="方正仿宋_GB2312"/>
                <w:b/>
                <w:bCs/>
                <w:color w:val="000000"/>
                <w:sz w:val="28"/>
                <w:szCs w:val="28"/>
                <w:lang w:val="en-US" w:eastAsia="zh-CN"/>
              </w:rPr>
              <w:t xml:space="preserve">4</w:t>
            </w:r>
            <w:r>
              <w:rPr>
                <w:rFonts w:hint="eastAsia" w:ascii="方正仿宋_GB2312" w:hAnsi="方正仿宋_GB2312" w:eastAsia="方正仿宋_GB2312" w:cs="方正仿宋_GB2312"/>
                <w:b/>
                <w:bCs/>
                <w:color w:val="000000"/>
                <w:sz w:val="28"/>
                <w:szCs w:val="28"/>
                <w:lang w:val="en-US" w:eastAsia="zh-CN"/>
              </w:rPr>
              <w:t xml:space="preserve">1</w:t>
            </w:r>
            <w:r>
              <w:rPr>
                <w:rFonts w:hint="eastAsia" w:ascii="方正仿宋_GB2312" w:hAnsi="方正仿宋_GB2312" w:eastAsia="方正仿宋_GB2312" w:cs="方正仿宋_GB2312"/>
                <w:b/>
                <w:bCs/>
                <w:color w:val="000000"/>
                <w:sz w:val="28"/>
                <w:szCs w:val="28"/>
              </w:rPr>
              <w:t xml:space="preserve">分）</w:t>
            </w:r>
            <w:bookmarkEnd w:id="165"/>
            <w:r>
              <w:rPr>
                <w:rFonts w:hint="eastAsia" w:ascii="方正仿宋_GB2312" w:hAnsi="方正仿宋_GB2312" w:eastAsia="方正仿宋_GB2312" w:cs="方正仿宋_GB2312"/>
                <w:color w:val="000000"/>
                <w:sz w:val="28"/>
                <w:szCs w:val="28"/>
              </w:rPr>
            </w:r>
            <w:r/>
          </w:p>
        </w:tc>
      </w:tr>
      <w:tr>
        <w:trPr>
          <w:trHeight w:val="1604"/>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2.1</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整体组织管理实施方案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整体组织管理实施方案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投标文件对“服务方案”中的服务理念、管理模式、管理架构和特点、难点、关键控制点分析的响应内容全部优于招标文件要求的，本项得5分。</w:t>
            </w:r>
            <w:r>
              <w:rPr>
                <w:rFonts w:hint="eastAsia"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方案”中全部条款要求的，视为符合招标文件，本项得3分。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5</w:t>
            </w:r>
            <w:r>
              <w:rPr>
                <w:rFonts w:hint="eastAsia" w:ascii="方正仿宋_GB2312" w:hAnsi="方正仿宋_GB2312" w:eastAsia="方正仿宋_GB2312" w:cs="方正仿宋_GB2312"/>
                <w:color w:val="000000"/>
                <w:sz w:val="28"/>
                <w:szCs w:val="28"/>
              </w:rPr>
            </w:r>
            <w:r/>
          </w:p>
        </w:tc>
      </w:tr>
      <w:tr>
        <w:trPr>
          <w:trHeight w:val="699"/>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2.2</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楼宇管理服务方案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楼宇管理服务方案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投标文件对“服务方案”中的各楼宇综合管理服务使用安全、秩序规范、环境整洁的响应内容全部优于招标文件要求的，本项得4分。</w:t>
            </w:r>
            <w:r>
              <w:rPr>
                <w:rFonts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w:t>
            </w:r>
            <w:r>
              <w:rPr>
                <w:rFonts w:hint="eastAsia" w:ascii="方正仿宋_GB2312" w:hAnsi="方正仿宋_GB2312" w:eastAsia="方正仿宋_GB2312" w:cs="方正仿宋_GB2312"/>
                <w:color w:val="000000"/>
                <w:sz w:val="28"/>
                <w:szCs w:val="28"/>
              </w:rPr>
            </w:r>
            <w:r/>
          </w:p>
        </w:tc>
      </w:tr>
      <w:tr>
        <w:trPr>
          <w:trHeight w:val="328"/>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2.3</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学生公寓管理服务方案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学生公寓管理服务方案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投标文件对“服务方案”中的住宿秩序管理、安全管控、卫生管理、设施设备管理、人员管理、应急管理的响应内容全部优于招标文件要求的，本项得4分。</w:t>
            </w:r>
            <w:r>
              <w:rPr>
                <w:rFonts w:hint="eastAsia"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color w:val="000000"/>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w:t>
            </w:r>
            <w:r>
              <w:rPr>
                <w:rFonts w:hint="eastAsia" w:ascii="方正仿宋_GB2312" w:hAnsi="方正仿宋_GB2312" w:eastAsia="方正仿宋_GB2312" w:cs="方正仿宋_GB2312"/>
                <w:color w:val="000000"/>
                <w:sz w:val="28"/>
                <w:szCs w:val="28"/>
              </w:rPr>
            </w:r>
            <w:r/>
          </w:p>
        </w:tc>
      </w:tr>
      <w:tr>
        <w:trPr>
          <w:trHeight w:val="1604"/>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2.4</w:t>
            </w:r>
            <w:r>
              <w:rPr>
                <w:rFonts w:hint="eastAsia" w:ascii="方正仿宋_GB2312" w:hAnsi="方正仿宋_GB2312" w:eastAsia="方正仿宋_GB2312" w:cs="方正仿宋_GB2312"/>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公共设施管理及维修服务方案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公共设施管理及维修服务方案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投标文件对“服务方案”中的覆盖设施台账建立、日常巡检维护、故障分级响应、维修服务和重大事项报告的响应内容全部优于招标文件要求的，本项得4分。</w:t>
            </w:r>
            <w:r>
              <w:rPr>
                <w:rFonts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w:t>
            </w:r>
            <w:r>
              <w:rPr>
                <w:rFonts w:hint="eastAsia" w:ascii="方正仿宋_GB2312" w:hAnsi="方正仿宋_GB2312" w:eastAsia="方正仿宋_GB2312" w:cs="方正仿宋_GB2312"/>
                <w:color w:val="000000"/>
                <w:sz w:val="28"/>
                <w:szCs w:val="28"/>
              </w:rPr>
            </w:r>
            <w:r/>
          </w:p>
        </w:tc>
      </w:tr>
      <w:tr>
        <w:trPr>
          <w:trHeight w:val="1174"/>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2.5</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高压配电房管理方案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高压配电房管理方案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投标文件对“服务方案”中的专人值班、设备巡视、运行记录、安全操作的响应内容全部优于招标文件要求的，本项得3分。</w:t>
            </w:r>
            <w:r>
              <w:rPr>
                <w:rFonts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w:t>
            </w:r>
            <w:r>
              <w:rPr>
                <w:rFonts w:hint="eastAsia" w:ascii="方正仿宋_GB2312" w:hAnsi="方正仿宋_GB2312" w:eastAsia="方正仿宋_GB2312" w:cs="方正仿宋_GB2312"/>
                <w:color w:val="000000"/>
                <w:sz w:val="28"/>
                <w:szCs w:val="28"/>
              </w:rPr>
            </w:r>
            <w:r/>
          </w:p>
        </w:tc>
      </w:tr>
      <w:tr>
        <w:trPr>
          <w:trHeight w:val="557"/>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2.6</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环境卫生管理服务方案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环境卫生管理服务方案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投标文件对“服务方案”中的清洁频次、作业流程、质量标准及消杀防疫的响应内容全部优于招标文件要求的，本项得4分。</w:t>
            </w:r>
            <w:r>
              <w:rPr>
                <w:rFonts w:hint="eastAsia"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w:t>
            </w:r>
            <w:r>
              <w:rPr>
                <w:rFonts w:hint="eastAsia" w:ascii="方正仿宋_GB2312" w:hAnsi="方正仿宋_GB2312" w:eastAsia="方正仿宋_GB2312" w:cs="方正仿宋_GB2312"/>
                <w:color w:val="000000"/>
                <w:sz w:val="28"/>
                <w:szCs w:val="28"/>
              </w:rPr>
            </w:r>
            <w:r/>
          </w:p>
        </w:tc>
      </w:tr>
      <w:tr>
        <w:trPr>
          <w:trHeight w:val="196"/>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2.7</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突发事件处理方案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突发事件处理方案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投标文件对“服务方案”中的应急组织架构、响应流程、处置措施、物资储备及外部联动机制的响应内容全部优于招标文件要求的，本项得5分。</w:t>
            </w:r>
            <w:r>
              <w:rPr>
                <w:rFonts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方案”中全部条款要求的，视为符合招标文件，本项得3分。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rPr>
            </w:r>
            <w:r/>
          </w:p>
        </w:tc>
      </w:tr>
      <w:tr>
        <w:trPr>
          <w:trHeight w:val="699"/>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2.8</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highlight w:val="yellow"/>
              </w:rPr>
            </w:pPr>
            <w:r>
              <w:rPr>
                <w:rFonts w:hint="eastAsia" w:ascii="方正仿宋_GB2312" w:hAnsi="方正仿宋_GB2312" w:eastAsia="方正仿宋_GB2312" w:cs="方正仿宋_GB2312"/>
                <w:color w:val="000000"/>
                <w:sz w:val="28"/>
                <w:szCs w:val="28"/>
              </w:rPr>
              <w:t xml:space="preserve">物业档案管理方案</w:t>
            </w:r>
            <w:r>
              <w:rPr>
                <w:rFonts w:hint="eastAsia" w:ascii="方正仿宋_GB2312" w:hAnsi="方正仿宋_GB2312" w:eastAsia="方正仿宋_GB2312" w:cs="方正仿宋_GB2312"/>
                <w:color w:val="000000"/>
                <w:sz w:val="28"/>
                <w:szCs w:val="28"/>
                <w:highlight w:val="yellow"/>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物业档案管理方案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投标文件对“服务方案”中的资料收集范围、归档标准、保管期限和查阅权限的响应内容全部优于招标文件要求的，本项得3分。</w:t>
            </w:r>
            <w:r>
              <w:rPr>
                <w:rFonts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rPr>
            </w:r>
            <w:r/>
          </w:p>
        </w:tc>
      </w:tr>
      <w:tr>
        <w:trPr>
          <w:trHeight w:val="558"/>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2.9</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人员管理方案</w:t>
            </w:r>
            <w:r>
              <w:rPr>
                <w:rFonts w:hint="eastAsia" w:ascii="方正仿宋_GB2312" w:hAnsi="方正仿宋_GB2312" w:eastAsia="方正仿宋_GB2312" w:cs="方正仿宋_GB2312"/>
                <w:color w:val="000000"/>
                <w:sz w:val="28"/>
                <w:szCs w:val="28"/>
              </w:rPr>
            </w:r>
            <w:r/>
          </w:p>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人员管理方案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投标文件对“服务方案”中的考核管理制度、考核指标体系和考核结果运用的响应内容全部优于招标文件要求的，本项得4分。</w:t>
            </w:r>
            <w:r>
              <w:rPr>
                <w:rFonts w:hint="eastAsia" w:ascii="方正仿宋_GB2312" w:hAnsi="方正仿宋_GB2312" w:eastAsia="方正仿宋_GB2312" w:cs="方正仿宋_GB2312"/>
                <w:sz w:val="28"/>
                <w:szCs w:val="28"/>
                <w:highlight w:val="none"/>
                <w:lang w:val="en-US" w:eastAsia="zh-CN"/>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方案”中全部条款要求的，视为符合招标文件，本项得2分。</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sz w:val="28"/>
                <w:szCs w:val="28"/>
                <w:lang w:eastAsia="zh-CN"/>
              </w:rPr>
            </w:r>
            <w:r/>
          </w:p>
        </w:tc>
      </w:tr>
      <w:tr>
        <w:trPr>
          <w:trHeight w:val="1176"/>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2.10</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交接进驻方案</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评委根据投标文件对第四章“采购需求</w:t>
            </w:r>
            <w:r>
              <w:rPr>
                <w:rFonts w:hint="eastAsia" w:ascii="方正仿宋_GB2312" w:hAnsi="方正仿宋_GB2312" w:eastAsia="方正仿宋_GB2312" w:cs="方正仿宋_GB2312"/>
                <w:color w:val="000000"/>
                <w:sz w:val="28"/>
                <w:szCs w:val="28"/>
                <w:highlight w:val="none"/>
              </w:rPr>
              <w:t xml:space="preserve">”中“服务</w:t>
            </w:r>
            <w:r>
              <w:rPr>
                <w:rFonts w:hint="eastAsia" w:ascii="方正仿宋_GB2312" w:hAnsi="方正仿宋_GB2312" w:eastAsia="方正仿宋_GB2312" w:cs="方正仿宋_GB2312"/>
                <w:sz w:val="28"/>
                <w:szCs w:val="28"/>
                <w:highlight w:val="none"/>
              </w:rPr>
              <w:t xml:space="preserve">方案”的</w:t>
            </w:r>
            <w:r>
              <w:rPr>
                <w:rFonts w:hint="eastAsia" w:ascii="方正仿宋_GB2312" w:hAnsi="方正仿宋_GB2312" w:eastAsia="方正仿宋_GB2312" w:cs="方正仿宋_GB2312"/>
                <w:color w:val="000000"/>
                <w:sz w:val="28"/>
                <w:szCs w:val="28"/>
                <w:highlight w:val="none"/>
              </w:rPr>
              <w:t xml:space="preserve">交接进驻方案</w:t>
            </w:r>
            <w:r>
              <w:rPr>
                <w:rFonts w:hint="eastAsia" w:ascii="方正仿宋_GB2312" w:hAnsi="方正仿宋_GB2312" w:eastAsia="方正仿宋_GB2312" w:cs="方正仿宋_GB2312"/>
                <w:sz w:val="28"/>
                <w:szCs w:val="28"/>
                <w:highlight w:val="none"/>
              </w:rPr>
              <w:t xml:space="preserve">响应情况进行评审。</w:t>
            </w:r>
            <w:r>
              <w:rPr>
                <w:rFonts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投标文件对“服务方案”中的交接程序、内容标准、时间节点及责任主体的响应内容全部优于招标文件要求的，本项得5分。</w:t>
            </w:r>
            <w:r>
              <w:rPr>
                <w:rFonts w:hint="eastAsia"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ascii="方正仿宋_GB2312" w:hAnsi="方正仿宋_GB2312" w:eastAsia="方正仿宋_GB2312" w:cs="方正仿宋_GB2312"/>
                <w:sz w:val="28"/>
                <w:szCs w:val="28"/>
                <w:highlight w:val="none"/>
              </w:rPr>
              <w:t xml:space="preserve">投标文件符合“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方案”中全部条款要求的，视为符合招标文件，本项得3分。</w:t>
            </w:r>
            <w:r>
              <w:rPr>
                <w:rFonts w:ascii="方正仿宋_GB2312" w:hAnsi="方正仿宋_GB2312" w:eastAsia="方正仿宋_GB2312" w:cs="方正仿宋_GB2312"/>
                <w:sz w:val="28"/>
                <w:szCs w:val="28"/>
                <w:highlight w:val="none"/>
              </w:rPr>
            </w:r>
            <w:r/>
          </w:p>
          <w:p>
            <w:pPr>
              <w:pStyle w:val="960"/>
              <w:ind w:firstLine="560"/>
              <w:jc w:val="left"/>
              <w:keepLines w:val="0"/>
              <w:keepNext w:val="0"/>
              <w:pageBreakBefore w:val="0"/>
              <w:spacing w:line="340" w:lineRule="exact"/>
              <w:widowControl/>
              <w:rPr>
                <w:rFonts w:hint="eastAsia"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sz w:val="28"/>
                <w:szCs w:val="28"/>
                <w:highlight w:val="none"/>
              </w:rPr>
              <w:t xml:space="preserve">（3）投标文件未符合“</w:t>
            </w:r>
            <w:r>
              <w:rPr>
                <w:rFonts w:hint="eastAsia" w:ascii="方正仿宋_GB2312" w:hAnsi="方正仿宋_GB2312" w:eastAsia="方正仿宋_GB2312" w:cs="方正仿宋_GB2312"/>
                <w:sz w:val="28"/>
                <w:szCs w:val="28"/>
                <w:highlight w:val="none"/>
              </w:rPr>
              <w:t xml:space="preserve">服务</w:t>
            </w:r>
            <w:r>
              <w:rPr>
                <w:rFonts w:ascii="方正仿宋_GB2312" w:hAnsi="方正仿宋_GB2312" w:eastAsia="方正仿宋_GB2312" w:cs="方正仿宋_GB2312"/>
                <w:sz w:val="28"/>
                <w:szCs w:val="28"/>
                <w:highlight w:val="none"/>
              </w:rPr>
              <w:t xml:space="preserve">方案”中全部条款要求的，视为不符合招标文件，本项得0分。</w:t>
            </w:r>
            <w:r>
              <w:rPr>
                <w:rFonts w:hint="eastAsia" w:ascii="方正仿宋_GB2312" w:hAnsi="方正仿宋_GB2312" w:eastAsia="方正仿宋_GB2312" w:cs="方正仿宋_GB2312"/>
                <w:color w:val="000000"/>
                <w:sz w:val="28"/>
                <w:szCs w:val="28"/>
                <w:highlight w:val="none"/>
              </w:rPr>
            </w:r>
            <w:r/>
          </w:p>
        </w:tc>
        <w:tc>
          <w:tcPr>
            <w:tcW w:w="666"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highlight w:val="yellow"/>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color w:val="000000"/>
                <w:sz w:val="28"/>
                <w:szCs w:val="28"/>
                <w:highlight w:val="yellow"/>
              </w:rPr>
            </w:r>
            <w:r/>
          </w:p>
        </w:tc>
      </w:tr>
      <w:tr>
        <w:trPr>
          <w:trHeight w:val="554"/>
        </w:trPr>
        <w:tc>
          <w:tcPr>
            <w:gridSpan w:val="4"/>
            <w:tcW w:w="9413" w:type="dxa"/>
            <w:vAlign w:val="center"/>
            <w:textDirection w:val="lrTb"/>
            <w:noWrap w:val="false"/>
          </w:tcPr>
          <w:p>
            <w:pPr>
              <w:pStyle w:val="96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color w:val="000000"/>
                <w:sz w:val="28"/>
                <w:szCs w:val="28"/>
              </w:rPr>
              <w:t xml:space="preserve">三、商务部分（34分）</w:t>
            </w:r>
            <w:r>
              <w:rPr>
                <w:rFonts w:hint="eastAsia" w:ascii="方正仿宋_GB2312" w:hAnsi="方正仿宋_GB2312" w:eastAsia="方正仿宋_GB2312" w:cs="方正仿宋_GB2312"/>
                <w:sz w:val="28"/>
                <w:szCs w:val="28"/>
              </w:rPr>
            </w:r>
            <w:r/>
          </w:p>
        </w:tc>
      </w:tr>
      <w:tr>
        <w:trPr>
          <w:trHeight w:val="359"/>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3.1</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1074"/>
              <w:ind w:left="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管理体系</w:t>
            </w:r>
            <w:r>
              <w:rPr>
                <w:rFonts w:hint="eastAsia" w:ascii="方正仿宋_GB2312" w:hAnsi="方正仿宋_GB2312" w:eastAsia="方正仿宋_GB2312" w:cs="方正仿宋_GB2312"/>
                <w:color w:val="000000"/>
                <w:sz w:val="28"/>
                <w:szCs w:val="28"/>
              </w:rPr>
            </w:r>
            <w:r/>
          </w:p>
          <w:p>
            <w:pPr>
              <w:pStyle w:val="1074"/>
              <w:ind w:left="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认证</w:t>
            </w:r>
            <w:r>
              <w:rPr>
                <w:rFonts w:hint="eastAsia" w:ascii="方正仿宋_GB2312" w:hAnsi="方正仿宋_GB2312" w:eastAsia="方正仿宋_GB2312" w:cs="方正仿宋_GB2312"/>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投标人具有ISO9001质量管理体系认证、ISO14001环境管理体系认证、ISO45001职业健康安全管理体系认证，上述证书每提供一个得1分，本项满分3分。</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tabs>
                <w:tab w:val="left" w:pos="855" w:leader="none"/>
                <w:tab w:val="left" w:pos="970" w:leader="none"/>
              </w:tabs>
              <w:rPr>
                <w:rFonts w:hint="eastAsia" w:ascii="方正仿宋_GB2312" w:hAnsi="方正仿宋_GB2312" w:eastAsia="方正仿宋_GB2312" w:cs="方正仿宋_GB2312"/>
                <w:sz w:val="28"/>
                <w:szCs w:val="28"/>
                <w:lang w:val="en-GB"/>
              </w:rPr>
            </w:pPr>
            <w:r>
              <w:rPr>
                <w:rFonts w:hint="eastAsia" w:ascii="方正仿宋_GB2312" w:hAnsi="方正仿宋_GB2312" w:eastAsia="方正仿宋_GB2312" w:cs="方正仿宋_GB2312"/>
                <w:sz w:val="28"/>
                <w:szCs w:val="28"/>
              </w:rPr>
              <w:t xml:space="preserve">注：须提供有效的相关证书扫描件和官网截图（加盖投标人公章）,否则不得分。</w:t>
            </w:r>
            <w:r>
              <w:rPr>
                <w:rFonts w:hint="eastAsia" w:ascii="方正仿宋_GB2312" w:hAnsi="方正仿宋_GB2312" w:eastAsia="方正仿宋_GB2312" w:cs="方正仿宋_GB2312"/>
                <w:sz w:val="28"/>
                <w:szCs w:val="28"/>
                <w:lang w:val="en-GB"/>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rPr>
            </w:r>
            <w:r/>
          </w:p>
        </w:tc>
      </w:tr>
      <w:tr>
        <w:trPr>
          <w:trHeight w:val="416"/>
        </w:trPr>
        <w:tc>
          <w:tcPr>
            <w:tcW w:w="710" w:type="dxa"/>
            <w:vAlign w:val="center"/>
            <w:vMerge w:val="restart"/>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3.2</w:t>
            </w:r>
            <w:r>
              <w:rPr>
                <w:rFonts w:hint="eastAsia" w:ascii="方正仿宋_GB2312" w:hAnsi="方正仿宋_GB2312" w:eastAsia="方正仿宋_GB2312" w:cs="方正仿宋_GB2312"/>
                <w:color w:val="000000"/>
                <w:sz w:val="28"/>
                <w:szCs w:val="28"/>
              </w:rPr>
            </w:r>
            <w:r/>
          </w:p>
        </w:tc>
        <w:tc>
          <w:tcPr>
            <w:tcW w:w="1517" w:type="dxa"/>
            <w:vAlign w:val="center"/>
            <w:vMerge w:val="restart"/>
            <w:textDirection w:val="lrTb"/>
            <w:noWrap w:val="false"/>
          </w:tcPr>
          <w:p>
            <w:pPr>
              <w:pStyle w:val="1074"/>
              <w:ind w:left="0"/>
              <w:jc w:val="center"/>
              <w:spacing w:line="36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业绩与评价</w:t>
            </w:r>
            <w:r>
              <w:rPr>
                <w:rFonts w:ascii="方正仿宋_GB2312" w:hAnsi="方正仿宋_GB2312" w:eastAsia="方正仿宋_GB2312" w:cs="方正仿宋_GB2312"/>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3.2.1业绩（8分）</w:t>
            </w:r>
            <w:r>
              <w:rPr>
                <w:rFonts w:hint="eastAsia" w:ascii="方正仿宋_GB2312" w:hAnsi="方正仿宋_GB2312" w:eastAsia="方正仿宋_GB2312" w:cs="方正仿宋_GB2312"/>
                <w:b/>
                <w:bCs/>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提供 2023年1月1日以来（以合同签订时间为准）承担过与本项目类似的物业管理服务案例，服务内容包含楼宇管理、宿舍（公寓）管理、环境卫生管理和水电维修。案例完全包含上述四项服务内容的，每有1个得2分；案例包含上述服务内容中一项、两项或三项的，每有1个得1分。所提供合同总数不得超过4份，本小项满分8分。</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注：同一案例不重复得分。同一单位分年度多次签订的案例仅计为一个案例；同一项目分两期或以上完成的仅计为一个案例。提供合同扫描件</w:t>
            </w:r>
            <w:r>
              <w:rPr>
                <w:rFonts w:hint="eastAsia" w:ascii="方正仿宋_GB2312" w:hAnsi="方正仿宋_GB2312" w:eastAsia="方正仿宋_GB2312" w:cs="方正仿宋_GB2312"/>
                <w:sz w:val="28"/>
                <w:szCs w:val="28"/>
                <w:lang w:val="en-US" w:eastAsia="zh-CN"/>
              </w:rPr>
              <w:t xml:space="preserve">或复印件</w:t>
            </w:r>
            <w:r>
              <w:rPr>
                <w:rFonts w:hint="eastAsia" w:ascii="方正仿宋_GB2312" w:hAnsi="方正仿宋_GB2312" w:eastAsia="方正仿宋_GB2312" w:cs="方正仿宋_GB2312"/>
                <w:sz w:val="28"/>
                <w:szCs w:val="28"/>
              </w:rPr>
              <w:t xml:space="preserve">（加盖投标人公章）。</w:t>
            </w:r>
            <w:r>
              <w:rPr>
                <w:rFonts w:hint="eastAsia" w:ascii="方正仿宋_GB2312" w:hAnsi="方正仿宋_GB2312" w:eastAsia="方正仿宋_GB2312" w:cs="方正仿宋_GB2312"/>
                <w:sz w:val="28"/>
                <w:szCs w:val="28"/>
              </w:rPr>
            </w:r>
            <w:r/>
          </w:p>
        </w:tc>
        <w:tc>
          <w:tcPr>
            <w:tcW w:w="666" w:type="dxa"/>
            <w:vAlign w:val="center"/>
            <w:vMerge w:val="restart"/>
            <w:textDirection w:val="lrTb"/>
            <w:noWrap w:val="false"/>
          </w:tcPr>
          <w:p>
            <w:pPr>
              <w:pStyle w:val="960"/>
              <w:jc w:val="center"/>
              <w:spacing w:line="360" w:lineRule="exact"/>
              <w:tabs>
                <w:tab w:val="left" w:pos="855" w:leader="none"/>
                <w:tab w:val="left" w:pos="97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w:t>
            </w:r>
            <w:r>
              <w:rPr>
                <w:rFonts w:hint="eastAsia" w:ascii="方正仿宋_GB2312" w:hAnsi="方正仿宋_GB2312" w:eastAsia="方正仿宋_GB2312" w:cs="方正仿宋_GB2312"/>
                <w:sz w:val="28"/>
                <w:szCs w:val="28"/>
              </w:rPr>
            </w:r>
            <w:r/>
          </w:p>
        </w:tc>
      </w:tr>
      <w:tr>
        <w:trPr>
          <w:trHeight w:val="1467"/>
        </w:trPr>
        <w:tc>
          <w:tcPr>
            <w:tcW w:w="710" w:type="dxa"/>
            <w:vAlign w:val="center"/>
            <w:vMerge w:val="continue"/>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tc>
        <w:tc>
          <w:tcPr>
            <w:tcW w:w="1517" w:type="dxa"/>
            <w:vAlign w:val="center"/>
            <w:vMerge w:val="continue"/>
            <w:textDirection w:val="lrTb"/>
            <w:noWrap w:val="false"/>
          </w:tcPr>
          <w:p>
            <w:pPr>
              <w:pStyle w:val="1074"/>
              <w:ind w:left="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tc>
        <w:tc>
          <w:tcPr>
            <w:tcW w:w="6520" w:type="dxa"/>
            <w:vAlign w:val="top"/>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3.2.2评价（2分）</w:t>
            </w:r>
            <w:r>
              <w:rPr>
                <w:rFonts w:hint="eastAsia" w:ascii="方正仿宋_GB2312" w:hAnsi="方正仿宋_GB2312" w:eastAsia="方正仿宋_GB2312" w:cs="方正仿宋_GB2312"/>
                <w:b/>
                <w:bCs/>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满足上述3.2.1要求的案例业绩中，业主单位评价为优或优秀或满意的，每有一个得0.5分，本小项满分2分。</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注：提供业主或业主单位管理部门盖章的评价为优或优秀或满意的证明材料，同一服务单位的业绩不重复计分。</w:t>
            </w:r>
            <w:r>
              <w:rPr>
                <w:rFonts w:hint="eastAsia" w:ascii="方正仿宋_GB2312" w:hAnsi="方正仿宋_GB2312" w:eastAsia="方正仿宋_GB2312" w:cs="方正仿宋_GB2312"/>
                <w:sz w:val="28"/>
                <w:szCs w:val="28"/>
              </w:rPr>
            </w:r>
            <w:r/>
          </w:p>
        </w:tc>
        <w:tc>
          <w:tcPr>
            <w:tcW w:w="666" w:type="dxa"/>
            <w:vAlign w:val="center"/>
            <w:vMerge w:val="continue"/>
            <w:textDirection w:val="lrTb"/>
            <w:noWrap w:val="false"/>
          </w:tcPr>
          <w:p>
            <w:pPr>
              <w:pStyle w:val="960"/>
              <w:ind w:firstLine="210"/>
              <w:spacing w:line="360" w:lineRule="exact"/>
              <w:tabs>
                <w:tab w:val="left" w:pos="855" w:leader="none"/>
                <w:tab w:val="left" w:pos="97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344"/>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3.3</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1074"/>
              <w:ind w:left="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项目经理及主管</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3.3.1项目经理（4分）</w:t>
            </w:r>
            <w:r>
              <w:rPr>
                <w:rFonts w:hint="eastAsia" w:ascii="方正仿宋_GB2312" w:hAnsi="方正仿宋_GB2312" w:eastAsia="方正仿宋_GB2312" w:cs="方正仿宋_GB2312"/>
                <w:b/>
                <w:bCs/>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（1）具有人社部门颁发的管理类相关专业中级职称证书的，得1分；高级职称证书的，得2分，未提供或未按要求提供的不得分。</w:t>
            </w:r>
            <w:r>
              <w:rPr>
                <w:rFonts w:hint="eastAsia" w:ascii="方正仿宋_GB2312" w:hAnsi="方正仿宋_GB2312" w:eastAsia="方正仿宋_GB2312" w:cs="方正仿宋_GB2312"/>
                <w:sz w:val="28"/>
                <w:szCs w:val="28"/>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（2）具有大专学历的，得1分；具有本科及以上学历，得2分，未提供或未按要求提供的不得分。</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3.3.2 教学区主管（2分）</w:t>
            </w:r>
            <w:r>
              <w:rPr>
                <w:rFonts w:hint="eastAsia" w:ascii="方正仿宋_GB2312" w:hAnsi="方正仿宋_GB2312" w:eastAsia="方正仿宋_GB2312" w:cs="方正仿宋_GB2312"/>
                <w:b/>
                <w:bCs/>
                <w:sz w:val="28"/>
                <w:szCs w:val="28"/>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具有大专学历的，每有一名得</w:t>
            </w:r>
            <w:r>
              <w:rPr>
                <w:rFonts w:ascii="方正仿宋_GB2312" w:hAnsi="方正仿宋_GB2312" w:eastAsia="方正仿宋_GB2312" w:cs="方正仿宋_GB2312"/>
                <w:sz w:val="28"/>
                <w:szCs w:val="28"/>
                <w:highlight w:val="none"/>
              </w:rPr>
              <w:t xml:space="preserve">0.5</w:t>
            </w:r>
            <w:r>
              <w:rPr>
                <w:rFonts w:hint="eastAsia" w:ascii="方正仿宋_GB2312" w:hAnsi="方正仿宋_GB2312" w:eastAsia="方正仿宋_GB2312" w:cs="方正仿宋_GB2312"/>
                <w:sz w:val="28"/>
                <w:szCs w:val="28"/>
                <w:highlight w:val="none"/>
              </w:rPr>
              <w:t xml:space="preserve">分；具有本科及以上学历的，每有一名得</w:t>
            </w:r>
            <w:r>
              <w:rPr>
                <w:rFonts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rPr>
              <w:t xml:space="preserve">分，</w:t>
            </w:r>
            <w:r>
              <w:rPr>
                <w:rFonts w:hint="eastAsia" w:ascii="方正仿宋_GB2312" w:hAnsi="方正仿宋_GB2312" w:eastAsia="方正仿宋_GB2312" w:cs="方正仿宋_GB2312"/>
                <w:sz w:val="28"/>
                <w:szCs w:val="28"/>
                <w:highlight w:val="none"/>
                <w:lang w:eastAsia="zh-CN"/>
              </w:rPr>
              <w:t xml:space="preserve">该项满分</w:t>
            </w:r>
            <w:r>
              <w:rPr>
                <w:rFonts w:hint="eastAsia" w:ascii="方正仿宋_GB2312" w:hAnsi="方正仿宋_GB2312" w:eastAsia="方正仿宋_GB2312" w:cs="方正仿宋_GB2312"/>
                <w:sz w:val="28"/>
                <w:szCs w:val="28"/>
                <w:highlight w:val="none"/>
                <w:lang w:val="en-US" w:eastAsia="zh-CN"/>
              </w:rPr>
              <w:t xml:space="preserve">2分，</w:t>
            </w:r>
            <w:r>
              <w:rPr>
                <w:rFonts w:hint="eastAsia" w:ascii="方正仿宋_GB2312" w:hAnsi="方正仿宋_GB2312" w:eastAsia="方正仿宋_GB2312" w:cs="方正仿宋_GB2312"/>
                <w:sz w:val="28"/>
                <w:szCs w:val="28"/>
                <w:highlight w:val="none"/>
              </w:rPr>
              <w:t xml:space="preserve">未提供或未按要求提供的不得分。</w:t>
            </w:r>
            <w:r>
              <w:rPr>
                <w:rFonts w:hint="eastAsia"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3.3.3生活区主管（</w:t>
            </w:r>
            <w:r>
              <w:rPr>
                <w:rFonts w:ascii="方正仿宋_GB2312" w:hAnsi="方正仿宋_GB2312" w:eastAsia="方正仿宋_GB2312" w:cs="方正仿宋_GB2312"/>
                <w:b/>
                <w:bCs/>
                <w:sz w:val="28"/>
                <w:szCs w:val="28"/>
                <w:highlight w:val="none"/>
              </w:rPr>
              <w:t xml:space="preserve">3</w:t>
            </w:r>
            <w:r>
              <w:rPr>
                <w:rFonts w:hint="eastAsia" w:ascii="方正仿宋_GB2312" w:hAnsi="方正仿宋_GB2312" w:eastAsia="方正仿宋_GB2312" w:cs="方正仿宋_GB2312"/>
                <w:b/>
                <w:bCs/>
                <w:sz w:val="28"/>
                <w:szCs w:val="28"/>
                <w:highlight w:val="none"/>
              </w:rPr>
              <w:t xml:space="preserve">分）</w:t>
            </w:r>
            <w:r>
              <w:rPr>
                <w:rFonts w:hint="eastAsia" w:ascii="方正仿宋_GB2312" w:hAnsi="方正仿宋_GB2312" w:eastAsia="方正仿宋_GB2312" w:cs="方正仿宋_GB2312"/>
                <w:b/>
                <w:bCs/>
                <w:sz w:val="28"/>
                <w:szCs w:val="28"/>
                <w:highlight w:val="none"/>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具有大专学历的，每有一名得</w:t>
            </w:r>
            <w:r>
              <w:rPr>
                <w:rFonts w:ascii="方正仿宋_GB2312" w:hAnsi="方正仿宋_GB2312" w:eastAsia="方正仿宋_GB2312" w:cs="方正仿宋_GB2312"/>
                <w:sz w:val="28"/>
                <w:szCs w:val="28"/>
                <w:highlight w:val="none"/>
              </w:rPr>
              <w:t xml:space="preserve">0.5</w:t>
            </w:r>
            <w:r>
              <w:rPr>
                <w:rFonts w:hint="eastAsia" w:ascii="方正仿宋_GB2312" w:hAnsi="方正仿宋_GB2312" w:eastAsia="方正仿宋_GB2312" w:cs="方正仿宋_GB2312"/>
                <w:sz w:val="28"/>
                <w:szCs w:val="28"/>
                <w:highlight w:val="none"/>
              </w:rPr>
              <w:t xml:space="preserve">分；具有本科及以上学历的，每有一名得</w:t>
            </w:r>
            <w:r>
              <w:rPr>
                <w:rFonts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rPr>
              <w:t xml:space="preserve">分，</w:t>
            </w:r>
            <w:r>
              <w:rPr>
                <w:rFonts w:hint="eastAsia" w:ascii="方正仿宋_GB2312" w:hAnsi="方正仿宋_GB2312" w:eastAsia="方正仿宋_GB2312" w:cs="方正仿宋_GB2312"/>
                <w:sz w:val="28"/>
                <w:szCs w:val="28"/>
                <w:highlight w:val="none"/>
                <w:lang w:eastAsia="zh-CN"/>
              </w:rPr>
              <w:t xml:space="preserve">该项满分</w:t>
            </w:r>
            <w:r>
              <w:rPr>
                <w:rFonts w:hint="eastAsia" w:ascii="方正仿宋_GB2312" w:hAnsi="方正仿宋_GB2312" w:eastAsia="方正仿宋_GB2312" w:cs="方正仿宋_GB2312"/>
                <w:sz w:val="28"/>
                <w:szCs w:val="28"/>
                <w:highlight w:val="none"/>
                <w:lang w:val="en-US" w:eastAsia="zh-CN"/>
              </w:rPr>
              <w:t xml:space="preserve">3分，</w:t>
            </w:r>
            <w:r>
              <w:rPr>
                <w:rFonts w:hint="eastAsia" w:ascii="方正仿宋_GB2312" w:hAnsi="方正仿宋_GB2312" w:eastAsia="方正仿宋_GB2312" w:cs="方正仿宋_GB2312"/>
                <w:sz w:val="28"/>
                <w:szCs w:val="28"/>
                <w:highlight w:val="none"/>
              </w:rPr>
              <w:t xml:space="preserve">未提供或未按要求提供的不得分。</w:t>
            </w:r>
            <w:r>
              <w:rPr>
                <w:rFonts w:hint="eastAsia"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3.3.4环境卫生主管（2分）</w:t>
            </w:r>
            <w:r>
              <w:rPr>
                <w:rFonts w:hint="eastAsia" w:ascii="方正仿宋_GB2312" w:hAnsi="方正仿宋_GB2312" w:eastAsia="方正仿宋_GB2312" w:cs="方正仿宋_GB2312"/>
                <w:b/>
                <w:bCs/>
                <w:sz w:val="28"/>
                <w:szCs w:val="28"/>
                <w:highlight w:val="none"/>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具有人社部门或人社部门授权机构颁发的中级（四级）及以上保洁员职业技能等级证书或者中级（四级）及以上有害生物防制员证书的，上述证书</w:t>
            </w:r>
            <w:r>
              <w:rPr>
                <w:rFonts w:hint="eastAsia" w:ascii="方正仿宋_GB2312" w:hAnsi="方正仿宋_GB2312" w:eastAsia="方正仿宋_GB2312" w:cs="方正仿宋_GB2312"/>
                <w:sz w:val="28"/>
                <w:szCs w:val="28"/>
                <w:highlight w:val="none"/>
                <w:lang w:val="en-US" w:eastAsia="zh-CN"/>
              </w:rPr>
              <w:t xml:space="preserve">每有一人</w:t>
            </w:r>
            <w:r>
              <w:rPr>
                <w:rFonts w:hint="eastAsia" w:ascii="方正仿宋_GB2312" w:hAnsi="方正仿宋_GB2312" w:eastAsia="方正仿宋_GB2312" w:cs="方正仿宋_GB2312"/>
                <w:sz w:val="28"/>
                <w:szCs w:val="28"/>
                <w:highlight w:val="none"/>
              </w:rPr>
              <w:t xml:space="preserve">提供任意一个得</w:t>
            </w:r>
            <w:r>
              <w:rPr>
                <w:rFonts w:ascii="方正仿宋_GB2312" w:hAnsi="方正仿宋_GB2312" w:eastAsia="方正仿宋_GB2312" w:cs="方正仿宋_GB2312"/>
                <w:sz w:val="28"/>
                <w:szCs w:val="28"/>
                <w:highlight w:val="none"/>
              </w:rPr>
              <w:t xml:space="preserve">0.5</w:t>
            </w:r>
            <w:r>
              <w:rPr>
                <w:rFonts w:hint="eastAsia" w:ascii="方正仿宋_GB2312" w:hAnsi="方正仿宋_GB2312" w:eastAsia="方正仿宋_GB2312" w:cs="方正仿宋_GB2312"/>
                <w:sz w:val="28"/>
                <w:szCs w:val="28"/>
                <w:highlight w:val="none"/>
              </w:rPr>
              <w:t xml:space="preserve">分，满分2分，未提供或未按要求提供的不得分。</w:t>
            </w:r>
            <w:r>
              <w:rPr>
                <w:rFonts w:hint="eastAsia" w:ascii="方正仿宋_GB2312" w:hAnsi="方正仿宋_GB2312" w:eastAsia="方正仿宋_GB2312" w:cs="方正仿宋_GB2312"/>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3.3.</w:t>
            </w:r>
            <w:r>
              <w:rPr>
                <w:rFonts w:hint="eastAsia" w:ascii="方正仿宋_GB2312" w:hAnsi="方正仿宋_GB2312" w:eastAsia="方正仿宋_GB2312" w:cs="方正仿宋_GB2312"/>
                <w:b/>
                <w:bCs/>
                <w:sz w:val="28"/>
                <w:szCs w:val="28"/>
                <w:highlight w:val="none"/>
              </w:rPr>
              <w:t xml:space="preserve">5 维修主管（</w:t>
            </w:r>
            <w:r>
              <w:rPr>
                <w:rFonts w:hint="eastAsia" w:ascii="方正仿宋_GB2312" w:hAnsi="方正仿宋_GB2312" w:eastAsia="方正仿宋_GB2312" w:cs="方正仿宋_GB2312"/>
                <w:b/>
                <w:bCs/>
                <w:sz w:val="28"/>
                <w:szCs w:val="28"/>
                <w:highlight w:val="none"/>
                <w:lang w:val="en-US" w:eastAsia="zh-CN"/>
              </w:rPr>
              <w:t xml:space="preserve">2</w:t>
            </w:r>
            <w:r>
              <w:rPr>
                <w:rFonts w:hint="eastAsia" w:ascii="方正仿宋_GB2312" w:hAnsi="方正仿宋_GB2312" w:eastAsia="方正仿宋_GB2312" w:cs="方正仿宋_GB2312"/>
                <w:b/>
                <w:bCs/>
                <w:sz w:val="28"/>
                <w:szCs w:val="28"/>
                <w:highlight w:val="none"/>
              </w:rPr>
              <w:t xml:space="preserve">分）</w:t>
            </w:r>
            <w:r>
              <w:rPr>
                <w:rFonts w:hint="eastAsia" w:ascii="方正仿宋_GB2312" w:hAnsi="方正仿宋_GB2312" w:eastAsia="方正仿宋_GB2312" w:cs="方正仿宋_GB2312"/>
                <w:b/>
                <w:bCs/>
                <w:sz w:val="28"/>
                <w:szCs w:val="28"/>
                <w:highlight w:val="none"/>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具有人社职业技能鉴定机构核发的维修电工（或电工）三级及以上职业资格证书，或经人社部门备案评价机构核发的维修电工（或电工）三级及以上职业技能等级证书，得</w:t>
            </w: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sz w:val="28"/>
                <w:szCs w:val="28"/>
                <w:highlight w:val="none"/>
              </w:rPr>
              <w:t xml:space="preserve">分，未提供或未按要求提供的不得分。</w:t>
            </w:r>
            <w:r>
              <w:rPr>
                <w:rFonts w:hint="eastAsia" w:ascii="方正仿宋_GB2312" w:hAnsi="方正仿宋_GB2312" w:eastAsia="方正仿宋_GB2312" w:cs="方正仿宋_GB2312"/>
                <w:sz w:val="28"/>
                <w:szCs w:val="28"/>
                <w:highlight w:val="none"/>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注：提供以下证明材料：</w:t>
            </w:r>
            <w:r>
              <w:rPr>
                <w:rFonts w:hint="eastAsia" w:ascii="方正仿宋_GB2312" w:hAnsi="方正仿宋_GB2312" w:eastAsia="方正仿宋_GB2312" w:cs="方正仿宋_GB2312"/>
                <w:sz w:val="28"/>
                <w:szCs w:val="28"/>
                <w:highlight w:val="none"/>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highlight w:val="none"/>
              </w:rPr>
              <w:t xml:space="preserve">①以上人员相应证书原件彩色扫</w:t>
            </w:r>
            <w:r>
              <w:rPr>
                <w:rFonts w:hint="eastAsia" w:ascii="方正仿宋_GB2312" w:hAnsi="方正仿宋_GB2312" w:eastAsia="方正仿宋_GB2312" w:cs="方正仿宋_GB2312"/>
                <w:sz w:val="28"/>
                <w:szCs w:val="28"/>
              </w:rPr>
              <w:t xml:space="preserve">描件并加盖投标人公章（经核查若发现有弄虚作假的情况将取消投标人参与评审资格，并追究其相应责任）；</w:t>
            </w:r>
            <w:r>
              <w:rPr>
                <w:rFonts w:hint="eastAsia" w:ascii="方正仿宋_GB2312" w:hAnsi="方正仿宋_GB2312" w:eastAsia="方正仿宋_GB2312" w:cs="方正仿宋_GB2312"/>
                <w:sz w:val="28"/>
                <w:szCs w:val="28"/>
                <w:lang w:eastAsia="zh-CN"/>
              </w:rPr>
              <w:t xml:space="preserve">提供学历证书复印件或扫描件并加盖投标人公章。</w:t>
            </w:r>
            <w:r>
              <w:rPr>
                <w:rFonts w:hint="eastAsia" w:ascii="方正仿宋_GB2312" w:hAnsi="方正仿宋_GB2312" w:eastAsia="方正仿宋_GB2312" w:cs="方正仿宋_GB2312"/>
                <w:sz w:val="28"/>
                <w:szCs w:val="28"/>
                <w:lang w:eastAsia="zh-CN"/>
              </w:rPr>
            </w:r>
            <w:r/>
          </w:p>
          <w:p>
            <w:pPr>
              <w:pStyle w:val="960"/>
              <w:ind w:firstLine="56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②提供以上人员缴纳的近3个月中任意一个月的社会保险证明，证明材料缺项或未提供的，该项不得分。</w:t>
            </w:r>
            <w:r>
              <w:rPr>
                <w:rFonts w:hint="eastAsia" w:ascii="方正仿宋_GB2312" w:hAnsi="方正仿宋_GB2312" w:eastAsia="方正仿宋_GB2312" w:cs="方正仿宋_GB2312"/>
                <w:sz w:val="28"/>
                <w:szCs w:val="28"/>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lang w:eastAsia="zh-CN"/>
              </w:rPr>
            </w:r>
            <w:r/>
          </w:p>
        </w:tc>
      </w:tr>
      <w:tr>
        <w:trPr>
          <w:trHeight w:val="416"/>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3.4</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1074"/>
              <w:ind w:left="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设施设备</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实际服务工作需要，对投标人拟投入本项目的物资装备情况进行打分，拟投入扫地车（≥1辆）、高压清洗机（≥1台）、垃圾分类转运车辆（≥2辆）、驾驶式洗地机（≥1辆）和吸尘吸水机（≥1台），以上条件每满足一项得1分，本小项满分5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未提供或未按要求提供的不得分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注：投标人自有设备须提供购买发票复印件和照片；投标人租赁设备须提供有效的租赁合同复印件并加盖公章，同种设备不重复得分。</w:t>
            </w:r>
            <w:r>
              <w:rPr>
                <w:rFonts w:hint="eastAsia" w:ascii="方正仿宋_GB2312" w:hAnsi="方正仿宋_GB2312" w:eastAsia="方正仿宋_GB2312" w:cs="方正仿宋_GB2312"/>
                <w:sz w:val="28"/>
                <w:szCs w:val="28"/>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5</w:t>
            </w:r>
            <w:r>
              <w:rPr>
                <w:rFonts w:hint="eastAsia" w:ascii="方正仿宋_GB2312" w:hAnsi="方正仿宋_GB2312" w:eastAsia="方正仿宋_GB2312" w:cs="方正仿宋_GB2312"/>
                <w:color w:val="000000"/>
                <w:sz w:val="28"/>
                <w:szCs w:val="28"/>
              </w:rPr>
            </w:r>
            <w:r/>
          </w:p>
        </w:tc>
      </w:tr>
      <w:tr>
        <w:trPr>
          <w:trHeight w:val="558"/>
        </w:trPr>
        <w:tc>
          <w:tcPr>
            <w:tcW w:w="710" w:type="dxa"/>
            <w:vAlign w:val="center"/>
            <w:textDirection w:val="lrTb"/>
            <w:noWrap w:val="false"/>
          </w:tcPr>
          <w:p>
            <w:pPr>
              <w:pStyle w:val="960"/>
              <w:jc w:val="center"/>
              <w:spacing w:line="36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3.5</w:t>
            </w:r>
            <w:r>
              <w:rPr>
                <w:rFonts w:hint="eastAsia" w:ascii="方正仿宋_GB2312" w:hAnsi="方正仿宋_GB2312" w:eastAsia="方正仿宋_GB2312" w:cs="方正仿宋_GB2312"/>
                <w:color w:val="000000"/>
                <w:sz w:val="28"/>
                <w:szCs w:val="28"/>
              </w:rPr>
            </w:r>
            <w:r/>
          </w:p>
        </w:tc>
        <w:tc>
          <w:tcPr>
            <w:tcW w:w="1517" w:type="dxa"/>
            <w:vAlign w:val="center"/>
            <w:textDirection w:val="lrTb"/>
            <w:noWrap w:val="false"/>
          </w:tcPr>
          <w:p>
            <w:pPr>
              <w:pStyle w:val="1074"/>
              <w:ind w:left="0"/>
              <w:jc w:val="center"/>
              <w:spacing w:line="3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信息化管理</w:t>
            </w:r>
            <w:r>
              <w:rPr>
                <w:rFonts w:hint="eastAsia" w:ascii="方正仿宋_GB2312" w:hAnsi="方正仿宋_GB2312" w:eastAsia="方正仿宋_GB2312" w:cs="方正仿宋_GB2312"/>
                <w:color w:val="000000"/>
                <w:sz w:val="28"/>
                <w:szCs w:val="28"/>
              </w:rPr>
            </w:r>
            <w:r/>
          </w:p>
        </w:tc>
        <w:tc>
          <w:tcPr>
            <w:tcW w:w="6520" w:type="dxa"/>
            <w:vAlign w:val="center"/>
            <w:textDirection w:val="lrTb"/>
            <w:noWrap w:val="false"/>
          </w:tcPr>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投标人为本项目提供的信息化管理软件，具有楼宇管理系统功能、学生公寓管理系统功能、智能报修系统功能、服务监管管理系统及投诉管理系统功能的，每具备1个功能得</w:t>
            </w:r>
            <w:r>
              <w:rPr>
                <w:rFonts w:hint="eastAsia" w:ascii="方正仿宋_GB2312" w:hAnsi="方正仿宋_GB2312" w:eastAsia="方正仿宋_GB2312" w:cs="方正仿宋_GB2312"/>
                <w:sz w:val="28"/>
                <w:szCs w:val="28"/>
                <w:lang w:val="en-US" w:eastAsia="zh-CN"/>
              </w:rPr>
              <w:t xml:space="preserve">0.6</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本项满分</w:t>
            </w: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未提供或未按要求提供的不得分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需提供能体现平台实时展示功能的截图及说明。自主研发的软件，需提供软件著作权证书，第三方授权使用的系统须提供第三方授权使用证明，如为购买或租用的，须提供购买或租用合同的复印件及付款凭证的复印件。（以上材料均须加盖公章）</w:t>
            </w:r>
            <w:r>
              <w:rPr>
                <w:rFonts w:hint="eastAsia" w:ascii="方正仿宋_GB2312" w:hAnsi="方正仿宋_GB2312" w:eastAsia="方正仿宋_GB2312" w:cs="方正仿宋_GB2312"/>
                <w:sz w:val="28"/>
                <w:szCs w:val="28"/>
              </w:rPr>
            </w:r>
            <w:r/>
          </w:p>
          <w:p>
            <w:pPr>
              <w:pStyle w:val="960"/>
              <w:ind w:firstLine="420"/>
              <w:keepLines w:val="0"/>
              <w:keepNext w:val="0"/>
              <w:pageBreakBefore w:val="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如投标文件中提供的著作权名称表述与招标文件描述的关键字样不一致，而该投标文件中能证明投标人拥有的著作权具有相同或相似功能和效果的，视同符合要求。</w:t>
            </w:r>
            <w:r>
              <w:rPr>
                <w:rFonts w:hint="eastAsia" w:ascii="方正仿宋_GB2312" w:hAnsi="方正仿宋_GB2312" w:eastAsia="方正仿宋_GB2312" w:cs="方正仿宋_GB2312"/>
                <w:sz w:val="28"/>
                <w:szCs w:val="28"/>
              </w:rPr>
            </w:r>
            <w:r/>
          </w:p>
        </w:tc>
        <w:tc>
          <w:tcPr>
            <w:tcW w:w="666" w:type="dxa"/>
            <w:vAlign w:val="center"/>
            <w:textDirection w:val="lrTb"/>
            <w:noWrap w:val="false"/>
          </w:tcPr>
          <w:p>
            <w:pPr>
              <w:pStyle w:val="960"/>
              <w:jc w:val="center"/>
              <w:spacing w:line="360" w:lineRule="exact"/>
              <w:rPr>
                <w:rFonts w:hint="eastAsia" w:ascii="方正仿宋_GB2312" w:hAnsi="方正仿宋_GB2312" w:eastAsia="方正仿宋_GB2312" w:cs="方正仿宋_GB2312"/>
                <w:color w:val="000000"/>
                <w:sz w:val="28"/>
                <w:szCs w:val="28"/>
                <w:lang w:eastAsia="zh-CN"/>
              </w:rPr>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eastAsia="zh-CN"/>
              </w:rPr>
            </w:r>
            <w:r/>
          </w:p>
        </w:tc>
      </w:tr>
    </w:tbl>
    <w:p>
      <w:pPr>
        <w:pStyle w:val="960"/>
        <w:rPr>
          <w:rFonts w:hint="eastAsia"/>
        </w:rPr>
      </w:pPr>
      <w:r>
        <w:rPr>
          <w:rFonts w:hint="eastAsia"/>
        </w:rPr>
      </w:r>
      <w:r/>
    </w:p>
    <w:p>
      <w:pPr>
        <w:pStyle w:val="960"/>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第六章  投标</w:t>
      </w:r>
      <w:bookmarkEnd w:id="161"/>
      <w:r/>
      <w:bookmarkEnd w:id="162"/>
      <w:r/>
      <w:bookmarkEnd w:id="164"/>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60"/>
        <w:jc w:val="center"/>
        <w:rPr>
          <w:rFonts w:hint="eastAsia" w:ascii="宋体" w:hAnsi="宋体"/>
          <w:b/>
          <w:sz w:val="28"/>
          <w:szCs w:val="28"/>
        </w:rPr>
      </w:pPr>
      <w:r/>
      <w:bookmarkStart w:id="166" w:name="_Hlt26671244"/>
      <w:r/>
      <w:bookmarkEnd w:id="166"/>
      <w:r/>
      <w:bookmarkStart w:id="167" w:name="_Hlt26955039"/>
      <w:r/>
      <w:bookmarkEnd w:id="167"/>
      <w:r/>
      <w:bookmarkStart w:id="168" w:name="_Toc49090576"/>
      <w:r/>
      <w:bookmarkStart w:id="169" w:name="_Toc26554094"/>
      <w:r/>
      <w:bookmarkStart w:id="170" w:name="_Toc120614282"/>
      <w:r>
        <w:rPr>
          <w:rFonts w:hint="eastAsia" w:ascii="宋体" w:hAnsi="宋体"/>
          <w:b/>
          <w:sz w:val="28"/>
          <w:szCs w:val="28"/>
        </w:rPr>
      </w:r>
      <w:r/>
    </w:p>
    <w:p>
      <w:pPr>
        <w:pStyle w:val="960"/>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60"/>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60"/>
        <w:jc w:val="center"/>
        <w:rPr>
          <w:rFonts w:hint="eastAsia" w:ascii="宋体" w:hAnsi="宋体"/>
          <w:b/>
          <w:sz w:val="28"/>
          <w:szCs w:val="28"/>
        </w:rPr>
      </w:pPr>
      <w:r>
        <w:rPr>
          <w:rFonts w:hint="eastAsia" w:ascii="宋体" w:hAnsi="宋体"/>
          <w:b/>
          <w:sz w:val="28"/>
          <w:szCs w:val="28"/>
        </w:rPr>
      </w:r>
      <w:r/>
    </w:p>
    <w:p>
      <w:pPr>
        <w:pStyle w:val="960"/>
        <w:jc w:val="center"/>
        <w:rPr>
          <w:rFonts w:hint="eastAsia" w:ascii="宋体" w:hAnsi="宋体"/>
          <w:b/>
          <w:sz w:val="28"/>
          <w:szCs w:val="28"/>
        </w:rPr>
      </w:pPr>
      <w:r>
        <w:rPr>
          <w:rFonts w:hint="eastAsia" w:ascii="宋体" w:hAnsi="宋体"/>
          <w:b/>
          <w:sz w:val="28"/>
          <w:szCs w:val="28"/>
        </w:rPr>
      </w:r>
      <w:r/>
    </w:p>
    <w:p>
      <w:pPr>
        <w:pStyle w:val="960"/>
        <w:jc w:val="center"/>
        <w:rPr>
          <w:rFonts w:hint="eastAsia" w:ascii="宋体" w:hAnsi="宋体"/>
          <w:b/>
          <w:sz w:val="28"/>
          <w:szCs w:val="28"/>
        </w:rPr>
      </w:pPr>
      <w:r>
        <w:rPr>
          <w:rFonts w:hint="eastAsia" w:ascii="宋体" w:hAnsi="宋体"/>
          <w:b/>
          <w:sz w:val="28"/>
          <w:szCs w:val="28"/>
        </w:rPr>
      </w:r>
      <w:r/>
    </w:p>
    <w:p>
      <w:pPr>
        <w:pStyle w:val="960"/>
        <w:jc w:val="center"/>
        <w:rPr>
          <w:rFonts w:hint="eastAsia" w:ascii="宋体" w:hAnsi="宋体"/>
          <w:b/>
          <w:sz w:val="28"/>
          <w:szCs w:val="28"/>
        </w:rPr>
      </w:pPr>
      <w:r>
        <w:rPr>
          <w:rFonts w:hint="eastAsia" w:ascii="宋体" w:hAnsi="宋体"/>
          <w:b/>
          <w:sz w:val="28"/>
          <w:szCs w:val="28"/>
        </w:rPr>
      </w:r>
      <w:r/>
    </w:p>
    <w:p>
      <w:pPr>
        <w:pStyle w:val="960"/>
        <w:jc w:val="center"/>
        <w:rPr>
          <w:rFonts w:hint="eastAsia" w:ascii="宋体" w:hAnsi="宋体"/>
          <w:b/>
          <w:sz w:val="28"/>
          <w:szCs w:val="28"/>
        </w:rPr>
      </w:pPr>
      <w:r>
        <w:rPr>
          <w:rFonts w:hint="eastAsia" w:ascii="宋体" w:hAnsi="宋体"/>
          <w:b/>
          <w:sz w:val="28"/>
          <w:szCs w:val="28"/>
        </w:rPr>
      </w:r>
      <w:r/>
    </w:p>
    <w:p>
      <w:pPr>
        <w:pStyle w:val="960"/>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60"/>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6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6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60"/>
        <w:jc w:val="center"/>
        <w:spacing w:line="440" w:lineRule="exact"/>
        <w:rPr>
          <w:rFonts w:hint="eastAsia" w:ascii="宋体" w:hAnsi="宋体"/>
          <w:b/>
          <w:bCs/>
          <w:sz w:val="32"/>
          <w:szCs w:val="32"/>
        </w:rPr>
      </w:pPr>
      <w:r>
        <w:rPr>
          <w:rFonts w:hint="eastAsia" w:ascii="宋体" w:hAnsi="宋体"/>
          <w:b/>
          <w:bCs/>
          <w:sz w:val="32"/>
          <w:szCs w:val="32"/>
        </w:rPr>
      </w:r>
      <w:r/>
    </w:p>
    <w:p>
      <w:pPr>
        <w:pStyle w:val="960"/>
        <w:spacing w:line="440" w:lineRule="exact"/>
        <w:rPr>
          <w:rFonts w:ascii="宋体" w:hAnsi="宋体"/>
        </w:rPr>
      </w:pPr>
      <w:r>
        <w:rPr>
          <w:rFonts w:ascii="宋体" w:hAnsi="宋体"/>
        </w:rPr>
      </w:r>
      <w:r/>
    </w:p>
    <w:p>
      <w:pPr>
        <w:pStyle w:val="96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0"/>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60"/>
        <w:jc w:val="center"/>
        <w:spacing w:line="400" w:lineRule="exact"/>
        <w:rPr>
          <w:rFonts w:hint="eastAsia" w:ascii="宋体" w:hAnsi="宋体"/>
          <w:b/>
          <w:bCs/>
          <w:sz w:val="28"/>
          <w:szCs w:val="28"/>
        </w:rPr>
      </w:pPr>
      <w:r>
        <w:rPr>
          <w:rFonts w:hint="eastAsia" w:ascii="宋体" w:hAnsi="宋体"/>
          <w:b/>
          <w:bCs/>
          <w:sz w:val="28"/>
          <w:szCs w:val="28"/>
        </w:rPr>
      </w:r>
      <w:r/>
    </w:p>
    <w:p>
      <w:pPr>
        <w:pStyle w:val="96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60"/>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highlight w:val="yellow"/>
        </w:rPr>
      </w:r>
      <w:r/>
    </w:p>
    <w:p>
      <w:pPr>
        <w:pStyle w:val="96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2.2024或2025年度的财务状况报告（投标人成立不满一年无需提供）</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总备注：上述“资格审查内容”中1-6条、8、9条投标人必须在投标文件中提供相关材料，否则作无效投标处理。</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rPr>
          <w:rFonts w:hint="eastAsia" w:ascii="方正仿宋_GBK" w:hAnsi="方正仿宋_GBK" w:eastAsia="方正仿宋_GBK" w:cs="方正仿宋_GBK"/>
          <w:sz w:val="28"/>
          <w:szCs w:val="28"/>
        </w:rPr>
      </w:r>
      <w:r/>
    </w:p>
    <w:p>
      <w:pPr>
        <w:pStyle w:val="96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28"/>
          <w:szCs w:val="28"/>
        </w:rPr>
      </w:r>
      <w:r/>
    </w:p>
    <w:p>
      <w:pPr>
        <w:pStyle w:val="960"/>
        <w:spacing w:line="400" w:lineRule="exact"/>
        <w:rPr>
          <w:rFonts w:ascii="宋体" w:hAnsi="宋体"/>
          <w:sz w:val="28"/>
          <w:szCs w:val="28"/>
        </w:rPr>
      </w:pPr>
      <w:r>
        <w:rPr>
          <w:rFonts w:ascii="宋体" w:hAnsi="宋体"/>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ascii="宋体" w:hAnsi="宋体"/>
          <w:b/>
          <w:color w:val="ff0000"/>
          <w:sz w:val="28"/>
          <w:szCs w:val="28"/>
        </w:rPr>
      </w:pPr>
      <w:r>
        <w:rPr>
          <w:rFonts w:ascii="宋体" w:hAnsi="宋体"/>
          <w:b/>
          <w:color w:val="ff0000"/>
          <w:sz w:val="28"/>
          <w:szCs w:val="28"/>
        </w:rPr>
      </w:r>
      <w:r/>
    </w:p>
    <w:p>
      <w:pPr>
        <w:pStyle w:val="9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60"/>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0"/>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投标总报价（三年）</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8"/>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60"/>
        <w:ind w:firstLine="480"/>
        <w:spacing w:line="400" w:lineRule="exact"/>
        <w:rPr>
          <w:rFonts w:hint="eastAsia" w:ascii="宋体" w:hAnsi="宋体"/>
          <w:sz w:val="28"/>
          <w:szCs w:val="28"/>
        </w:rPr>
      </w:pPr>
      <w:r>
        <w:rPr>
          <w:rFonts w:hint="eastAsia" w:ascii="宋体" w:hAnsi="宋体"/>
          <w:sz w:val="28"/>
          <w:szCs w:val="28"/>
        </w:rPr>
      </w:r>
      <w:r/>
    </w:p>
    <w:p>
      <w:pPr>
        <w:pStyle w:val="960"/>
        <w:spacing w:line="400" w:lineRule="exact"/>
        <w:rPr>
          <w:rFonts w:ascii="宋体" w:hAnsi="宋体"/>
          <w:sz w:val="28"/>
          <w:szCs w:val="28"/>
        </w:rPr>
      </w:pPr>
      <w:r>
        <w:rPr>
          <w:rFonts w:ascii="宋体" w:hAnsi="宋体"/>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2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pStyle w:val="960"/>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60"/>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restart"/>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rPr>
                <w:rFonts w:hint="eastAsia" w:ascii="方正仿宋_GBK" w:hAnsi="方正仿宋_GBK" w:eastAsia="方正仿宋_GBK" w:cs="方正仿宋_GBK"/>
                <w:sz w:val="28"/>
                <w:szCs w:val="28"/>
              </w:rPr>
            </w:r>
            <w:r/>
          </w:p>
          <w:p>
            <w:pPr>
              <w:pStyle w:val="96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continue"/>
            <w:textDirection w:val="lrTb"/>
            <w:noWrap w:val="false"/>
          </w:tcPr>
          <w:p>
            <w:pPr>
              <w:pStyle w:val="960"/>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textDirection w:val="lrTb"/>
            <w:noWrap w:val="false"/>
          </w:tcPr>
          <w:p>
            <w:pPr>
              <w:pStyle w:val="9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9119" w:type="dxa"/>
            <w:vAlign w:val="center"/>
            <w:textDirection w:val="lrTb"/>
            <w:noWrap w:val="false"/>
          </w:tcPr>
          <w:p>
            <w:pPr>
              <w:pStyle w:val="960"/>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6"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60"/>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60"/>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restart"/>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rPr>
                <w:rFonts w:hint="eastAsia" w:ascii="方正仿宋_GBK" w:hAnsi="方正仿宋_GBK" w:eastAsia="方正仿宋_GBK" w:cs="方正仿宋_GBK"/>
                <w:sz w:val="28"/>
                <w:szCs w:val="28"/>
              </w:rPr>
            </w:r>
            <w:r/>
          </w:p>
          <w:p>
            <w:pPr>
              <w:pStyle w:val="960"/>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continue"/>
            <w:textDirection w:val="lrTb"/>
            <w:noWrap w:val="false"/>
          </w:tcPr>
          <w:p>
            <w:pPr>
              <w:pStyle w:val="9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60"/>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textDirection w:val="lrTb"/>
            <w:noWrap w:val="false"/>
          </w:tcPr>
          <w:p>
            <w:pPr>
              <w:pStyle w:val="9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pStyle w:val="9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rPr>
      </w:r>
      <w:r/>
    </w:p>
    <w:p>
      <w:pPr>
        <w:pStyle w:val="9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u w:val="single"/>
        </w:rPr>
      </w:r>
      <w:r/>
    </w:p>
    <w:p>
      <w:pPr>
        <w:pStyle w:val="960"/>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6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0"/>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60"/>
        <w:spacing w:line="400" w:lineRule="exact"/>
        <w:rPr>
          <w:rFonts w:ascii="宋体" w:hAnsi="宋体"/>
          <w:sz w:val="28"/>
          <w:szCs w:val="28"/>
        </w:rPr>
      </w:pPr>
      <w:r>
        <w:rPr>
          <w:rFonts w:ascii="宋体" w:hAnsi="宋体"/>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0"/>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0"/>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6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6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60"/>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60"/>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4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48"/>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60"/>
        <w:ind w:firstLine="560"/>
        <w:spacing w:line="400" w:lineRule="exact"/>
        <w:rPr>
          <w:rFonts w:ascii="宋体" w:hAnsi="宋体"/>
          <w:sz w:val="28"/>
          <w:szCs w:val="28"/>
        </w:rPr>
      </w:pPr>
      <w:r>
        <w:rPr>
          <w:rFonts w:ascii="宋体" w:hAnsi="宋体"/>
          <w:sz w:val="28"/>
          <w:szCs w:val="28"/>
        </w:rPr>
      </w:r>
      <w:r/>
    </w:p>
    <w:p>
      <w:pPr>
        <w:pStyle w:val="960"/>
        <w:ind w:firstLine="560"/>
        <w:spacing w:line="400" w:lineRule="exact"/>
        <w:rPr>
          <w:rFonts w:ascii="宋体" w:hAnsi="宋体"/>
          <w:sz w:val="28"/>
          <w:szCs w:val="28"/>
        </w:rPr>
      </w:pPr>
      <w:r>
        <w:rPr>
          <w:rFonts w:ascii="宋体" w:hAnsi="宋体"/>
          <w:sz w:val="28"/>
          <w:szCs w:val="28"/>
        </w:rPr>
      </w:r>
      <w:r/>
    </w:p>
    <w:p>
      <w:pPr>
        <w:pStyle w:val="960"/>
        <w:ind w:firstLine="560"/>
        <w:spacing w:line="400" w:lineRule="exact"/>
        <w:rPr>
          <w:rFonts w:ascii="宋体" w:hAnsi="宋体"/>
          <w:sz w:val="28"/>
          <w:szCs w:val="28"/>
        </w:rPr>
      </w:pPr>
      <w:r>
        <w:rPr>
          <w:rFonts w:ascii="宋体" w:hAnsi="宋体"/>
          <w:sz w:val="28"/>
          <w:szCs w:val="28"/>
        </w:rPr>
      </w:r>
      <w:r/>
    </w:p>
    <w:p>
      <w:pPr>
        <w:pStyle w:val="960"/>
        <w:ind w:firstLine="560"/>
        <w:spacing w:line="400" w:lineRule="exact"/>
        <w:rPr>
          <w:rFonts w:ascii="宋体" w:hAnsi="宋体"/>
          <w:sz w:val="28"/>
          <w:szCs w:val="28"/>
        </w:rPr>
      </w:pPr>
      <w:r>
        <w:rPr>
          <w:rFonts w:ascii="宋体" w:hAnsi="宋体"/>
          <w:sz w:val="28"/>
          <w:szCs w:val="28"/>
        </w:rPr>
      </w:r>
      <w:r/>
    </w:p>
    <w:p>
      <w:pPr>
        <w:pStyle w:val="960"/>
        <w:ind w:firstLine="560"/>
        <w:spacing w:line="400" w:lineRule="exact"/>
        <w:rPr>
          <w:rFonts w:ascii="宋体" w:hAnsi="宋体"/>
          <w:sz w:val="28"/>
          <w:szCs w:val="28"/>
        </w:rPr>
      </w:pPr>
      <w:r>
        <w:rPr>
          <w:rFonts w:ascii="宋体" w:hAnsi="宋体"/>
          <w:sz w:val="28"/>
          <w:szCs w:val="28"/>
        </w:rPr>
      </w:r>
      <w:r/>
    </w:p>
    <w:p>
      <w:pPr>
        <w:pStyle w:val="960"/>
        <w:jc w:val="center"/>
        <w:spacing w:line="400" w:lineRule="exact"/>
        <w:rPr>
          <w:rFonts w:hint="eastAsia" w:ascii="方正黑体_GBK" w:hAnsi="方正黑体_GBK" w:eastAsia="方正黑体_GBK" w:cs="方正黑体_GBK"/>
          <w:bCs/>
          <w:sz w:val="28"/>
          <w:szCs w:val="28"/>
        </w:rPr>
      </w:pPr>
      <w:r/>
      <w:bookmarkEnd w:id="168"/>
      <w:r/>
      <w:bookmarkEnd w:id="169"/>
      <w:r/>
      <w:bookmarkEnd w:id="170"/>
      <w:r/>
      <w:bookmarkStart w:id="171" w:name="_Toc120614284"/>
      <w:r>
        <w:rPr>
          <w:rFonts w:hint="eastAsia" w:ascii="方正黑体_GBK" w:hAnsi="方正黑体_GBK" w:eastAsia="方正黑体_GBK" w:cs="方正黑体_GBK"/>
          <w:bCs/>
          <w:sz w:val="28"/>
          <w:szCs w:val="28"/>
        </w:rPr>
      </w:r>
      <w:r/>
    </w:p>
    <w:p>
      <w:pPr>
        <w:pStyle w:val="96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60"/>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60"/>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0"/>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60"/>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60"/>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60"/>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60"/>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0"/>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0"/>
        <w:spacing w:line="400" w:lineRule="exact"/>
        <w:rPr>
          <w:rFonts w:hint="eastAsia" w:ascii="黑体" w:hAnsi="黑体" w:eastAsia="黑体"/>
          <w:b/>
          <w:sz w:val="28"/>
          <w:szCs w:val="28"/>
        </w:rPr>
      </w:pPr>
      <w:r>
        <w:rPr>
          <w:rFonts w:hint="eastAsia" w:ascii="黑体" w:hAnsi="黑体" w:eastAsia="黑体"/>
          <w:b/>
          <w:sz w:val="28"/>
          <w:szCs w:val="28"/>
        </w:rPr>
      </w:r>
      <w:r/>
    </w:p>
    <w:p>
      <w:pPr>
        <w:pStyle w:val="960"/>
        <w:ind w:firstLine="645"/>
        <w:spacing w:line="400" w:lineRule="exact"/>
        <w:rPr>
          <w:rFonts w:hint="eastAsia" w:ascii="宋体" w:hAnsi="宋体"/>
          <w:sz w:val="28"/>
          <w:szCs w:val="28"/>
        </w:rPr>
      </w:pPr>
      <w:r>
        <w:rPr>
          <w:rFonts w:hint="eastAsia" w:ascii="宋体" w:hAnsi="宋体"/>
          <w:sz w:val="28"/>
          <w:szCs w:val="28"/>
        </w:rPr>
      </w:r>
      <w:r/>
    </w:p>
    <w:p>
      <w:pPr>
        <w:pStyle w:val="960"/>
        <w:spacing w:line="400" w:lineRule="exact"/>
        <w:rPr>
          <w:rFonts w:hint="eastAsia" w:ascii="宋体" w:hAnsi="宋体"/>
          <w:sz w:val="28"/>
          <w:szCs w:val="28"/>
        </w:rPr>
      </w:pPr>
      <w:r>
        <w:rPr>
          <w:rFonts w:hint="eastAsia" w:ascii="宋体" w:hAnsi="宋体"/>
          <w:sz w:val="28"/>
          <w:szCs w:val="28"/>
        </w:rPr>
      </w:r>
      <w:r/>
    </w:p>
    <w:p>
      <w:pPr>
        <w:pStyle w:val="960"/>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60"/>
        <w:spacing w:line="400" w:lineRule="exact"/>
        <w:rPr>
          <w:rFonts w:hint="eastAsia" w:ascii="宋体" w:hAnsi="宋体"/>
          <w:color w:val="ff0000"/>
          <w:sz w:val="28"/>
          <w:szCs w:val="28"/>
        </w:rPr>
      </w:pPr>
      <w:r>
        <w:rPr>
          <w:rFonts w:hint="eastAsia" w:ascii="宋体" w:hAnsi="宋体"/>
          <w:color w:val="ff0000"/>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jc w:val="center"/>
        <w:spacing w:line="400" w:lineRule="exact"/>
        <w:rPr>
          <w:rFonts w:hint="eastAsia" w:ascii="宋体" w:hAnsi="宋体" w:cs="宋体"/>
          <w:b/>
          <w:sz w:val="28"/>
          <w:szCs w:val="28"/>
        </w:rPr>
      </w:pPr>
      <w:r>
        <w:rPr>
          <w:rFonts w:hint="eastAsia" w:ascii="宋体" w:hAnsi="宋体" w:cs="宋体"/>
          <w:b/>
          <w:sz w:val="28"/>
          <w:szCs w:val="28"/>
        </w:rPr>
      </w:r>
      <w:r/>
    </w:p>
    <w:p>
      <w:pPr>
        <w:pStyle w:val="960"/>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附件12 关于符合本国产品标准的声明函（采购包号：XX）</w:t>
      </w:r>
      <w:r>
        <w:rPr>
          <w:rFonts w:hint="eastAsia" w:ascii="方正黑体_GBK" w:hAnsi="方正黑体_GBK" w:eastAsia="方正黑体_GBK" w:cs="方正黑体_GBK"/>
          <w:bCs/>
          <w:sz w:val="28"/>
          <w:szCs w:val="28"/>
        </w:rPr>
      </w:r>
      <w:r/>
    </w:p>
    <w:p>
      <w:pPr>
        <w:pStyle w:val="102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35"/>
          <w:rFonts w:hint="eastAsia" w:ascii="方正仿宋_GBK" w:hAnsi="方正仿宋_GBK" w:eastAsia="方正仿宋_GBK" w:cs="方正仿宋_GBK"/>
          <w:i w:val="0"/>
          <w:sz w:val="28"/>
          <w:szCs w:val="28"/>
          <w:u w:val="single"/>
          <w:shd w:val="clear" w:color="auto" w:fill="ffffff"/>
        </w:rPr>
        <w:t xml:space="preserve">（产品名称1）</w:t>
      </w:r>
      <w:r>
        <w:rPr>
          <w:rStyle w:val="103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35"/>
          <w:rFonts w:hint="eastAsia" w:ascii="方正仿宋_GBK" w:hAnsi="方正仿宋_GBK" w:eastAsia="方正仿宋_GBK" w:cs="方正仿宋_GBK"/>
          <w:i w:val="0"/>
          <w:sz w:val="28"/>
          <w:szCs w:val="28"/>
          <w:u w:val="single"/>
          <w:shd w:val="clear" w:color="auto" w:fill="ffffff"/>
        </w:rPr>
        <w:t xml:space="preserve">（厂名）</w:t>
      </w:r>
      <w:r>
        <w:rPr>
          <w:rStyle w:val="103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3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3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3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3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3"/>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23"/>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3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60"/>
        <w:spacing w:line="400" w:lineRule="exact"/>
        <w:rPr>
          <w:rFonts w:hint="eastAsia" w:ascii="宋体" w:hAnsi="宋体"/>
          <w:bCs/>
          <w:sz w:val="28"/>
          <w:szCs w:val="28"/>
        </w:rPr>
      </w:pPr>
      <w:r>
        <w:rPr>
          <w:rFonts w:hint="eastAsia" w:ascii="宋体" w:hAnsi="宋体"/>
          <w:bCs/>
          <w:sz w:val="28"/>
          <w:szCs w:val="28"/>
        </w:rPr>
      </w:r>
      <w:r/>
    </w:p>
    <w:p>
      <w:pPr>
        <w:pStyle w:val="960"/>
        <w:spacing w:line="400" w:lineRule="exact"/>
        <w:rPr>
          <w:rFonts w:hint="eastAsia" w:ascii="宋体" w:hAnsi="宋体"/>
          <w:bCs/>
          <w:sz w:val="28"/>
          <w:szCs w:val="28"/>
        </w:rPr>
      </w:pPr>
      <w:r>
        <w:rPr>
          <w:rFonts w:hint="eastAsia" w:ascii="宋体" w:hAnsi="宋体"/>
          <w:bCs/>
          <w:sz w:val="28"/>
          <w:szCs w:val="28"/>
        </w:rPr>
      </w:r>
      <w:r/>
    </w:p>
    <w:p>
      <w:pPr>
        <w:pStyle w:val="960"/>
        <w:spacing w:line="400" w:lineRule="exact"/>
        <w:rPr>
          <w:rFonts w:hint="eastAsia" w:ascii="宋体" w:hAnsi="宋体"/>
          <w:bCs/>
          <w:sz w:val="28"/>
          <w:szCs w:val="28"/>
        </w:rPr>
      </w:pPr>
      <w:r>
        <w:rPr>
          <w:rFonts w:hint="eastAsia" w:ascii="宋体" w:hAnsi="宋体"/>
          <w:bCs/>
          <w:sz w:val="28"/>
          <w:szCs w:val="28"/>
        </w:rPr>
      </w:r>
      <w:r/>
    </w:p>
    <w:p>
      <w:pPr>
        <w:pStyle w:val="960"/>
        <w:spacing w:line="400" w:lineRule="exact"/>
        <w:rPr>
          <w:rFonts w:hint="eastAsia" w:ascii="宋体" w:hAnsi="宋体"/>
          <w:bCs/>
          <w:sz w:val="28"/>
          <w:szCs w:val="28"/>
        </w:rPr>
      </w:pPr>
      <w:r>
        <w:rPr>
          <w:rFonts w:hint="eastAsia" w:ascii="宋体" w:hAnsi="宋体"/>
          <w:bCs/>
          <w:sz w:val="28"/>
          <w:szCs w:val="28"/>
        </w:rPr>
      </w:r>
      <w:r/>
    </w:p>
    <w:p>
      <w:pPr>
        <w:pStyle w:val="960"/>
        <w:spacing w:line="400" w:lineRule="exact"/>
        <w:rPr>
          <w:rFonts w:hint="eastAsia"/>
          <w:sz w:val="28"/>
          <w:szCs w:val="28"/>
        </w:rPr>
      </w:pPr>
      <w:r>
        <w:rPr>
          <w:rFonts w:hint="eastAsia"/>
          <w:sz w:val="28"/>
          <w:szCs w:val="28"/>
        </w:rPr>
      </w:r>
      <w:r/>
    </w:p>
    <w:p>
      <w:pPr>
        <w:pStyle w:val="960"/>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0"/>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0"/>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60"/>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71"/>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60"/>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6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6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6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6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5"/>
        <w:spacing w:line="400" w:lineRule="exact"/>
        <w:rPr>
          <w:rFonts w:hint="eastAsia"/>
          <w:sz w:val="28"/>
          <w:szCs w:val="28"/>
        </w:rPr>
      </w:pPr>
      <w:r>
        <w:rPr>
          <w:rFonts w:hint="eastAsia"/>
          <w:sz w:val="28"/>
          <w:szCs w:val="28"/>
        </w:rPr>
      </w:r>
      <w:r/>
    </w:p>
    <w:p>
      <w:pPr>
        <w:pStyle w:val="975"/>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小标宋_GBK">
    <w:panose1 w:val="020B0503020202020204"/>
  </w:font>
  <w:font w:name="Times New Roman">
    <w:panose1 w:val="020206030504050203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__WRD_EMBED_SUB_44">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rPr>
        <w:rStyle w:val="1033"/>
      </w:rPr>
    </w:r>
    <w:r/>
  </w:p>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0"/>
                    </w:pPr>
                    <w:r/>
                    <w:r/>
                  </w:p>
                </w:txbxContent>
              </v:textbox>
            </v:shape>
          </w:pict>
        </mc:Fallback>
      </mc:AlternateContent>
    </w:r>
    <w:r/>
  </w:p>
  <w:p>
    <w:pPr>
      <w:pStyle w:val="10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0"/>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7"/>
      <w:isLgl w:val="false"/>
      <w:suff w:val="tab"/>
      <w:lvlText w:val="%1."/>
      <w:lvlJc w:val="left"/>
      <w:pPr>
        <w:pStyle w:val="960"/>
        <w:ind w:left="709" w:hanging="709"/>
        <w:tabs>
          <w:tab w:val="num" w:pos="709" w:leader="none"/>
        </w:tabs>
      </w:pPr>
      <w:rPr>
        <w:rFonts w:hint="eastAsia"/>
      </w:rPr>
    </w:lvl>
    <w:lvl w:ilvl="1">
      <w:start w:val="1"/>
      <w:numFmt w:val="decimal"/>
      <w:isLgl w:val="false"/>
      <w:suff w:val="tab"/>
      <w:lvlText w:val="%1.%2"/>
      <w:lvlJc w:val="left"/>
      <w:pPr>
        <w:pStyle w:val="960"/>
        <w:ind w:left="709" w:hanging="709"/>
        <w:tabs>
          <w:tab w:val="num" w:pos="709" w:leader="none"/>
        </w:tabs>
      </w:pPr>
      <w:rPr>
        <w:rFonts w:hint="eastAsia"/>
      </w:rPr>
    </w:lvl>
    <w:lvl w:ilvl="2">
      <w:start w:val="1"/>
      <w:numFmt w:val="decimal"/>
      <w:isLgl w:val="false"/>
      <w:suff w:val="tab"/>
      <w:lvlText w:val="%1.%2.%3."/>
      <w:lvlJc w:val="left"/>
      <w:pPr>
        <w:pStyle w:val="960"/>
        <w:ind w:left="425" w:hanging="425"/>
        <w:tabs>
          <w:tab w:val="num" w:pos="425"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992" w:leader="none"/>
        </w:tabs>
      </w:pPr>
      <w:rPr>
        <w:rFonts w:hint="eastAsia"/>
      </w:rPr>
    </w:lvl>
    <w:lvl w:ilvl="5">
      <w:start w:val="1"/>
      <w:numFmt w:val="decimal"/>
      <w:isLgl w:val="false"/>
      <w:suff w:val="tab"/>
      <w:lvlText w:val="%1.%2.%3.%4.%5.%6."/>
      <w:lvlJc w:val="left"/>
      <w:pPr>
        <w:pStyle w:val="960"/>
        <w:ind w:left="1134" w:hanging="1134"/>
        <w:tabs>
          <w:tab w:val="num" w:pos="1134"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60"/>
        <w:ind w:left="0" w:firstLine="0"/>
      </w:pPr>
      <w:rPr>
        <w:rFonts w:hint="eastAsia"/>
      </w:rPr>
    </w:lvl>
    <w:lvl w:ilvl="1">
      <w:start w:val="1"/>
      <w:numFmt w:val="decimal"/>
      <w:isLgl w:val="false"/>
      <w:suff w:val="nothing"/>
      <w:lvlText w:val="%2、"/>
      <w:lvlJc w:val="left"/>
      <w:pPr>
        <w:pStyle w:val="960"/>
        <w:ind w:left="0" w:firstLine="0"/>
      </w:pPr>
      <w:rPr>
        <w:rFonts w:hint="eastAsia"/>
      </w:rPr>
    </w:lvl>
    <w:lvl w:ilvl="2">
      <w:start w:val="1"/>
      <w:numFmt w:val="decimal"/>
      <w:isLgl w:val="false"/>
      <w:suff w:val="nothing"/>
      <w:lvlText w:val="%2.%3 "/>
      <w:lvlJc w:val="left"/>
      <w:pPr>
        <w:pStyle w:val="960"/>
        <w:ind w:left="0" w:firstLine="0"/>
      </w:pPr>
      <w:rPr>
        <w:rFonts w:hint="eastAsia"/>
      </w:rPr>
    </w:lvl>
    <w:lvl w:ilvl="3">
      <w:start w:val="1"/>
      <w:numFmt w:val="decimal"/>
      <w:isLgl w:val="false"/>
      <w:suff w:val="nothing"/>
      <w:lvlText w:val="%2.%3.%4 "/>
      <w:lvlJc w:val="left"/>
      <w:pPr>
        <w:pStyle w:val="960"/>
        <w:ind w:left="0" w:firstLine="0"/>
      </w:pPr>
      <w:rPr>
        <w:rFonts w:hint="eastAsia"/>
      </w:rPr>
    </w:lvl>
    <w:lvl w:ilvl="4">
      <w:start w:val="1"/>
      <w:numFmt w:val="decimal"/>
      <w:isLgl w:val="false"/>
      <w:suff w:val="nothing"/>
      <w:lvlText w:val="%2.%3.%4.%5 "/>
      <w:lvlJc w:val="left"/>
      <w:pPr>
        <w:pStyle w:val="960"/>
        <w:ind w:left="0" w:firstLine="0"/>
      </w:pPr>
      <w:rPr>
        <w:rFonts w:hint="eastAsia"/>
      </w:rPr>
    </w:lvl>
    <w:lvl w:ilvl="5">
      <w:start w:val="1"/>
      <w:numFmt w:val="decimal"/>
      <w:pStyle w:val="966"/>
      <w:isLgl w:val="false"/>
      <w:suff w:val="nothing"/>
      <w:lvlText w:val=""/>
      <w:lvlJc w:val="left"/>
      <w:pPr>
        <w:pStyle w:val="960"/>
        <w:ind w:left="0" w:firstLine="0"/>
      </w:pPr>
      <w:rPr>
        <w:rFonts w:hint="eastAsia"/>
      </w:rPr>
    </w:lvl>
    <w:lvl w:ilvl="6">
      <w:start w:val="1"/>
      <w:numFmt w:val="decimal"/>
      <w:pStyle w:val="967"/>
      <w:isLgl w:val="false"/>
      <w:suff w:val="nothing"/>
      <w:lvlText w:val=""/>
      <w:lvlJc w:val="left"/>
      <w:pPr>
        <w:pStyle w:val="960"/>
        <w:ind w:left="0" w:firstLine="0"/>
      </w:pPr>
      <w:rPr>
        <w:rFonts w:hint="eastAsia"/>
      </w:rPr>
    </w:lvl>
    <w:lvl w:ilvl="7">
      <w:start w:val="1"/>
      <w:numFmt w:val="decimal"/>
      <w:pStyle w:val="968"/>
      <w:isLgl w:val="false"/>
      <w:suff w:val="nothing"/>
      <w:lvlText w:val=""/>
      <w:lvlJc w:val="left"/>
      <w:pPr>
        <w:pStyle w:val="960"/>
        <w:ind w:left="0" w:firstLine="0"/>
      </w:pPr>
      <w:rPr>
        <w:rFonts w:hint="eastAsia"/>
      </w:rPr>
    </w:lvl>
    <w:lvl w:ilvl="8">
      <w:start w:val="1"/>
      <w:numFmt w:val="decimal"/>
      <w:pStyle w:val="969"/>
      <w:isLgl w:val="false"/>
      <w:suff w:val="nothing"/>
      <w:lvlText w:val=""/>
      <w:lvlJc w:val="left"/>
      <w:pPr>
        <w:pStyle w:val="960"/>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960"/>
    <w:next w:val="960"/>
    <w:link w:val="783"/>
    <w:uiPriority w:val="9"/>
    <w:qFormat/>
    <w:pPr>
      <w:keepLines/>
      <w:keepNext/>
      <w:spacing w:before="480" w:after="200"/>
      <w:outlineLvl w:val="0"/>
    </w:pPr>
    <w:rPr>
      <w:rFonts w:ascii="Arial" w:hAnsi="Arial" w:eastAsia="Arial" w:cs="Arial"/>
      <w:sz w:val="40"/>
      <w:szCs w:val="40"/>
    </w:rPr>
  </w:style>
  <w:style w:type="character" w:styleId="783">
    <w:name w:val="Heading 1 Char"/>
    <w:link w:val="782"/>
    <w:uiPriority w:val="9"/>
    <w:rPr>
      <w:rFonts w:ascii="Arial" w:hAnsi="Arial" w:eastAsia="Arial" w:cs="Arial"/>
      <w:sz w:val="40"/>
      <w:szCs w:val="40"/>
    </w:rPr>
  </w:style>
  <w:style w:type="paragraph" w:styleId="784">
    <w:name w:val="Heading 2"/>
    <w:basedOn w:val="960"/>
    <w:next w:val="960"/>
    <w:link w:val="785"/>
    <w:uiPriority w:val="9"/>
    <w:unhideWhenUsed/>
    <w:qFormat/>
    <w:pPr>
      <w:keepLines/>
      <w:keepNext/>
      <w:spacing w:before="360" w:after="200"/>
      <w:outlineLvl w:val="1"/>
    </w:pPr>
    <w:rPr>
      <w:rFonts w:ascii="Arial" w:hAnsi="Arial" w:eastAsia="Arial" w:cs="Arial"/>
      <w:sz w:val="34"/>
    </w:rPr>
  </w:style>
  <w:style w:type="character" w:styleId="785">
    <w:name w:val="Heading 2 Char"/>
    <w:link w:val="784"/>
    <w:uiPriority w:val="9"/>
    <w:rPr>
      <w:rFonts w:ascii="Arial" w:hAnsi="Arial" w:eastAsia="Arial" w:cs="Arial"/>
      <w:sz w:val="34"/>
    </w:rPr>
  </w:style>
  <w:style w:type="paragraph" w:styleId="786">
    <w:name w:val="Heading 3"/>
    <w:basedOn w:val="960"/>
    <w:next w:val="960"/>
    <w:link w:val="787"/>
    <w:uiPriority w:val="9"/>
    <w:unhideWhenUsed/>
    <w:qFormat/>
    <w:pPr>
      <w:keepLines/>
      <w:keepNext/>
      <w:spacing w:before="320" w:after="200"/>
      <w:outlineLvl w:val="2"/>
    </w:pPr>
    <w:rPr>
      <w:rFonts w:ascii="Arial" w:hAnsi="Arial" w:eastAsia="Arial" w:cs="Arial"/>
      <w:sz w:val="30"/>
      <w:szCs w:val="30"/>
    </w:rPr>
  </w:style>
  <w:style w:type="character" w:styleId="787">
    <w:name w:val="Heading 3 Char"/>
    <w:link w:val="786"/>
    <w:uiPriority w:val="9"/>
    <w:rPr>
      <w:rFonts w:ascii="Arial" w:hAnsi="Arial" w:eastAsia="Arial" w:cs="Arial"/>
      <w:sz w:val="30"/>
      <w:szCs w:val="30"/>
    </w:rPr>
  </w:style>
  <w:style w:type="paragraph" w:styleId="788">
    <w:name w:val="Heading 4"/>
    <w:basedOn w:val="960"/>
    <w:next w:val="960"/>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link w:val="788"/>
    <w:uiPriority w:val="9"/>
    <w:rPr>
      <w:rFonts w:ascii="Arial" w:hAnsi="Arial" w:eastAsia="Arial" w:cs="Arial"/>
      <w:b/>
      <w:bCs/>
      <w:sz w:val="26"/>
      <w:szCs w:val="26"/>
    </w:rPr>
  </w:style>
  <w:style w:type="paragraph" w:styleId="790">
    <w:name w:val="Heading 5"/>
    <w:basedOn w:val="960"/>
    <w:next w:val="960"/>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link w:val="790"/>
    <w:uiPriority w:val="9"/>
    <w:rPr>
      <w:rFonts w:ascii="Arial" w:hAnsi="Arial" w:eastAsia="Arial" w:cs="Arial"/>
      <w:b/>
      <w:bCs/>
      <w:sz w:val="24"/>
      <w:szCs w:val="24"/>
    </w:rPr>
  </w:style>
  <w:style w:type="paragraph" w:styleId="792">
    <w:name w:val="Heading 6"/>
    <w:basedOn w:val="960"/>
    <w:next w:val="960"/>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link w:val="792"/>
    <w:uiPriority w:val="9"/>
    <w:rPr>
      <w:rFonts w:ascii="Arial" w:hAnsi="Arial" w:eastAsia="Arial" w:cs="Arial"/>
      <w:b/>
      <w:bCs/>
      <w:sz w:val="22"/>
      <w:szCs w:val="22"/>
    </w:rPr>
  </w:style>
  <w:style w:type="paragraph" w:styleId="794">
    <w:name w:val="Heading 7"/>
    <w:basedOn w:val="960"/>
    <w:next w:val="960"/>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link w:val="794"/>
    <w:uiPriority w:val="9"/>
    <w:rPr>
      <w:rFonts w:ascii="Arial" w:hAnsi="Arial" w:eastAsia="Arial" w:cs="Arial"/>
      <w:b/>
      <w:bCs/>
      <w:i/>
      <w:iCs/>
      <w:sz w:val="22"/>
      <w:szCs w:val="22"/>
    </w:rPr>
  </w:style>
  <w:style w:type="paragraph" w:styleId="796">
    <w:name w:val="Heading 8"/>
    <w:basedOn w:val="960"/>
    <w:next w:val="960"/>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link w:val="796"/>
    <w:uiPriority w:val="9"/>
    <w:rPr>
      <w:rFonts w:ascii="Arial" w:hAnsi="Arial" w:eastAsia="Arial" w:cs="Arial"/>
      <w:i/>
      <w:iCs/>
      <w:sz w:val="22"/>
      <w:szCs w:val="22"/>
    </w:rPr>
  </w:style>
  <w:style w:type="paragraph" w:styleId="798">
    <w:name w:val="Heading 9"/>
    <w:basedOn w:val="960"/>
    <w:next w:val="960"/>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link w:val="798"/>
    <w:uiPriority w:val="9"/>
    <w:rPr>
      <w:rFonts w:ascii="Arial" w:hAnsi="Arial" w:eastAsia="Arial" w:cs="Arial"/>
      <w:i/>
      <w:iCs/>
      <w:sz w:val="21"/>
      <w:szCs w:val="21"/>
    </w:rPr>
  </w:style>
  <w:style w:type="paragraph" w:styleId="800">
    <w:name w:val="List Paragraph"/>
    <w:basedOn w:val="960"/>
    <w:uiPriority w:val="34"/>
    <w:qFormat/>
    <w:pPr>
      <w:contextualSpacing/>
      <w:ind w:left="720"/>
    </w:p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72"/>
    <w:link w:val="960"/>
    <w:qFormat/>
    <w:pPr>
      <w:jc w:val="both"/>
      <w:widowControl w:val="off"/>
    </w:pPr>
    <w:rPr>
      <w:sz w:val="21"/>
      <w:szCs w:val="21"/>
      <w:lang w:val="en-US" w:eastAsia="zh-CN" w:bidi="ar-SA"/>
    </w:rPr>
  </w:style>
  <w:style w:type="paragraph" w:styleId="961">
    <w:name w:val="标题 1"/>
    <w:basedOn w:val="960"/>
    <w:next w:val="960"/>
    <w:link w:val="973"/>
    <w:qFormat/>
    <w:pPr>
      <w:jc w:val="center"/>
      <w:keepNext/>
      <w:outlineLvl w:val="0"/>
    </w:pPr>
    <w:rPr>
      <w:rFonts w:ascii="楷体_GB2312" w:eastAsia="楷体_GB2312"/>
      <w:sz w:val="28"/>
      <w:szCs w:val="28"/>
    </w:rPr>
  </w:style>
  <w:style w:type="paragraph" w:styleId="962">
    <w:name w:val="标题 2"/>
    <w:basedOn w:val="960"/>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3">
    <w:name w:val="标题 3"/>
    <w:basedOn w:val="960"/>
    <w:next w:val="975"/>
    <w:link w:val="977"/>
    <w:qFormat/>
    <w:pPr>
      <w:keepLines/>
      <w:keepNext/>
      <w:spacing w:before="260" w:after="260" w:line="416" w:lineRule="auto"/>
      <w:outlineLvl w:val="2"/>
    </w:pPr>
    <w:rPr>
      <w:b/>
      <w:bCs/>
      <w:sz w:val="32"/>
      <w:szCs w:val="32"/>
    </w:rPr>
  </w:style>
  <w:style w:type="paragraph" w:styleId="964">
    <w:name w:val="标题 4"/>
    <w:basedOn w:val="960"/>
    <w:next w:val="975"/>
    <w:link w:val="978"/>
    <w:qFormat/>
    <w:pPr>
      <w:keepLines/>
      <w:keepNext/>
      <w:spacing w:before="280" w:after="290" w:line="376" w:lineRule="auto"/>
      <w:outlineLvl w:val="3"/>
    </w:pPr>
    <w:rPr>
      <w:rFonts w:ascii="Arial" w:hAnsi="Arial" w:eastAsia="黑体" w:cs="Arial"/>
      <w:b/>
      <w:bCs/>
      <w:sz w:val="28"/>
      <w:szCs w:val="28"/>
    </w:rPr>
  </w:style>
  <w:style w:type="paragraph" w:styleId="965">
    <w:name w:val="标题 5"/>
    <w:basedOn w:val="960"/>
    <w:next w:val="975"/>
    <w:link w:val="979"/>
    <w:qFormat/>
    <w:pPr>
      <w:keepNext/>
      <w:outlineLvl w:val="4"/>
    </w:pPr>
    <w:rPr>
      <w:rFonts w:ascii="宋体"/>
      <w:color w:val="000000"/>
      <w:sz w:val="28"/>
      <w:szCs w:val="28"/>
    </w:rPr>
  </w:style>
  <w:style w:type="paragraph" w:styleId="966">
    <w:name w:val="标题 6"/>
    <w:basedOn w:val="960"/>
    <w:next w:val="960"/>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name w:val="标题 7"/>
    <w:basedOn w:val="960"/>
    <w:next w:val="960"/>
    <w:link w:val="981"/>
    <w:qFormat/>
    <w:pPr>
      <w:numPr>
        <w:ilvl w:val="6"/>
        <w:numId w:val="1"/>
      </w:numPr>
      <w:keepLines/>
      <w:keepNext/>
      <w:spacing w:before="240" w:after="64" w:line="320" w:lineRule="auto"/>
      <w:outlineLvl w:val="6"/>
    </w:pPr>
    <w:rPr>
      <w:b/>
      <w:bCs/>
      <w:sz w:val="24"/>
      <w:szCs w:val="24"/>
    </w:rPr>
  </w:style>
  <w:style w:type="paragraph" w:styleId="968">
    <w:name w:val="标题 8"/>
    <w:basedOn w:val="960"/>
    <w:next w:val="960"/>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69">
    <w:name w:val="标题 9"/>
    <w:basedOn w:val="960"/>
    <w:next w:val="960"/>
    <w:link w:val="983"/>
    <w:qFormat/>
    <w:pPr>
      <w:numPr>
        <w:ilvl w:val="8"/>
        <w:numId w:val="1"/>
      </w:numPr>
      <w:keepLines/>
      <w:keepNext/>
      <w:spacing w:before="240" w:after="64" w:line="320" w:lineRule="auto"/>
      <w:outlineLvl w:val="8"/>
    </w:pPr>
    <w:rPr>
      <w:rFonts w:ascii="Arial" w:hAnsi="Arial" w:eastAsia="黑体"/>
    </w:rPr>
  </w:style>
  <w:style w:type="character" w:styleId="970">
    <w:name w:val="默认段落字体"/>
    <w:next w:val="970"/>
    <w:link w:val="960"/>
    <w:uiPriority w:val="1"/>
    <w:unhideWhenUsed/>
  </w:style>
  <w:style w:type="table" w:styleId="971">
    <w:name w:val="普通表格"/>
    <w:next w:val="971"/>
    <w:link w:val="960"/>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972">
    <w:name w:val="目录 11"/>
    <w:basedOn w:val="960"/>
    <w:next w:val="960"/>
    <w:link w:val="960"/>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973">
    <w:name w:val="标题 1 字符"/>
    <w:next w:val="973"/>
    <w:link w:val="961"/>
    <w:rPr>
      <w:rFonts w:ascii="楷体_GB2312" w:hAnsi="Times New Roman" w:eastAsia="楷体_GB2312" w:cs="Times New Roman"/>
      <w:sz w:val="28"/>
      <w:szCs w:val="28"/>
    </w:rPr>
  </w:style>
  <w:style w:type="character" w:styleId="974">
    <w:name w:val="标题 2 字符"/>
    <w:next w:val="974"/>
    <w:link w:val="962"/>
    <w:rPr>
      <w:rFonts w:ascii="Arial" w:hAnsi="Arial" w:eastAsia="幼圆" w:cs="Arial"/>
      <w:b/>
      <w:bCs/>
      <w:sz w:val="44"/>
      <w:szCs w:val="44"/>
    </w:rPr>
  </w:style>
  <w:style w:type="paragraph" w:styleId="975">
    <w:name w:val="正文缩进"/>
    <w:basedOn w:val="960"/>
    <w:next w:val="975"/>
    <w:link w:val="976"/>
    <w:pPr>
      <w:ind w:firstLine="420"/>
    </w:pPr>
  </w:style>
  <w:style w:type="character" w:styleId="976">
    <w:name w:val="正文缩进 字符"/>
    <w:next w:val="976"/>
    <w:link w:val="975"/>
    <w:rPr>
      <w:rFonts w:ascii="Times New Roman" w:hAnsi="Times New Roman" w:eastAsia="宋体" w:cs="Times New Roman"/>
      <w:szCs w:val="21"/>
    </w:rPr>
  </w:style>
  <w:style w:type="character" w:styleId="977">
    <w:name w:val="标题 3 字符"/>
    <w:next w:val="977"/>
    <w:link w:val="963"/>
    <w:rPr>
      <w:rFonts w:ascii="Times New Roman" w:hAnsi="Times New Roman" w:eastAsia="宋体" w:cs="Times New Roman"/>
      <w:b/>
      <w:bCs/>
      <w:sz w:val="32"/>
      <w:szCs w:val="32"/>
    </w:rPr>
  </w:style>
  <w:style w:type="character" w:styleId="978">
    <w:name w:val="标题 4 字符"/>
    <w:next w:val="978"/>
    <w:link w:val="964"/>
    <w:rPr>
      <w:rFonts w:ascii="Arial" w:hAnsi="Arial" w:eastAsia="黑体" w:cs="Arial"/>
      <w:b/>
      <w:bCs/>
      <w:sz w:val="28"/>
      <w:szCs w:val="28"/>
    </w:rPr>
  </w:style>
  <w:style w:type="character" w:styleId="979">
    <w:name w:val="标题 5 字符"/>
    <w:next w:val="979"/>
    <w:link w:val="965"/>
    <w:rPr>
      <w:rFonts w:ascii="宋体" w:hAnsi="Times New Roman" w:eastAsia="宋体" w:cs="Times New Roman"/>
      <w:color w:val="000000"/>
      <w:sz w:val="28"/>
      <w:szCs w:val="28"/>
    </w:rPr>
  </w:style>
  <w:style w:type="character" w:styleId="980">
    <w:name w:val="标题 6 字符"/>
    <w:next w:val="980"/>
    <w:link w:val="966"/>
    <w:rPr>
      <w:rFonts w:ascii="Arial" w:hAnsi="Arial" w:eastAsia="黑体" w:cs="Times New Roman"/>
      <w:b/>
      <w:bCs/>
      <w:sz w:val="24"/>
      <w:szCs w:val="24"/>
    </w:rPr>
  </w:style>
  <w:style w:type="character" w:styleId="981">
    <w:name w:val="标题 7 字符"/>
    <w:next w:val="981"/>
    <w:link w:val="967"/>
    <w:rPr>
      <w:rFonts w:ascii="Times New Roman" w:hAnsi="Times New Roman" w:eastAsia="宋体" w:cs="Times New Roman"/>
      <w:b/>
      <w:bCs/>
      <w:sz w:val="24"/>
      <w:szCs w:val="24"/>
    </w:rPr>
  </w:style>
  <w:style w:type="character" w:styleId="982">
    <w:name w:val="标题 8 字符"/>
    <w:next w:val="982"/>
    <w:link w:val="968"/>
    <w:rPr>
      <w:rFonts w:ascii="Arial" w:hAnsi="Arial" w:eastAsia="黑体" w:cs="Times New Roman"/>
      <w:sz w:val="24"/>
      <w:szCs w:val="24"/>
    </w:rPr>
  </w:style>
  <w:style w:type="character" w:styleId="983">
    <w:name w:val="标题 9 字符"/>
    <w:next w:val="983"/>
    <w:link w:val="969"/>
    <w:rPr>
      <w:rFonts w:ascii="Arial" w:hAnsi="Arial" w:eastAsia="黑体" w:cs="Times New Roman"/>
      <w:szCs w:val="21"/>
    </w:rPr>
  </w:style>
  <w:style w:type="paragraph" w:styleId="984">
    <w:name w:val="列表 3"/>
    <w:basedOn w:val="960"/>
    <w:next w:val="984"/>
    <w:link w:val="960"/>
    <w:pPr>
      <w:ind w:left="100" w:hanging="200"/>
    </w:pPr>
  </w:style>
  <w:style w:type="paragraph" w:styleId="985">
    <w:name w:val="目录 7"/>
    <w:basedOn w:val="960"/>
    <w:next w:val="960"/>
    <w:link w:val="960"/>
    <w:semiHidden/>
    <w:pPr>
      <w:ind w:left="1260"/>
      <w:jc w:val="left"/>
    </w:pPr>
  </w:style>
  <w:style w:type="paragraph" w:styleId="986">
    <w:name w:val="文档结构图"/>
    <w:basedOn w:val="960"/>
    <w:next w:val="986"/>
    <w:link w:val="987"/>
    <w:semiHidden/>
    <w:pPr>
      <w:shd w:val="clear" w:color="auto" w:fill="000080"/>
    </w:pPr>
  </w:style>
  <w:style w:type="character" w:styleId="987">
    <w:name w:val="文档结构图 字符"/>
    <w:next w:val="987"/>
    <w:link w:val="986"/>
    <w:semiHidden/>
    <w:rPr>
      <w:rFonts w:ascii="Times New Roman" w:hAnsi="Times New Roman" w:eastAsia="宋体" w:cs="Times New Roman"/>
      <w:szCs w:val="21"/>
      <w:shd w:val="clear" w:color="auto" w:fill="000080"/>
    </w:rPr>
  </w:style>
  <w:style w:type="paragraph" w:styleId="988">
    <w:name w:val="批注文字"/>
    <w:basedOn w:val="960"/>
    <w:next w:val="988"/>
    <w:link w:val="989"/>
    <w:semiHidden/>
    <w:pPr>
      <w:jc w:val="left"/>
    </w:pPr>
  </w:style>
  <w:style w:type="character" w:styleId="989">
    <w:name w:val="批注文字 字符"/>
    <w:next w:val="989"/>
    <w:link w:val="988"/>
    <w:semiHidden/>
    <w:rPr>
      <w:rFonts w:ascii="Times New Roman" w:hAnsi="Times New Roman" w:eastAsia="宋体" w:cs="Times New Roman"/>
      <w:szCs w:val="21"/>
    </w:rPr>
  </w:style>
  <w:style w:type="paragraph" w:styleId="990">
    <w:name w:val="正文文本 3"/>
    <w:basedOn w:val="960"/>
    <w:next w:val="990"/>
    <w:link w:val="991"/>
    <w:rPr>
      <w:rFonts w:ascii="仿宋_GB2312" w:hAnsi="Arial" w:eastAsia="仿宋_GB2312"/>
      <w:sz w:val="32"/>
      <w:szCs w:val="32"/>
    </w:rPr>
  </w:style>
  <w:style w:type="character" w:styleId="991">
    <w:name w:val="正文文本 3 字符"/>
    <w:next w:val="991"/>
    <w:link w:val="990"/>
    <w:rPr>
      <w:rFonts w:ascii="仿宋_GB2312" w:hAnsi="Arial" w:eastAsia="仿宋_GB2312" w:cs="Times New Roman"/>
      <w:sz w:val="32"/>
      <w:szCs w:val="32"/>
    </w:rPr>
  </w:style>
  <w:style w:type="paragraph" w:styleId="992">
    <w:name w:val="正文文本"/>
    <w:basedOn w:val="960"/>
    <w:next w:val="960"/>
    <w:link w:val="993"/>
    <w:rPr>
      <w:rFonts w:ascii="楷体_GB2312" w:hAnsi="Arial" w:eastAsia="楷体_GB2312"/>
      <w:sz w:val="28"/>
      <w:szCs w:val="28"/>
    </w:rPr>
  </w:style>
  <w:style w:type="character" w:styleId="993">
    <w:name w:val="正文文本 字符"/>
    <w:next w:val="993"/>
    <w:link w:val="992"/>
    <w:rPr>
      <w:rFonts w:ascii="楷体_GB2312" w:hAnsi="Arial" w:eastAsia="楷体_GB2312" w:cs="Times New Roman"/>
      <w:sz w:val="28"/>
      <w:szCs w:val="28"/>
    </w:rPr>
  </w:style>
  <w:style w:type="paragraph" w:styleId="994">
    <w:name w:val="正文文本缩进"/>
    <w:basedOn w:val="960"/>
    <w:next w:val="994"/>
    <w:link w:val="995"/>
    <w:pPr>
      <w:ind w:firstLine="645"/>
    </w:pPr>
    <w:rPr>
      <w:rFonts w:ascii="楷体_GB2312" w:eastAsia="楷体_GB2312"/>
      <w:sz w:val="32"/>
      <w:szCs w:val="32"/>
    </w:rPr>
  </w:style>
  <w:style w:type="character" w:styleId="995">
    <w:name w:val="正文文本缩进 字符"/>
    <w:next w:val="995"/>
    <w:link w:val="994"/>
    <w:rPr>
      <w:rFonts w:ascii="楷体_GB2312" w:hAnsi="Times New Roman" w:eastAsia="楷体_GB2312" w:cs="Times New Roman"/>
      <w:sz w:val="32"/>
      <w:szCs w:val="32"/>
    </w:rPr>
  </w:style>
  <w:style w:type="paragraph" w:styleId="996">
    <w:name w:val="列表 2"/>
    <w:basedOn w:val="960"/>
    <w:next w:val="996"/>
    <w:link w:val="960"/>
    <w:pPr>
      <w:ind w:left="100" w:hanging="200"/>
    </w:pPr>
  </w:style>
  <w:style w:type="paragraph" w:styleId="997">
    <w:name w:val="目录 5"/>
    <w:basedOn w:val="960"/>
    <w:next w:val="960"/>
    <w:link w:val="960"/>
    <w:semiHidden/>
    <w:pPr>
      <w:ind w:left="840"/>
      <w:jc w:val="left"/>
    </w:pPr>
  </w:style>
  <w:style w:type="paragraph" w:styleId="998">
    <w:name w:val="目录 3"/>
    <w:basedOn w:val="960"/>
    <w:next w:val="960"/>
    <w:link w:val="960"/>
    <w:semiHidden/>
    <w:pPr>
      <w:ind w:left="420"/>
      <w:jc w:val="left"/>
    </w:pPr>
    <w:rPr>
      <w:i/>
      <w:iCs/>
      <w:szCs w:val="24"/>
    </w:rPr>
  </w:style>
  <w:style w:type="paragraph" w:styleId="999">
    <w:name w:val="纯文本"/>
    <w:basedOn w:val="960"/>
    <w:next w:val="999"/>
    <w:link w:val="1000"/>
    <w:rPr>
      <w:rFonts w:ascii="宋体" w:hAnsi="Courier New" w:cs="Courier New"/>
    </w:rPr>
  </w:style>
  <w:style w:type="character" w:styleId="1000">
    <w:name w:val="纯文本 字符"/>
    <w:next w:val="1000"/>
    <w:link w:val="999"/>
    <w:rPr>
      <w:rFonts w:ascii="宋体" w:hAnsi="Courier New" w:eastAsia="宋体" w:cs="Courier New"/>
      <w:szCs w:val="21"/>
    </w:rPr>
  </w:style>
  <w:style w:type="paragraph" w:styleId="1001">
    <w:name w:val="目录 8"/>
    <w:basedOn w:val="960"/>
    <w:next w:val="960"/>
    <w:link w:val="960"/>
    <w:semiHidden/>
    <w:pPr>
      <w:ind w:left="1470"/>
      <w:jc w:val="left"/>
    </w:pPr>
  </w:style>
  <w:style w:type="paragraph" w:styleId="1002">
    <w:name w:val="日期"/>
    <w:basedOn w:val="960"/>
    <w:next w:val="960"/>
    <w:link w:val="1003"/>
    <w:rPr>
      <w:sz w:val="24"/>
      <w:szCs w:val="24"/>
    </w:rPr>
  </w:style>
  <w:style w:type="character" w:styleId="1003">
    <w:name w:val="日期 字符"/>
    <w:next w:val="1003"/>
    <w:link w:val="1002"/>
    <w:rPr>
      <w:rFonts w:ascii="Times New Roman" w:hAnsi="Times New Roman" w:eastAsia="宋体" w:cs="Times New Roman"/>
      <w:sz w:val="24"/>
      <w:szCs w:val="24"/>
    </w:rPr>
  </w:style>
  <w:style w:type="paragraph" w:styleId="1004">
    <w:name w:val="正文文本缩进 2"/>
    <w:basedOn w:val="960"/>
    <w:next w:val="1004"/>
    <w:link w:val="1005"/>
    <w:pPr>
      <w:ind w:left="630" w:firstLine="645"/>
    </w:pPr>
    <w:rPr>
      <w:rFonts w:ascii="Arial" w:hAnsi="Arial" w:eastAsia="仿宋_GB2312" w:cs="Arial"/>
      <w:sz w:val="32"/>
      <w:szCs w:val="32"/>
    </w:rPr>
  </w:style>
  <w:style w:type="character" w:styleId="1005">
    <w:name w:val="正文文本缩进 2 字符"/>
    <w:next w:val="1005"/>
    <w:link w:val="1004"/>
    <w:rPr>
      <w:rFonts w:ascii="Arial" w:hAnsi="Arial" w:eastAsia="仿宋_GB2312" w:cs="Arial"/>
      <w:sz w:val="32"/>
      <w:szCs w:val="32"/>
    </w:rPr>
  </w:style>
  <w:style w:type="paragraph" w:styleId="1006">
    <w:name w:val="批注框文本"/>
    <w:basedOn w:val="960"/>
    <w:next w:val="1006"/>
    <w:link w:val="1007"/>
    <w:semiHidden/>
    <w:rPr>
      <w:sz w:val="18"/>
      <w:szCs w:val="18"/>
    </w:rPr>
  </w:style>
  <w:style w:type="character" w:styleId="1007">
    <w:name w:val="批注框文本 字符"/>
    <w:next w:val="1007"/>
    <w:link w:val="1006"/>
    <w:semiHidden/>
    <w:rPr>
      <w:rFonts w:ascii="Times New Roman" w:hAnsi="Times New Roman" w:eastAsia="宋体" w:cs="Times New Roman"/>
      <w:sz w:val="18"/>
      <w:szCs w:val="18"/>
    </w:rPr>
  </w:style>
  <w:style w:type="paragraph" w:styleId="1008">
    <w:name w:val="页脚"/>
    <w:basedOn w:val="960"/>
    <w:next w:val="1008"/>
    <w:link w:val="1009"/>
    <w:uiPriority w:val="99"/>
    <w:pPr>
      <w:jc w:val="left"/>
      <w:tabs>
        <w:tab w:val="center" w:pos="4153" w:leader="none"/>
        <w:tab w:val="right" w:pos="8306" w:leader="none"/>
      </w:tabs>
    </w:pPr>
    <w:rPr>
      <w:sz w:val="18"/>
      <w:szCs w:val="18"/>
    </w:rPr>
  </w:style>
  <w:style w:type="character" w:styleId="1009">
    <w:name w:val="页脚 字符"/>
    <w:next w:val="1009"/>
    <w:link w:val="1008"/>
    <w:uiPriority w:val="99"/>
    <w:rPr>
      <w:rFonts w:ascii="Times New Roman" w:hAnsi="Times New Roman" w:eastAsia="宋体" w:cs="Times New Roman"/>
      <w:sz w:val="18"/>
      <w:szCs w:val="18"/>
    </w:rPr>
  </w:style>
  <w:style w:type="paragraph" w:styleId="1010">
    <w:name w:val="页眉"/>
    <w:basedOn w:val="960"/>
    <w:next w:val="1010"/>
    <w:link w:val="1011"/>
    <w:pPr>
      <w:jc w:val="center"/>
      <w:tabs>
        <w:tab w:val="center" w:pos="4153" w:leader="none"/>
        <w:tab w:val="right" w:pos="8306" w:leader="none"/>
      </w:tabs>
      <w:pBdr>
        <w:bottom w:val="single" w:color="000000" w:sz="6" w:space="1"/>
      </w:pBdr>
    </w:pPr>
    <w:rPr>
      <w:sz w:val="18"/>
      <w:szCs w:val="18"/>
    </w:rPr>
  </w:style>
  <w:style w:type="character" w:styleId="1011">
    <w:name w:val="页眉 字符"/>
    <w:next w:val="1011"/>
    <w:link w:val="1010"/>
    <w:rPr>
      <w:rFonts w:ascii="Times New Roman" w:hAnsi="Times New Roman" w:eastAsia="宋体" w:cs="Times New Roman"/>
      <w:sz w:val="18"/>
      <w:szCs w:val="18"/>
    </w:rPr>
  </w:style>
  <w:style w:type="paragraph" w:styleId="1012">
    <w:name w:val="目录 1"/>
    <w:basedOn w:val="960"/>
    <w:next w:val="960"/>
    <w:link w:val="960"/>
    <w:semiHidden/>
    <w:pPr>
      <w:jc w:val="left"/>
      <w:spacing w:before="120" w:after="120" w:line="400" w:lineRule="exact"/>
      <w:tabs>
        <w:tab w:val="right" w:pos="8720" w:leader="dot"/>
      </w:tabs>
    </w:pPr>
    <w:rPr>
      <w:rFonts w:ascii="宋体" w:hAnsi="宋体"/>
      <w:caps/>
      <w:sz w:val="24"/>
      <w:szCs w:val="24"/>
    </w:rPr>
  </w:style>
  <w:style w:type="paragraph" w:styleId="1013">
    <w:name w:val="目录 4"/>
    <w:basedOn w:val="960"/>
    <w:next w:val="960"/>
    <w:link w:val="960"/>
    <w:semiHidden/>
    <w:pPr>
      <w:ind w:left="630"/>
      <w:jc w:val="left"/>
    </w:pPr>
  </w:style>
  <w:style w:type="paragraph" w:styleId="1014">
    <w:name w:val="列表"/>
    <w:basedOn w:val="960"/>
    <w:next w:val="1014"/>
    <w:link w:val="960"/>
    <w:pPr>
      <w:ind w:left="200" w:hanging="200"/>
    </w:pPr>
  </w:style>
  <w:style w:type="paragraph" w:styleId="1015">
    <w:name w:val="目录 6"/>
    <w:basedOn w:val="960"/>
    <w:next w:val="960"/>
    <w:link w:val="960"/>
    <w:semiHidden/>
    <w:pPr>
      <w:ind w:left="1050"/>
      <w:jc w:val="left"/>
    </w:pPr>
  </w:style>
  <w:style w:type="paragraph" w:styleId="1016">
    <w:name w:val="正文文本缩进 3"/>
    <w:basedOn w:val="960"/>
    <w:next w:val="1016"/>
    <w:link w:val="1017"/>
    <w:pPr>
      <w:ind w:left="645" w:firstLine="645"/>
    </w:pPr>
    <w:rPr>
      <w:rFonts w:ascii="Arial" w:hAnsi="Arial" w:eastAsia="仿宋_GB2312" w:cs="Arial"/>
      <w:color w:val="ffff00"/>
      <w:sz w:val="32"/>
      <w:szCs w:val="32"/>
    </w:rPr>
  </w:style>
  <w:style w:type="character" w:styleId="1017">
    <w:name w:val="正文文本缩进 3 字符"/>
    <w:next w:val="1017"/>
    <w:link w:val="1016"/>
    <w:rPr>
      <w:rFonts w:ascii="Arial" w:hAnsi="Arial" w:eastAsia="仿宋_GB2312" w:cs="Arial"/>
      <w:color w:val="ffff00"/>
      <w:sz w:val="32"/>
      <w:szCs w:val="32"/>
    </w:rPr>
  </w:style>
  <w:style w:type="paragraph" w:styleId="1018">
    <w:name w:val="图表目录"/>
    <w:basedOn w:val="960"/>
    <w:next w:val="960"/>
    <w:link w:val="960"/>
    <w:semiHidden/>
    <w:pPr>
      <w:ind w:left="840" w:hanging="420"/>
    </w:pPr>
  </w:style>
  <w:style w:type="paragraph" w:styleId="1019">
    <w:name w:val="目录 2"/>
    <w:basedOn w:val="960"/>
    <w:next w:val="960"/>
    <w:link w:val="960"/>
    <w:semiHidden/>
    <w:pPr>
      <w:ind w:left="210"/>
      <w:jc w:val="left"/>
    </w:pPr>
    <w:rPr>
      <w:smallCaps/>
      <w:szCs w:val="24"/>
    </w:rPr>
  </w:style>
  <w:style w:type="paragraph" w:styleId="1020">
    <w:name w:val="目录 9"/>
    <w:basedOn w:val="960"/>
    <w:next w:val="960"/>
    <w:link w:val="960"/>
    <w:semiHidden/>
    <w:pPr>
      <w:ind w:left="1680"/>
      <w:jc w:val="left"/>
    </w:pPr>
  </w:style>
  <w:style w:type="paragraph" w:styleId="1021">
    <w:name w:val="正文文本 2"/>
    <w:basedOn w:val="960"/>
    <w:next w:val="1021"/>
    <w:link w:val="1022"/>
    <w:pPr>
      <w:jc w:val="center"/>
      <w:widowControl/>
    </w:pPr>
    <w:rPr>
      <w:rFonts w:ascii="楷体_GB2312" w:eastAsia="楷体_GB2312"/>
      <w:sz w:val="28"/>
      <w:szCs w:val="28"/>
    </w:rPr>
  </w:style>
  <w:style w:type="character" w:styleId="1022">
    <w:name w:val="正文文本 2 字符"/>
    <w:next w:val="1022"/>
    <w:link w:val="1021"/>
    <w:rPr>
      <w:rFonts w:ascii="楷体_GB2312" w:hAnsi="Times New Roman" w:eastAsia="楷体_GB2312" w:cs="Times New Roman"/>
      <w:sz w:val="28"/>
      <w:szCs w:val="28"/>
    </w:rPr>
  </w:style>
  <w:style w:type="paragraph" w:styleId="1023">
    <w:name w:val="普通(网站)"/>
    <w:basedOn w:val="960"/>
    <w:next w:val="1023"/>
    <w:link w:val="960"/>
    <w:uiPriority w:val="99"/>
    <w:pPr>
      <w:jc w:val="left"/>
      <w:spacing w:before="100" w:beforeAutospacing="1" w:after="100" w:afterAutospacing="1"/>
      <w:widowControl/>
    </w:pPr>
    <w:rPr>
      <w:rFonts w:ascii="宋体" w:hAnsi="宋体" w:cs="宋体"/>
      <w:sz w:val="24"/>
      <w:szCs w:val="24"/>
    </w:rPr>
  </w:style>
  <w:style w:type="paragraph" w:styleId="1024">
    <w:name w:val="索引 1"/>
    <w:basedOn w:val="960"/>
    <w:next w:val="960"/>
    <w:link w:val="960"/>
    <w:semiHidden/>
    <w:pPr>
      <w:spacing w:line="240" w:lineRule="atLeast"/>
    </w:pPr>
    <w:rPr>
      <w:b/>
      <w:bCs/>
    </w:rPr>
  </w:style>
  <w:style w:type="paragraph" w:styleId="1025">
    <w:name w:val="批注主题"/>
    <w:basedOn w:val="988"/>
    <w:next w:val="988"/>
    <w:link w:val="1026"/>
    <w:semiHidden/>
    <w:rPr>
      <w:b/>
      <w:bCs/>
    </w:rPr>
  </w:style>
  <w:style w:type="character" w:styleId="1026">
    <w:name w:val="批注主题 字符"/>
    <w:next w:val="1026"/>
    <w:link w:val="1025"/>
    <w:semiHidden/>
    <w:rPr>
      <w:rFonts w:ascii="Times New Roman" w:hAnsi="Times New Roman" w:eastAsia="宋体" w:cs="Times New Roman"/>
      <w:b/>
      <w:bCs/>
      <w:szCs w:val="21"/>
    </w:rPr>
  </w:style>
  <w:style w:type="paragraph" w:styleId="1027">
    <w:name w:val="正文首行缩进"/>
    <w:basedOn w:val="960"/>
    <w:next w:val="1027"/>
    <w:link w:val="1028"/>
    <w:pPr>
      <w:ind w:firstLine="200"/>
      <w:spacing w:line="360" w:lineRule="auto"/>
    </w:pPr>
    <w:rPr>
      <w:rFonts w:ascii="仿宋_GB2312" w:eastAsia="仿宋_GB2312"/>
      <w:sz w:val="30"/>
      <w:szCs w:val="30"/>
    </w:rPr>
  </w:style>
  <w:style w:type="character" w:styleId="1028">
    <w:name w:val="正文首行缩进 字符"/>
    <w:next w:val="1028"/>
    <w:link w:val="1027"/>
    <w:rPr>
      <w:rFonts w:ascii="仿宋_GB2312" w:hAnsi="Times New Roman" w:eastAsia="仿宋_GB2312" w:cs="Times New Roman"/>
      <w:sz w:val="30"/>
      <w:szCs w:val="30"/>
    </w:rPr>
  </w:style>
  <w:style w:type="paragraph" w:styleId="1029">
    <w:name w:val="正文首行缩进 2"/>
    <w:basedOn w:val="994"/>
    <w:next w:val="1029"/>
    <w:link w:val="1030"/>
    <w:pPr>
      <w:ind w:firstLine="420"/>
      <w:spacing w:line="360" w:lineRule="auto"/>
    </w:pPr>
    <w:rPr>
      <w:rFonts w:ascii="宋体" w:hAnsi="宋体" w:eastAsia="宋体"/>
      <w:sz w:val="21"/>
      <w:szCs w:val="20"/>
    </w:rPr>
  </w:style>
  <w:style w:type="character" w:styleId="1030">
    <w:name w:val="正文首行缩进 2 字符"/>
    <w:next w:val="1030"/>
    <w:link w:val="1029"/>
    <w:rPr>
      <w:rFonts w:ascii="宋体" w:hAnsi="宋体" w:eastAsia="宋体" w:cs="Times New Roman"/>
      <w:sz w:val="32"/>
      <w:szCs w:val="20"/>
    </w:rPr>
  </w:style>
  <w:style w:type="table" w:styleId="1031">
    <w:name w:val="网格型"/>
    <w:basedOn w:val="971"/>
    <w:next w:val="1031"/>
    <w:link w:val="960"/>
    <w:pPr>
      <w:jc w:val="both"/>
      <w:widowControl w:val="off"/>
    </w:pPr>
    <w:rPr>
      <w:rFonts w:ascii="Times New Roman" w:hAnsi="Times New Roman" w:eastAsia="宋体" w:cs="Times New Roman"/>
      <w:sz w:val="20"/>
      <w:szCs w:val="20"/>
    </w:rPr>
    <w:tblPr/>
  </w:style>
  <w:style w:type="character" w:styleId="1032">
    <w:name w:val="要点"/>
    <w:next w:val="1032"/>
    <w:link w:val="960"/>
    <w:uiPriority w:val="22"/>
    <w:qFormat/>
    <w:rPr>
      <w:b/>
      <w:bCs/>
    </w:rPr>
  </w:style>
  <w:style w:type="character" w:styleId="1033">
    <w:name w:val="页码"/>
    <w:next w:val="1033"/>
    <w:link w:val="960"/>
  </w:style>
  <w:style w:type="character" w:styleId="1034">
    <w:name w:val="已访问的超链接"/>
    <w:next w:val="1034"/>
    <w:link w:val="960"/>
    <w:rPr>
      <w:color w:val="800080"/>
      <w:u w:val="single"/>
    </w:rPr>
  </w:style>
  <w:style w:type="character" w:styleId="1035">
    <w:name w:val="强调"/>
    <w:next w:val="1035"/>
    <w:link w:val="960"/>
    <w:qFormat/>
    <w:rPr>
      <w:i/>
    </w:rPr>
  </w:style>
  <w:style w:type="character" w:styleId="1036">
    <w:name w:val="超链接"/>
    <w:next w:val="1036"/>
    <w:link w:val="960"/>
    <w:rPr>
      <w:color w:val="0000ff"/>
      <w:u w:val="single"/>
    </w:rPr>
  </w:style>
  <w:style w:type="character" w:styleId="1037">
    <w:name w:val="批注引用"/>
    <w:next w:val="1037"/>
    <w:link w:val="960"/>
    <w:semiHidden/>
    <w:rPr>
      <w:sz w:val="21"/>
      <w:szCs w:val="21"/>
    </w:rPr>
  </w:style>
  <w:style w:type="character" w:styleId="1038">
    <w:name w:val="font5 Char"/>
    <w:next w:val="1038"/>
    <w:link w:val="960"/>
    <w:rPr>
      <w:rFonts w:ascii="宋体" w:hAnsi="宋体" w:eastAsia="宋体"/>
      <w:sz w:val="28"/>
      <w:szCs w:val="28"/>
      <w:lang w:val="en-US" w:eastAsia="zh-CN" w:bidi="ar-SA"/>
    </w:rPr>
  </w:style>
  <w:style w:type="character" w:styleId="1039">
    <w:name w:val="二级目录 Char"/>
    <w:next w:val="1039"/>
    <w:link w:val="1040"/>
    <w:rPr>
      <w:b/>
      <w:sz w:val="30"/>
      <w:szCs w:val="28"/>
    </w:rPr>
  </w:style>
  <w:style w:type="paragraph" w:styleId="1040">
    <w:name w:val="二级目录"/>
    <w:next w:val="960"/>
    <w:link w:val="1039"/>
    <w:pPr>
      <w:numPr>
        <w:ilvl w:val="0"/>
        <w:numId w:val="2"/>
      </w:numPr>
      <w:tabs>
        <w:tab w:val="left" w:pos="907" w:leader="none"/>
        <w:tab w:val="left" w:pos="1145" w:leader="none"/>
      </w:tabs>
      <w:outlineLvl w:val="1"/>
    </w:pPr>
    <w:rPr>
      <w:b/>
      <w:sz w:val="30"/>
      <w:szCs w:val="28"/>
      <w:lang w:val="en-US" w:eastAsia="zh-CN" w:bidi="ar-SA"/>
    </w:rPr>
  </w:style>
  <w:style w:type="character" w:styleId="1041">
    <w:name w:val="列出段落 Char,Bullet List Char,numbered Char,FooterText Char,List Paragraph1 Char,Paragraphe de liste1 Char"/>
    <w:next w:val="1041"/>
    <w:link w:val="1042"/>
    <w:rPr>
      <w:rFonts w:ascii="Calibri" w:hAnsi="Calibri"/>
      <w:sz w:val="24"/>
      <w:szCs w:val="24"/>
      <w:lang w:eastAsia="en-US" w:bidi="en-US"/>
    </w:rPr>
  </w:style>
  <w:style w:type="paragraph" w:styleId="1042">
    <w:name w:val="列出段落1"/>
    <w:basedOn w:val="960"/>
    <w:next w:val="1042"/>
    <w:link w:val="1041"/>
    <w:qFormat/>
    <w:pPr>
      <w:contextualSpacing/>
      <w:ind w:left="720"/>
      <w:jc w:val="left"/>
      <w:widowControl/>
    </w:pPr>
    <w:rPr>
      <w:rFonts w:ascii="Calibri" w:hAnsi="Calibri" w:eastAsia="宋体" w:cs="Times New Roman"/>
      <w:sz w:val="24"/>
      <w:szCs w:val="24"/>
      <w:lang w:eastAsia="en-US" w:bidi="en-US"/>
    </w:rPr>
  </w:style>
  <w:style w:type="paragraph" w:styleId="1043">
    <w:name w:val="Body Text(ch)"/>
    <w:basedOn w:val="960"/>
    <w:next w:val="992"/>
    <w:link w:val="960"/>
    <w:pPr>
      <w:spacing w:after="120"/>
    </w:pPr>
    <w:rPr>
      <w:rFonts w:ascii="宋体" w:hAnsi="Arial"/>
      <w:bCs/>
      <w:iCs/>
      <w:szCs w:val="24"/>
    </w:rPr>
  </w:style>
  <w:style w:type="paragraph" w:styleId="1044">
    <w:name w:val="xl27"/>
    <w:basedOn w:val="960"/>
    <w:next w:val="1044"/>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6"/>
    <w:basedOn w:val="960"/>
    <w:next w:val="104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name w:val="Char"/>
    <w:basedOn w:val="960"/>
    <w:next w:val="1046"/>
    <w:link w:val="960"/>
    <w:pPr>
      <w:ind w:firstLine="200"/>
      <w:tabs>
        <w:tab w:val="left" w:pos="360" w:leader="none"/>
      </w:tabs>
    </w:pPr>
    <w:rPr>
      <w:sz w:val="28"/>
      <w:szCs w:val="30"/>
    </w:rPr>
  </w:style>
  <w:style w:type="paragraph" w:styleId="1047">
    <w:name w:val=" Char"/>
    <w:basedOn w:val="986"/>
    <w:next w:val="1047"/>
    <w:link w:val="960"/>
    <w:rPr>
      <w:rFonts w:ascii="Tahoma" w:hAnsi="Tahoma"/>
      <w:sz w:val="24"/>
      <w:szCs w:val="24"/>
    </w:rPr>
  </w:style>
  <w:style w:type="paragraph" w:styleId="1048">
    <w:name w:val="普通正文"/>
    <w:basedOn w:val="960"/>
    <w:next w:val="1048"/>
    <w:link w:val="960"/>
    <w:pPr>
      <w:ind w:firstLine="480"/>
      <w:jc w:val="left"/>
      <w:spacing w:before="120" w:after="120" w:line="360" w:lineRule="auto"/>
    </w:pPr>
    <w:rPr>
      <w:rFonts w:ascii="Arial" w:hAnsi="Arial"/>
      <w:sz w:val="24"/>
      <w:szCs w:val="24"/>
    </w:rPr>
  </w:style>
  <w:style w:type="paragraph" w:styleId="1049">
    <w:name w:val="table_lines"/>
    <w:basedOn w:val="960"/>
    <w:next w:val="1049"/>
    <w:link w:val="960"/>
    <w:pPr>
      <w:jc w:val="left"/>
      <w:widowControl/>
    </w:pPr>
    <w:rPr>
      <w:sz w:val="20"/>
      <w:szCs w:val="20"/>
      <w:lang w:val="de-DE" w:eastAsia="de-DE"/>
    </w:rPr>
  </w:style>
  <w:style w:type="paragraph" w:styleId="1050">
    <w:name w:val="附录1"/>
    <w:next w:val="1050"/>
    <w:link w:val="960"/>
    <w:pPr>
      <w:numPr>
        <w:ilvl w:val="0"/>
        <w:numId w:val="2"/>
      </w:numPr>
      <w:spacing w:before="240" w:line="600" w:lineRule="atLeast"/>
      <w:tabs>
        <w:tab w:val="left" w:pos="907" w:leader="none"/>
      </w:tabs>
    </w:pPr>
    <w:rPr>
      <w:b/>
      <w:i/>
      <w:sz w:val="28"/>
      <w:lang w:val="en-US" w:eastAsia="zh-CN" w:bidi="ar-SA"/>
    </w:rPr>
  </w:style>
  <w:style w:type="paragraph" w:styleId="1051">
    <w:name w:val="font7"/>
    <w:basedOn w:val="960"/>
    <w:next w:val="1051"/>
    <w:link w:val="960"/>
    <w:pPr>
      <w:jc w:val="left"/>
      <w:spacing w:before="100" w:beforeAutospacing="1" w:after="100" w:afterAutospacing="1"/>
      <w:widowControl/>
    </w:pPr>
    <w:rPr>
      <w:rFonts w:hint="eastAsia" w:ascii="宋体" w:hAnsi="宋体"/>
      <w:sz w:val="18"/>
      <w:szCs w:val="18"/>
    </w:rPr>
  </w:style>
  <w:style w:type="paragraph" w:styleId="1052">
    <w:name w:val=" Char Char Char Char"/>
    <w:basedOn w:val="986"/>
    <w:next w:val="1052"/>
    <w:link w:val="960"/>
    <w:pPr>
      <w:spacing w:line="360" w:lineRule="auto"/>
    </w:pPr>
    <w:rPr>
      <w:rFonts w:ascii="Tahoma" w:hAnsi="Tahoma"/>
      <w:sz w:val="24"/>
      <w:szCs w:val="24"/>
    </w:rPr>
  </w:style>
  <w:style w:type="paragraph" w:styleId="1053">
    <w:name w:val="列出段落"/>
    <w:basedOn w:val="960"/>
    <w:next w:val="1053"/>
    <w:link w:val="960"/>
    <w:qFormat/>
    <w:pPr>
      <w:contextualSpacing/>
      <w:ind w:left="720"/>
      <w:jc w:val="left"/>
      <w:widowControl/>
    </w:pPr>
    <w:rPr>
      <w:rFonts w:ascii="Calibri" w:hAnsi="Calibri"/>
      <w:sz w:val="24"/>
      <w:szCs w:val="24"/>
      <w:lang w:eastAsia="en-US" w:bidi="en-US"/>
    </w:rPr>
  </w:style>
  <w:style w:type="paragraph" w:styleId="1054">
    <w:name w:val="4"/>
    <w:basedOn w:val="960"/>
    <w:next w:val="1016"/>
    <w:link w:val="960"/>
    <w:pPr>
      <w:ind w:firstLine="420"/>
      <w:spacing w:line="360" w:lineRule="auto"/>
    </w:pPr>
    <w:rPr>
      <w:color w:val="ff0000"/>
      <w:sz w:val="24"/>
      <w:szCs w:val="24"/>
    </w:rPr>
  </w:style>
  <w:style w:type="paragraph" w:styleId="1055">
    <w:name w:val="普通 (Web)"/>
    <w:basedOn w:val="960"/>
    <w:next w:val="1055"/>
    <w:link w:val="960"/>
    <w:pPr>
      <w:jc w:val="left"/>
      <w:spacing w:before="100" w:beforeAutospacing="1" w:after="100" w:afterAutospacing="1"/>
      <w:widowControl/>
    </w:pPr>
    <w:rPr>
      <w:rFonts w:ascii="宋体" w:hAnsi="宋体"/>
      <w:sz w:val="24"/>
      <w:szCs w:val="24"/>
    </w:rPr>
  </w:style>
  <w:style w:type="paragraph" w:styleId="1056">
    <w:name w:val=" Char Char Char Char Char Char Char Char Char Char"/>
    <w:basedOn w:val="960"/>
    <w:next w:val="1056"/>
    <w:link w:val="960"/>
    <w:pPr>
      <w:spacing w:line="360" w:lineRule="auto"/>
    </w:pPr>
    <w:rPr>
      <w:sz w:val="24"/>
      <w:szCs w:val="20"/>
    </w:rPr>
  </w:style>
  <w:style w:type="paragraph" w:styleId="1057">
    <w:name w:val="样式1"/>
    <w:basedOn w:val="960"/>
    <w:next w:val="1057"/>
    <w:link w:val="960"/>
    <w:pPr>
      <w:numPr>
        <w:ilvl w:val="0"/>
        <w:numId w:val="3"/>
      </w:numPr>
      <w:tabs>
        <w:tab w:val="left" w:pos="709" w:leader="none"/>
      </w:tabs>
    </w:pPr>
    <w:rPr>
      <w:rFonts w:ascii="宋体" w:hAnsi="宋体"/>
    </w:rPr>
  </w:style>
  <w:style w:type="paragraph" w:styleId="1058">
    <w:name w:val="font6"/>
    <w:basedOn w:val="960"/>
    <w:next w:val="1058"/>
    <w:link w:val="960"/>
    <w:pPr>
      <w:jc w:val="left"/>
      <w:spacing w:before="100" w:beforeAutospacing="1" w:after="100" w:afterAutospacing="1"/>
      <w:widowControl/>
    </w:pPr>
    <w:rPr>
      <w:rFonts w:hint="eastAsia" w:ascii="宋体" w:hAnsi="宋体"/>
      <w:sz w:val="28"/>
      <w:szCs w:val="28"/>
      <w:u w:val="single"/>
    </w:rPr>
  </w:style>
  <w:style w:type="paragraph" w:styleId="1059">
    <w:name w:val="xl25"/>
    <w:basedOn w:val="960"/>
    <w:next w:val="1059"/>
    <w:link w:val="9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960"/>
    <w:next w:val="960"/>
    <w:link w:val="9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name w:val="标题3"/>
    <w:basedOn w:val="960"/>
    <w:next w:val="960"/>
    <w:link w:val="960"/>
    <w:pPr>
      <w:ind w:firstLine="624"/>
      <w:spacing w:line="590" w:lineRule="atLeast"/>
    </w:pPr>
    <w:rPr>
      <w:rFonts w:ascii="方正黑体_GBK" w:eastAsia="方正黑体_GBK"/>
      <w:sz w:val="32"/>
      <w:szCs w:val="32"/>
    </w:rPr>
  </w:style>
  <w:style w:type="paragraph" w:styleId="1062">
    <w:name w:val="xl24"/>
    <w:basedOn w:val="960"/>
    <w:next w:val="1062"/>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9"/>
    <w:basedOn w:val="960"/>
    <w:next w:val="1063"/>
    <w:link w:val="9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name w:val="Char Char Char Char Char Char Char Char"/>
    <w:basedOn w:val="960"/>
    <w:next w:val="1064"/>
    <w:link w:val="960"/>
    <w:pPr>
      <w:jc w:val="left"/>
      <w:spacing w:after="160" w:line="240" w:lineRule="exact"/>
      <w:widowControl/>
    </w:pPr>
    <w:rPr>
      <w:rFonts w:ascii="Verdana" w:hAnsi="Verdana"/>
      <w:sz w:val="20"/>
      <w:szCs w:val="20"/>
      <w:lang w:eastAsia="en-US"/>
    </w:rPr>
  </w:style>
  <w:style w:type="paragraph" w:styleId="1065">
    <w:name w:val="xl28"/>
    <w:basedOn w:val="960"/>
    <w:next w:val="1065"/>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name w:val=" Char Char Char Char Char Char Char Char"/>
    <w:basedOn w:val="960"/>
    <w:next w:val="1066"/>
    <w:link w:val="960"/>
    <w:pPr>
      <w:jc w:val="left"/>
      <w:spacing w:after="160" w:line="240" w:lineRule="exact"/>
      <w:widowControl/>
    </w:pPr>
    <w:rPr>
      <w:rFonts w:ascii="Verdana" w:hAnsi="Verdana"/>
      <w:sz w:val="20"/>
      <w:szCs w:val="20"/>
      <w:lang w:eastAsia="en-US"/>
    </w:rPr>
  </w:style>
  <w:style w:type="paragraph" w:styleId="1067">
    <w:name w:val="xl30"/>
    <w:basedOn w:val="960"/>
    <w:next w:val="1067"/>
    <w:link w:val="960"/>
    <w:pPr>
      <w:jc w:val="center"/>
      <w:spacing w:before="100" w:beforeAutospacing="1" w:after="100" w:afterAutospacing="1"/>
      <w:widowControl/>
    </w:pPr>
    <w:rPr>
      <w:rFonts w:ascii="宋体" w:hAnsi="宋体"/>
      <w:b/>
      <w:bCs/>
      <w:sz w:val="36"/>
      <w:szCs w:val="36"/>
    </w:rPr>
  </w:style>
  <w:style w:type="paragraph" w:styleId="1068">
    <w:name w:val="Char Char Char Char"/>
    <w:basedOn w:val="986"/>
    <w:next w:val="1068"/>
    <w:link w:val="960"/>
    <w:pPr>
      <w:spacing w:line="360" w:lineRule="auto"/>
    </w:pPr>
    <w:rPr>
      <w:rFonts w:ascii="Tahoma" w:hAnsi="Tahoma"/>
      <w:sz w:val="24"/>
      <w:szCs w:val="24"/>
    </w:rPr>
  </w:style>
  <w:style w:type="paragraph" w:styleId="1069">
    <w:name w:val="table_1stline"/>
    <w:basedOn w:val="960"/>
    <w:next w:val="1069"/>
    <w:link w:val="960"/>
    <w:pPr>
      <w:jc w:val="left"/>
      <w:spacing w:before="120"/>
      <w:widowControl/>
    </w:pPr>
    <w:rPr>
      <w:bCs/>
      <w:sz w:val="20"/>
      <w:szCs w:val="20"/>
      <w:lang w:val="de-DE" w:eastAsia="de-DE"/>
    </w:rPr>
  </w:style>
  <w:style w:type="paragraph" w:styleId="1070">
    <w:name w:val="font5"/>
    <w:basedOn w:val="960"/>
    <w:next w:val="1070"/>
    <w:link w:val="960"/>
    <w:pPr>
      <w:jc w:val="left"/>
      <w:spacing w:before="100" w:beforeAutospacing="1" w:after="100" w:afterAutospacing="1"/>
      <w:widowControl/>
    </w:pPr>
    <w:rPr>
      <w:rFonts w:hint="eastAsia" w:ascii="宋体" w:hAnsi="宋体"/>
      <w:sz w:val="28"/>
      <w:szCs w:val="28"/>
    </w:rPr>
  </w:style>
  <w:style w:type="paragraph" w:styleId="1071">
    <w:name w:val="标题1"/>
    <w:basedOn w:val="960"/>
    <w:next w:val="960"/>
    <w:link w:val="96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name w:val="修订"/>
    <w:next w:val="1072"/>
    <w:link w:val="960"/>
    <w:uiPriority w:val="99"/>
    <w:semiHidden/>
    <w:rPr>
      <w:sz w:val="21"/>
      <w:szCs w:val="21"/>
      <w:lang w:val="en-US" w:eastAsia="zh-CN" w:bidi="ar-SA"/>
    </w:rPr>
  </w:style>
  <w:style w:type="paragraph" w:styleId="1073">
    <w:name w:val="无间隔"/>
    <w:next w:val="1073"/>
    <w:link w:val="960"/>
    <w:uiPriority w:val="99"/>
    <w:qFormat/>
    <w:pPr>
      <w:jc w:val="both"/>
      <w:widowControl w:val="off"/>
    </w:pPr>
    <w:rPr>
      <w:sz w:val="21"/>
      <w:szCs w:val="21"/>
      <w:lang w:val="en-US" w:eastAsia="zh-CN" w:bidi="ar-SA"/>
    </w:rPr>
  </w:style>
  <w:style w:type="paragraph" w:styleId="1074">
    <w:name w:val="索引 41"/>
    <w:basedOn w:val="960"/>
    <w:next w:val="960"/>
    <w:link w:val="960"/>
    <w:uiPriority w:val="99"/>
    <w:unhideWhenUsed/>
    <w:qFormat/>
    <w:pPr>
      <w:ind w:left="600"/>
    </w:p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5</cp:revision>
  <dcterms:created xsi:type="dcterms:W3CDTF">2023-03-16T02:16:00Z</dcterms:created>
  <dcterms:modified xsi:type="dcterms:W3CDTF">2026-06-25T06:53:19Z</dcterms:modified>
</cp:coreProperties>
</file>