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5"/>
        <w:rPr>
          <w:rFonts w:eastAsia="Times New Roman"/>
          <w:color w:val="000000" w:themeColor="text1"/>
          <w:sz w:val="29"/>
          <w:szCs w:val="29"/>
          <w:highlight w:val="none"/>
          <w14:textFill>
            <w14:solidFill>
              <w14:schemeClr w14:val="tx1"/>
            </w14:solidFill>
          </w14:textFill>
        </w:rPr>
      </w:pPr>
      <w:r>
        <w:rPr>
          <w:rFonts w:eastAsia="Times New Roman"/>
          <w:color w:val="000000" w:themeColor="text1"/>
          <w:sz w:val="29"/>
          <w:szCs w:val="29"/>
          <w:highlight w:val="none"/>
          <w14:textFill>
            <w14:solidFill>
              <w14:schemeClr w14:val="tx1"/>
            </w14:solidFill>
          </w14:textFill>
        </w:rPr>
      </w:r>
      <w:r/>
    </w:p>
    <w:p>
      <w:pPr>
        <w:jc w:val="center"/>
        <w:spacing w:line="820" w:lineRule="exact"/>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 xml:space="preserve">竞争性磋商文件</w:t>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spacing w:before="9"/>
        <w:rPr>
          <w:rFonts w:ascii="黑体" w:hAnsi="黑体" w:eastAsia="黑体"/>
          <w:color w:val="000000" w:themeColor="text1"/>
          <w:sz w:val="52"/>
          <w:szCs w:val="52"/>
          <w:highlight w:val="none"/>
          <w:lang w:eastAsia="zh-CN"/>
          <w14:textFill>
            <w14:solidFill>
              <w14:schemeClr w14:val="tx1"/>
            </w14:solidFill>
          </w14:textFill>
        </w:rPr>
      </w:pPr>
      <w:r>
        <w:rPr>
          <w:rFonts w:ascii="黑体" w:hAnsi="黑体" w:eastAsia="黑体"/>
          <w:color w:val="000000" w:themeColor="text1"/>
          <w:sz w:val="52"/>
          <w:szCs w:val="52"/>
          <w:highlight w:val="none"/>
          <w:lang w:eastAsia="zh-CN"/>
          <w14:textFill>
            <w14:solidFill>
              <w14:schemeClr w14:val="tx1"/>
            </w14:solidFill>
          </w14:textFill>
        </w:rPr>
      </w:r>
      <w:r/>
    </w:p>
    <w:p>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 xml:space="preserve">（服务类）</w:t>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left="698"/>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r>
      <w:r/>
    </w:p>
    <w:p>
      <w:pPr>
        <w:ind w:firstLine="1687"/>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 xml:space="preserve">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JSZC-320115-NJMT-C2026-0010</w:t>
      </w:r>
      <w:r/>
    </w:p>
    <w:p>
      <w:pPr>
        <w:ind w:firstLine="1687"/>
        <w:keepLines w:val="0"/>
        <w:keepNext w:val="0"/>
        <w:pageBreakBefore w:val="0"/>
        <w:spacing w:line="480" w:lineRule="auto"/>
        <w:widowControl w:val="off"/>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项目名称：新济洲2025年度公益林生态效益补偿项目</w:t>
      </w:r>
      <w:r/>
    </w:p>
    <w:p>
      <w:pPr>
        <w:ind w:firstLine="1687"/>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 购 人：</w:t>
      </w:r>
      <w:bookmarkStart w:id="204" w:name="_GoBack"/>
      <w:r/>
      <w:bookmarkEnd w:id="204"/>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南京长江新济洲国家湿地公园管理中心</w:t>
      </w:r>
      <w:r/>
    </w:p>
    <w:p>
      <w:pPr>
        <w:ind w:firstLine="1687"/>
        <w:keepLines w:val="0"/>
        <w:keepNext w:val="0"/>
        <w:pageBreakBefore w:val="0"/>
        <w:spacing w:line="480" w:lineRule="auto"/>
        <w:widowControl w:val="off"/>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采购代理机构：南京麻田工程咨询有限公司</w:t>
      </w:r>
      <w:r/>
    </w:p>
    <w:p>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r>
        <w:rPr>
          <w:rFonts w:ascii="宋体" w:hAnsi="宋体" w:eastAsia="宋体" w:cs="宋体"/>
          <w:color w:val="000000" w:themeColor="text1"/>
          <w:sz w:val="32"/>
          <w:szCs w:val="32"/>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jc w:val="center"/>
        <w:spacing w:line="360" w:lineRule="auto"/>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月</w:t>
      </w:r>
      <w:r/>
    </w:p>
    <w:p>
      <w:pPr>
        <w:jc w:val="center"/>
        <w:spacing w:line="357" w:lineRule="auto"/>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_bookmark0"/>
      <w:r/>
      <w:bookmarkEnd w:id="0"/>
      <w:r/>
      <w:bookmarkStart w:id="1" w:name="第一章__竞争性磋商邀请"/>
      <w:r/>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目  录</w:t>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第一章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第二章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第三章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val="zh-CN" w:eastAsia="zh-CN"/>
          <w14:textFill>
            <w14:solidFill>
              <w14:schemeClr w14:val="tx1"/>
            </w14:solidFill>
          </w14:textFill>
        </w:rPr>
        <w:t xml:space="preserve">第四章</w:t>
      </w:r>
      <w:r>
        <w:rPr>
          <w:rStyle w:val="685"/>
          <w:rFonts w:cs="宋体"/>
          <w:color w:val="000000" w:themeColor="text1"/>
          <w:highlight w:val="none"/>
          <w:lang w:val="zh-CN" w:eastAsia="zh-CN"/>
          <w14:textFill>
            <w14:solidFill>
              <w14:schemeClr w14:val="tx1"/>
            </w14:solidFill>
          </w14:textFill>
        </w:rPr>
        <w:t xml:space="preserve"> </w:t>
      </w:r>
      <w:r>
        <w:rPr>
          <w:rStyle w:val="685"/>
          <w:rFonts w:hint="eastAsia" w:cs="宋体"/>
          <w:color w:val="000000" w:themeColor="text1"/>
          <w:highlight w:val="none"/>
          <w:lang w:val="zh-CN" w:eastAsia="zh-CN"/>
          <w14:textFill>
            <w14:solidFill>
              <w14:schemeClr w14:val="tx1"/>
            </w14:solidFill>
          </w14:textFill>
        </w:rPr>
        <w:t xml:space="preserve">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val="zh-CN" w:eastAsia="zh-CN"/>
          <w14:textFill>
            <w14:solidFill>
              <w14:schemeClr w14:val="tx1"/>
            </w14:solidFill>
          </w14:textFill>
        </w:rPr>
        <w:t xml:space="preserve">第五章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val="zh-CN" w:eastAsia="zh-CN"/>
          <w14:textFill>
            <w14:solidFill>
              <w14:schemeClr w14:val="tx1"/>
            </w14:solidFill>
          </w14:textFill>
        </w:rPr>
        <w:t xml:space="preserve">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59"/>
        <w:tabs>
          <w:tab w:val="right" w:pos="9479" w:leader="dot"/>
        </w:tabs>
        <w:rPr>
          <w:rFonts w:asciiTheme="minorHAnsi" w:hAnsiTheme="minorHAnsi" w:eastAsiaTheme="minorEastAsia" w:cstheme="minorBidi"/>
          <w:b w:val="0"/>
          <w:bCs w:val="0"/>
          <w:color w:val="000000" w:themeColor="text1"/>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85"/>
          <w:rFonts w:hint="eastAsia" w:cs="宋体"/>
          <w:color w:val="000000" w:themeColor="text1"/>
          <w:highlight w:val="none"/>
          <w:lang w:eastAsia="zh-CN"/>
          <w14:textFill>
            <w14:solidFill>
              <w14:schemeClr w14:val="tx1"/>
            </w14:solidFill>
          </w14:textFill>
        </w:rPr>
        <w:t xml:space="preserve">第六章</w:t>
      </w:r>
      <w:r>
        <w:rPr>
          <w:rStyle w:val="685"/>
          <w:rFonts w:cs="宋体"/>
          <w:color w:val="000000" w:themeColor="text1"/>
          <w:highlight w:val="none"/>
          <w:lang w:eastAsia="zh-CN"/>
          <w14:textFill>
            <w14:solidFill>
              <w14:schemeClr w14:val="tx1"/>
            </w14:solidFill>
          </w14:textFill>
        </w:rPr>
        <w:t xml:space="preserve"> </w:t>
      </w:r>
      <w:r>
        <w:rPr>
          <w:rStyle w:val="685"/>
          <w:rFonts w:hint="eastAsia" w:cs="宋体"/>
          <w:color w:val="000000" w:themeColor="text1"/>
          <w:highlight w:val="none"/>
          <w:lang w:eastAsia="zh-CN"/>
          <w14:textFill>
            <w14:solidFill>
              <w14:schemeClr w14:val="tx1"/>
            </w14:solidFill>
          </w14:textFill>
        </w:rPr>
        <w:t xml:space="preserve">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r/>
    </w:p>
    <w:p>
      <w:pPr>
        <w:rPr>
          <w:rFonts w:hint="eastAsia" w:ascii="宋体" w:hAnsi="宋体" w:eastAsia="宋体" w:cs="宋体"/>
          <w:b/>
          <w:bCs/>
          <w:color w:val="000000" w:themeColor="text1"/>
          <w:sz w:val="28"/>
          <w:szCs w:val="28"/>
          <w:highlight w:val="none"/>
          <w:lang w:eastAsia="zh-CN"/>
          <w14:textFill>
            <w14:solidFill>
              <w14:schemeClr w14:val="tx1"/>
            </w14:solidFill>
          </w14:textFill>
        </w:rPr>
      </w:pPr>
      <w: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p>
    <w:p>
      <w:pPr>
        <w:jc w:val="center"/>
        <w:spacing w:line="360" w:lineRule="auto"/>
        <w:tabs>
          <w:tab w:val="left" w:pos="4171" w:leader="none"/>
        </w:tabs>
        <w:rPr>
          <w:rFonts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第一章 竞争性磋商公告</w:t>
      </w:r>
      <w:bookmarkEnd w:id="2"/>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bookmarkStart w:id="3" w:name="_Toc28359012"/>
      <w:r/>
      <w:bookmarkStart w:id="4" w:name="_Toc28359089"/>
      <w:r/>
      <w:bookmarkStart w:id="5" w:name="_Toc35393629"/>
      <w:r/>
      <w:bookmarkStart w:id="6" w:name="_Toc35393798"/>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项目概况</w:t>
      </w:r>
      <w:r/>
    </w:p>
    <w:p>
      <w:pPr>
        <w:ind w:firstLine="422"/>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 xml:space="preserve">新济洲2025年度公益林生态效益补偿项目  JSZC-320115-NJMT-C2026-0010</w:t>
      </w:r>
      <w:r>
        <w:rPr>
          <w:rFonts w:hint="eastAsia" w:eastAsia="宋体" w:cs="宋体"/>
          <w:color w:val="000000" w:themeColor="text1"/>
          <w:sz w:val="21"/>
          <w:szCs w:val="21"/>
          <w:highlight w:val="none"/>
          <w:lang w:eastAsia="zh-CN"/>
          <w14:textFill>
            <w14:solidFill>
              <w14:schemeClr w14:val="tx1"/>
            </w14:solidFill>
          </w14:textFill>
        </w:rPr>
        <w:t xml:space="preserve">采购项目的潜在供应商应在</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“苏采云”政府采购交易系统</w:t>
      </w:r>
      <w:r>
        <w:rPr>
          <w:rFonts w:hint="eastAsia" w:eastAsia="宋体" w:cs="宋体"/>
          <w:color w:val="000000" w:themeColor="text1"/>
          <w:sz w:val="21"/>
          <w:szCs w:val="21"/>
          <w:highlight w:val="none"/>
          <w:lang w:eastAsia="zh-CN"/>
          <w14:textFill>
            <w14:solidFill>
              <w14:schemeClr w14:val="tx1"/>
            </w14:solidFill>
          </w14:textFill>
        </w:rPr>
        <w:t xml:space="preserve">获取采购文件，并于</w:t>
      </w:r>
      <w:r>
        <w:rPr>
          <w:rFonts w:hint="eastAsia" w:eastAsia="宋体" w:cs="宋体"/>
          <w:color w:val="ff0000"/>
          <w:sz w:val="21"/>
          <w:szCs w:val="21"/>
          <w:highlight w:val="none"/>
          <w:u w:val="single"/>
          <w:lang w:eastAsia="zh-CN"/>
        </w:rPr>
        <w:t xml:space="preserve">202</w:t>
      </w:r>
      <w:r>
        <w:rPr>
          <w:rFonts w:hint="eastAsia" w:eastAsia="宋体" w:cs="宋体"/>
          <w:color w:val="ff0000"/>
          <w:sz w:val="21"/>
          <w:szCs w:val="21"/>
          <w:highlight w:val="none"/>
          <w:u w:val="single"/>
          <w:lang w:val="en-US" w:eastAsia="zh-CN"/>
        </w:rPr>
        <w:t xml:space="preserve">6</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8</w:t>
      </w:r>
      <w:r>
        <w:rPr>
          <w:rFonts w:hint="eastAsia" w:eastAsia="宋体" w:cs="宋体"/>
          <w:color w:val="ff0000"/>
          <w:sz w:val="21"/>
          <w:szCs w:val="21"/>
          <w:highlight w:val="none"/>
          <w:u w:val="single"/>
          <w:lang w:eastAsia="zh-CN"/>
        </w:rPr>
        <w:t xml:space="preserve">-</w:t>
      </w:r>
      <w:r>
        <w:rPr>
          <w:rFonts w:hint="eastAsia" w:eastAsia="宋体" w:cs="宋体"/>
          <w:color w:val="ff0000"/>
          <w:sz w:val="21"/>
          <w:szCs w:val="21"/>
          <w:highlight w:val="none"/>
          <w:u w:val="single"/>
          <w:lang w:val="en-US" w:eastAsia="zh-CN"/>
        </w:rPr>
        <w:t xml:space="preserve">6 </w:t>
      </w:r>
      <w:r>
        <w:rPr>
          <w:rFonts w:hint="eastAsia" w:eastAsia="宋体" w:cs="宋体"/>
          <w:color w:val="ff0000"/>
          <w:sz w:val="21"/>
          <w:szCs w:val="21"/>
          <w:highlight w:val="none"/>
          <w:u w:val="single"/>
          <w:lang w:eastAsia="zh-CN"/>
        </w:rPr>
        <w:t xml:space="preserve"> </w:t>
      </w:r>
      <w:r>
        <w:rPr>
          <w:rFonts w:hint="eastAsia" w:eastAsia="宋体" w:cs="宋体"/>
          <w:color w:val="ff0000"/>
          <w:sz w:val="21"/>
          <w:szCs w:val="21"/>
          <w:highlight w:val="none"/>
          <w:u w:val="single"/>
          <w:lang w:val="en-US" w:eastAsia="zh-CN"/>
        </w:rPr>
        <w:t xml:space="preserve">9</w:t>
      </w:r>
      <w:r>
        <w:rPr>
          <w:rFonts w:hint="eastAsia" w:eastAsia="宋体" w:cs="宋体"/>
          <w:color w:val="ff0000"/>
          <w:sz w:val="21"/>
          <w:szCs w:val="21"/>
          <w:highlight w:val="none"/>
          <w:u w:val="single"/>
          <w:lang w:eastAsia="zh-CN"/>
        </w:rPr>
        <w:t xml:space="preserve">：30</w:t>
      </w:r>
      <w:r>
        <w:rPr>
          <w:rFonts w:hint="eastAsia" w:eastAsia="宋体" w:cs="宋体"/>
          <w:color w:val="000000" w:themeColor="text1"/>
          <w:sz w:val="21"/>
          <w:szCs w:val="21"/>
          <w:highlight w:val="none"/>
          <w:lang w:eastAsia="zh-CN"/>
          <w14:textFill>
            <w14:solidFill>
              <w14:schemeClr w14:val="tx1"/>
            </w14:solidFill>
          </w14:textFill>
        </w:rPr>
        <w:t xml:space="preserve">（北京时间）前提交响应文件。</w:t>
      </w:r>
      <w:r/>
    </w:p>
    <w:p>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一、项目基本情况</w:t>
      </w:r>
      <w:bookmarkEnd w:id="3"/>
      <w:r/>
      <w:bookmarkEnd w:id="4"/>
      <w:r/>
      <w:bookmarkEnd w:id="5"/>
      <w:r/>
      <w:bookmarkEnd w:id="6"/>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项目编号：JSZC-320115-NJMT-C2026-0010</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项目名称：新济洲2025年度公益林生态效益补偿项目</w:t>
      </w:r>
      <w:r/>
    </w:p>
    <w:p>
      <w:pPr>
        <w:ind w:firstLine="420"/>
        <w:spacing w:line="360" w:lineRule="auto"/>
        <w:tabs>
          <w:tab w:val="center" w:pos="4865" w:leader="none"/>
        </w:tabs>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采购方式：竞争性磋商</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预算金额：</w:t>
      </w:r>
      <w:r>
        <w:rPr>
          <w:rFonts w:hint="eastAsia" w:ascii="宋体" w:hAnsi="宋体" w:eastAsia="宋体" w:cs="宋体"/>
          <w:szCs w:val="21"/>
          <w:highlight w:val="none"/>
          <w:lang w:val="en-US" w:eastAsia="zh-CN"/>
        </w:rPr>
        <w:t xml:space="preserve">150</w:t>
      </w:r>
      <w:r>
        <w:rPr>
          <w:rFonts w:hint="eastAsia" w:ascii="宋体" w:hAnsi="宋体" w:eastAsia="宋体" w:cs="宋体"/>
          <w:szCs w:val="21"/>
          <w:highlight w:val="none"/>
          <w:lang w:val="zh-CN"/>
        </w:rPr>
        <w:t xml:space="preserve">万元</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最高限价：149.025132万元，报价高于最高限价的响应文件为无效投标文件。</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采购需求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：公益林生态效益补偿，详见项目需求。</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合同履行期限：</w:t>
      </w:r>
      <w:r>
        <w:rPr>
          <w:rFonts w:hint="eastAsia" w:ascii="宋体" w:hAnsi="宋体" w:eastAsia="宋体" w:cs="宋体"/>
          <w:szCs w:val="21"/>
          <w:highlight w:val="none"/>
          <w:lang w:val="en-US" w:eastAsia="zh-CN"/>
        </w:rPr>
        <w:t xml:space="preserve">一年</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本项目（是/否）接受联合体：否。</w:t>
      </w:r>
      <w:r/>
    </w:p>
    <w:p>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二、申请人的资格要求：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（一）满足《中华人民共和国政府采购法》第二十二条规定：</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1.具有独立承担民事责任的能力（请提供法人或者其他组织的营业执照等证明文件，自然人的身份证明）。</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（二）落实政府采购政策需满足的资格条件：</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b/>
          <w:bCs/>
          <w:color w:val="000000"/>
          <w:sz w:val="24"/>
          <w:szCs w:val="24"/>
          <w:highlight w:val="none"/>
          <w:lang w:val="zh-CN"/>
        </w:rPr>
        <w:t xml:space="preserve">本项目专门面向中小微企业采购，供应商应为中小微企业或监狱企业或残疾人福利性单位</w:t>
      </w:r>
      <w:r>
        <w:rPr>
          <w:rFonts w:hint="eastAsia" w:ascii="宋体" w:hAnsi="宋体" w:eastAsia="宋体" w:cs="宋体"/>
          <w:b/>
          <w:bCs/>
          <w:szCs w:val="21"/>
          <w:highlight w:val="none"/>
          <w:lang w:eastAsia="zh-CN"/>
        </w:rPr>
        <w:t xml:space="preserve">。</w:t>
      </w:r>
      <w:r/>
    </w:p>
    <w:p>
      <w:pPr>
        <w:ind w:firstLine="420"/>
        <w:spacing w:line="360" w:lineRule="auto"/>
        <w:rPr>
          <w:rFonts w:hint="eastAsia" w:ascii="宋体" w:hAnsi="宋体"/>
          <w:color w:val="auto"/>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本项目的特定资格要求：无。</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三、获取采购文件</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时间：自磋商文件公告发布之日起5个工作日；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地点：“苏采云”政府采购交易系统</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售价：0.00元。</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四、响应文件提交</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截止时间：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8</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6  9</w:t>
      </w:r>
      <w:r>
        <w:rPr>
          <w:rFonts w:hint="eastAsia" w:ascii="宋体" w:hAnsi="宋体" w:eastAsia="宋体" w:cs="宋体"/>
          <w:color w:val="ff0000"/>
          <w:sz w:val="21"/>
          <w:szCs w:val="21"/>
          <w:highlight w:val="none"/>
          <w:lang w:eastAsia="zh-CN"/>
        </w:rPr>
        <w:t xml:space="preserve">:30（北京时间）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五、开启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时间：</w:t>
      </w: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8</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6  9</w:t>
      </w:r>
      <w:r>
        <w:rPr>
          <w:rFonts w:hint="eastAsia" w:ascii="宋体" w:hAnsi="宋体" w:eastAsia="宋体" w:cs="宋体"/>
          <w:color w:val="ff0000"/>
          <w:sz w:val="21"/>
          <w:szCs w:val="21"/>
          <w:highlight w:val="none"/>
          <w:lang w:eastAsia="zh-CN"/>
        </w:rPr>
        <w:t xml:space="preserve">:30（北京时间）</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地点：“苏采云</w:t>
      </w:r>
      <w:r>
        <w:rPr>
          <w:rFonts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政府采购交易系统</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六、公告期限</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自本公告发布之日起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个工作日。</w:t>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七、其他补充事宜</w:t>
      </w:r>
      <w:r/>
    </w:p>
    <w:p>
      <w:pPr>
        <w:ind w:firstLine="440"/>
        <w:jc w:val="left"/>
        <w:spacing w:line="360" w:lineRule="auto"/>
        <w:widowControl/>
        <w:rPr>
          <w:rFonts w:hint="eastAsia" w:ascii="宋体" w:hAnsi="Times New Roman" w:eastAsia="宋体" w:cs="宋体"/>
          <w:bCs/>
          <w:color w:val="auto"/>
          <w:sz w:val="22"/>
          <w:highlight w:val="none"/>
          <w:lang w:eastAsia="zh-CN"/>
        </w:rPr>
      </w:pPr>
      <w:r/>
      <w:bookmarkStart w:id="7" w:name="OLE_LINK102"/>
      <w:r/>
      <w:bookmarkStart w:id="8" w:name="OLE_LINK106"/>
      <w:r>
        <w:rPr>
          <w:rFonts w:hint="eastAsia" w:ascii="宋体" w:hAnsi="Times New Roman" w:eastAsia="宋体" w:cs="宋体"/>
          <w:bCs/>
          <w:color w:val="auto"/>
          <w:sz w:val="22"/>
          <w:highlight w:val="none"/>
          <w:lang w:eastAsia="zh-CN"/>
        </w:rPr>
        <w:t xml:space="preserve">1</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拒绝下述供应商参加本次采购活动：</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（1）供应商单位负责人为同一人或者存在直接控股、管理关系的不同供应商，不得参加同一合同项下的采购活动。</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（2）凡为采购项目提供整体设计、规范编制或者项目管理、监理、检测等服务的供应商，不得再参加本项目的采购活动。</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本项目在“江苏政府采购网</w:t>
      </w:r>
      <w:bookmarkStart w:id="9" w:name="OLE_LINK11"/>
      <w:r>
        <w:rPr>
          <w:rFonts w:hint="eastAsia" w:ascii="宋体" w:hAnsi="Times New Roman" w:eastAsia="宋体" w:cs="宋体"/>
          <w:bCs/>
          <w:color w:val="auto"/>
          <w:sz w:val="22"/>
          <w:highlight w:val="none"/>
          <w:lang w:eastAsia="zh-CN"/>
        </w:rPr>
        <w:t xml:space="preserve">、南京公共采购信息网</w:t>
      </w:r>
      <w:bookmarkEnd w:id="9"/>
      <w:r>
        <w:rPr>
          <w:rFonts w:hint="eastAsia" w:ascii="宋体" w:hAnsi="Times New Roman" w:eastAsia="宋体" w:cs="宋体"/>
          <w:bCs/>
          <w:color w:val="auto"/>
          <w:sz w:val="22"/>
          <w:highlight w:val="none"/>
          <w:lang w:eastAsia="zh-CN"/>
        </w:rPr>
        <w:t xml:space="preserve">”网站发布公告。有关本次采购的事项若存在变动或修改，请及时关注“江苏政府采购网、南京公共采购信息网”更正公告。</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勘察现场：</w:t>
      </w:r>
      <w:bookmarkStart w:id="10" w:name="OLE_LINK128"/>
      <w:r/>
      <w:bookmarkStart w:id="11" w:name="OLE_LINK127"/>
      <w:r>
        <w:rPr>
          <w:rFonts w:hint="eastAsia" w:ascii="宋体" w:hAnsi="Times New Roman" w:eastAsia="宋体" w:cs="宋体"/>
          <w:bCs/>
          <w:color w:val="auto"/>
          <w:sz w:val="22"/>
          <w:highlight w:val="none"/>
          <w:lang w:eastAsia="zh-CN"/>
        </w:rPr>
        <w:t xml:space="preserve">采购人不组织，供应商自行踏勘。</w:t>
      </w:r>
      <w:bookmarkEnd w:id="10"/>
      <w:r/>
      <w:bookmarkEnd w:id="11"/>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4</w:t>
      </w:r>
      <w:bookmarkStart w:id="12" w:name="OLE_LINK35"/>
      <w:r/>
      <w:bookmarkStart w:id="13" w:name="OLE_LINK36"/>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本次采购采用“政府采购管理交易系统（苏采云）”，招标、投标、评标和</w:t>
      </w:r>
      <w:r>
        <w:rPr>
          <w:rFonts w:hint="eastAsia" w:ascii="宋体" w:cs="宋体"/>
          <w:bCs/>
          <w:color w:val="auto"/>
          <w:sz w:val="22"/>
          <w:highlight w:val="none"/>
          <w:lang w:val="en-US" w:eastAsia="zh-CN"/>
        </w:rPr>
        <w:t xml:space="preserve">成交</w:t>
      </w:r>
      <w:r>
        <w:rPr>
          <w:rFonts w:hint="eastAsia" w:ascii="宋体" w:hAnsi="Times New Roman" w:eastAsia="宋体" w:cs="宋体"/>
          <w:bCs/>
          <w:color w:val="auto"/>
          <w:sz w:val="22"/>
          <w:highlight w:val="none"/>
          <w:lang w:eastAsia="zh-CN"/>
        </w:rPr>
        <w:t xml:space="preserve">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2"/>
      <w:r/>
      <w:bookmarkEnd w:id="13"/>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5</w:t>
      </w:r>
      <w:r>
        <w:rPr>
          <w:rFonts w:hint="eastAsia" w:ascii="宋体" w:hAnsi="Times New Roman" w:eastAsia="宋体" w:cs="宋体"/>
          <w:bCs/>
          <w:color w:val="auto"/>
          <w:sz w:val="22"/>
          <w:highlight w:val="none"/>
          <w:lang w:val="en-US" w:eastAsia="zh-CN"/>
        </w:rPr>
        <w:t xml:space="preserve">.</w:t>
      </w:r>
      <w:r>
        <w:rPr>
          <w:rFonts w:hint="eastAsia" w:ascii="宋体" w:hAnsi="Times New Roman" w:eastAsia="宋体" w:cs="宋体"/>
          <w:bCs/>
          <w:color w:val="auto"/>
          <w:sz w:val="22"/>
          <w:highlight w:val="none"/>
          <w:lang w:eastAsia="zh-CN"/>
        </w:rPr>
        <w:t xml:space="preserve">政府采购信用承诺</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w:t>
      </w:r>
      <w:r>
        <w:rPr>
          <w:rFonts w:hint="eastAsia" w:ascii="宋体" w:hAnsi="Times New Roman" w:eastAsia="宋体" w:cs="宋体"/>
          <w:bCs/>
          <w:color w:val="auto"/>
          <w:sz w:val="22"/>
          <w:highlight w:val="none"/>
          <w:lang w:eastAsia="zh-CN"/>
        </w:rPr>
        <w:t xml:space="preserve">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在政府采购资格审查环节，供应商只需提供书面《南京市政府采购供应商信用记录表暨信用承诺书》，即可替代以下证明材料：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（1）符合国家相关规定的财务状况报告；</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（2）依法缴纳税收的证明材料；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（3）依法缴纳社会保障资金的证明材料；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（4）具备履行政府采购合同所必需的设备和专业技术能力的证明材料；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（5）参加政府采购活动前三年内在经营活动中没有重大违法记录的证明材料；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（6）未被列入失信被执行人、重大税收违法失信主体、政府采购严重违法失信行为记录名单的证明材料。</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供应商成交后，应按采购文件要求，将上述由信用承诺书替代的证明材料提交采购人或采购代理机构核验。经核验无误后，由采购人或采购代理机构发出成交通知书。</w:t>
      </w:r>
      <w:r/>
    </w:p>
    <w:p>
      <w:pPr>
        <w:ind w:firstLine="440"/>
        <w:jc w:val="left"/>
        <w:spacing w:line="360" w:lineRule="auto"/>
        <w:widowControl/>
        <w:rPr>
          <w:rFonts w:hint="eastAsia" w:ascii="宋体" w:hAnsi="Times New Roman" w:eastAsia="宋体" w:cs="宋体"/>
          <w:bCs/>
          <w:color w:val="auto"/>
          <w:sz w:val="22"/>
          <w:highlight w:val="none"/>
          <w:lang w:eastAsia="zh-CN"/>
        </w:rPr>
      </w:pPr>
      <w:r/>
      <w:bookmarkStart w:id="14" w:name="OLE_LINK12"/>
      <w:r/>
      <w:bookmarkStart w:id="15" w:name="OLE_LINK15"/>
      <w:r>
        <w:rPr>
          <w:rFonts w:hint="eastAsia" w:ascii="宋体" w:hAnsi="Times New Roman" w:eastAsia="宋体" w:cs="宋体"/>
          <w:bCs/>
          <w:color w:val="auto"/>
          <w:sz w:val="22"/>
          <w:highlight w:val="none"/>
          <w:lang w:eastAsia="zh-CN"/>
        </w:rPr>
        <w:t xml:space="preserve">供应商涉及以下情形的，不适用信用承诺</w:t>
      </w:r>
      <w:bookmarkEnd w:id="14"/>
      <w:r/>
      <w:bookmarkEnd w:id="15"/>
      <w:r>
        <w:rPr>
          <w:rFonts w:hint="eastAsia" w:ascii="宋体" w:hAnsi="Times New Roman" w:eastAsia="宋体" w:cs="宋体"/>
          <w:bCs/>
          <w:color w:val="auto"/>
          <w:sz w:val="22"/>
          <w:highlight w:val="none"/>
          <w:lang w:eastAsia="zh-CN"/>
        </w:rPr>
        <w:t xml:space="preserve">：</w:t>
      </w:r>
      <w:r/>
    </w:p>
    <w:p>
      <w:pPr>
        <w:ind w:firstLine="440"/>
        <w:jc w:val="left"/>
        <w:spacing w:line="360" w:lineRule="auto"/>
        <w:widowControl/>
        <w:rPr>
          <w:rFonts w:hint="eastAsia" w:ascii="宋体" w:hAnsi="Times New Roman" w:eastAsia="宋体" w:cs="宋体"/>
          <w:bCs/>
          <w:color w:val="auto"/>
          <w:sz w:val="22"/>
          <w:highlight w:val="none"/>
          <w:lang w:eastAsia="zh-CN"/>
        </w:rPr>
      </w:pPr>
      <w:r/>
      <w:bookmarkStart w:id="16" w:name="OLE_LINK16"/>
      <w:r>
        <w:rPr>
          <w:rFonts w:hint="eastAsia" w:ascii="宋体" w:hAnsi="Times New Roman" w:eastAsia="宋体" w:cs="宋体"/>
          <w:bCs/>
          <w:color w:val="auto"/>
          <w:sz w:val="22"/>
          <w:highlight w:val="none"/>
          <w:lang w:eastAsia="zh-CN"/>
        </w:rPr>
        <w:t xml:space="preserve">（1）供应商被列入严重失信主体名单；</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（2）被相关监管部门作出行政处罚且尚在处罚有效期内；</w:t>
      </w:r>
      <w:r/>
    </w:p>
    <w:p>
      <w:pPr>
        <w:ind w:firstLine="440"/>
        <w:jc w:val="left"/>
        <w:spacing w:line="360" w:lineRule="auto"/>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（3）其他法律、行政法规规定的不适用信用承诺的情形。</w:t>
      </w:r>
      <w:bookmarkEnd w:id="16"/>
      <w:r/>
      <w:r/>
    </w:p>
    <w:p>
      <w:pPr>
        <w:spacing w:line="360" w:lineRule="auto"/>
        <w:shd w:val="clear" w:color="auto" w:fill="ffffff"/>
        <w:widowControl/>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 xml:space="preserve">供应商对信用承诺内容的真实性、合法性、有效性负责。如作出虚假信用承诺，视同为“提供虚假材料谋取中标、成交”的违法行为。</w:t>
      </w:r>
      <w:bookmarkEnd w:id="7"/>
      <w:r/>
      <w:bookmarkEnd w:id="8"/>
      <w:r/>
      <w:r/>
    </w:p>
    <w:p>
      <w:pPr>
        <w:spacing w:line="440" w:lineRule="exact"/>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八、凡对本次采购提出询问，请按以下方式联系</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1.采购人信息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称：南京长江新济洲国家湿地公园管理中心</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址：江宁区江宁街道南京市公安局水上分局三山派出所</w:t>
      </w:r>
      <w:r/>
    </w:p>
    <w:p>
      <w:pPr>
        <w:ind w:firstLine="420"/>
        <w:spacing w:line="440" w:lineRule="exact"/>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主任</w:t>
      </w:r>
      <w:r/>
    </w:p>
    <w:p>
      <w:pPr>
        <w:ind w:firstLine="420"/>
        <w:spacing w:line="44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联系电话：</w:t>
      </w:r>
      <w:r>
        <w:rPr>
          <w:rFonts w:hint="eastAsia" w:ascii="宋体" w:hAnsi="宋体" w:cs="宋体"/>
          <w:color w:val="000000"/>
          <w:sz w:val="22"/>
          <w:szCs w:val="22"/>
          <w:highlight w:val="none"/>
          <w:lang w:val="en-US" w:eastAsia="zh-CN"/>
        </w:rPr>
        <w:t xml:space="preserve">/</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2.采购代理机构信息</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名    称：南京麻田工程咨询有限公司</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地　　址：南京市江宁区淳化街道雁冲路68号院内9号楼1楼</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 系 人：张工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联系电话：025-52730710</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3.项目联系方式</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项目联系人：张工</w:t>
      </w:r>
      <w:r/>
    </w:p>
    <w:p>
      <w:pPr>
        <w:ind w:firstLine="420"/>
        <w:spacing w:line="440" w:lineRule="exact"/>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      话：025-52730710</w:t>
      </w:r>
      <w:r/>
    </w:p>
    <w:p>
      <w:pPr>
        <w:numPr>
          <w:ilvl w:val="0"/>
          <w:numId w:val="1"/>
        </w:numPr>
        <w:jc w:val="center"/>
        <w:spacing w:line="360" w:lineRule="auto"/>
        <w:shd w:val="clear" w:color="auto" w:fill="ffffff"/>
        <w:widowControl/>
        <w:rPr>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17" w:name="_bookmark2"/>
      <w:r/>
      <w:bookmarkEnd w:id="17"/>
      <w:r/>
      <w:bookmarkStart w:id="18" w:name="一、总____则"/>
      <w:r/>
      <w:bookmarkEnd w:id="18"/>
      <w:r/>
      <w:bookmarkStart w:id="19"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供应商须知</w:t>
      </w:r>
      <w:bookmarkEnd w:id="19"/>
      <w:r/>
      <w:r/>
    </w:p>
    <w:p>
      <w:pPr>
        <w:ind w:firstLine="422"/>
        <w:jc w:val="left"/>
        <w:keepLines w:val="0"/>
        <w:keepNext w:val="0"/>
        <w:pageBreakBefore w:val="0"/>
        <w:spacing w:before="156" w:after="156"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南京麻田工程咨询有限公司</w:t>
      </w:r>
      <w:r>
        <w:rPr>
          <w:rFonts w:hint="eastAsia" w:ascii="宋体" w:hAnsi="宋体" w:eastAsia="宋体" w:cs="宋体"/>
          <w:sz w:val="21"/>
          <w:szCs w:val="21"/>
          <w:highlight w:val="none"/>
        </w:rPr>
        <w:t xml:space="preserve">受</w:t>
      </w:r>
      <w:r>
        <w:rPr>
          <w:rFonts w:hint="eastAsia" w:ascii="宋体" w:hAnsi="宋体" w:eastAsia="宋体" w:cs="宋体"/>
          <w:b/>
          <w:bCs/>
          <w:sz w:val="21"/>
          <w:szCs w:val="21"/>
          <w:highlight w:val="none"/>
          <w:lang w:eastAsia="zh-CN"/>
        </w:rPr>
        <w:t xml:space="preserve">南京长江新济洲国家湿地公园管理中心</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采购人）委托，对其</w:t>
      </w:r>
      <w:r>
        <w:rPr>
          <w:rFonts w:hint="eastAsia" w:ascii="宋体" w:hAnsi="宋体" w:eastAsia="宋体" w:cs="宋体"/>
          <w:b/>
          <w:bCs/>
          <w:sz w:val="21"/>
          <w:szCs w:val="21"/>
          <w:highlight w:val="none"/>
          <w:lang w:eastAsia="zh-CN"/>
        </w:rPr>
        <w:t xml:space="preserve">新济洲2025年度公益林生态效益补偿项目</w:t>
      </w:r>
      <w:r>
        <w:rPr>
          <w:rFonts w:hint="eastAsia" w:ascii="宋体" w:hAnsi="宋体" w:eastAsia="宋体" w:cs="宋体"/>
          <w:sz w:val="21"/>
          <w:szCs w:val="21"/>
          <w:highlight w:val="none"/>
        </w:rPr>
        <w:t xml:space="preserve">（项目名称）进行竞争性磋商采购，兹邀请符合条件的供应商参与投标，相关信息如下：</w:t>
      </w:r>
      <w:r/>
    </w:p>
    <w:tbl>
      <w:tblPr>
        <w:tblStyle w:val="637"/>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3"/>
        <w:gridCol w:w="850"/>
        <w:gridCol w:w="1323"/>
        <w:gridCol w:w="5537"/>
      </w:tblGrid>
      <w:tr>
        <w:trPr>
          <w:jc w:val="center"/>
          <w:trHeight w:val="61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内         容</w:t>
            </w:r>
            <w:r/>
          </w:p>
        </w:tc>
      </w:tr>
      <w:tr>
        <w:trPr>
          <w:jc w:val="center"/>
          <w:trHeight w:val="55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JSZC-320115-NJMT-C2026-0010</w:t>
            </w:r>
            <w:r/>
          </w:p>
        </w:tc>
      </w:tr>
      <w:tr>
        <w:trPr>
          <w:jc w:val="center"/>
          <w:trHeight w:val="53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新济洲2025年度公益林生态效益补偿项目</w:t>
            </w:r>
            <w:r/>
          </w:p>
        </w:tc>
      </w:tr>
      <w:tr>
        <w:trPr>
          <w:jc w:val="center"/>
          <w:trHeight w:val="53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南京麻田工程咨询有限公司</w:t>
            </w:r>
            <w:r/>
          </w:p>
        </w:tc>
      </w:tr>
      <w:tr>
        <w:trPr>
          <w:jc w:val="center"/>
          <w:trHeight w:val="527"/>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南京市江宁区淳化街道雁冲路68号院内9号楼1楼</w:t>
            </w:r>
            <w:r/>
          </w:p>
        </w:tc>
      </w:tr>
      <w:tr>
        <w:trPr>
          <w:jc w:val="center"/>
          <w:trHeight w:val="528"/>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149.025132</w:t>
            </w:r>
            <w:r>
              <w:rPr>
                <w:rFonts w:hint="eastAsia" w:ascii="宋体" w:hAnsi="宋体" w:eastAsia="宋体" w:cs="宋体"/>
                <w:i w:val="0"/>
                <w:iCs w:val="0"/>
                <w:color w:val="000000"/>
                <w:sz w:val="20"/>
                <w:szCs w:val="20"/>
                <w:highlight w:val="none"/>
                <w:u w:val="none"/>
                <w:lang w:val="en-US" w:eastAsia="zh-CN" w:bidi="ar"/>
              </w:rPr>
              <w:t xml:space="preserve">万</w:t>
            </w:r>
            <w:r>
              <w:rPr>
                <w:rFonts w:hint="eastAsia" w:ascii="宋体" w:hAnsi="宋体" w:eastAsia="宋体" w:cs="宋体"/>
                <w:sz w:val="21"/>
                <w:szCs w:val="21"/>
                <w:highlight w:val="none"/>
                <w:lang w:eastAsia="zh-CN"/>
              </w:rPr>
              <w:t xml:space="preserve">元，超过最高限价作废标处理。</w:t>
            </w:r>
            <w:r/>
          </w:p>
        </w:tc>
      </w:tr>
      <w:tr>
        <w:trPr>
          <w:jc w:val="center"/>
          <w:trHeight w:val="53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一年</w:t>
            </w:r>
            <w:r/>
          </w:p>
        </w:tc>
      </w:tr>
      <w:tr>
        <w:trPr>
          <w:jc w:val="center"/>
          <w:trHeight w:val="541"/>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磋商之日起90天</w:t>
            </w:r>
            <w:r/>
          </w:p>
        </w:tc>
      </w:tr>
      <w:tr>
        <w:trPr>
          <w:jc w:val="center"/>
          <w:trHeight w:val="576"/>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default" w:ascii="宋体" w:hAnsi="宋体" w:eastAsia="宋体" w:cs="宋体"/>
                <w:sz w:val="21"/>
                <w:szCs w:val="21"/>
                <w:highlight w:val="none"/>
                <w:lang w:val="en-US"/>
              </w:rPr>
            </w:pP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6年8月6日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rPr>
                <w:rFonts w:hint="eastAsia" w:ascii="宋体" w:hAnsi="宋体" w:eastAsia="宋体" w:cs="宋体"/>
                <w:sz w:val="21"/>
                <w:szCs w:val="21"/>
                <w:highlight w:val="none"/>
                <w:lang w:val="en-US" w:eastAsia="zh-CN"/>
              </w:rPr>
              <w:t xml:space="preserve">前</w:t>
            </w:r>
            <w:r/>
          </w:p>
        </w:tc>
      </w:tr>
      <w:tr>
        <w:trPr>
          <w:jc w:val="center"/>
          <w:trHeight w:val="532"/>
        </w:trPr>
        <w:tc>
          <w:tcPr>
            <w:tcBorders>
              <w:left w:val="single" w:color="auto" w:sz="4" w:space="0"/>
              <w:right w:val="single" w:color="auto" w:sz="4" w:space="0"/>
            </w:tcBorders>
            <w:tcW w:w="747"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苏采云</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政府采购交易系统</w:t>
            </w:r>
            <w:r/>
          </w:p>
        </w:tc>
      </w:tr>
      <w:tr>
        <w:trPr>
          <w:jc w:val="center"/>
          <w:trHeight w:val="486"/>
        </w:trPr>
        <w:tc>
          <w:tcPr>
            <w:tcBorders>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left w:val="single" w:color="auto" w:sz="4" w:space="0"/>
              <w:bottom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无</w:t>
            </w:r>
            <w:r/>
          </w:p>
        </w:tc>
      </w:tr>
      <w:tr>
        <w:trPr>
          <w:jc w:val="center"/>
          <w:trHeight w:val="1466"/>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成交供应商在领取成交通知书时，无偿递交纸质盖章版响应文件一式叁份（壹份正本、贰份副本）用于归档。提供的响应文件须与苏采云提交的电子响应文件保持一致。</w:t>
            </w:r>
            <w:r/>
          </w:p>
        </w:tc>
      </w:tr>
      <w:tr>
        <w:trPr>
          <w:jc w:val="center"/>
          <w:trHeight w:val="588"/>
        </w:trPr>
        <w:tc>
          <w:tcPr>
            <w:tcBorders>
              <w:top w:val="single" w:color="auto" w:sz="4" w:space="0"/>
              <w:left w:val="single" w:color="auto" w:sz="4" w:space="0"/>
              <w:bottom w:val="single" w:color="auto" w:sz="4" w:space="0"/>
              <w:right w:val="single" w:color="auto" w:sz="4" w:space="0"/>
            </w:tcBorders>
            <w:tcW w:w="747" w:type="dxa"/>
            <w:vAlign w:val="center"/>
            <w:vMerge w:val="restart"/>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磋商信息</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6年8月6日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p>
        </w:tc>
      </w:tr>
      <w:tr>
        <w:trPr>
          <w:jc w:val="center"/>
          <w:trHeight w:val="594"/>
        </w:trPr>
        <w:tc>
          <w:tcPr>
            <w:tcBorders>
              <w:top w:val="single" w:color="auto" w:sz="4" w:space="0"/>
              <w:left w:val="single" w:color="auto" w:sz="4" w:space="0"/>
              <w:bottom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苏采云</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pacing w:val="8"/>
                <w:sz w:val="21"/>
                <w:szCs w:val="21"/>
                <w:highlight w:val="none"/>
                <w:lang w:val="en-US" w:eastAsia="zh-CN"/>
              </w:rPr>
              <w:t xml:space="preserve">政府采购交易系统</w:t>
            </w:r>
            <w:r/>
          </w:p>
        </w:tc>
      </w:tr>
      <w:tr>
        <w:trPr>
          <w:jc w:val="center"/>
          <w:trHeight w:val="650"/>
        </w:trPr>
        <w:tc>
          <w:tcPr>
            <w:tcBorders>
              <w:top w:val="single" w:color="auto" w:sz="4" w:space="0"/>
              <w:left w:val="single" w:color="auto" w:sz="4" w:space="0"/>
              <w:right w:val="single" w:color="auto" w:sz="4" w:space="0"/>
            </w:tcBorders>
            <w:tcW w:w="747" w:type="dxa"/>
            <w:vAlign w:val="center"/>
            <w:vMerge w:val="restart"/>
            <w:textDirection w:val="lrTb"/>
            <w:noWrap w:val="false"/>
          </w:tcPr>
          <w:p>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p>
        </w:tc>
        <w:tc>
          <w:tcPr>
            <w:tcBorders>
              <w:top w:val="single" w:color="auto" w:sz="4" w:space="0"/>
              <w:left w:val="single" w:color="auto" w:sz="4" w:space="0"/>
              <w:right w:val="single" w:color="auto" w:sz="4" w:space="0"/>
            </w:tcBorders>
            <w:tcW w:w="973"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联系事项</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采购单位</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崔</w:t>
            </w:r>
            <w:r>
              <w:rPr>
                <w:rFonts w:hint="eastAsia" w:ascii="宋体" w:hAnsi="宋体" w:eastAsia="宋体" w:cs="宋体"/>
                <w:szCs w:val="21"/>
                <w:highlight w:val="none"/>
                <w:lang w:val="en-US" w:eastAsia="zh-CN"/>
              </w:rPr>
              <w:t xml:space="preserve">主任</w:t>
            </w:r>
            <w:r/>
          </w:p>
        </w:tc>
      </w:tr>
      <w:tr>
        <w:trPr>
          <w:jc w:val="center"/>
          <w:trHeight w:val="510"/>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bottom w:val="single" w:color="auto" w:sz="4" w:space="0"/>
              <w:right w:val="single" w:color="auto" w:sz="4" w:space="0"/>
            </w:tcBorders>
            <w:tcW w:w="850"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cs="宋体"/>
                <w:color w:val="000000"/>
                <w:sz w:val="22"/>
                <w:szCs w:val="22"/>
                <w:highlight w:val="none"/>
                <w:lang w:val="en-US" w:eastAsia="zh-CN"/>
              </w:rPr>
              <w:t xml:space="preserve">/</w:t>
            </w:r>
            <w:r/>
          </w:p>
        </w:tc>
      </w:tr>
      <w:tr>
        <w:trPr>
          <w:jc w:val="center"/>
          <w:trHeight w:val="493"/>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pStyle w:val="6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张工</w:t>
            </w:r>
            <w:r/>
          </w:p>
        </w:tc>
      </w:tr>
      <w:tr>
        <w:trPr>
          <w:jc w:val="center"/>
          <w:trHeight w:val="587"/>
        </w:trPr>
        <w:tc>
          <w:tcPr>
            <w:tcBorders>
              <w:left w:val="single" w:color="auto" w:sz="4" w:space="0"/>
              <w:right w:val="single" w:color="auto" w:sz="4" w:space="0"/>
            </w:tcBorders>
            <w:tcW w:w="747" w:type="dxa"/>
            <w:vAlign w:val="center"/>
            <w:vMerge w:val="continue"/>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73"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850" w:type="dxa"/>
            <w:vAlign w:val="center"/>
            <w:vMerge w:val="continue"/>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323" w:type="dxa"/>
            <w:vAlign w:val="center"/>
            <w:textDirection w:val="lrTb"/>
            <w:noWrap w:val="false"/>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37" w:type="dxa"/>
            <w:vAlign w:val="center"/>
            <w:textDirection w:val="lrTb"/>
            <w:noWrap w:val="false"/>
          </w:tcPr>
          <w:p>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025-52730710</w:t>
            </w:r>
            <w:r/>
          </w:p>
        </w:tc>
      </w:tr>
      <w:tr>
        <w:trPr>
          <w:jc w:val="center"/>
          <w:trHeight w:val="567"/>
        </w:trPr>
        <w:tc>
          <w:tcPr>
            <w:tcBorders>
              <w:left w:val="single" w:color="auto" w:sz="4" w:space="0"/>
              <w:right w:val="single" w:color="auto" w:sz="4" w:space="0"/>
            </w:tcBorders>
            <w:tcW w:w="747" w:type="dxa"/>
            <w:vAlign w:val="center"/>
            <w:textDirection w:val="lrTb"/>
            <w:noWrap w:val="false"/>
          </w:tcPr>
          <w:p>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p>
        </w:tc>
        <w:tc>
          <w:tcPr>
            <w:gridSpan w:val="2"/>
            <w:tcBorders>
              <w:left w:val="single" w:color="auto" w:sz="4" w:space="0"/>
              <w:right w:val="single" w:color="auto" w:sz="4" w:space="0"/>
            </w:tcBorders>
            <w:tcW w:w="1823"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磋商保证金</w:t>
            </w:r>
            <w:r/>
          </w:p>
        </w:tc>
        <w:tc>
          <w:tcPr>
            <w:gridSpan w:val="2"/>
            <w:tcBorders>
              <w:top w:val="single" w:color="auto" w:sz="4" w:space="0"/>
              <w:left w:val="single" w:color="auto" w:sz="4" w:space="0"/>
              <w:bottom w:val="single" w:color="auto" w:sz="4" w:space="0"/>
              <w:right w:val="single" w:color="auto" w:sz="4" w:space="0"/>
            </w:tcBorders>
            <w:tcW w:w="6860" w:type="dxa"/>
            <w:vAlign w:val="center"/>
            <w:textDirection w:val="lrTb"/>
            <w:noWrap w:val="false"/>
          </w:tcPr>
          <w:p>
            <w:pPr>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本项目不收取</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eastAsia="zh-CN"/>
              </w:rPr>
              <w:t xml:space="preserve">保证金。</w:t>
            </w:r>
            <w:r/>
          </w:p>
        </w:tc>
      </w:tr>
    </w:tbl>
    <w:p>
      <w:pP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0" w:name="_Toc16938519"/>
      <w:r/>
      <w:bookmarkStart w:id="21" w:name="_Toc20823275"/>
      <w:r/>
      <w:bookmarkStart w:id="22" w:name="_Toc120614214"/>
      <w:r/>
      <w:bookmarkStart w:id="23" w:name="_Toc513029203"/>
      <w:r>
        <w:rPr>
          <w:rFonts w:hint="eastAsia"/>
          <w:b/>
          <w:bCs/>
          <w:color w:val="000000" w:themeColor="text1"/>
          <w:sz w:val="21"/>
          <w:szCs w:val="21"/>
          <w:highlight w:val="none"/>
          <w14:textFill>
            <w14:solidFill>
              <w14:schemeClr w14:val="tx1"/>
            </w14:solidFill>
          </w14:textFill>
        </w:rPr>
        <w:t xml:space="preserve">一、总则</w:t>
      </w:r>
      <w:bookmarkEnd w:id="20"/>
      <w:r/>
      <w:bookmarkEnd w:id="21"/>
      <w:r/>
      <w:bookmarkEnd w:id="22"/>
      <w:r/>
      <w:bookmarkEnd w:id="23"/>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bookmarkStart w:id="24" w:name="_Toc20823279"/>
      <w:r/>
      <w:bookmarkStart w:id="25" w:name="_Toc513029207"/>
      <w:r/>
      <w:bookmarkStart w:id="26" w:name="_Toc462564067"/>
      <w:r/>
      <w:bookmarkStart w:id="27" w:name="_Toc16938523"/>
      <w:r/>
      <w:bookmarkStart w:id="28"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1、适用法律</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有关法律、规章和规定等。</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2、定义</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2.1 “采购人”是指依法进行政府采购的国家机关、事业单位、团体组织。</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2.2 “供应商”是指参加竞争性磋商，并符合采购文件规定资格条件的法人、其他组织或者自然人。</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2.3 “货物、服务和工程”指本采购文件中所述产品、相关服务以及工程。</w:t>
      </w:r>
      <w:r/>
    </w:p>
    <w:p>
      <w:pPr>
        <w:ind w:firstLine="420"/>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2.4 “用户或使用单位”是指使用服务的单位。</w:t>
      </w:r>
      <w:r/>
    </w:p>
    <w:p>
      <w:pPr>
        <w:ind w:firstLine="422"/>
        <w:spacing w:line="360" w:lineRule="auto"/>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3、政策功能</w:t>
      </w:r>
      <w:r/>
    </w:p>
    <w:p>
      <w:pPr>
        <w:ind w:firstLine="422"/>
        <w:spacing w:line="360" w:lineRule="auto"/>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b/>
          <w:bCs/>
          <w:color w:val="000000"/>
          <w:sz w:val="24"/>
          <w:szCs w:val="24"/>
          <w:highlight w:val="none"/>
          <w:lang w:val="zh-CN"/>
        </w:rPr>
        <w:t xml:space="preserve">本项目专门面向中小微企业采购，供应商应为中小微企业或监狱企业或残疾人福利性单位。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3.1中小企业政策</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14:textFill>
            <w14:solidFill>
              <w14:schemeClr w14:val="tx1"/>
            </w14:solidFill>
          </w14:textFill>
        </w:rPr>
        <w:t xml:space="preserve">《国家统计局关于印发统计上大中小微型企业划分办法的通知》国统字〔2011〕75号）</w:t>
      </w:r>
      <w:r>
        <w:rPr>
          <w:rFonts w:hint="eastAsia"/>
          <w:color w:val="000000" w:themeColor="text1"/>
          <w:sz w:val="21"/>
          <w:szCs w:val="21"/>
          <w:highlight w:val="none"/>
          <w:lang w:val="en-US" w:eastAsia="zh-CN"/>
          <w14:textFill>
            <w14:solidFill>
              <w14:schemeClr w14:val="tx1"/>
            </w14:solidFill>
          </w14:textFill>
        </w:rPr>
        <w:t xml:space="preserve">及国家统计局关于印发《统计上大中小微型企业划分办法（2017）》的通知</w:t>
      </w:r>
      <w:r>
        <w:rPr>
          <w:rFonts w:hint="eastAsia"/>
          <w:color w:val="000000" w:themeColor="text1"/>
          <w:sz w:val="21"/>
          <w:szCs w:val="21"/>
          <w:highlight w:val="none"/>
          <w14:textFill>
            <w14:solidFill>
              <w14:schemeClr w14:val="tx1"/>
            </w14:solidFill>
          </w14:textFill>
        </w:rPr>
        <w:t xml:space="preserve">。</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于专门面向中小企业或小型、微型企业的项目，只面向中小企业或小型、微型企业采购。对于非专门面向中小企业的项目，对符合规定的小微企业报价给予10%（工程为5%）的扣除，用扣除后的价格参加评审。</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（3）对于接受供应商以联合体形式参加采购活动的项目，小型、微型企业联合体应当符合《政</w:t>
      </w:r>
      <w:r>
        <w:rPr>
          <w:rFonts w:hint="eastAsia"/>
          <w:color w:val="000000" w:themeColor="text1"/>
          <w:sz w:val="21"/>
          <w:szCs w:val="21"/>
          <w:highlight w:val="none"/>
          <w14:textFill>
            <w14:solidFill>
              <w14:schemeClr w14:val="tx1"/>
            </w14:solidFill>
          </w14:textFill>
        </w:rPr>
        <w:t xml:space="preserve">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微企业的报价不给予价格扣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（6）参加政府采购活动的中小企业应当按“关于印发《关于进一步加大政府采购支持中小企业力度的通知》（财库〔2022〕19号）” 规定提供《中小企业声明函》，未提供上述资料的报价，其价格不予扣除。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（7）中小企业依据《政府采购促进中小企业发展管理办法》的通知[财库〔2020〕46号]规定的政策获取政府采购合同后，小微企业不得将合同分包给大中型企业，中型企业不得将合同分包给大型企业。</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3.2节能产品、环境标志产品政策</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（1）政府采购节能产品、环境标志产品实施品目清单管理。</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（2）拟采购产品属于节能产品、环境标志产品品目清单规定必须强制采购的，实行强制采购。</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3.3进口产品政策</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（1）除在磋商文件另有规定外，不允许进口产品参加。进口产品认定依照《财政部关于政府采购进口产品管理有关问题的通知》（财办库〔2008〕248号）的规定。</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（2）允许进口产品参加的，满足需求的国内产品可以参加。</w:t>
      </w:r>
      <w:r/>
    </w:p>
    <w:p>
      <w:pPr>
        <w:pStyle w:val="673"/>
        <w:ind w:firstLine="420"/>
        <w:jc w:val="both"/>
        <w:spacing w:before="0" w:beforeAutospacing="0" w:after="0" w:afterAutospacing="0" w:line="360" w:lineRule="auto"/>
        <w:widowControl w:val="off"/>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4、磋商费用</w:t>
      </w:r>
      <w:bookmarkEnd w:id="24"/>
      <w:r/>
      <w:bookmarkEnd w:id="25"/>
      <w:r/>
      <w:bookmarkEnd w:id="26"/>
      <w:r/>
      <w:bookmarkEnd w:id="27"/>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4.1 供应商应自行承担所有与参加本次磋商有关的费用，无论磋商过程中的做法和结果如何，采购人和采购代理机构在任何情况下均无义务和责任承担这些费用。</w:t>
      </w:r>
      <w:r/>
    </w:p>
    <w:p>
      <w:pPr>
        <w:ind w:firstLine="420"/>
        <w:spacing w:line="360" w:lineRule="auto"/>
        <w:shd w:val="clear" w:color="auto" w:fill="ffffff"/>
        <w:widowControl/>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4.2</w:t>
      </w:r>
      <w:r>
        <w:rPr>
          <w:rFonts w:hint="eastAsia" w:ascii="宋体" w:hAnsi="宋体" w:eastAsia="宋体" w:cs="宋体"/>
          <w:b/>
          <w:bCs/>
          <w:sz w:val="21"/>
          <w:szCs w:val="21"/>
          <w:highlight w:val="none"/>
          <w:lang w:val="zh-CN" w:eastAsia="zh-CN"/>
        </w:rPr>
        <w:t xml:space="preserve">本项目招标代理费招标代理费以中标金额为基数服务费用按招标代理服务收费管理办法计价格[2002]1980号收费标准的80%</w:t>
      </w:r>
      <w:r>
        <w:rPr>
          <w:rFonts w:hint="eastAsia" w:ascii="宋体" w:hAnsi="宋体" w:eastAsia="宋体" w:cs="宋体"/>
          <w:b/>
          <w:bCs/>
          <w:sz w:val="21"/>
          <w:szCs w:val="21"/>
          <w:highlight w:val="none"/>
          <w:lang w:val="en-US" w:eastAsia="zh-CN"/>
        </w:rPr>
        <w:t xml:space="preserve">计取，代理服务费不足3000元的以3000元计</w:t>
      </w:r>
      <w:r>
        <w:rPr>
          <w:rFonts w:hint="eastAsia" w:ascii="宋体" w:hAnsi="宋体" w:eastAsia="宋体" w:cs="宋体"/>
          <w:b/>
          <w:bCs/>
          <w:sz w:val="21"/>
          <w:szCs w:val="21"/>
          <w:highlight w:val="none"/>
          <w:lang w:val="zh-CN" w:eastAsia="zh-CN"/>
        </w:rPr>
        <w:t xml:space="preserve">，由</w:t>
      </w:r>
      <w:r>
        <w:rPr>
          <w:rFonts w:hint="eastAsia" w:ascii="宋体" w:hAnsi="宋体" w:eastAsia="宋体" w:cs="宋体"/>
          <w:b/>
          <w:bCs/>
          <w:sz w:val="21"/>
          <w:szCs w:val="21"/>
          <w:highlight w:val="none"/>
          <w:lang w:val="en-US" w:eastAsia="zh-CN"/>
        </w:rPr>
        <w:t xml:space="preserve">招</w:t>
      </w:r>
      <w:r>
        <w:rPr>
          <w:rFonts w:hint="eastAsia" w:ascii="宋体" w:hAnsi="宋体" w:eastAsia="宋体" w:cs="宋体"/>
          <w:b/>
          <w:bCs/>
          <w:sz w:val="21"/>
          <w:szCs w:val="21"/>
          <w:highlight w:val="none"/>
          <w:lang w:val="zh-CN" w:eastAsia="zh-CN"/>
        </w:rPr>
        <w:t xml:space="preserve">标人承担。</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4.3 相关费用</w:t>
      </w:r>
      <w:r>
        <w:rPr>
          <w:rFonts w:hint="eastAsia"/>
          <w:bCs/>
          <w:color w:val="000000" w:themeColor="text1"/>
          <w:sz w:val="21"/>
          <w:szCs w:val="21"/>
          <w:highlight w:val="none"/>
          <w14:textFill>
            <w14:solidFill>
              <w14:schemeClr w14:val="tx1"/>
            </w14:solidFill>
          </w14:textFill>
        </w:rPr>
        <w:t xml:space="preserve">由投标单位自行考虑，后期不纳入与采购人结算中。</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5、磋商文件的约束力</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5.1 供应商一旦参加本项目采购活动，即被认为接受了本磋商文件的规定和约束。</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29" w:name="_Toc513029209"/>
      <w:r/>
      <w:bookmarkStart w:id="30" w:name="_Toc20823281"/>
      <w:r/>
      <w:bookmarkStart w:id="31" w:name="_Toc16938525"/>
      <w:r/>
      <w:bookmarkStart w:id="32" w:name="_Toc120614215"/>
      <w:r>
        <w:rPr>
          <w:rFonts w:hint="eastAsia"/>
          <w:b/>
          <w:bCs/>
          <w:color w:val="000000" w:themeColor="text1"/>
          <w:sz w:val="21"/>
          <w:szCs w:val="21"/>
          <w:highlight w:val="none"/>
          <w14:textFill>
            <w14:solidFill>
              <w14:schemeClr w14:val="tx1"/>
            </w14:solidFill>
          </w14:textFill>
        </w:rPr>
        <w:t xml:space="preserve">二、</w:t>
      </w:r>
      <w:bookmarkEnd w:id="29"/>
      <w:r/>
      <w:bookmarkEnd w:id="30"/>
      <w:r/>
      <w:bookmarkEnd w:id="31"/>
      <w:r/>
      <w:bookmarkEnd w:id="32"/>
      <w:r>
        <w:rPr>
          <w:rFonts w:hint="eastAsia"/>
          <w:b/>
          <w:bCs/>
          <w:color w:val="000000" w:themeColor="text1"/>
          <w:sz w:val="21"/>
          <w:szCs w:val="21"/>
          <w:highlight w:val="none"/>
          <w14:textFill>
            <w14:solidFill>
              <w14:schemeClr w14:val="tx1"/>
            </w14:solidFill>
          </w14:textFill>
        </w:rPr>
        <w:t xml:space="preserve">磋商文件</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3" w:name="_Toc16938526"/>
      <w:r/>
      <w:bookmarkStart w:id="34" w:name="_Toc513029210"/>
      <w:r/>
      <w:bookmarkStart w:id="35" w:name="_Toc20823282"/>
      <w:r>
        <w:rPr>
          <w:rFonts w:hint="eastAsia"/>
          <w:b/>
          <w:bCs/>
          <w:color w:val="000000" w:themeColor="text1"/>
          <w:sz w:val="21"/>
          <w:szCs w:val="21"/>
          <w:highlight w:val="none"/>
          <w14:textFill>
            <w14:solidFill>
              <w14:schemeClr w14:val="tx1"/>
            </w14:solidFill>
          </w14:textFill>
        </w:rPr>
        <w:t xml:space="preserve">6、磋商文件构成</w:t>
      </w:r>
      <w:bookmarkEnd w:id="33"/>
      <w:r/>
      <w:bookmarkEnd w:id="34"/>
      <w:r/>
      <w:bookmarkEnd w:id="35"/>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6.1 磋商文件由以下部分组成：</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（1）竞争性磋商公告</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（2）供应商须知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（3）成交标准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（4）采购需求</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（5）合同草案条款及格式</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（6）响应文件格式</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（7）附件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请仔细检查磋商文件是否齐全，如有缺漏请立即与采购代理机构联系解决。</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36" w:name="_Toc462564070"/>
      <w:r/>
      <w:bookmarkStart w:id="37" w:name="_Toc16938527"/>
      <w:r/>
      <w:bookmarkStart w:id="38" w:name="_Toc513029211"/>
      <w:r/>
      <w:bookmarkStart w:id="39" w:name="_Toc20823283"/>
      <w:r>
        <w:rPr>
          <w:rFonts w:hint="eastAsia"/>
          <w:b/>
          <w:bCs/>
          <w:color w:val="000000" w:themeColor="text1"/>
          <w:sz w:val="21"/>
          <w:szCs w:val="21"/>
          <w:highlight w:val="none"/>
          <w14:textFill>
            <w14:solidFill>
              <w14:schemeClr w14:val="tx1"/>
            </w14:solidFill>
          </w14:textFill>
        </w:rPr>
        <w:t xml:space="preserve">7、磋商文件的澄清</w:t>
      </w:r>
      <w:bookmarkEnd w:id="36"/>
      <w:r/>
      <w:bookmarkEnd w:id="37"/>
      <w:r/>
      <w:bookmarkEnd w:id="38"/>
      <w:r/>
      <w:bookmarkEnd w:id="39"/>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7.1 任何要求对磋商文件进行澄清的供应商，应在磋商截止期5日前按磋商公告中的通讯地址，以书面形式通知采购代理机构。</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40" w:name="_Toc20823284"/>
      <w:r/>
      <w:bookmarkStart w:id="41" w:name="_Toc513029212"/>
      <w:r/>
      <w:bookmarkStart w:id="42" w:name="_Toc16938528"/>
      <w:r/>
      <w:bookmarkStart w:id="43" w:name="_Toc462564071"/>
      <w:r>
        <w:rPr>
          <w:rFonts w:hint="eastAsia"/>
          <w:b/>
          <w:bCs/>
          <w:color w:val="000000" w:themeColor="text1"/>
          <w:sz w:val="21"/>
          <w:szCs w:val="21"/>
          <w:highlight w:val="none"/>
          <w14:textFill>
            <w14:solidFill>
              <w14:schemeClr w14:val="tx1"/>
            </w14:solidFill>
          </w14:textFill>
        </w:rPr>
        <w:t xml:space="preserve">8、磋商文件的澄清和修改</w:t>
      </w:r>
      <w:bookmarkEnd w:id="40"/>
      <w:r/>
      <w:bookmarkEnd w:id="41"/>
      <w:r/>
      <w:bookmarkEnd w:id="42"/>
      <w:r/>
      <w:bookmarkEnd w:id="43"/>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 xml:space="preserve">满足相关文件规定</w:t>
      </w:r>
      <w:r>
        <w:rPr>
          <w:rFonts w:hint="eastAsia"/>
          <w:color w:val="000000" w:themeColor="text1"/>
          <w:sz w:val="21"/>
          <w:szCs w:val="21"/>
          <w:highlight w:val="none"/>
          <w14:textFill>
            <w14:solidFill>
              <w14:schemeClr w14:val="tx1"/>
            </w14:solidFill>
          </w14:textFill>
        </w:rPr>
        <w:t xml:space="preserve">，在“江苏政府采购网、南京公共采购信息网”上发布书面更正公告形式通知所有获取磋商文件的供应商，更正公告内容将作为磋商文件的组成部分，并对供应商具有约束力。</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8.2 采购代理机构可以视采购项目的具体情况，组织供应商进行现场考察或召开磋商前答疑会，但不单独或分别组织只有一个供应商参加的现场考察和答疑会。</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4" w:name="_Toc120614216"/>
      <w:r/>
      <w:bookmarkStart w:id="45" w:name="_Toc462564072"/>
      <w:r/>
      <w:bookmarkStart w:id="46" w:name="_Toc20823285"/>
      <w:r/>
      <w:bookmarkStart w:id="47" w:name="_Toc513029213"/>
      <w:r/>
      <w:bookmarkStart w:id="48" w:name="_Toc16938529"/>
      <w:r>
        <w:rPr>
          <w:rFonts w:hint="eastAsia"/>
          <w:b/>
          <w:bCs/>
          <w:color w:val="000000" w:themeColor="text1"/>
          <w:sz w:val="21"/>
          <w:szCs w:val="21"/>
          <w:highlight w:val="none"/>
          <w14:textFill>
            <w14:solidFill>
              <w14:schemeClr w14:val="tx1"/>
            </w14:solidFill>
          </w14:textFill>
        </w:rPr>
        <w:t xml:space="preserve">三、响应文件的编制</w:t>
      </w:r>
      <w:bookmarkEnd w:id="44"/>
      <w:r/>
      <w:bookmarkEnd w:id="45"/>
      <w:r/>
      <w:bookmarkEnd w:id="46"/>
      <w:r/>
      <w:bookmarkEnd w:id="47"/>
      <w:r/>
      <w:bookmarkEnd w:id="48"/>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49" w:name="_Toc462564073"/>
      <w:r/>
      <w:bookmarkStart w:id="50" w:name="_Toc20823286"/>
      <w:r/>
      <w:bookmarkStart w:id="51" w:name="_Toc16938530"/>
      <w:r/>
      <w:bookmarkStart w:id="52" w:name="_Toc513029214"/>
      <w:r>
        <w:rPr>
          <w:rFonts w:hint="eastAsia"/>
          <w:b/>
          <w:bCs/>
          <w:color w:val="000000" w:themeColor="text1"/>
          <w:sz w:val="21"/>
          <w:szCs w:val="21"/>
          <w:highlight w:val="none"/>
          <w14:textFill>
            <w14:solidFill>
              <w14:schemeClr w14:val="tx1"/>
            </w14:solidFill>
          </w14:textFill>
        </w:rPr>
        <w:t xml:space="preserve">9、</w:t>
      </w:r>
      <w:bookmarkEnd w:id="49"/>
      <w:r/>
      <w:bookmarkEnd w:id="50"/>
      <w:r/>
      <w:bookmarkEnd w:id="51"/>
      <w:r/>
      <w:bookmarkEnd w:id="52"/>
      <w:r>
        <w:rPr>
          <w:rFonts w:hint="eastAsia"/>
          <w:b/>
          <w:bCs/>
          <w:color w:val="000000" w:themeColor="text1"/>
          <w:sz w:val="21"/>
          <w:szCs w:val="21"/>
          <w:highlight w:val="none"/>
          <w14:textFill>
            <w14:solidFill>
              <w14:schemeClr w14:val="tx1"/>
            </w14:solidFill>
          </w14:textFill>
        </w:rPr>
        <w:t xml:space="preserve">响应文件的语言、计量单位、货币和编制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9.2 供应商所使用的计量单位应为国家法定计量单位。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9.3 供应商应用人民币报价。报价产品如果是进口产品的，应提供人民币与外币之间的汇率；报价单位为“元”。</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9.4 磋商响应文件应字迹清楚、内容齐全、不得涂改。如有修改，修改处须有供应商公章或投标专用章和法定代表人或其授权磋商代表签字。</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9.5 供应商应在磋商响应文件中写清相应的项目编号、项目名称、供应商全称、地址、电话、传真等。</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53" w:name="_Toc462564074"/>
      <w:r/>
      <w:bookmarkStart w:id="54" w:name="_Toc513029215"/>
      <w:r/>
      <w:bookmarkStart w:id="55" w:name="_Toc20823287"/>
      <w:r/>
      <w:bookmarkStart w:id="56" w:name="_Toc16938531"/>
      <w:r>
        <w:rPr>
          <w:rFonts w:hint="eastAsia"/>
          <w:b/>
          <w:bCs/>
          <w:color w:val="000000" w:themeColor="text1"/>
          <w:sz w:val="21"/>
          <w:szCs w:val="21"/>
          <w:highlight w:val="none"/>
          <w14:textFill>
            <w14:solidFill>
              <w14:schemeClr w14:val="tx1"/>
            </w14:solidFill>
          </w14:textFill>
        </w:rPr>
        <w:t xml:space="preserve">10、响应文件构成</w:t>
      </w:r>
      <w:bookmarkEnd w:id="53"/>
      <w:r/>
      <w:bookmarkEnd w:id="54"/>
      <w:r/>
      <w:bookmarkEnd w:id="55"/>
      <w:r/>
      <w:bookmarkEnd w:id="56"/>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响应文件，并根据自己的商务能力、技术水平对竞争性磋商文件提出的要求和条件逐条标明是否响应。</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 磋商响应文件由商务部分、技术部分、价格部分，以及其他部分组成。</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10.3 本次采购的最小单位是包。采购项目的技术要求中未分包的，供应商对要求提供的服务不得部分投标；采购项目的技术要求中已经分包的，可以以包为单位投标。</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10.4 如标书制作工具中格式和内容与“江苏政府采购网、南京公共采购信息网”发布的磋商文件不一致，请以“江苏政府采购网、南京公共采购信息网”发布的磋商文件为准。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 xml:space="preserve">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（1）★磋商申请及声明；</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（2）★法定代表人授权委托书；</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（3）★磋商报价表；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）★《南京市政府采购供应商信用记录表暨信用承诺书》注：本表打印时间必须在采购文件发布之日起至提交响应文件截止日前。</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）第一章磋商邀请中采购人根据采购项目的特殊要求规定的特定条件证明文件</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（6）★《商务条款偏离表》；</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★《技术条款偏离表》；</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（8）★中小企业声明函；</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（9）★无重大违法记录声明；</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（10）★残疾人福利性单位声明函</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）属于监狱企业的证明文件（如有）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）节能产品认证文件（如有）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（13）环境标志产品认证文件（如有）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（14）进口产品转让技术、消化吸收再创新方案（如有）</w:t>
      </w:r>
      <w:r/>
    </w:p>
    <w:p>
      <w:pPr>
        <w:ind w:firstLine="420"/>
        <w:spacing w:line="360" w:lineRule="auto"/>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（15）磋商供应商认为需提供的其他资料。</w:t>
      </w:r>
      <w:r/>
    </w:p>
    <w:p>
      <w:pPr>
        <w:ind w:firstLine="420"/>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磋商响应文件的价格部分</w:t>
      </w:r>
      <w:r/>
    </w:p>
    <w:p>
      <w:pPr>
        <w:numPr>
          <w:ilvl w:val="0"/>
          <w:numId w:val="2"/>
        </w:num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价格部分是对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价格构成的说明，竞争性磋商文件如没有特别说明的话，对每一项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仅接受一个价格。</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费用，以及技术资料、支付给员工的工资和国家强制缴纳的各种社会保障资金，以及供应商认为需要的其他费用等。</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（3）供应商应以表格形式详细说明</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的价格构成，以及价格构成各项因素的单价和总价。</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（4）供应商应充分考虑到市场价格变动，以及项目实施过程中的不可预见因素，一旦成交，总价格不变。如果有漏项，视同让利。</w:t>
      </w:r>
      <w:r/>
    </w:p>
    <w:p>
      <w:pPr>
        <w:ind w:firstLine="422"/>
        <w:spacing w:line="360" w:lineRule="auto"/>
        <w:shd w:val="clear" w:color="auto" w:fill="ffffff"/>
        <w:widowControl/>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（5）响应文件所报的投标价格不得超过磋商文件规定的最高限价，超过磋商文件规定的最高限价的响应文件，按无效投标处理。</w:t>
      </w:r>
      <w:r/>
    </w:p>
    <w:p>
      <w:pPr>
        <w:ind w:firstLine="420"/>
        <w:spacing w:line="360" w:lineRule="auto"/>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低于供应商在磋商响应文件报价的话，除特别注明外，分项报价同比例调整。</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（7）</w:t>
      </w:r>
      <w:r>
        <w:rPr>
          <w:rFonts w:hint="eastAsia" w:ascii="宋体" w:hAnsi="宋体" w:eastAsia="宋体" w:cs="宋体"/>
          <w:b/>
          <w:bCs/>
          <w:szCs w:val="21"/>
          <w:highlight w:val="none"/>
          <w:lang w:val="zh-CN" w:eastAsia="zh-CN"/>
        </w:rPr>
        <w:t xml:space="preserve">异常低价投标审查</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评标过程中出现下列情形之一的，评委会应当启动异常低价投标审查程序：</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1）投标报价低于全部通过符合性审查供应商投标报价平均值65%的，即投标报价&lt;全部通过符合性审查供应商投标报价平均值×65%；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2）投标报价低于通过符合性审查的次低报价供应商投标报价65%的，即投标报价&lt;通过符合性审查的次低报价供应商投标报价×65%；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3）投标报价低于采购项目最高限价65%的，即投标报价&lt;采购项目最高限价×65%；</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4）评委会基于专业判断，认为供应商报价过低，有可能影响产品质量或者不能诚信履约的其他情形。</w:t>
      </w:r>
      <w:r/>
    </w:p>
    <w:p>
      <w:pPr>
        <w:ind w:firstLine="420"/>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szCs w:val="21"/>
          <w:highlight w:val="none"/>
          <w:lang w:val="zh-CN"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20"/>
        <w:spacing w:line="360" w:lineRule="auto"/>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 xml:space="preserve">商根据编制磋商响应文件需要提供的其他相关文件组成。</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57" w:name="_Toc14577357"/>
      <w:r/>
      <w:bookmarkStart w:id="58" w:name="_Toc49090509"/>
      <w:r/>
      <w:bookmarkStart w:id="59" w:name="_Toc513029216"/>
      <w:r/>
      <w:bookmarkStart w:id="60" w:name="_Toc49090507"/>
      <w:r/>
      <w:bookmarkStart w:id="61" w:name="_Toc14577354"/>
      <w:r/>
      <w:bookmarkStart w:id="62" w:name="_Toc14577355"/>
      <w:r/>
      <w:bookmarkStart w:id="63" w:name="_Toc513029219"/>
      <w:r/>
      <w:bookmarkStart w:id="64" w:name="_Toc49090508"/>
      <w:r/>
      <w:bookmarkStart w:id="65" w:name="_Hlt26670360"/>
      <w:r/>
      <w:bookmarkStart w:id="66" w:name="_Hlt26954838"/>
      <w:r/>
      <w:bookmarkStart w:id="67" w:name="_Hlt26668975"/>
      <w:r>
        <w:rPr>
          <w:rFonts w:hint="eastAsia"/>
          <w:b/>
          <w:bCs/>
          <w:color w:val="000000" w:themeColor="text1"/>
          <w:sz w:val="21"/>
          <w:szCs w:val="21"/>
          <w:highlight w:val="none"/>
          <w14:textFill>
            <w14:solidFill>
              <w14:schemeClr w14:val="tx1"/>
            </w14:solidFill>
          </w14:textFill>
        </w:rPr>
        <w:t xml:space="preserve">11、证明磋商响应标的符合磋商文件规定的文件</w:t>
      </w:r>
      <w:bookmarkEnd w:id="57"/>
      <w:r/>
      <w:bookmarkEnd w:id="58"/>
      <w:r/>
      <w:bookmarkEnd w:id="59"/>
      <w:r/>
      <w:bookmarkEnd w:id="60"/>
      <w:r/>
      <w:bookmarkEnd w:id="61"/>
      <w:r/>
      <w:bookmarkEnd w:id="62"/>
      <w:r/>
      <w:bookmarkEnd w:id="63"/>
      <w:r/>
      <w:bookmarkEnd w:id="64"/>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11.1 供应商应按照磋商文件要求提交证明文件，证明其及磋商响应标的符合磋商文件规定。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11.2 磋商文件对证明文件无明确形式要求的，证明文件可以以文字资料、图纸和数据等形式提交。</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12、分项报价表</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12.1 供应商应填报分项报价表。</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12.2 磋商货币。响应文件中的单价和总价无特殊规定的采用人民币报价，以元为单位标注。磋商文件中另有规定的按规定执行。</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68" w:name="_Hlt26670482"/>
      <w:r/>
      <w:bookmarkStart w:id="69" w:name="_Hlt26954848"/>
      <w:r/>
      <w:bookmarkStart w:id="70" w:name="_Hlt26954731"/>
      <w:r/>
      <w:bookmarkStart w:id="71" w:name="_Hlt26670486"/>
      <w:r/>
      <w:bookmarkStart w:id="72" w:name="_Hlt26954846"/>
      <w:r>
        <w:rPr>
          <w:rFonts w:hint="eastAsia"/>
          <w:b/>
          <w:bCs/>
          <w:color w:val="000000" w:themeColor="text1"/>
          <w:sz w:val="21"/>
          <w:szCs w:val="21"/>
          <w:highlight w:val="none"/>
          <w14:textFill>
            <w14:solidFill>
              <w14:schemeClr w14:val="tx1"/>
            </w14:solidFill>
          </w14:textFill>
        </w:rPr>
        <w:t xml:space="preserve">13、技术要求响应及偏离表、商务要求响应及偏离表</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13.1 供应商需对磋商文件中的技术要求与商务要求逐项作出响应或偏离。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13.2 供应商可在响应文件中提供认为需要的其他技术文件或说明。</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3" w:name="_Toc14577359"/>
      <w:r/>
      <w:bookmarkStart w:id="74" w:name="_Toc49090510"/>
      <w:r>
        <w:rPr>
          <w:rFonts w:hint="eastAsia"/>
          <w:b/>
          <w:bCs/>
          <w:color w:val="000000" w:themeColor="text1"/>
          <w:sz w:val="21"/>
          <w:szCs w:val="21"/>
          <w:highlight w:val="none"/>
          <w14:textFill>
            <w14:solidFill>
              <w14:schemeClr w14:val="tx1"/>
            </w14:solidFill>
          </w14:textFill>
        </w:rPr>
        <w:t xml:space="preserve">14、</w:t>
      </w:r>
      <w:bookmarkEnd w:id="73"/>
      <w:r/>
      <w:bookmarkEnd w:id="74"/>
      <w:r>
        <w:rPr>
          <w:rFonts w:hint="eastAsia"/>
          <w:b/>
          <w:bCs/>
          <w:color w:val="000000" w:themeColor="text1"/>
          <w:sz w:val="21"/>
          <w:szCs w:val="21"/>
          <w:highlight w:val="none"/>
          <w14:textFill>
            <w14:solidFill>
              <w14:schemeClr w14:val="tx1"/>
            </w14:solidFill>
          </w14:textFill>
        </w:rPr>
        <w:t xml:space="preserve">竞争性磋商申请及声明</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14.1 供应商应按照磋商文件中提供的格式完整、正确填写竞争性磋商申请及声明。</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75" w:name="_Toc49090511"/>
      <w:r/>
      <w:bookmarkStart w:id="76" w:name="_Toc14577360"/>
      <w:r>
        <w:rPr>
          <w:rFonts w:hint="eastAsia"/>
          <w:b/>
          <w:bCs/>
          <w:color w:val="000000" w:themeColor="text1"/>
          <w:sz w:val="21"/>
          <w:szCs w:val="21"/>
          <w:highlight w:val="none"/>
          <w14:textFill>
            <w14:solidFill>
              <w14:schemeClr w14:val="tx1"/>
            </w14:solidFill>
          </w14:textFill>
        </w:rPr>
        <w:t xml:space="preserve">15、磋商有效期</w:t>
      </w:r>
      <w:bookmarkEnd w:id="75"/>
      <w:r/>
      <w:bookmarkEnd w:id="76"/>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15.1 磋商有效期为采购代理机构规定的提交响应文件截止之日后</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 xml:space="preserve">九</w:t>
      </w:r>
      <w:r>
        <w:rPr>
          <w:rFonts w:hint="eastAsia"/>
          <w:b/>
          <w:bCs/>
          <w:color w:val="000000" w:themeColor="text1"/>
          <w:sz w:val="21"/>
          <w:szCs w:val="21"/>
          <w:highlight w:val="none"/>
          <w:u w:val="single"/>
          <w14:textFill>
            <w14:solidFill>
              <w14:schemeClr w14:val="tx1"/>
            </w14:solidFill>
          </w14:textFill>
        </w:rPr>
        <w:t xml:space="preserve">十（</w:t>
      </w:r>
      <w:r>
        <w:rPr>
          <w:rFonts w:hint="eastAsia"/>
          <w:b/>
          <w:bCs/>
          <w:color w:val="000000" w:themeColor="text1"/>
          <w:sz w:val="21"/>
          <w:szCs w:val="21"/>
          <w:highlight w:val="none"/>
          <w:u w:val="single"/>
          <w:lang w:val="en-US" w:eastAsia="zh-CN"/>
          <w14:textFill>
            <w14:solidFill>
              <w14:schemeClr w14:val="tx1"/>
            </w14:solidFill>
          </w14:textFill>
        </w:rPr>
        <w:t xml:space="preserve">9</w:t>
      </w:r>
      <w:r>
        <w:rPr>
          <w:rFonts w:hint="eastAsia"/>
          <w:b/>
          <w:bCs/>
          <w:color w:val="000000" w:themeColor="text1"/>
          <w:sz w:val="21"/>
          <w:szCs w:val="21"/>
          <w:highlight w:val="none"/>
          <w:u w:val="single"/>
          <w14:textFill>
            <w14:solidFill>
              <w14:schemeClr w14:val="tx1"/>
            </w14:solidFill>
          </w14:textFill>
        </w:rPr>
        <w:t xml:space="preserve">0）天</w:t>
      </w:r>
      <w:r>
        <w:rPr>
          <w:rFonts w:hint="eastAsia"/>
          <w:color w:val="000000" w:themeColor="text1"/>
          <w:sz w:val="21"/>
          <w:szCs w:val="21"/>
          <w:highlight w:val="none"/>
          <w14:textFill>
            <w14:solidFill>
              <w14:schemeClr w14:val="tx1"/>
            </w14:solidFill>
          </w14:textFill>
        </w:rPr>
        <w:t xml:space="preserve">。磋商有效期比规定短的将被视为非实质性响应磋商文件而予以拒绝。</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16、磋商有效期的延长</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77" w:name="_Toc16938540"/>
      <w:r/>
      <w:bookmarkStart w:id="78" w:name="_Toc120614217"/>
      <w:r/>
      <w:bookmarkStart w:id="79" w:name="_Toc513029224"/>
      <w:r/>
      <w:bookmarkStart w:id="80" w:name="_Toc20823296"/>
      <w:r/>
      <w:bookmarkStart w:id="81" w:name="_Hlt26954739"/>
      <w:r/>
      <w:bookmarkStart w:id="82" w:name="_Hlt26954852"/>
      <w:r>
        <w:rPr>
          <w:rFonts w:hint="eastAsia"/>
          <w:b/>
          <w:bCs/>
          <w:color w:val="000000" w:themeColor="text1"/>
          <w:sz w:val="21"/>
          <w:szCs w:val="21"/>
          <w:highlight w:val="none"/>
          <w14:textFill>
            <w14:solidFill>
              <w14:schemeClr w14:val="tx1"/>
            </w14:solidFill>
          </w14:textFill>
        </w:rPr>
        <w:t xml:space="preserve">四、响应文件的递交</w:t>
      </w:r>
      <w:bookmarkEnd w:id="77"/>
      <w:r/>
      <w:bookmarkEnd w:id="78"/>
      <w:r/>
      <w:bookmarkEnd w:id="79"/>
      <w:r/>
      <w:bookmarkEnd w:id="80"/>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83" w:name="_Toc462564084"/>
      <w:r/>
      <w:bookmarkStart w:id="84" w:name="_Toc16938541"/>
      <w:r/>
      <w:bookmarkStart w:id="85" w:name="_Toc513029225"/>
      <w:r/>
      <w:bookmarkStart w:id="86" w:name="_Toc20823297"/>
      <w:r>
        <w:rPr>
          <w:rFonts w:hint="eastAsia"/>
          <w:b/>
          <w:bCs/>
          <w:color w:val="000000" w:themeColor="text1"/>
          <w:sz w:val="21"/>
          <w:szCs w:val="21"/>
          <w:highlight w:val="none"/>
          <w14:textFill>
            <w14:solidFill>
              <w14:schemeClr w14:val="tx1"/>
            </w14:solidFill>
          </w14:textFill>
        </w:rPr>
        <w:t xml:space="preserve">17、电子磋商</w:t>
      </w:r>
      <w:bookmarkEnd w:id="83"/>
      <w:r/>
      <w:bookmarkEnd w:id="84"/>
      <w:r/>
      <w:bookmarkEnd w:id="85"/>
      <w:r/>
      <w:bookmarkEnd w:id="86"/>
      <w:r>
        <w:rPr>
          <w:rFonts w:hint="eastAsia"/>
          <w:b/>
          <w:bCs/>
          <w:color w:val="000000" w:themeColor="text1"/>
          <w:sz w:val="21"/>
          <w:szCs w:val="21"/>
          <w:highlight w:val="none"/>
          <w14:textFill>
            <w14:solidFill>
              <w14:schemeClr w14:val="tx1"/>
            </w14:solidFill>
          </w14:textFill>
        </w:rPr>
        <w:t xml:space="preserve">响应文件的递交</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 xml:space="preserve">响应文件应加盖</w:t>
      </w:r>
      <w:r>
        <w:rPr>
          <w:rFonts w:hint="eastAsia"/>
          <w:color w:val="000000" w:themeColor="text1"/>
          <w:sz w:val="21"/>
          <w:szCs w:val="21"/>
          <w:highlight w:val="none"/>
          <w14:textFill>
            <w14:solidFill>
              <w14:schemeClr w14:val="tx1"/>
            </w14:solidFill>
          </w14:textFill>
        </w:rPr>
        <w:t xml:space="preserve">投标供应商</w:t>
      </w:r>
      <w:r>
        <w:rPr>
          <w:rFonts w:hint="eastAsia"/>
          <w:color w:val="000000" w:themeColor="text1"/>
          <w:sz w:val="21"/>
          <w:szCs w:val="21"/>
          <w:highlight w:val="none"/>
          <w:lang w:val="zh-CN"/>
          <w14:textFill>
            <w14:solidFill>
              <w14:schemeClr w14:val="tx1"/>
            </w14:solidFill>
          </w14:textFill>
        </w:rPr>
        <w:t xml:space="preserve">公章。</w:t>
      </w:r>
      <w:r>
        <w:rPr>
          <w:rFonts w:hint="eastAsia"/>
          <w:color w:val="000000" w:themeColor="text1"/>
          <w:sz w:val="21"/>
          <w:szCs w:val="21"/>
          <w:highlight w:val="none"/>
          <w14:textFill>
            <w14:solidFill>
              <w14:schemeClr w14:val="tx1"/>
            </w14:solidFill>
          </w14:textFill>
        </w:rPr>
        <w:t xml:space="preserve">磋商文件中注明须签字的地方应由供应商的法定代表人或委托代理人签字，如为委托代理人签字的应附“法定代表人授权委托书”。</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17.2 供应商应当按照《操作手册》规定，在提交响应文件截止时间前制作并上传电子响应文件。</w:t>
      </w:r>
      <w:bookmarkStart w:id="87" w:name="_Toc20823298"/>
      <w:r/>
      <w:bookmarkEnd w:id="87"/>
      <w:r/>
      <w:bookmarkStart w:id="88" w:name="_Toc16938542"/>
      <w:r/>
      <w:bookmarkEnd w:id="88"/>
      <w:r/>
      <w:bookmarkStart w:id="89" w:name="_Toc513029226"/>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18、提交响应文件截止时间</w:t>
      </w:r>
      <w:r/>
    </w:p>
    <w:p>
      <w:pPr>
        <w:pStyle w:val="673"/>
        <w:ind w:firstLine="420"/>
        <w:jc w:val="both"/>
        <w:spacing w:before="0" w:beforeAutospacing="0" w:after="0" w:afterAutospacing="0" w:line="360" w:lineRule="auto"/>
        <w:widowControl w:val="off"/>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18.1 供应商上传电子响应文件的时间不得迟于磋商公告中规定的提交响应文件截止时间。</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 xml:space="preserve">25.3.2</w:t>
      </w:r>
      <w:r>
        <w:rPr>
          <w:rFonts w:hint="eastAsia"/>
          <w:color w:val="000000" w:themeColor="text1"/>
          <w:sz w:val="21"/>
          <w:szCs w:val="21"/>
          <w:highlight w:val="none"/>
          <w14:textFill>
            <w14:solidFill>
              <w14:schemeClr w14:val="tx1"/>
            </w14:solidFill>
          </w14:textFill>
        </w:rPr>
        <w:t xml:space="preserve">条规定做无效响应处理。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18.3 采购代理机构可以按照规定，通过修改磋商文件酌情延长提交响应文件截止日期，在此情况下，供应商的所有权利和义务以及供应商受制的截止日期均应以延长后新的截止日期为准。</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90" w:name="_Toc16938543"/>
      <w:r/>
      <w:bookmarkStart w:id="91" w:name="_Toc513029227"/>
      <w:r/>
      <w:bookmarkStart w:id="92" w:name="_Toc20823299"/>
      <w:r>
        <w:rPr>
          <w:rFonts w:hint="eastAsia"/>
          <w:b/>
          <w:bCs/>
          <w:color w:val="000000" w:themeColor="text1"/>
          <w:sz w:val="21"/>
          <w:szCs w:val="21"/>
          <w:highlight w:val="none"/>
          <w14:textFill>
            <w14:solidFill>
              <w14:schemeClr w14:val="tx1"/>
            </w14:solidFill>
          </w14:textFill>
        </w:rPr>
        <w:t xml:space="preserve">19、响应文件</w:t>
      </w:r>
      <w:bookmarkEnd w:id="90"/>
      <w:r/>
      <w:bookmarkEnd w:id="91"/>
      <w:r/>
      <w:bookmarkEnd w:id="92"/>
      <w:r>
        <w:rPr>
          <w:rFonts w:hint="eastAsia"/>
          <w:b/>
          <w:bCs/>
          <w:color w:val="000000" w:themeColor="text1"/>
          <w:sz w:val="21"/>
          <w:szCs w:val="21"/>
          <w:highlight w:val="none"/>
          <w14:textFill>
            <w14:solidFill>
              <w14:schemeClr w14:val="tx1"/>
            </w14:solidFill>
          </w14:textFill>
        </w:rPr>
        <w:t xml:space="preserve">的拒收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19.1 采购代理机构拒绝接收在其规定的提交响应文件截止时间后上传的任何电子响应文件。</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3" w:name="_Toc513029228"/>
      <w:r/>
      <w:bookmarkStart w:id="94" w:name="_Toc20823300"/>
      <w:r/>
      <w:bookmarkStart w:id="95" w:name="_Toc16938544"/>
      <w:r>
        <w:rPr>
          <w:rFonts w:hint="eastAsia"/>
          <w:b/>
          <w:bCs/>
          <w:color w:val="000000" w:themeColor="text1"/>
          <w:sz w:val="21"/>
          <w:szCs w:val="21"/>
          <w:highlight w:val="none"/>
          <w14:textFill>
            <w14:solidFill>
              <w14:schemeClr w14:val="tx1"/>
            </w14:solidFill>
          </w14:textFill>
        </w:rPr>
        <w:t xml:space="preserve">20、响应文件的撤回和修改</w:t>
      </w:r>
      <w:bookmarkEnd w:id="93"/>
      <w:r/>
      <w:bookmarkEnd w:id="94"/>
      <w:r/>
      <w:bookmarkEnd w:id="95"/>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20.1响应文件的撤回</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20.1.1 电子响应文件的撤回</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供应商可在提交响应文件截止时间前，撤回其电子响应文件，具体操作方法见《操作手册》。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20.1.2 供应商撤回电子响应文件，则认为其不再参与本项目磋商活动。</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20.2响应文件的修改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20.2.1 供应商可在提交响应文件截止时间前，对其电子响应文件进行修改，具体操作方法见《操作手册》。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20.2.2 在提交响应文件截止时间之后，供应商不得对其电子响应文件作任何修改。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20.2.3 在提交响应文件截止时间至磋商文件中规定的磋商有效期满之间的这段时间内，供应商不得撤回其响应文件。</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96" w:name="_Toc20823301"/>
      <w:r/>
      <w:bookmarkStart w:id="97" w:name="_Toc120614218"/>
      <w:r/>
      <w:bookmarkStart w:id="98" w:name="_Toc513029229"/>
      <w:r/>
      <w:bookmarkStart w:id="99" w:name="_Toc16938545"/>
      <w:r>
        <w:rPr>
          <w:rFonts w:hint="eastAsia"/>
          <w:b/>
          <w:bCs/>
          <w:color w:val="000000" w:themeColor="text1"/>
          <w:sz w:val="21"/>
          <w:szCs w:val="21"/>
          <w:highlight w:val="none"/>
          <w14:textFill>
            <w14:solidFill>
              <w14:schemeClr w14:val="tx1"/>
            </w14:solidFill>
          </w14:textFill>
        </w:rPr>
        <w:t xml:space="preserve">五、响应文件的解密与评审</w:t>
      </w:r>
      <w:bookmarkEnd w:id="96"/>
      <w:r/>
      <w:bookmarkEnd w:id="97"/>
      <w:r/>
      <w:bookmarkEnd w:id="98"/>
      <w:r/>
      <w:bookmarkEnd w:id="99"/>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0" w:name="_Toc16938546"/>
      <w:r/>
      <w:bookmarkStart w:id="101" w:name="_Toc513029230"/>
      <w:r/>
      <w:bookmarkStart w:id="102" w:name="_Toc20823302"/>
      <w:r>
        <w:rPr>
          <w:rFonts w:hint="eastAsia"/>
          <w:b/>
          <w:bCs/>
          <w:color w:val="000000" w:themeColor="text1"/>
          <w:sz w:val="21"/>
          <w:szCs w:val="21"/>
          <w:highlight w:val="none"/>
          <w14:textFill>
            <w14:solidFill>
              <w14:schemeClr w14:val="tx1"/>
            </w14:solidFill>
          </w14:textFill>
        </w:rPr>
        <w:t xml:space="preserve">21、</w:t>
      </w:r>
      <w:bookmarkEnd w:id="100"/>
      <w:r/>
      <w:bookmarkEnd w:id="101"/>
      <w:r/>
      <w:bookmarkEnd w:id="102"/>
      <w:r>
        <w:rPr>
          <w:rFonts w:hint="eastAsia"/>
          <w:b/>
          <w:bCs/>
          <w:color w:val="000000" w:themeColor="text1"/>
          <w:sz w:val="21"/>
          <w:szCs w:val="21"/>
          <w:highlight w:val="none"/>
          <w14:textFill>
            <w14:solidFill>
              <w14:schemeClr w14:val="tx1"/>
            </w14:solidFill>
          </w14:textFill>
        </w:rPr>
        <w:t xml:space="preserve">响应文件解密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21.1 供应商应当按照《操作手册》规定，在苏采云系统规定的时间内对磋商响应文件进行解密。</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3" w:name="_Toc16938547"/>
      <w:r/>
      <w:bookmarkStart w:id="104" w:name="_Toc20823303"/>
      <w:r/>
      <w:bookmarkStart w:id="105" w:name="_Toc513029231"/>
      <w:r>
        <w:rPr>
          <w:rFonts w:hint="eastAsia"/>
          <w:b/>
          <w:bCs/>
          <w:color w:val="000000" w:themeColor="text1"/>
          <w:sz w:val="21"/>
          <w:szCs w:val="21"/>
          <w:highlight w:val="none"/>
          <w14:textFill>
            <w14:solidFill>
              <w14:schemeClr w14:val="tx1"/>
            </w14:solidFill>
          </w14:textFill>
        </w:rPr>
        <w:t xml:space="preserve">22、磋商小组</w:t>
      </w:r>
      <w:bookmarkEnd w:id="103"/>
      <w:r/>
      <w:bookmarkEnd w:id="104"/>
      <w:r/>
      <w:bookmarkEnd w:id="105"/>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22.1 采购代理机构将组织磋商小组对响应文件进行评审。磋商小组由采购人代表和有关技术、经济等方面的专家组成，且人员构成符合政府采购有关规定。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22.2 磋商小组独立工作，负责评审所有响应文件并确定成交侯选人。</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23、评审过程的保密与公正</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23.1 磋商小组、采购人和采购代理机构工作人员、相关监督人员等与评审工作有关的人员，对评审情况以及在评审过程中获悉的国家秘密、商业秘密负有保密责任。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23.2 在评审过程中，供应商不得以任何行为影响磋商评审过程，否则其响应文件将被作为无效响应文件。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23.3 在项目评审期间，采购代理机构将设专门人员与供应商联系。</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23.4 采购代理机构和磋商小组不向未成交的供应商解释未成交原因，也不公布评审过程中的相关细节。</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06" w:name="_Toc20823304"/>
      <w:r/>
      <w:bookmarkStart w:id="107" w:name="_Toc513029232"/>
      <w:r/>
      <w:bookmarkStart w:id="108" w:name="_Toc16938548"/>
      <w:r>
        <w:rPr>
          <w:rFonts w:hint="eastAsia"/>
          <w:b/>
          <w:bCs/>
          <w:color w:val="000000" w:themeColor="text1"/>
          <w:sz w:val="21"/>
          <w:szCs w:val="21"/>
          <w:highlight w:val="none"/>
          <w14:textFill>
            <w14:solidFill>
              <w14:schemeClr w14:val="tx1"/>
            </w14:solidFill>
          </w14:textFill>
        </w:rPr>
        <w:t xml:space="preserve">24、评审过程中的的澄清</w:t>
      </w:r>
      <w:bookmarkEnd w:id="106"/>
      <w:r/>
      <w:bookmarkEnd w:id="107"/>
      <w:r/>
      <w:bookmarkEnd w:id="108"/>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磋商小组并非对每个供应商都作澄清要求。</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24.3 接到磋商小组澄清、说明和更正要求的供应商如未按规定做出澄清、说明和更正，其风险由供应商自行承担。</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09" w:name="_Toc513029233"/>
      <w:r/>
      <w:bookmarkStart w:id="110" w:name="_Toc20823305"/>
      <w:r/>
      <w:bookmarkStart w:id="111" w:name="_Toc16938549"/>
      <w:r>
        <w:rPr>
          <w:rFonts w:hint="eastAsia"/>
          <w:b/>
          <w:bCs/>
          <w:color w:val="000000" w:themeColor="text1"/>
          <w:sz w:val="21"/>
          <w:szCs w:val="21"/>
          <w:highlight w:val="none"/>
          <w14:textFill>
            <w14:solidFill>
              <w14:schemeClr w14:val="tx1"/>
            </w14:solidFill>
          </w14:textFill>
        </w:rPr>
        <w:t xml:space="preserve">25、对响应文件的审</w:t>
      </w:r>
      <w:bookmarkEnd w:id="109"/>
      <w:r/>
      <w:bookmarkEnd w:id="110"/>
      <w:r/>
      <w:bookmarkEnd w:id="111"/>
      <w:r>
        <w:rPr>
          <w:rFonts w:hint="eastAsia"/>
          <w:b/>
          <w:bCs/>
          <w:color w:val="000000" w:themeColor="text1"/>
          <w:sz w:val="21"/>
          <w:szCs w:val="21"/>
          <w:highlight w:val="none"/>
          <w14:textFill>
            <w14:solidFill>
              <w14:schemeClr w14:val="tx1"/>
            </w14:solidFill>
          </w14:textFill>
        </w:rPr>
        <w:t xml:space="preserve">查</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25.1 响应文件审查分为资格审查和符合性审查。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25.1.1 资格审查：由磋商小组依据法律法规和磋商文件的规定，对响应文件中的资格证明文件进行审查，以确定供应商是否具备参加磋商的资格。</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磋商小组在进行资格审查的同时，将在“信用中国”网站（www.creditchina.gov.cn）、“中国政府采购网"(www.ccgp.gov.cn)查询供应商的信用记录，以确定供应商是否具备磋商资格，查询结果留存并归档。</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25.1.2 符合性审查：依据磋商文件的规定，由磋商小组从响应文件的有效性、完整性和对磋商文件的响应程度进行审查，以确定是否对磋商文件的实质性要求作出响应。</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25.2 在详细评审之前，磋商小组将首先审查每份响应文件是否实质性响应了磋商文件的要求。实质性响应的响应文件应该是与磋商文件要求的条款、条件和规格相符，没有重大偏离或保留。</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25.3 未实质性响应磋商文件的情形</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25.3.1 供应商在苏采云系统规定的时间内未成功解密电子响应文件的。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25.3.2 供应商未按照磋商文件要求上传电子响应文件的。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25.3.3 同一供应商提交两个（含两个）以上不同的响应文件或者最后报价的。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25.3.4 供应商不具备磋商文件中规定资格要求的。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25.3.5 供应商的投标报价超过了最高投标限价。</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 xml:space="preserve">（本竞争性磋商文件中带星号“★”等内容为实质性要求和条件）。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25.3.8 响应文件含有采购人不能接受的附加条件的。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25.3.9 响应文件未按照磋商文件要求加盖CA电子公章或签字的。</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  无效响应的情形</w:t>
      </w:r>
      <w:r/>
    </w:p>
    <w:p>
      <w:pPr>
        <w:pStyle w:val="673"/>
        <w:ind w:firstLine="422"/>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25.4.2 未实质性响应磋商文件的响应文件按无效响应处理。</w:t>
      </w:r>
      <w:r/>
    </w:p>
    <w:p>
      <w:pPr>
        <w:ind w:firstLine="422"/>
        <w:spacing w:line="360" w:lineRule="auto"/>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 xml:space="preserve">：</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（1）不同供应商的响应文件由同一单位或者个人编制；</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（2）不同供应商委托同一单位或者个人办理投标事宜；</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（3）不同供应商的响应文件载明的项目管理成员或者联系人员为同一人；</w:t>
      </w:r>
      <w:r/>
    </w:p>
    <w:p>
      <w:pPr>
        <w:ind w:firstLine="420"/>
        <w:spacing w:line="360" w:lineRule="auto"/>
        <w:widowControl/>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（4）不同供应商的响应文件异常一致或者投标报价呈规律性差异；</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（5）不同供应商的MAC地址一致的。</w:t>
      </w:r>
      <w:r/>
    </w:p>
    <w:p>
      <w:pPr>
        <w:pStyle w:val="673"/>
        <w:ind w:firstLine="422"/>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25.5 如果响应文件实质上没有响应磋商文件的要求，磋商小组将予以拒绝，供应商不得通过修改或撤销不合要求的偏离或保留而使其成为实质性响应的文件。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2" w:name="_Toc513029234"/>
      <w:r/>
      <w:bookmarkStart w:id="113" w:name="_Toc16938550"/>
      <w:r/>
      <w:bookmarkStart w:id="114" w:name="_Toc20823306"/>
      <w:r>
        <w:rPr>
          <w:rFonts w:hint="eastAsia"/>
          <w:color w:val="000000" w:themeColor="text1"/>
          <w:sz w:val="21"/>
          <w:szCs w:val="21"/>
          <w:highlight w:val="none"/>
          <w14:textFill>
            <w14:solidFill>
              <w14:schemeClr w14:val="tx1"/>
            </w14:solidFill>
          </w14:textFill>
        </w:rPr>
        <w:t xml:space="preserve">25.6 供应商在项目评审全过程中应保持通讯畅通，并安排专人与采购代理机构及磋商小组联系。</w:t>
      </w:r>
      <w:bookmarkEnd w:id="112"/>
      <w:r/>
      <w:bookmarkEnd w:id="113"/>
      <w:r/>
      <w:bookmarkEnd w:id="114"/>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26、磋商程序及评审方法和评审标准</w:t>
      </w:r>
      <w:r/>
    </w:p>
    <w:p>
      <w:pPr>
        <w:pStyle w:val="67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26.1 磋商程序</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最后报价</w:t>
      </w:r>
      <w:r>
        <w:rPr>
          <w:rFonts w:hint="eastAsia"/>
          <w:color w:val="000000" w:themeColor="text1"/>
          <w:sz w:val="21"/>
          <w:szCs w:val="21"/>
          <w:highlight w:val="none"/>
          <w14:textFill>
            <w14:solidFill>
              <w14:schemeClr w14:val="tx1"/>
            </w14:solidFill>
          </w14:textFill>
        </w:rPr>
        <w:t xml:space="preserve">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673"/>
        <w:ind w:firstLine="422"/>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26.2  评审方法和评审标准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26.2.2 评审标准</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见本磋商文件第三章规定。</w:t>
      </w:r>
      <w:r/>
    </w:p>
    <w:p>
      <w:pPr>
        <w:pStyle w:val="673"/>
        <w:ind w:firstLine="422"/>
        <w:jc w:val="both"/>
        <w:spacing w:before="0" w:beforeAutospacing="0" w:after="0" w:afterAutospacing="0" w:line="360" w:lineRule="auto"/>
        <w:widowControl w:val="off"/>
        <w:tabs>
          <w:tab w:val="left" w:pos="901" w:leader="none"/>
        </w:tabs>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26.3 采购活动终止的情况</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出现下列情形之一的，本次竞争性磋商采购活动将被终止：</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26.3.1 因情况变化，不再符合规定的竞争性磋商采购方式适用情形的。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26.3.2 出现影响采购公正的违法、违规行为的。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26.3.3 除本磋商文件第二章第26.1.2条第三款规定的情形外，在采购过程中符合要求的供应商或者最后报价未超过采购预算的供应商不足3家的。</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26.3.4 在苏采云系统规定时间内成功解密电子响应文件的供应商不足3家的。</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5" w:name="_Toc120614219"/>
      <w:r/>
      <w:bookmarkStart w:id="116" w:name="_Toc20823307"/>
      <w:r/>
      <w:bookmarkStart w:id="117" w:name="_Toc16938551"/>
      <w:r/>
      <w:bookmarkStart w:id="118" w:name="_Toc513029235"/>
      <w:r>
        <w:rPr>
          <w:rFonts w:hint="eastAsia"/>
          <w:b/>
          <w:bCs/>
          <w:color w:val="000000" w:themeColor="text1"/>
          <w:sz w:val="21"/>
          <w:szCs w:val="21"/>
          <w:highlight w:val="none"/>
          <w14:textFill>
            <w14:solidFill>
              <w14:schemeClr w14:val="tx1"/>
            </w14:solidFill>
          </w14:textFill>
        </w:rPr>
        <w:t xml:space="preserve">六、</w:t>
      </w:r>
      <w:bookmarkEnd w:id="115"/>
      <w:r/>
      <w:bookmarkEnd w:id="116"/>
      <w:r/>
      <w:bookmarkEnd w:id="117"/>
      <w:r/>
      <w:bookmarkEnd w:id="118"/>
      <w:r>
        <w:rPr>
          <w:rFonts w:hint="eastAsia"/>
          <w:b/>
          <w:bCs/>
          <w:color w:val="000000" w:themeColor="text1"/>
          <w:sz w:val="21"/>
          <w:szCs w:val="21"/>
          <w:highlight w:val="none"/>
          <w14:textFill>
            <w14:solidFill>
              <w14:schemeClr w14:val="tx1"/>
            </w14:solidFill>
          </w14:textFill>
        </w:rPr>
        <w:t xml:space="preserve">成交</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19" w:name="_Toc20823310"/>
      <w:r/>
      <w:bookmarkStart w:id="120" w:name="_Toc16938554"/>
      <w:r/>
      <w:bookmarkStart w:id="121" w:name="_Toc513029238"/>
      <w:r>
        <w:rPr>
          <w:rFonts w:hint="eastAsia"/>
          <w:b/>
          <w:bCs/>
          <w:color w:val="000000" w:themeColor="text1"/>
          <w:sz w:val="21"/>
          <w:szCs w:val="21"/>
          <w:highlight w:val="none"/>
          <w14:textFill>
            <w14:solidFill>
              <w14:schemeClr w14:val="tx1"/>
            </w14:solidFill>
          </w14:textFill>
        </w:rPr>
        <w:t xml:space="preserve">27、</w:t>
      </w:r>
      <w:bookmarkEnd w:id="119"/>
      <w:r>
        <w:rPr>
          <w:rFonts w:hint="eastAsia"/>
          <w:b/>
          <w:bCs/>
          <w:color w:val="000000" w:themeColor="text1"/>
          <w:sz w:val="21"/>
          <w:szCs w:val="21"/>
          <w:highlight w:val="none"/>
          <w14:textFill>
            <w14:solidFill>
              <w14:schemeClr w14:val="tx1"/>
            </w14:solidFill>
          </w14:textFill>
        </w:rPr>
        <w:t xml:space="preserve">确定</w:t>
      </w:r>
      <w:bookmarkEnd w:id="120"/>
      <w:r/>
      <w:bookmarkEnd w:id="121"/>
      <w:r>
        <w:rPr>
          <w:rFonts w:hint="eastAsia"/>
          <w:b/>
          <w:bCs/>
          <w:color w:val="000000" w:themeColor="text1"/>
          <w:sz w:val="21"/>
          <w:szCs w:val="21"/>
          <w:highlight w:val="none"/>
          <w14:textFill>
            <w14:solidFill>
              <w14:schemeClr w14:val="tx1"/>
            </w14:solidFill>
          </w14:textFill>
        </w:rPr>
        <w:t xml:space="preserve">成交单位</w:t>
      </w:r>
      <w:r/>
    </w:p>
    <w:p>
      <w:pPr>
        <w:pStyle w:val="673"/>
        <w:ind w:firstLine="420"/>
        <w:jc w:val="both"/>
        <w:spacing w:before="0" w:beforeAutospacing="0" w:after="0" w:afterAutospacing="0" w:line="360" w:lineRule="auto"/>
        <w:widowControl w:val="off"/>
        <w:tabs>
          <w:tab w:val="left" w:pos="901" w:leader="none"/>
        </w:tabs>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27.2 按以下第（2）种方式确定成交供应商；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（1）磋商小组直接确定排名第一的成交候选人为成交供应商；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（2）采购人在磋商小组推荐的3名成交候选人中按顺序确定成交供应商。</w:t>
      </w:r>
      <w:r/>
    </w:p>
    <w:p>
      <w:pPr>
        <w:ind w:firstLine="420"/>
        <w:jc w:val="both"/>
        <w:spacing w:line="360" w:lineRule="auto"/>
        <w:shd w:val="clear" w:color="auto" w:fill="ffffff"/>
        <w:widowControl/>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27.3 确定成交供应商后，采购代理机构将在“江苏政府采购网、南京公共采购信息网”发布成交结果公告，公告期限为1个工作日。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 若有充分证据证明，成交供应商出现下列情况之一的，一经查实，将被取消成交资格：</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27.4.1 提供虚假材料谋取成交的。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27.4.2 与评审专家、采购人、其他供应商或者采购代理机构工作人员恶意串通的。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27.4.3 向评审专家、采购人或采购代理机构工作人员行贿或者提供其他不正当利益的。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27.4.4 恶意竞争，最后报价明显低于其自身合理成本且又无法提供证明的。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27.4.5 不满足本磋商文件规定的实质性要求，但在评审过程中又未被磋商小组发现的。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27.4.6 成交后无正当理由拒不与采购人签订政府采购合同或者未按照磋商文件确定的事项签订政府采购合同的。</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27.4.7 将政府采购合同转包的。</w:t>
      </w:r>
      <w:bookmarkStart w:id="122" w:name="_Toc200451960"/>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w:t>
      </w:r>
      <w:bookmarkEnd w:id="122"/>
      <w:r>
        <w:rPr>
          <w:b/>
          <w:bCs/>
          <w:color w:val="000000" w:themeColor="text1"/>
          <w:sz w:val="21"/>
          <w:szCs w:val="21"/>
          <w:highlight w:val="none"/>
          <w14:textFill>
            <w14:solidFill>
              <w14:schemeClr w14:val="tx1"/>
            </w14:solidFill>
          </w14:textFill>
        </w:rPr>
        <w:t xml:space="preserve">询问、质疑、投诉和诚实信用</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28.1 询问</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pStyle w:val="673"/>
        <w:ind w:firstLine="420"/>
        <w:jc w:val="both"/>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28.2 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28.2.1 提出质疑的供应商应当是参与所质疑项目采购活动的供应商。潜在供应商依法获取其可质疑的采购文件的，可以对采购文件提出质疑。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（1）对可以质疑的采购文件提出质疑的，为收到采购文件之日或者采购文件公告期限届满之日。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（2）对采购过程提出质疑的，为各采购程序环节结束之日。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（3）对成交结果提出质疑的，为成交结果公告期限届满之日。</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 xml:space="preserve">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jc w:val="both"/>
        <w:spacing w:line="360" w:lineRule="auto"/>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质疑文件应包括以下主要内容：</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（1）质疑供应商的姓名或者名称、地址、邮编、联系人及联系电话；</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（2）质疑项目的名称、编号、公告发布时间、磋商时间；</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（3）具体、明确的质疑事项和与质疑事项相关的请求；</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（4）事实依据；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（5）必要的法律依据；</w:t>
      </w:r>
      <w:r/>
    </w:p>
    <w:p>
      <w:pPr>
        <w:ind w:firstLine="480"/>
        <w:jc w:val="both"/>
        <w:spacing w:line="360" w:lineRule="auto"/>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 xml:space="preserve">（6）提出质疑的日期；</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28.2.5 供应商（含潜在供应商）对与本项目有关的所有询问、质疑均请向采购代理机构提出，由采购代理机构负责答复。</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28.2.6 采购代理机构只接收以纸质原件形式送达的质疑。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采购代理机构质疑接收部门为</w:t>
      </w:r>
      <w:r>
        <w:rPr>
          <w:rFonts w:hint="eastAsia"/>
          <w:color w:val="000000" w:themeColor="text1"/>
          <w:sz w:val="21"/>
          <w:szCs w:val="21"/>
          <w:highlight w:val="none"/>
          <w:lang w:eastAsia="zh-CN"/>
          <w14:textFill>
            <w14:solidFill>
              <w14:schemeClr w14:val="tx1"/>
            </w14:solidFill>
          </w14:textFill>
        </w:rPr>
        <w:t xml:space="preserve">南京麻田工程咨询有限公司</w:t>
      </w:r>
      <w:r>
        <w:rPr>
          <w:rFonts w:hint="eastAsia"/>
          <w:color w:val="000000" w:themeColor="text1"/>
          <w:sz w:val="21"/>
          <w:szCs w:val="21"/>
          <w:highlight w:val="none"/>
          <w14:textFill>
            <w14:solidFill>
              <w14:schemeClr w14:val="tx1"/>
            </w14:solidFill>
          </w14:textFill>
        </w:rPr>
        <w:t xml:space="preserve">，联系地址：</w:t>
      </w:r>
      <w:r>
        <w:rPr>
          <w:rFonts w:hint="eastAsia"/>
          <w:color w:val="000000" w:themeColor="text1"/>
          <w:sz w:val="21"/>
          <w:szCs w:val="21"/>
          <w:highlight w:val="none"/>
          <w:lang w:eastAsia="zh-CN"/>
          <w14:textFill>
            <w14:solidFill>
              <w14:schemeClr w14:val="tx1"/>
            </w14:solidFill>
          </w14:textFill>
        </w:rPr>
        <w:t xml:space="preserve">南京市江宁区淳化街道雁冲路68号院内9号楼1楼</w:t>
      </w:r>
      <w:r>
        <w:rPr>
          <w:rFonts w:hint="eastAsia"/>
          <w:color w:val="000000" w:themeColor="text1"/>
          <w:sz w:val="21"/>
          <w:szCs w:val="21"/>
          <w:highlight w:val="none"/>
          <w14:textFill>
            <w14:solidFill>
              <w14:schemeClr w14:val="tx1"/>
            </w14:solidFill>
          </w14:textFill>
        </w:rPr>
        <w:t xml:space="preserve">，联系电话：</w:t>
      </w:r>
      <w:r>
        <w:rPr>
          <w:rFonts w:hint="eastAsia"/>
          <w:color w:val="000000" w:themeColor="text1"/>
          <w:sz w:val="21"/>
          <w:szCs w:val="21"/>
          <w:highlight w:val="none"/>
          <w:lang w:eastAsia="zh-CN"/>
          <w14:textFill>
            <w14:solidFill>
              <w14:schemeClr w14:val="tx1"/>
            </w14:solidFill>
          </w14:textFill>
        </w:rPr>
        <w:t xml:space="preserve">025-52730710</w:t>
      </w:r>
      <w:r>
        <w:rPr>
          <w:rFonts w:hint="eastAsia"/>
          <w:color w:val="000000" w:themeColor="text1"/>
          <w:sz w:val="21"/>
          <w:szCs w:val="21"/>
          <w:highlight w:val="none"/>
          <w14:textFill>
            <w14:solidFill>
              <w14:schemeClr w14:val="tx1"/>
            </w14:solidFill>
          </w14:textFill>
        </w:rPr>
        <w:t xml:space="preserve">。</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28.2.7 以下情形的质疑不予受理：</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（1）内容不符合《政府采购质疑和投诉办法》第十二条规定的质疑。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（2）超出政府采购法定期限的质疑。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（3）以传真、电子邮件等方式递交的非原件形式的质疑。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（4）未参加磋商活动的供应商或在磋商活动中自身权益未受到损害的供应商所提出的质疑。</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（5）供应商组成联合体参加磋商，联合体中任何一方或多方未按要求签字、盖章、加盖公章的质疑。</w:t>
      </w:r>
      <w:r/>
    </w:p>
    <w:p>
      <w:pPr>
        <w:ind w:firstLine="422"/>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28.3、投诉</w:t>
      </w:r>
      <w:r/>
    </w:p>
    <w:p>
      <w:pPr>
        <w:pStyle w:val="645"/>
        <w:ind w:left="0" w:firstLine="412"/>
        <w:spacing w:before="0" w:line="360" w:lineRule="auto"/>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28.3.1 质疑供应商对采购人采购代理机构的答复不满意或者采购人、采购代理机构未在规定的时间内作出答复的，可以在答复期满后十五个工作日内向同级政府采购监督管理部门投诉。</w:t>
      </w:r>
      <w:r/>
    </w:p>
    <w:p>
      <w:pPr>
        <w:ind w:firstLine="422"/>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28.4、诚实信用</w:t>
      </w:r>
      <w:r/>
    </w:p>
    <w:p>
      <w:pPr>
        <w:pStyle w:val="645"/>
        <w:ind w:left="0" w:firstLine="412"/>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 xml:space="preserve">人和其他供应商的合法权益。</w:t>
      </w:r>
      <w:r/>
    </w:p>
    <w:p>
      <w:pPr>
        <w:pStyle w:val="645"/>
        <w:ind w:left="0" w:firstLine="412"/>
        <w:jc w:val="both"/>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 xml:space="preserve">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录名单，按照政府采购法有关规定处理。</w:t>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 xml:space="preserve">供应商不得虚假承诺，否则，按照提供虚假材料谋取成交处理。</w:t>
      </w:r>
      <w:r/>
    </w:p>
    <w:p>
      <w:pPr>
        <w:pStyle w:val="645"/>
        <w:ind w:left="0" w:firstLine="420"/>
        <w:spacing w:before="0" w:line="360" w:lineRule="auto"/>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 xml:space="preserve">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 xml:space="preserve">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 xml:space="preserve">。</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29、成交通知书</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29</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成交通知书发出后，采购人或成交供应商拒绝签订合同的，拒绝签订合同的一方应至少向另一方支付与磋商保证金相等的补偿金，以及为磋商所发生的有关费用和双方商定的其他补偿，并承担相应的法律责任。</w:t>
      </w:r>
      <w:r/>
    </w:p>
    <w:p>
      <w:pPr>
        <w:ind w:firstLine="420"/>
        <w:spacing w:line="360" w:lineRule="auto"/>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673"/>
        <w:ind w:firstLine="422"/>
        <w:jc w:val="both"/>
        <w:keepLines/>
        <w:keepNext/>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bookmarkStart w:id="123" w:name="_Toc120614220"/>
      <w:r/>
      <w:bookmarkStart w:id="124" w:name="_Toc16938552"/>
      <w:r/>
      <w:bookmarkStart w:id="125" w:name="_Toc513029236"/>
      <w:r/>
      <w:bookmarkStart w:id="126" w:name="_Toc20823308"/>
      <w:r>
        <w:rPr>
          <w:rFonts w:hint="eastAsia"/>
          <w:b/>
          <w:bCs/>
          <w:color w:val="000000" w:themeColor="text1"/>
          <w:sz w:val="21"/>
          <w:szCs w:val="21"/>
          <w:highlight w:val="none"/>
          <w14:textFill>
            <w14:solidFill>
              <w14:schemeClr w14:val="tx1"/>
            </w14:solidFill>
          </w14:textFill>
        </w:rPr>
        <w:t xml:space="preserve">七、授予合同</w:t>
      </w:r>
      <w:bookmarkEnd w:id="123"/>
      <w:r/>
      <w:bookmarkEnd w:id="124"/>
      <w:r/>
      <w:bookmarkEnd w:id="125"/>
      <w:r/>
      <w:bookmarkEnd w:id="126"/>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bookmarkStart w:id="127" w:name="_Toc513029237"/>
      <w:r/>
      <w:bookmarkStart w:id="128" w:name="_Toc16938553"/>
      <w:r/>
      <w:bookmarkStart w:id="129" w:name="_Toc20823309"/>
      <w:r>
        <w:rPr>
          <w:rFonts w:hint="eastAsia"/>
          <w:b/>
          <w:bCs/>
          <w:color w:val="000000" w:themeColor="text1"/>
          <w:sz w:val="21"/>
          <w:szCs w:val="21"/>
          <w:highlight w:val="none"/>
          <w14:textFill>
            <w14:solidFill>
              <w14:schemeClr w14:val="tx1"/>
            </w14:solidFill>
          </w14:textFill>
        </w:rPr>
        <w:t xml:space="preserve">30. 签订合同</w:t>
      </w:r>
      <w:bookmarkEnd w:id="127"/>
      <w:r/>
      <w:bookmarkEnd w:id="128"/>
      <w:r/>
      <w:bookmarkEnd w:id="129"/>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30.l成交供应商应当在成交通知书发出之日起三十日内，按照磋商文件确定的事项与采购人签订政府采购合同。</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30.2 磋商文件、成交供应商的响应文件及磋商过程中有关澄清、承诺文件均应作为合同附件。</w:t>
      </w:r>
      <w:r/>
    </w:p>
    <w:p>
      <w:pPr>
        <w:pStyle w:val="673"/>
        <w:ind w:firstLine="420"/>
        <w:jc w:val="both"/>
        <w:spacing w:before="0" w:beforeAutospacing="0" w:after="0" w:afterAutospacing="0" w:line="360" w:lineRule="auto"/>
        <w:widowControl w:val="off"/>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30.3 签订合同后，</w:t>
      </w:r>
      <w:r>
        <w:rPr>
          <w:rFonts w:hint="eastAsia"/>
          <w:i/>
          <w:iCs/>
          <w:color w:val="000000" w:themeColor="text1"/>
          <w:sz w:val="21"/>
          <w:szCs w:val="21"/>
          <w:highlight w:val="none"/>
          <w:u w:val="single"/>
          <w14:textFill>
            <w14:solidFill>
              <w14:schemeClr w14:val="tx1"/>
            </w14:solidFill>
          </w14:textFill>
        </w:rPr>
        <w:t xml:space="preserve">成交供应商不得将合同标的进行转包</w:t>
      </w:r>
      <w:r>
        <w:rPr>
          <w:rFonts w:hint="eastAsia"/>
          <w:color w:val="000000" w:themeColor="text1"/>
          <w:sz w:val="21"/>
          <w:szCs w:val="21"/>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pStyle w:val="673"/>
        <w:ind w:firstLine="422"/>
        <w:jc w:val="both"/>
        <w:keepLines/>
        <w:keepNext/>
        <w:spacing w:before="0" w:beforeAutospacing="0" w:after="0" w:afterAutospacing="0" w:line="360" w:lineRule="auto"/>
        <w:widowControl w:val="off"/>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31、标的物的追加</w:t>
      </w:r>
      <w:r/>
    </w:p>
    <w:p>
      <w:pPr>
        <w:pStyle w:val="673"/>
        <w:ind w:firstLine="420"/>
        <w:jc w:val="both"/>
        <w:spacing w:before="0" w:beforeAutospacing="0" w:after="0" w:afterAutospacing="0" w:line="360" w:lineRule="auto"/>
        <w:widowControl w:val="off"/>
        <w:rPr>
          <w:rFonts w:cs="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31.1 政府采购合同履行中，采购人需追加与合同标的相同的货物、服务、工程的，在不改变合同其他条款的前提下，可以与成交供应商协商签订补充合同，但所有补充合同的采购金额不超过原合同金额10%。</w:t>
      </w:r>
      <w:bookmarkEnd w:id="28"/>
      <w:r/>
      <w:bookmarkEnd w:id="65"/>
      <w:r/>
      <w:bookmarkEnd w:id="66"/>
      <w:r/>
      <w:bookmarkEnd w:id="67"/>
      <w:r/>
      <w:bookmarkEnd w:id="68"/>
      <w:r/>
      <w:bookmarkEnd w:id="69"/>
      <w:r/>
      <w:bookmarkEnd w:id="70"/>
      <w:r/>
      <w:bookmarkEnd w:id="71"/>
      <w:r/>
      <w:bookmarkEnd w:id="72"/>
      <w:r/>
      <w:bookmarkEnd w:id="81"/>
      <w:r/>
      <w:bookmarkEnd w:id="82"/>
      <w:r/>
      <w:bookmarkEnd w:id="89"/>
      <w:r/>
      <w:r/>
    </w:p>
    <w:p>
      <w:pPr>
        <w:pStyle w:val="645"/>
        <w:ind w:left="0" w:right="117"/>
        <w:jc w:val="center"/>
        <w:spacing w:before="154" w:line="355" w:lineRule="auto"/>
        <w:rPr>
          <w:color w:val="000000" w:themeColor="text1"/>
          <w:highlight w:val="none"/>
          <w:lang w:eastAsia="zh-CN"/>
          <w14:textFill>
            <w14:solidFill>
              <w14:schemeClr w14:val="tx1"/>
            </w14:solidFill>
          </w14:textFill>
        </w:rPr>
        <w:outlineLvl w:val="0"/>
      </w:pPr>
      <w:r>
        <w:rPr>
          <w:color w:val="000000" w:themeColor="text1"/>
          <w:sz w:val="21"/>
          <w:szCs w:val="21"/>
          <w:highlight w:val="none"/>
          <w:lang w:eastAsia="zh-CN"/>
          <w14:textFill>
            <w14:solidFill>
              <w14:schemeClr w14:val="tx1"/>
            </w14:solidFill>
          </w14:textFill>
        </w:rPr>
        <w:br w:type="page" w:clear="all"/>
      </w:r>
      <w:bookmarkStart w:id="130" w:name="_bookmark7"/>
      <w:r/>
      <w:bookmarkEnd w:id="130"/>
      <w:r/>
      <w:bookmarkStart w:id="131" w:name="_Toc183610247"/>
      <w:r>
        <w:rPr>
          <w:rFonts w:hint="eastAsia" w:cs="宋体"/>
          <w:b/>
          <w:bCs/>
          <w:color w:val="000000" w:themeColor="text1"/>
          <w:sz w:val="28"/>
          <w:szCs w:val="28"/>
          <w:highlight w:val="none"/>
          <w:lang w:eastAsia="zh-CN"/>
          <w14:textFill>
            <w14:solidFill>
              <w14:schemeClr w14:val="tx1"/>
            </w14:solidFill>
          </w14:textFill>
        </w:rPr>
        <w:t xml:space="preserve">第三章 成交标准</w:t>
      </w:r>
      <w:bookmarkEnd w:id="131"/>
      <w:r/>
      <w:r/>
    </w:p>
    <w:p>
      <w:pPr>
        <w:ind w:firstLine="422"/>
        <w:spacing w:line="360" w:lineRule="auto"/>
        <w:tabs>
          <w:tab w:val="left" w:pos="2160" w:leader="none"/>
        </w:tabs>
        <w:rPr>
          <w:rFonts w:hint="eastAsia" w:ascii="宋体" w:hAnsi="宋体" w:eastAsia="宋体" w:cs="宋体"/>
          <w:sz w:val="21"/>
          <w:szCs w:val="21"/>
          <w:highlight w:val="none"/>
        </w:rPr>
      </w:pPr>
      <w:r/>
      <w:bookmarkStart w:id="132" w:name="_bookmark8"/>
      <w:r/>
      <w:bookmarkEnd w:id="132"/>
      <w:r/>
      <w:bookmarkStart w:id="133" w:name="第四章__采购项目需求"/>
      <w:r/>
      <w:bookmarkEnd w:id="133"/>
      <w:r/>
      <w:bookmarkStart w:id="134" w:name="_Toc183610248"/>
      <w:r>
        <w:rPr>
          <w:rFonts w:hint="eastAsia" w:ascii="宋体" w:hAnsi="宋体" w:eastAsia="宋体" w:cs="宋体"/>
          <w:b/>
          <w:bCs/>
          <w:sz w:val="21"/>
          <w:szCs w:val="21"/>
          <w:highlight w:val="none"/>
        </w:rPr>
        <w:t xml:space="preserve">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宋体" w:hAnsi="宋体" w:eastAsia="宋体" w:cs="宋体"/>
          <w:sz w:val="21"/>
          <w:szCs w:val="21"/>
          <w:highlight w:val="none"/>
        </w:rPr>
        <w:t xml:space="preserve">。</w:t>
      </w:r>
      <w:r/>
    </w:p>
    <w:tbl>
      <w:tblPr>
        <w:tblStyle w:val="637"/>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1701"/>
        <w:gridCol w:w="6659"/>
      </w:tblGrid>
      <w:tr>
        <w:trPr>
          <w:jc w:val="center"/>
          <w:trHeight w:val="607"/>
          <w:tblHeader/>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276" w:lineRule="auto"/>
              <w:rPr>
                <w:rFonts w:ascii="宋体" w:hAnsi="宋体" w:cs="宋体"/>
                <w:b/>
                <w:color w:val="000000"/>
                <w:highlight w:val="none"/>
              </w:rPr>
            </w:pPr>
            <w:r>
              <w:rPr>
                <w:rFonts w:hint="eastAsia" w:ascii="宋体" w:hAnsi="宋体" w:cs="宋体"/>
                <w:b/>
                <w:color w:val="000000"/>
                <w:highlight w:val="none"/>
              </w:rPr>
              <w:t xml:space="preserve">评分项目</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40"/>
              <w:jc w:val="left"/>
              <w:spacing w:line="276" w:lineRule="auto"/>
              <w:rPr>
                <w:rFonts w:ascii="宋体" w:hAnsi="宋体" w:cs="宋体"/>
                <w:b/>
                <w:color w:val="000000"/>
                <w:highlight w:val="none"/>
              </w:rPr>
            </w:pPr>
            <w:r>
              <w:rPr>
                <w:rFonts w:hint="eastAsia" w:ascii="宋体" w:hAnsi="宋体" w:cs="宋体"/>
                <w:b/>
                <w:color w:val="000000"/>
                <w:highlight w:val="none"/>
              </w:rPr>
              <w:t xml:space="preserve">分项</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ind w:firstLine="440"/>
              <w:jc w:val="center"/>
              <w:spacing w:line="276" w:lineRule="auto"/>
              <w:rPr>
                <w:rFonts w:ascii="宋体" w:hAnsi="宋体" w:cs="宋体"/>
                <w:b/>
                <w:color w:val="000000"/>
                <w:highlight w:val="none"/>
              </w:rPr>
            </w:pPr>
            <w:r>
              <w:rPr>
                <w:rFonts w:hint="eastAsia" w:ascii="宋体" w:hAnsi="宋体" w:cs="宋体"/>
                <w:b/>
                <w:color w:val="000000"/>
                <w:highlight w:val="none"/>
              </w:rPr>
              <w:t xml:space="preserve">评标要点及说明</w:t>
            </w:r>
            <w:r/>
          </w:p>
        </w:tc>
      </w:tr>
      <w:tr>
        <w:trPr>
          <w:jc w:val="center"/>
          <w:trHeight w:val="90"/>
          <w:tblHeader/>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响应报价</w:t>
            </w:r>
            <w:r/>
          </w:p>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（10分）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440"/>
              <w:jc w:val="left"/>
              <w:spacing w:line="276" w:lineRule="auto"/>
              <w:rPr>
                <w:rFonts w:ascii="宋体" w:hAnsi="宋体" w:cs="宋体"/>
                <w:color w:val="000000"/>
                <w:highlight w:val="none"/>
              </w:rPr>
            </w:pPr>
            <w:r>
              <w:rPr>
                <w:rFonts w:hint="eastAsia" w:ascii="宋体" w:hAnsi="宋体" w:cs="宋体"/>
                <w:color w:val="000000"/>
                <w:highlight w:val="none"/>
              </w:rPr>
              <w:t xml:space="preserve">报价</w:t>
            </w:r>
            <w:r/>
          </w:p>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（10分）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spacing w:line="276" w:lineRule="auto"/>
              <w:rPr>
                <w:rFonts w:ascii="宋体" w:hAnsi="宋体" w:cs="宋体"/>
                <w:color w:val="000000"/>
                <w:highlight w:val="none"/>
              </w:rPr>
            </w:pPr>
            <w:r>
              <w:rPr>
                <w:rFonts w:hint="eastAsia" w:ascii="宋体" w:hAnsi="宋体" w:cs="宋体"/>
                <w:color w:val="000000"/>
                <w:highlight w:val="none"/>
              </w:rPr>
              <w:t xml:space="preserve">采用低价优先法计算，即满足磋商文件要求且最后响应价格最低的磋商报价为评标基准价，其价格分为满分。其他供应商的价格分统一按照下列公式计算：</w:t>
            </w:r>
            <w:r/>
          </w:p>
          <w:p>
            <w:pPr>
              <w:spacing w:line="276" w:lineRule="auto"/>
              <w:rPr>
                <w:rFonts w:ascii="宋体" w:hAnsi="宋体" w:cs="宋体"/>
                <w:color w:val="000000"/>
                <w:highlight w:val="none"/>
              </w:rPr>
            </w:pPr>
            <w:r>
              <w:rPr>
                <w:rFonts w:hint="eastAsia" w:ascii="宋体" w:hAnsi="宋体" w:cs="宋体"/>
                <w:color w:val="000000"/>
                <w:highlight w:val="none"/>
              </w:rPr>
              <w:t xml:space="preserve">响应报价得分= (评标基准价/最终磋商报价)×10。</w:t>
            </w:r>
            <w:r/>
          </w:p>
        </w:tc>
      </w:tr>
      <w:tr>
        <w:trPr>
          <w:jc w:val="center"/>
          <w:trHeight w:val="1775"/>
          <w:tblHeader/>
        </w:trPr>
        <w:tc>
          <w:tcPr>
            <w:tcBorders>
              <w:top w:val="single" w:color="000000" w:sz="4" w:space="0"/>
              <w:left w:val="single" w:color="000000" w:sz="4" w:space="0"/>
              <w:right w:val="single" w:color="000000" w:sz="4" w:space="0"/>
            </w:tcBorders>
            <w:tcW w:w="1217" w:type="dxa"/>
            <w:vAlign w:val="center"/>
            <w:vMerge w:val="restart"/>
            <w:textDirection w:val="lrTb"/>
            <w:noWrap w:val="false"/>
          </w:tcPr>
          <w:p>
            <w:pPr>
              <w:jc w:val="center"/>
              <w:spacing w:line="276" w:lineRule="auto"/>
              <w:rPr>
                <w:rFonts w:ascii="宋体" w:hAnsi="宋体" w:cs="宋体"/>
                <w:color w:val="000000"/>
                <w:highlight w:val="none"/>
              </w:rPr>
            </w:pPr>
            <w:r>
              <w:rPr>
                <w:rFonts w:hint="eastAsia" w:ascii="宋体" w:hAnsi="宋体" w:cs="宋体"/>
                <w:color w:val="000000"/>
                <w:highlight w:val="none"/>
              </w:rPr>
              <w:t xml:space="preserve">技术部分</w:t>
            </w:r>
            <w:r/>
          </w:p>
          <w:p>
            <w:pPr>
              <w:spacing w:line="276" w:lineRule="auto"/>
              <w:rPr>
                <w:rFonts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65</w:t>
            </w:r>
            <w:r>
              <w:rPr>
                <w:rFonts w:hint="eastAsia" w:ascii="宋体" w:hAnsi="宋体" w:cs="宋体"/>
                <w:color w:val="000000"/>
                <w:highlight w:val="none"/>
              </w:rPr>
              <w:t xml:space="preserve">分）</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护林防火服务方案</w:t>
            </w:r>
            <w:r/>
          </w:p>
          <w:p>
            <w:pPr>
              <w:pStyle w:val="691"/>
              <w:jc w:val="center"/>
              <w:rPr>
                <w:highlight w:val="none"/>
              </w:rPr>
            </w:pPr>
            <w:r>
              <w:rPr>
                <w:rFonts w:hint="eastAsia" w:ascii="宋体" w:hAnsi="宋体" w:eastAsia="宋体" w:cs="宋体"/>
                <w:color w:val="000000"/>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对供应商提供的护林防火服务方案进行评审，内容包括但不限于护林防火整体设想、管理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保障措施等内容：</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①护林防火整体设想、管理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全面合理</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可行的得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②护林防火整体设想、管理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基本全面</w:t>
            </w:r>
            <w:r>
              <w:rPr>
                <w:rFonts w:hint="eastAsia" w:ascii="宋体" w:hAnsi="宋体" w:cs="宋体"/>
                <w:color w:val="000000"/>
                <w:sz w:val="22"/>
                <w:szCs w:val="22"/>
                <w:highlight w:val="none"/>
                <w:lang w:val="en-US" w:eastAsia="zh-CN"/>
              </w:rPr>
              <w:t xml:space="preserve">合理、基本</w:t>
            </w:r>
            <w:r>
              <w:rPr>
                <w:rFonts w:hint="eastAsia" w:ascii="宋体" w:hAnsi="宋体" w:eastAsia="宋体" w:cs="宋体"/>
                <w:color w:val="000000"/>
                <w:sz w:val="22"/>
                <w:szCs w:val="22"/>
                <w:highlight w:val="none"/>
                <w:lang w:val="en-US" w:eastAsia="zh-CN"/>
              </w:rPr>
              <w:t xml:space="preserve">可行的得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③护林防火整体设想、管理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不够全面</w:t>
            </w:r>
            <w:r>
              <w:rPr>
                <w:rFonts w:hint="eastAsia" w:ascii="宋体" w:hAnsi="宋体" w:cs="宋体"/>
                <w:color w:val="000000"/>
                <w:sz w:val="22"/>
                <w:szCs w:val="22"/>
                <w:highlight w:val="none"/>
                <w:lang w:val="en-US" w:eastAsia="zh-CN"/>
              </w:rPr>
              <w:t xml:space="preserve">合理、</w:t>
            </w:r>
            <w:r>
              <w:rPr>
                <w:rFonts w:hint="eastAsia" w:ascii="宋体" w:hAnsi="宋体" w:eastAsia="宋体" w:cs="宋体"/>
                <w:color w:val="000000"/>
                <w:sz w:val="22"/>
                <w:szCs w:val="22"/>
                <w:highlight w:val="none"/>
                <w:lang w:val="en-US" w:eastAsia="zh-CN"/>
              </w:rPr>
              <w:t xml:space="preserve">可行性</w:t>
            </w:r>
            <w:r>
              <w:rPr>
                <w:rFonts w:hint="eastAsia" w:ascii="宋体" w:hAnsi="宋体" w:cs="宋体"/>
                <w:color w:val="000000"/>
                <w:sz w:val="22"/>
                <w:szCs w:val="22"/>
                <w:highlight w:val="none"/>
                <w:lang w:val="en-US" w:eastAsia="zh-CN"/>
              </w:rPr>
              <w:t xml:space="preserve">一般</w:t>
            </w:r>
            <w:r>
              <w:rPr>
                <w:rFonts w:hint="eastAsia" w:ascii="宋体" w:hAnsi="宋体" w:eastAsia="宋体" w:cs="宋体"/>
                <w:color w:val="000000"/>
                <w:sz w:val="22"/>
                <w:szCs w:val="22"/>
                <w:highlight w:val="none"/>
                <w:lang w:val="en-US" w:eastAsia="zh-CN"/>
              </w:rPr>
              <w:t xml:space="preserve">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④护林防火整体设想、管理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不全面</w:t>
            </w:r>
            <w:r>
              <w:rPr>
                <w:rFonts w:hint="eastAsia" w:ascii="宋体" w:hAnsi="宋体" w:cs="宋体"/>
                <w:color w:val="000000"/>
                <w:sz w:val="22"/>
                <w:szCs w:val="22"/>
                <w:highlight w:val="none"/>
                <w:lang w:val="en-US" w:eastAsia="zh-CN"/>
              </w:rPr>
              <w:t xml:space="preserve">合理、</w:t>
            </w:r>
            <w:r>
              <w:rPr>
                <w:rFonts w:hint="eastAsia" w:ascii="宋体" w:hAnsi="宋体" w:eastAsia="宋体" w:cs="宋体"/>
                <w:color w:val="000000"/>
                <w:sz w:val="22"/>
                <w:szCs w:val="22"/>
                <w:highlight w:val="none"/>
                <w:lang w:val="en-US" w:eastAsia="zh-CN"/>
              </w:rPr>
              <w:t xml:space="preserve">不可行，</w:t>
            </w:r>
            <w:r>
              <w:rPr>
                <w:rFonts w:hint="eastAsia" w:ascii="宋体" w:hAnsi="宋体" w:cs="宋体"/>
                <w:color w:val="000000"/>
                <w:sz w:val="22"/>
                <w:szCs w:val="22"/>
                <w:highlight w:val="none"/>
                <w:lang w:val="en-US" w:eastAsia="zh-CN"/>
              </w:rPr>
              <w:t xml:space="preserve">且</w:t>
            </w:r>
            <w:r>
              <w:rPr>
                <w:rFonts w:hint="eastAsia" w:ascii="宋体" w:hAnsi="宋体" w:eastAsia="宋体" w:cs="宋体"/>
                <w:color w:val="000000"/>
                <w:sz w:val="22"/>
                <w:szCs w:val="22"/>
                <w:highlight w:val="none"/>
                <w:lang w:val="en-US" w:eastAsia="zh-CN"/>
              </w:rPr>
              <w:t xml:space="preserve">有明显缺失的得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ascii="宋体" w:hAnsi="宋体"/>
                <w:highlight w:val="none"/>
              </w:rPr>
            </w:pPr>
            <w:r>
              <w:rPr>
                <w:rFonts w:hint="eastAsia" w:ascii="宋体" w:hAnsi="宋体" w:eastAsia="宋体" w:cs="宋体"/>
                <w:color w:val="000000"/>
                <w:sz w:val="22"/>
                <w:szCs w:val="22"/>
                <w:highlight w:val="none"/>
                <w:lang w:val="en-US" w:eastAsia="zh-CN"/>
              </w:rPr>
              <w:t xml:space="preserve">⑤</w:t>
            </w:r>
            <w:r>
              <w:rPr>
                <w:rFonts w:hint="eastAsia" w:ascii="宋体" w:hAnsi="宋体" w:cs="宋体"/>
                <w:color w:val="000000"/>
                <w:sz w:val="22"/>
                <w:szCs w:val="22"/>
                <w:highlight w:val="none"/>
                <w:lang w:val="en-US" w:eastAsia="zh-CN"/>
              </w:rPr>
              <w:t xml:space="preserve">未</w:t>
            </w:r>
            <w:r>
              <w:rPr>
                <w:rFonts w:hint="eastAsia" w:ascii="宋体" w:hAnsi="宋体" w:eastAsia="宋体" w:cs="宋体"/>
                <w:color w:val="000000"/>
                <w:sz w:val="22"/>
                <w:szCs w:val="22"/>
                <w:highlight w:val="none"/>
                <w:lang w:val="en-US" w:eastAsia="zh-CN"/>
              </w:rPr>
              <w:t xml:space="preserve">提供不得分。</w:t>
            </w:r>
            <w:r/>
          </w:p>
        </w:tc>
      </w:tr>
      <w:tr>
        <w:trPr>
          <w:jc w:val="center"/>
          <w:trHeight w:val="1775"/>
          <w:tblHeader/>
        </w:trPr>
        <w:tc>
          <w:tcPr>
            <w:tcBorders>
              <w:left w:val="single" w:color="000000" w:sz="4" w:space="0"/>
              <w:right w:val="single" w:color="000000" w:sz="4" w:space="0"/>
            </w:tcBorders>
            <w:tcW w:w="1217" w:type="dxa"/>
            <w:vAlign w:val="center"/>
            <w:vMerge w:val="continue"/>
            <w:textDirection w:val="lrTb"/>
            <w:noWrap w:val="false"/>
          </w:tcPr>
          <w:p>
            <w:pPr>
              <w:spacing w:line="276" w:lineRule="auto"/>
              <w:rPr>
                <w:rFonts w:hint="eastAsia" w:ascii="宋体" w:hAnsi="宋体" w:cs="宋体"/>
                <w:color w:val="000000"/>
                <w:highlight w:val="none"/>
              </w:rPr>
            </w:pP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服务方案</w:t>
            </w:r>
            <w:r/>
          </w:p>
          <w:p>
            <w:pPr>
              <w:pStyle w:val="691"/>
              <w:jc w:val="center"/>
              <w:rPr>
                <w:highlight w:val="none"/>
              </w:rPr>
            </w:pPr>
            <w:r>
              <w:rPr>
                <w:rFonts w:hint="eastAsia" w:ascii="宋体" w:hAnsi="宋体" w:eastAsia="宋体" w:cs="宋体"/>
                <w:color w:val="000000"/>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对供应商提供的</w:t>
            </w: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服务方案进行评审，内容包括但不限于</w:t>
            </w: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保障措施等内容：</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w:t>
            </w: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全面合理</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可行的得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w:t>
            </w: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基本全面</w:t>
            </w:r>
            <w:r>
              <w:rPr>
                <w:rFonts w:hint="eastAsia" w:ascii="宋体" w:hAnsi="宋体" w:cs="宋体"/>
                <w:color w:val="000000"/>
                <w:sz w:val="22"/>
                <w:szCs w:val="22"/>
                <w:highlight w:val="none"/>
                <w:lang w:val="en-US" w:eastAsia="zh-CN"/>
              </w:rPr>
              <w:t xml:space="preserve">合理、基本</w:t>
            </w:r>
            <w:r>
              <w:rPr>
                <w:rFonts w:hint="eastAsia" w:ascii="宋体" w:hAnsi="宋体" w:eastAsia="宋体" w:cs="宋体"/>
                <w:color w:val="000000"/>
                <w:sz w:val="22"/>
                <w:szCs w:val="22"/>
                <w:highlight w:val="none"/>
                <w:lang w:val="en-US" w:eastAsia="zh-CN"/>
              </w:rPr>
              <w:t xml:space="preserve">可行的得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w:t>
            </w: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不够全面</w:t>
            </w:r>
            <w:r>
              <w:rPr>
                <w:rFonts w:hint="eastAsia" w:ascii="宋体" w:hAnsi="宋体" w:cs="宋体"/>
                <w:color w:val="000000"/>
                <w:sz w:val="22"/>
                <w:szCs w:val="22"/>
                <w:highlight w:val="none"/>
                <w:lang w:val="en-US" w:eastAsia="zh-CN"/>
              </w:rPr>
              <w:t xml:space="preserve">合理、</w:t>
            </w:r>
            <w:r>
              <w:rPr>
                <w:rFonts w:hint="eastAsia" w:ascii="宋体" w:hAnsi="宋体" w:eastAsia="宋体" w:cs="宋体"/>
                <w:color w:val="000000"/>
                <w:sz w:val="22"/>
                <w:szCs w:val="22"/>
                <w:highlight w:val="none"/>
                <w:lang w:val="en-US" w:eastAsia="zh-CN"/>
              </w:rPr>
              <w:t xml:space="preserve">可行性</w:t>
            </w:r>
            <w:r>
              <w:rPr>
                <w:rFonts w:hint="eastAsia" w:ascii="宋体" w:hAnsi="宋体" w:cs="宋体"/>
                <w:color w:val="000000"/>
                <w:sz w:val="22"/>
                <w:szCs w:val="22"/>
                <w:highlight w:val="none"/>
                <w:lang w:val="en-US" w:eastAsia="zh-CN"/>
              </w:rPr>
              <w:t xml:space="preserve">一般</w:t>
            </w:r>
            <w:r>
              <w:rPr>
                <w:rFonts w:hint="eastAsia" w:ascii="宋体" w:hAnsi="宋体" w:eastAsia="宋体" w:cs="宋体"/>
                <w:color w:val="000000"/>
                <w:sz w:val="22"/>
                <w:szCs w:val="22"/>
                <w:highlight w:val="none"/>
                <w:lang w:val="en-US" w:eastAsia="zh-CN"/>
              </w:rPr>
              <w:t xml:space="preserve">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w:t>
            </w:r>
            <w:r>
              <w:rPr>
                <w:rFonts w:hint="default" w:ascii="宋体" w:hAnsi="宋体" w:eastAsia="宋体" w:cs="宋体"/>
                <w:color w:val="000000"/>
                <w:sz w:val="22"/>
                <w:szCs w:val="22"/>
                <w:highlight w:val="none"/>
                <w:lang w:val="en-US" w:eastAsia="zh-CN"/>
              </w:rPr>
              <w:t xml:space="preserve">森林抚育</w:t>
            </w:r>
            <w:r>
              <w:rPr>
                <w:rFonts w:hint="eastAsia" w:ascii="宋体" w:hAnsi="宋体" w:eastAsia="宋体" w:cs="宋体"/>
                <w:color w:val="000000"/>
                <w:sz w:val="22"/>
                <w:szCs w:val="22"/>
                <w:highlight w:val="none"/>
                <w:lang w:val="en-US" w:eastAsia="zh-CN"/>
              </w:rPr>
              <w:t xml:space="preserve">整体设想、管理</w:t>
            </w:r>
            <w:r>
              <w:rPr>
                <w:rFonts w:hint="eastAsia" w:ascii="宋体" w:hAnsi="宋体" w:cs="宋体"/>
                <w:color w:val="000000"/>
                <w:sz w:val="22"/>
                <w:szCs w:val="22"/>
                <w:highlight w:val="none"/>
                <w:lang w:val="en-US" w:eastAsia="zh-CN"/>
              </w:rPr>
              <w:t xml:space="preserve">及相关</w:t>
            </w:r>
            <w:r>
              <w:rPr>
                <w:rFonts w:hint="eastAsia" w:ascii="宋体" w:hAnsi="宋体" w:eastAsia="宋体" w:cs="宋体"/>
                <w:color w:val="000000"/>
                <w:sz w:val="22"/>
                <w:szCs w:val="22"/>
                <w:highlight w:val="none"/>
                <w:lang w:val="en-US" w:eastAsia="zh-CN"/>
              </w:rPr>
              <w:t xml:space="preserve">保障措施</w:t>
            </w:r>
            <w:r>
              <w:rPr>
                <w:rFonts w:hint="eastAsia" w:ascii="宋体" w:hAnsi="宋体" w:cs="宋体"/>
                <w:color w:val="000000"/>
                <w:sz w:val="22"/>
                <w:szCs w:val="22"/>
                <w:highlight w:val="none"/>
                <w:lang w:val="en-US" w:eastAsia="zh-CN"/>
              </w:rPr>
              <w:t xml:space="preserve">内容</w:t>
            </w:r>
            <w:r>
              <w:rPr>
                <w:rFonts w:hint="eastAsia" w:ascii="宋体" w:hAnsi="宋体" w:eastAsia="宋体" w:cs="宋体"/>
                <w:color w:val="000000"/>
                <w:sz w:val="22"/>
                <w:szCs w:val="22"/>
                <w:highlight w:val="none"/>
                <w:lang w:val="en-US" w:eastAsia="zh-CN"/>
              </w:rPr>
              <w:t xml:space="preserve">不全面</w:t>
            </w:r>
            <w:r>
              <w:rPr>
                <w:rFonts w:hint="eastAsia" w:ascii="宋体" w:hAnsi="宋体" w:cs="宋体"/>
                <w:color w:val="000000"/>
                <w:sz w:val="22"/>
                <w:szCs w:val="22"/>
                <w:highlight w:val="none"/>
                <w:lang w:val="en-US" w:eastAsia="zh-CN"/>
              </w:rPr>
              <w:t xml:space="preserve">合理、</w:t>
            </w:r>
            <w:r>
              <w:rPr>
                <w:rFonts w:hint="eastAsia" w:ascii="宋体" w:hAnsi="宋体" w:eastAsia="宋体" w:cs="宋体"/>
                <w:color w:val="000000"/>
                <w:sz w:val="22"/>
                <w:szCs w:val="22"/>
                <w:highlight w:val="none"/>
                <w:lang w:val="en-US" w:eastAsia="zh-CN"/>
              </w:rPr>
              <w:t xml:space="preserve">不可行，</w:t>
            </w:r>
            <w:r>
              <w:rPr>
                <w:rFonts w:hint="eastAsia" w:ascii="宋体" w:hAnsi="宋体" w:cs="宋体"/>
                <w:color w:val="000000"/>
                <w:sz w:val="22"/>
                <w:szCs w:val="22"/>
                <w:highlight w:val="none"/>
                <w:lang w:val="en-US" w:eastAsia="zh-CN"/>
              </w:rPr>
              <w:t xml:space="preserve">且</w:t>
            </w:r>
            <w:r>
              <w:rPr>
                <w:rFonts w:hint="eastAsia" w:ascii="宋体" w:hAnsi="宋体" w:eastAsia="宋体" w:cs="宋体"/>
                <w:color w:val="000000"/>
                <w:sz w:val="22"/>
                <w:szCs w:val="22"/>
                <w:highlight w:val="none"/>
                <w:lang w:val="en-US" w:eastAsia="zh-CN"/>
              </w:rPr>
              <w:t xml:space="preserve">有明显缺失的得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ascii="宋体" w:hAnsi="宋体"/>
                <w:highlight w:val="none"/>
              </w:rPr>
            </w:pPr>
            <w:r>
              <w:rPr>
                <w:rFonts w:hint="eastAsia" w:ascii="宋体" w:hAnsi="宋体" w:eastAsia="宋体" w:cs="宋体"/>
                <w:color w:val="000000"/>
                <w:sz w:val="22"/>
                <w:szCs w:val="22"/>
                <w:highlight w:val="none"/>
                <w:lang w:val="en-US" w:eastAsia="zh-CN"/>
              </w:rPr>
              <w:t xml:space="preserve">⑤</w:t>
            </w:r>
            <w:r>
              <w:rPr>
                <w:rFonts w:hint="eastAsia" w:ascii="宋体" w:hAnsi="宋体" w:cs="宋体"/>
                <w:color w:val="000000"/>
                <w:sz w:val="22"/>
                <w:szCs w:val="22"/>
                <w:highlight w:val="none"/>
                <w:lang w:val="en-US" w:eastAsia="zh-CN"/>
              </w:rPr>
              <w:t xml:space="preserve">未</w:t>
            </w:r>
            <w:r>
              <w:rPr>
                <w:rFonts w:hint="eastAsia" w:ascii="宋体" w:hAnsi="宋体" w:eastAsia="宋体" w:cs="宋体"/>
                <w:color w:val="000000"/>
                <w:sz w:val="22"/>
                <w:szCs w:val="22"/>
                <w:highlight w:val="none"/>
                <w:lang w:val="en-US" w:eastAsia="zh-CN"/>
              </w:rPr>
              <w:t xml:space="preserve">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看护巡查岗位设置</w:t>
            </w:r>
            <w:r/>
          </w:p>
          <w:p>
            <w:pPr>
              <w:pStyle w:val="691"/>
              <w:jc w:val="center"/>
              <w:rPr>
                <w:highlight w:val="none"/>
              </w:rPr>
            </w:pPr>
            <w:r>
              <w:rPr>
                <w:rFonts w:hint="eastAsia" w:ascii="宋体" w:hAnsi="宋体" w:eastAsia="宋体" w:cs="宋体"/>
                <w:color w:val="000000"/>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对供应商提供的看护巡查岗位设置方案进行评审：</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①看护巡查岗位设置合理，有明确的岗位职责，工作流程完整、针对性强，各类规章制度健全规范的得9分；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②看护巡查岗位设置合理，有明确的岗位职责，工作流程较完整、针对性较强，各类规章制度较健全规范的得7分；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③看护巡查岗位设置较合理，有明确的岗位职责，工作流程不完整、针对性不强，各类规章制度不健全规范的得5分；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④看护巡查岗位设置不健全，岗位职责模糊、工作流程混乱、各类规章制度杂乱无章的得3分；</w:t>
            </w:r>
            <w:r/>
          </w:p>
          <w:p>
            <w:pPr>
              <w:keepLines w:val="0"/>
              <w:keepNext w:val="0"/>
              <w:pageBreakBefore w:val="0"/>
              <w:spacing w:line="240" w:lineRule="auto"/>
              <w:widowControl/>
              <w:rPr>
                <w:rFonts w:ascii="宋体" w:hAnsi="宋体"/>
                <w:highlight w:val="none"/>
              </w:rPr>
            </w:pPr>
            <w:r>
              <w:rPr>
                <w:rFonts w:hint="eastAsia" w:ascii="宋体" w:hAnsi="宋体" w:eastAsia="宋体" w:cs="宋体"/>
                <w:color w:val="000000"/>
                <w:sz w:val="22"/>
                <w:szCs w:val="22"/>
                <w:highlight w:val="none"/>
                <w:lang w:val="en-US" w:eastAsia="zh-CN"/>
              </w:rPr>
              <w:t xml:space="preserve">⑤未提供不得分。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内部管理规章制度方案</w:t>
            </w:r>
            <w:r/>
          </w:p>
          <w:p>
            <w:pPr>
              <w:pStyle w:val="691"/>
              <w:jc w:val="center"/>
              <w:rPr>
                <w:highlight w:val="none"/>
              </w:rPr>
            </w:pPr>
            <w:r>
              <w:rPr>
                <w:rFonts w:hint="eastAsia" w:ascii="宋体" w:hAnsi="宋体" w:eastAsia="宋体" w:cs="宋体"/>
                <w:color w:val="000000"/>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对供应商提供的内部管理规章制度方案进行评审，内容包括但不限于人员的内部管理制度、员工日常管理方法、组织管理制度、人员激励机制、考核考评制度等内容：</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①管理制度全面，管理架构清晰、管理目标明确、内部规章制度完善、满足甚至超越本项目需求的得9分；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②管理制度基本全面，管理架构基本清晰、管理目标基本明确、内部规章制度基本完善、基本能满足项目需求的得7分；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③管理制度内容不够全面，管理架构、管理目标、内部规章制度简单，能满足少部分需求的得5分；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④管理制度内容不全面，有明显缺项，管理架构、管理目标、内部规章制度混乱的得3分；</w:t>
            </w:r>
            <w:r/>
          </w:p>
          <w:p>
            <w:pPr>
              <w:keepLines w:val="0"/>
              <w:keepNext w:val="0"/>
              <w:pageBreakBefore w:val="0"/>
              <w:spacing w:line="240" w:lineRule="auto"/>
              <w:widowControl/>
              <w:rPr>
                <w:rFonts w:hint="eastAsia" w:ascii="宋体" w:hAnsi="宋体" w:eastAsia="宋体" w:cs="Times New Roman"/>
                <w:highlight w:val="none"/>
              </w:rPr>
            </w:pPr>
            <w:r>
              <w:rPr>
                <w:rFonts w:hint="eastAsia" w:ascii="宋体" w:hAnsi="宋体" w:eastAsia="宋体" w:cs="宋体"/>
                <w:color w:val="000000"/>
                <w:sz w:val="22"/>
                <w:szCs w:val="22"/>
                <w:highlight w:val="none"/>
                <w:lang w:val="en-US" w:eastAsia="zh-CN"/>
              </w:rPr>
              <w:t xml:space="preserve">⑤未提供不得分。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1"/>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质量目标及保证质量的措施</w:t>
            </w:r>
            <w:r/>
          </w:p>
          <w:p>
            <w:pPr>
              <w:pStyle w:val="691"/>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（11分）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对供应商提供的质量目标及保证质量的措施方案进行评审：</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①方案内容全面，各项措施科学可行，贴合实际需求具有较强的实践和可操作性的得</w:t>
            </w:r>
            <w:r>
              <w:rPr>
                <w:rFonts w:hint="eastAsia" w:ascii="宋体" w:hAnsi="宋体" w:cs="宋体"/>
                <w:color w:val="000000"/>
                <w:sz w:val="22"/>
                <w:szCs w:val="22"/>
                <w:highlight w:val="none"/>
                <w:lang w:val="en-US" w:eastAsia="zh-CN"/>
              </w:rPr>
              <w:t xml:space="preserve">11</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②方案内容基本全面，各项措施基本可行，基本符合实际需求的得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③方案内容不够全面，措施不完全符合实际需求，可行性一般的得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④方案内容明显缺失，措施不符合实际需求较混乱，可行性较差的得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⑤未提供不得分。</w:t>
            </w:r>
            <w:r/>
          </w:p>
        </w:tc>
      </w:tr>
      <w:tr>
        <w:trPr>
          <w:jc w:val="center"/>
          <w:trHeight w:val="1375"/>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91"/>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实施过程中的安全保障措施</w:t>
            </w:r>
            <w:r/>
          </w:p>
          <w:p>
            <w:pPr>
              <w:pStyle w:val="691"/>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评委根据供应商提供的安全保障保障方案进行评审，内容包括但不限于实施工程中的工作人员安全、作业过程中第三方安全的保证措施。</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①方案内容全面，各项措施科学可行，贴合实际需求具有较强的实践和可操作性的得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②方案内容基本全面，各项措施基本可行，基本符合实际需求的得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③方案内容不够全面，措施不完全符合实际需求，可行性一般的得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④方案内容明显缺失，措施不符合实际需求较混乱，可行性较差的得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⑤未提供不得分。</w:t>
            </w:r>
            <w:r/>
          </w:p>
        </w:tc>
      </w:tr>
      <w:tr>
        <w:trPr>
          <w:jc w:val="center"/>
          <w:trHeight w:val="90"/>
          <w:tblHeader/>
        </w:trPr>
        <w:tc>
          <w:tcPr>
            <w:tcBorders>
              <w:left w:val="single" w:color="000000" w:sz="4" w:space="0"/>
              <w:right w:val="single" w:color="000000" w:sz="4" w:space="0"/>
            </w:tcBorders>
            <w:tcW w:w="1217" w:type="dxa"/>
            <w:vAlign w:val="center"/>
            <w:vMerge w:val="continue"/>
            <w:textDirection w:val="lrTb"/>
            <w:noWrap w:val="false"/>
          </w:tcPr>
          <w:p>
            <w:pPr>
              <w:jc w:val="center"/>
              <w:spacing w:line="276" w:lineRule="auto"/>
              <w:rPr>
                <w:rFonts w:ascii="宋体" w:hAnsi="宋体" w:cs="宋体"/>
                <w:color w:val="000000"/>
                <w:highlight w:val="none"/>
              </w:rPr>
            </w:pPr>
            <w:r>
              <w:rPr>
                <w:rFonts w:ascii="宋体" w:hAnsi="宋体" w:cs="宋体"/>
                <w:color w:val="000000"/>
                <w:highlight w:val="none"/>
              </w:rPr>
            </w:r>
            <w:r/>
          </w:p>
        </w:tc>
        <w:tc>
          <w:tcPr>
            <w:tcBorders>
              <w:top w:val="single" w:color="000000" w:sz="4" w:space="0"/>
              <w:left w:val="single" w:color="000000" w:sz="4" w:space="0"/>
              <w:right w:val="single" w:color="000000" w:sz="4" w:space="0"/>
            </w:tcBorders>
            <w:tcW w:w="1701" w:type="dxa"/>
            <w:vAlign w:val="center"/>
            <w:textDirection w:val="lrTb"/>
            <w:noWrap w:val="false"/>
          </w:tcPr>
          <w:p>
            <w:pPr>
              <w:jc w:val="center"/>
              <w:spacing w:line="276" w:lineRule="auto"/>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 xml:space="preserve">应急保障方案</w:t>
            </w:r>
            <w:r/>
          </w:p>
          <w:p>
            <w:pPr>
              <w:pStyle w:val="691"/>
              <w:jc w:val="center"/>
              <w:rPr>
                <w:rFonts w:hint="eastAsia"/>
                <w:highlight w:val="none"/>
                <w:lang w:val="zh-CN" w:eastAsia="zh-CN"/>
              </w:rPr>
            </w:pPr>
            <w:r>
              <w:rPr>
                <w:rFonts w:hint="eastAsia" w:ascii="宋体" w:hAnsi="宋体" w:eastAsia="宋体" w:cs="宋体"/>
                <w:color w:val="000000"/>
                <w:sz w:val="22"/>
                <w:szCs w:val="22"/>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6659"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评委根据供应商提供的应急保障方案进行评审，内容包括但不限于根据项目管理规律和可能发生的紧急事件，如工伤事故、群体性事件、紧急情况（重大活动、恶劣天气</w:t>
            </w:r>
            <w:r>
              <w:rPr>
                <w:rFonts w:hint="eastAsia" w:ascii="宋体" w:hAnsi="宋体" w:cs="宋体"/>
                <w:color w:val="000000"/>
                <w:sz w:val="22"/>
                <w:szCs w:val="22"/>
                <w:highlight w:val="none"/>
                <w:lang w:val="en-US" w:eastAsia="zh-CN"/>
              </w:rPr>
              <w:t xml:space="preserve">、自然灾害</w:t>
            </w:r>
            <w:r>
              <w:rPr>
                <w:rFonts w:hint="eastAsia" w:ascii="宋体" w:hAnsi="宋体" w:eastAsia="宋体" w:cs="宋体"/>
                <w:color w:val="000000"/>
                <w:sz w:val="22"/>
                <w:szCs w:val="22"/>
                <w:highlight w:val="none"/>
                <w:lang w:val="en-US" w:eastAsia="zh-CN"/>
              </w:rPr>
              <w:t xml:space="preserve">）处理应急，应急保障措施及应急预案响应时间等内容。</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①应急保障方案内容全面，各项措施科学可行，贴合实际需求具有较强的实践和可操作性的得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②应急保障方案内容基本全面，各项措施基本可行，基本符合实际需求的得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③应急保障方案内容不够全面，措施不完全符合实际需求，可行性一般的得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④应急保障方案内容明显缺失，措施不符合实际需求较混乱，可行性较差的得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w:t>
            </w:r>
            <w:r/>
          </w:p>
          <w:p>
            <w:pPr>
              <w:keepLines w:val="0"/>
              <w:keepNext w:val="0"/>
              <w:pageBreakBefore w:val="0"/>
              <w:spacing w:line="240" w:lineRule="auto"/>
              <w:widowControl/>
              <w:rPr>
                <w:rFonts w:hint="eastAsia" w:ascii="宋体" w:hAnsi="宋体" w:eastAsia="宋体" w:cs="Times New Roman"/>
                <w:sz w:val="24"/>
                <w:szCs w:val="24"/>
                <w:highlight w:val="none"/>
                <w:lang w:val="en-US" w:eastAsia="zh-CN" w:bidi="ar-SA"/>
              </w:rPr>
            </w:pPr>
            <w:r>
              <w:rPr>
                <w:rFonts w:hint="eastAsia" w:ascii="宋体" w:hAnsi="宋体" w:eastAsia="宋体" w:cs="宋体"/>
                <w:color w:val="000000"/>
                <w:sz w:val="22"/>
                <w:szCs w:val="22"/>
                <w:highlight w:val="none"/>
                <w:lang w:val="en-US" w:eastAsia="zh-CN"/>
              </w:rPr>
              <w:t xml:space="preserve">⑤未提供不得分。</w:t>
            </w:r>
            <w:r/>
          </w:p>
        </w:tc>
      </w:tr>
      <w:tr>
        <w:trPr>
          <w:jc w:val="center"/>
          <w:trHeight w:val="90"/>
          <w:tblHeader/>
        </w:trPr>
        <w:tc>
          <w:tcPr>
            <w:tcBorders>
              <w:top w:val="single" w:color="000000" w:sz="4" w:space="0"/>
              <w:left w:val="single" w:color="000000" w:sz="4" w:space="0"/>
              <w:right w:val="single" w:color="000000" w:sz="4" w:space="0"/>
            </w:tcBorders>
            <w:tcW w:w="1217" w:type="dxa"/>
            <w:vAlign w:val="center"/>
            <w:vMerge w:val="restart"/>
            <w:textDirection w:val="lrTb"/>
            <w:noWrap w:val="false"/>
          </w:tcPr>
          <w:p>
            <w:pPr>
              <w:jc w:val="center"/>
              <w:spacing w:line="276" w:lineRule="auto"/>
              <w:rPr>
                <w:rFonts w:ascii="宋体" w:hAnsi="宋体" w:cs="宋体"/>
                <w:highlight w:val="none"/>
              </w:rPr>
            </w:pPr>
            <w:r>
              <w:rPr>
                <w:rFonts w:hint="eastAsia" w:ascii="宋体" w:hAnsi="宋体" w:cs="宋体"/>
                <w:highlight w:val="none"/>
              </w:rPr>
              <w:t xml:space="preserve">商务部分</w:t>
            </w:r>
            <w:r/>
          </w:p>
          <w:p>
            <w:pPr>
              <w:jc w:val="center"/>
              <w:spacing w:line="276" w:lineRule="auto"/>
              <w:rPr>
                <w:rFonts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25</w:t>
            </w:r>
            <w:r>
              <w:rPr>
                <w:rFonts w:hint="eastAsia" w:ascii="宋体" w:hAnsi="宋体" w:cs="宋体"/>
                <w:highlight w:val="none"/>
              </w:rPr>
              <w:t xml:space="preserve">分）</w:t>
            </w:r>
            <w:r/>
          </w:p>
        </w:tc>
        <w:tc>
          <w:tcPr>
            <w:tcBorders>
              <w:top w:val="single" w:color="000000" w:sz="4" w:space="0"/>
              <w:left w:val="single" w:color="000000" w:sz="4" w:space="0"/>
              <w:right w:val="single" w:color="000000" w:sz="4" w:space="0"/>
            </w:tcBorders>
            <w:tcW w:w="1701" w:type="dxa"/>
            <w:vAlign w:val="center"/>
            <w:textDirection w:val="lrTb"/>
            <w:noWrap w:val="false"/>
          </w:tcPr>
          <w:p>
            <w:pPr>
              <w:jc w:val="center"/>
              <w:spacing w:line="276" w:lineRule="auto"/>
              <w:rPr>
                <w:rFonts w:hint="eastAsia" w:ascii="宋体" w:hAnsi="宋体" w:cs="宋体"/>
                <w:highlight w:val="none"/>
                <w:lang w:bidi="ar"/>
              </w:rPr>
            </w:pPr>
            <w:r>
              <w:rPr>
                <w:rFonts w:hint="eastAsia" w:ascii="宋体" w:hAnsi="宋体" w:cs="宋体"/>
                <w:color w:val="000000"/>
                <w:sz w:val="22"/>
                <w:szCs w:val="22"/>
                <w:highlight w:val="none"/>
                <w:lang w:val="en-US" w:eastAsia="zh-CN"/>
              </w:rPr>
              <w:t xml:space="preserve">类似业绩</w:t>
            </w:r>
            <w:r/>
          </w:p>
          <w:p>
            <w:pPr>
              <w:jc w:val="center"/>
              <w:spacing w:line="276" w:lineRule="auto"/>
              <w:rPr>
                <w:rFonts w:hint="eastAsia" w:ascii="宋体" w:hAnsi="宋体" w:cs="仿宋"/>
                <w:highlight w:val="none"/>
              </w:rPr>
            </w:pPr>
            <w:r>
              <w:rPr>
                <w:rFonts w:hint="eastAsia" w:ascii="宋体" w:hAnsi="宋体" w:cs="宋体"/>
                <w:highlight w:val="none"/>
                <w:lang w:bidi="ar"/>
              </w:rPr>
              <w:t xml:space="preserve">（</w:t>
            </w:r>
            <w:r>
              <w:rPr>
                <w:rFonts w:hint="eastAsia" w:ascii="宋体" w:hAnsi="宋体" w:eastAsia="宋体" w:cs="宋体"/>
                <w:highlight w:val="none"/>
                <w:lang w:val="en-US" w:eastAsia="zh-CN" w:bidi="ar"/>
              </w:rPr>
              <w:t xml:space="preserve">10</w:t>
            </w:r>
            <w:r>
              <w:rPr>
                <w:rFonts w:hint="eastAsia" w:ascii="宋体" w:hAnsi="宋体" w:cs="宋体"/>
                <w:highlight w:val="none"/>
                <w:lang w:bidi="ar"/>
              </w:rPr>
              <w:t xml:space="preserve">分）</w:t>
            </w:r>
            <w:r/>
          </w:p>
        </w:tc>
        <w:tc>
          <w:tcPr>
            <w:tcBorders>
              <w:top w:val="single" w:color="000000" w:sz="4" w:space="0"/>
              <w:left w:val="single" w:color="000000" w:sz="4" w:space="0"/>
              <w:right w:val="single" w:color="000000" w:sz="4" w:space="0"/>
            </w:tcBorders>
            <w:tcW w:w="6659" w:type="dxa"/>
            <w:vAlign w:val="center"/>
            <w:textDirection w:val="lrTb"/>
            <w:noWrap w:val="false"/>
          </w:tcPr>
          <w:p>
            <w:pPr>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供应商提供自202</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年</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月1日以来</w:t>
            </w:r>
            <w:r>
              <w:rPr>
                <w:rFonts w:hint="eastAsia" w:ascii="宋体" w:hAnsi="宋体" w:cs="宋体"/>
                <w:color w:val="000000"/>
                <w:sz w:val="22"/>
                <w:szCs w:val="22"/>
                <w:highlight w:val="none"/>
                <w:lang w:val="en-US" w:eastAsia="zh-CN"/>
              </w:rPr>
              <w:t xml:space="preserve">承担过</w:t>
            </w:r>
            <w:r>
              <w:rPr>
                <w:rFonts w:hint="eastAsia" w:ascii="宋体" w:hAnsi="宋体" w:eastAsia="宋体" w:cs="宋体"/>
                <w:color w:val="000000"/>
                <w:sz w:val="22"/>
                <w:szCs w:val="22"/>
                <w:highlight w:val="none"/>
                <w:lang w:val="en-US" w:eastAsia="zh-CN"/>
              </w:rPr>
              <w:t xml:space="preserve">类似项目业绩得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分/个，满分10分。</w:t>
            </w:r>
            <w:r/>
          </w:p>
          <w:p>
            <w:pPr>
              <w:ind w:right="-4" w:firstLine="44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仿宋"/>
                <w:highlight w:val="none"/>
              </w:rPr>
            </w:pPr>
            <w:r>
              <w:rPr>
                <w:rFonts w:hint="eastAsia" w:ascii="宋体" w:hAnsi="宋体" w:eastAsia="宋体" w:cs="宋体"/>
                <w:color w:val="000000"/>
                <w:sz w:val="22"/>
                <w:szCs w:val="22"/>
                <w:highlight w:val="none"/>
                <w:lang w:val="en-US" w:eastAsia="zh-CN"/>
              </w:rPr>
              <w:t xml:space="preserve">（时间以合同签订时间为准，提供有效</w:t>
            </w:r>
            <w:r>
              <w:rPr>
                <w:rFonts w:hint="eastAsia" w:ascii="宋体" w:hAnsi="宋体" w:cs="宋体"/>
                <w:color w:val="000000"/>
                <w:sz w:val="22"/>
                <w:szCs w:val="22"/>
                <w:highlight w:val="none"/>
                <w:lang w:val="en-US" w:eastAsia="zh-CN"/>
              </w:rPr>
              <w:t xml:space="preserve">的</w:t>
            </w:r>
            <w:r>
              <w:rPr>
                <w:rFonts w:hint="eastAsia" w:ascii="宋体" w:hAnsi="宋体" w:eastAsia="宋体" w:cs="宋体"/>
                <w:color w:val="000000"/>
                <w:sz w:val="22"/>
                <w:szCs w:val="22"/>
                <w:highlight w:val="none"/>
                <w:lang w:val="en-US" w:eastAsia="zh-CN"/>
              </w:rPr>
              <w:t xml:space="preserve">合同</w:t>
            </w:r>
            <w:r>
              <w:rPr>
                <w:rFonts w:hint="eastAsia" w:ascii="宋体" w:hAnsi="宋体" w:cs="宋体"/>
                <w:color w:val="000000"/>
                <w:sz w:val="22"/>
                <w:szCs w:val="22"/>
                <w:highlight w:val="none"/>
                <w:lang w:val="en-US" w:eastAsia="zh-CN"/>
              </w:rPr>
              <w:t xml:space="preserve">扫描件</w:t>
            </w:r>
            <w:r>
              <w:rPr>
                <w:rFonts w:hint="eastAsia" w:ascii="宋体" w:hAnsi="宋体" w:eastAsia="宋体" w:cs="宋体"/>
                <w:color w:val="000000"/>
                <w:sz w:val="22"/>
                <w:szCs w:val="22"/>
                <w:highlight w:val="none"/>
                <w:lang w:val="en-US" w:eastAsia="zh-CN"/>
              </w:rPr>
              <w:t xml:space="preserve">，合同页须清晰可见相应内容</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加盖单位电子公章）</w:t>
            </w:r>
            <w:r/>
          </w:p>
        </w:tc>
      </w:tr>
      <w:tr>
        <w:trPr>
          <w:jc w:val="center"/>
          <w:trHeight w:val="2655"/>
          <w:tblHeader/>
        </w:trPr>
        <w:tc>
          <w:tcPr>
            <w:tcBorders>
              <w:top w:val="single" w:color="000000" w:sz="4" w:space="0"/>
              <w:left w:val="single" w:color="000000" w:sz="4" w:space="0"/>
              <w:right w:val="single" w:color="000000" w:sz="4" w:space="0"/>
            </w:tcBorders>
            <w:tcW w:w="1217" w:type="dxa"/>
            <w:vAlign w:val="center"/>
            <w:vMerge w:val="continue"/>
            <w:textDirection w:val="lrTb"/>
            <w:noWrap w:val="false"/>
          </w:tcPr>
          <w:p>
            <w:pPr>
              <w:jc w:val="center"/>
              <w:spacing w:line="276" w:lineRule="auto"/>
              <w:rPr>
                <w:rFonts w:hint="eastAsia" w:ascii="宋体" w:hAnsi="宋体" w:cs="宋体"/>
                <w:highlight w:val="none"/>
              </w:rPr>
            </w:pPr>
            <w:r>
              <w:rPr>
                <w:rFonts w:hint="eastAsia" w:ascii="宋体" w:hAnsi="宋体" w:cs="宋体"/>
                <w:highlight w:val="none"/>
              </w:rPr>
            </w:r>
            <w:r/>
          </w:p>
        </w:tc>
        <w:tc>
          <w:tcPr>
            <w:tcBorders>
              <w:top w:val="single" w:color="000000" w:sz="4" w:space="0"/>
              <w:left w:val="single" w:color="000000" w:sz="4" w:space="0"/>
              <w:right w:val="single" w:color="000000" w:sz="4" w:space="0"/>
            </w:tcBorders>
            <w:tcW w:w="1701" w:type="dxa"/>
            <w:vAlign w:val="center"/>
            <w:textDirection w:val="lrTb"/>
            <w:noWrap w:val="false"/>
          </w:tcPr>
          <w:p>
            <w:pPr>
              <w:ind w:right="-4"/>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仿宋"/>
                <w:highlight w:val="none"/>
              </w:rPr>
            </w:pPr>
            <w:r>
              <w:rPr>
                <w:rFonts w:hint="eastAsia" w:ascii="宋体" w:hAnsi="宋体" w:eastAsia="宋体" w:cs="宋体"/>
                <w:color w:val="000000"/>
                <w:sz w:val="22"/>
                <w:szCs w:val="22"/>
                <w:highlight w:val="none"/>
                <w:lang w:val="en-US" w:eastAsia="zh-CN"/>
              </w:rPr>
              <w:t xml:space="preserve">第三方责任险</w:t>
            </w:r>
            <w:r/>
          </w:p>
          <w:p>
            <w:pPr>
              <w:ind w:right="-4" w:firstLine="330"/>
              <w:jc w:val="left"/>
              <w:spacing w:line="276"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s="仿宋"/>
                <w:highlight w:val="none"/>
              </w:rPr>
            </w:pPr>
            <w:r>
              <w:rPr>
                <w:rFonts w:hint="eastAsia" w:ascii="宋体" w:hAnsi="宋体" w:cs="仿宋"/>
                <w:highlight w:val="none"/>
              </w:rPr>
              <w:t xml:space="preserve">（</w:t>
            </w:r>
            <w:r>
              <w:rPr>
                <w:rFonts w:hint="eastAsia" w:ascii="宋体" w:hAnsi="宋体" w:cs="仿宋"/>
                <w:highlight w:val="none"/>
                <w:lang w:val="en-US" w:eastAsia="zh-CN"/>
              </w:rPr>
              <w:t xml:space="preserve">15</w:t>
            </w:r>
            <w:r>
              <w:rPr>
                <w:rFonts w:hint="eastAsia" w:ascii="宋体" w:hAnsi="宋体" w:cs="仿宋"/>
                <w:highlight w:val="none"/>
              </w:rPr>
              <w:t xml:space="preserve">分）</w:t>
            </w:r>
            <w:r/>
          </w:p>
        </w:tc>
        <w:tc>
          <w:tcPr>
            <w:tcBorders>
              <w:top w:val="single" w:color="000000" w:sz="4" w:space="0"/>
              <w:left w:val="single" w:color="000000" w:sz="4" w:space="0"/>
              <w:right w:val="single" w:color="000000" w:sz="4" w:space="0"/>
            </w:tcBorders>
            <w:tcW w:w="6659" w:type="dxa"/>
            <w:vAlign w:val="center"/>
            <w:textDirection w:val="lrTb"/>
            <w:noWrap w:val="false"/>
          </w:tcPr>
          <w:p>
            <w:pPr>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1、供应商承诺成交后在服务期间必须自觉遵守国家相关法律法规和采购人的各项规章制度，确保服务期内的各项服务内容全面到位；</w:t>
            </w:r>
            <w:r/>
          </w:p>
          <w:p>
            <w:pPr>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、供应商承诺拟投入本项目所有服务人员无任何犯罪前科及不良</w:t>
            </w:r>
            <w:r>
              <w:rPr>
                <w:rFonts w:hint="eastAsia" w:ascii="宋体" w:hAnsi="宋体" w:cs="宋体"/>
                <w:color w:val="000000"/>
                <w:sz w:val="22"/>
                <w:szCs w:val="22"/>
                <w:highlight w:val="none"/>
                <w:lang w:val="en-US" w:eastAsia="zh-CN"/>
              </w:rPr>
              <w:t xml:space="preserve">行为</w:t>
            </w:r>
            <w:r>
              <w:rPr>
                <w:rFonts w:hint="eastAsia" w:ascii="宋体" w:hAnsi="宋体" w:eastAsia="宋体" w:cs="宋体"/>
                <w:color w:val="000000"/>
                <w:sz w:val="22"/>
                <w:szCs w:val="22"/>
                <w:highlight w:val="none"/>
                <w:lang w:val="en-US" w:eastAsia="zh-CN"/>
              </w:rPr>
              <w:t xml:space="preserve">记录。</w:t>
            </w:r>
            <w:r/>
          </w:p>
          <w:p>
            <w:pPr>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、供应商承诺为投入本项目的所有服务人员购买第三方责任险（意外伤害险等）。</w:t>
            </w:r>
            <w:r/>
          </w:p>
          <w:p>
            <w:pPr>
              <w:ind w:firstLine="440"/>
              <w:spacing w:line="276" w:lineRule="auto"/>
              <w:rPr>
                <w:rFonts w:ascii="宋体" w:hAnsi="宋体"/>
                <w:highlight w:val="none"/>
              </w:rPr>
            </w:pPr>
            <w:r>
              <w:rPr>
                <w:rFonts w:hint="eastAsia" w:ascii="宋体" w:hAnsi="宋体" w:eastAsia="宋体" w:cs="宋体"/>
                <w:color w:val="000000"/>
                <w:sz w:val="22"/>
                <w:szCs w:val="22"/>
                <w:highlight w:val="none"/>
                <w:lang w:val="en-US" w:eastAsia="zh-CN"/>
              </w:rPr>
              <w:t xml:space="preserve">（承诺书格式自拟，加盖单位电子公章，以上承诺书每缺一项或每一项内容不完整扣</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r>
      <w:tr>
        <w:trPr>
          <w:jc w:val="center"/>
          <w:trHeight w:val="562"/>
          <w:tblHeader/>
        </w:trPr>
        <w:tc>
          <w:tcPr>
            <w:gridSpan w:val="2"/>
            <w:tcW w:w="2918" w:type="dxa"/>
            <w:vAlign w:val="center"/>
            <w:textDirection w:val="lrTb"/>
            <w:noWrap w:val="false"/>
          </w:tcPr>
          <w:p>
            <w:pPr>
              <w:ind w:firstLine="440"/>
              <w:jc w:val="center"/>
              <w:spacing w:line="276" w:lineRule="auto"/>
              <w:rPr>
                <w:rFonts w:ascii="宋体" w:hAnsi="宋体" w:cs="宋体"/>
                <w:color w:val="000000"/>
                <w:highlight w:val="none"/>
              </w:rPr>
            </w:pPr>
            <w:r>
              <w:rPr>
                <w:rFonts w:hint="eastAsia" w:ascii="宋体" w:hAnsi="宋体" w:cs="宋体"/>
                <w:color w:val="000000"/>
                <w:highlight w:val="none"/>
              </w:rPr>
              <w:t xml:space="preserve">总分</w:t>
            </w:r>
            <w:r/>
          </w:p>
        </w:tc>
        <w:tc>
          <w:tcPr>
            <w:tcW w:w="6659" w:type="dxa"/>
            <w:vAlign w:val="center"/>
            <w:textDirection w:val="lrTb"/>
            <w:noWrap w:val="false"/>
          </w:tcPr>
          <w:p>
            <w:pPr>
              <w:ind w:firstLine="440"/>
              <w:jc w:val="center"/>
              <w:spacing w:line="276" w:lineRule="auto"/>
              <w:rPr>
                <w:rFonts w:ascii="宋体" w:hAnsi="宋体" w:cs="宋体"/>
                <w:color w:val="000000"/>
                <w:highlight w:val="none"/>
              </w:rPr>
            </w:pPr>
            <w:r>
              <w:rPr>
                <w:rFonts w:hint="eastAsia" w:ascii="宋体" w:hAnsi="宋体" w:cs="宋体"/>
                <w:color w:val="000000"/>
                <w:highlight w:val="none"/>
              </w:rPr>
              <w:t xml:space="preserve">100</w:t>
            </w:r>
            <w:r/>
          </w:p>
        </w:tc>
      </w:tr>
    </w:tbl>
    <w:p>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clear="all"/>
      </w:r>
      <w:r/>
    </w:p>
    <w:p>
      <w:pPr>
        <w:jc w:val="center"/>
        <w:spacing w:line="360" w:lineRule="auto"/>
        <w:rPr>
          <w:rFonts w:ascii="黑体" w:hAnsi="黑体" w:eastAsia="黑体" w:cs="黑体"/>
          <w:b/>
          <w:color w:val="000000" w:themeColor="text1"/>
          <w:sz w:val="32"/>
          <w:szCs w:val="32"/>
          <w:highlight w:val="none"/>
          <w:lang w:val="zh-CN"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第四章 采购</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需求</w:t>
      </w:r>
      <w:bookmarkEnd w:id="134"/>
      <w:r/>
      <w:r/>
    </w:p>
    <w:p>
      <w:pPr>
        <w:pStyle w:val="1113"/>
        <w:ind w:firstLine="482"/>
        <w:jc w:val="left"/>
        <w:keepLines w:val="0"/>
        <w:keepNext w:val="0"/>
        <w:pageBreakBefore w:val="0"/>
        <w:spacing w:after="0" w:line="360" w:lineRule="auto"/>
        <w:rPr>
          <w:rFonts w:hint="eastAsia" w:ascii="宋体" w:hAnsi="宋体" w:eastAsia="宋体" w:cs="宋体"/>
          <w:b/>
          <w:sz w:val="24"/>
          <w:szCs w:val="24"/>
          <w:highlight w:val="none"/>
          <w:lang w:eastAsia="zh-CN"/>
        </w:rPr>
      </w:pPr>
      <w:r/>
      <w:bookmarkStart w:id="135" w:name="第五章__合同草案条款及格式"/>
      <w:r/>
      <w:bookmarkEnd w:id="135"/>
      <w:r/>
      <w:bookmarkStart w:id="136" w:name="_Toc183610249"/>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项目概况</w:t>
      </w:r>
      <w:r>
        <w:rPr>
          <w:rFonts w:hint="eastAsia" w:ascii="宋体" w:hAnsi="宋体" w:eastAsia="宋体" w:cs="宋体"/>
          <w:b/>
          <w:sz w:val="24"/>
          <w:szCs w:val="24"/>
          <w:highlight w:val="none"/>
          <w:lang w:eastAsia="zh-CN"/>
        </w:rPr>
        <w:t xml:space="preserve">：</w:t>
      </w:r>
      <w:r/>
    </w:p>
    <w:p>
      <w:pPr>
        <w:ind w:firstLine="482"/>
        <w:jc w:val="left"/>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b/>
          <w:color w:val="000000"/>
          <w:sz w:val="24"/>
          <w:szCs w:val="24"/>
          <w:highlight w:val="none"/>
          <w:lang w:val="zh-CN"/>
        </w:rPr>
        <w:t xml:space="preserve">项目名称：</w:t>
      </w:r>
      <w:r>
        <w:rPr>
          <w:rFonts w:hint="eastAsia" w:ascii="宋体" w:hAnsi="宋体" w:cs="宋体"/>
          <w:color w:val="000000"/>
          <w:sz w:val="24"/>
          <w:szCs w:val="24"/>
          <w:highlight w:val="none"/>
          <w:shd w:val="clear" w:color="auto" w:fill="ffffff"/>
          <w:lang w:val="zh-CN" w:eastAsia="zh-CN"/>
        </w:rPr>
        <w:t xml:space="preserve">新济洲2025年度公益林生态效益补偿项目</w:t>
      </w:r>
      <w:r/>
    </w:p>
    <w:p>
      <w:pPr>
        <w:ind w:firstLine="482"/>
        <w:jc w:val="left"/>
        <w:keepLines w:val="0"/>
        <w:keepNext w:val="0"/>
        <w:pageBreakBefore w:val="0"/>
        <w:spacing w:line="360" w:lineRule="auto"/>
        <w:rPr>
          <w:rFonts w:hint="eastAsia" w:ascii="宋体" w:hAnsi="宋体" w:cs="宋体"/>
          <w:color w:val="000000"/>
          <w:sz w:val="24"/>
          <w:szCs w:val="24"/>
          <w:highlight w:val="none"/>
          <w:shd w:val="clear" w:color="auto" w:fill="ffffff"/>
          <w:lang w:val="zh-CN" w:eastAsia="zh-CN"/>
        </w:rPr>
      </w:pPr>
      <w:r>
        <w:rPr>
          <w:rFonts w:hint="eastAsia" w:ascii="宋体" w:hAnsi="宋体" w:eastAsia="宋体" w:cs="宋体"/>
          <w:b/>
          <w:color w:val="000000"/>
          <w:sz w:val="24"/>
          <w:szCs w:val="24"/>
          <w:highlight w:val="none"/>
          <w:lang w:val="zh-CN"/>
        </w:rPr>
        <w:t xml:space="preserve">项目</w:t>
      </w:r>
      <w:r>
        <w:rPr>
          <w:rFonts w:hint="eastAsia" w:ascii="宋体" w:hAnsi="宋体" w:eastAsia="宋体" w:cs="宋体"/>
          <w:b/>
          <w:color w:val="000000"/>
          <w:sz w:val="24"/>
          <w:szCs w:val="24"/>
          <w:highlight w:val="none"/>
          <w:lang w:val="en-US" w:eastAsia="zh-CN"/>
        </w:rPr>
        <w:t xml:space="preserve">地点</w:t>
      </w:r>
      <w:r>
        <w:rPr>
          <w:rFonts w:hint="eastAsia" w:ascii="宋体" w:hAnsi="宋体" w:eastAsia="宋体" w:cs="宋体"/>
          <w:b/>
          <w:color w:val="000000"/>
          <w:sz w:val="24"/>
          <w:szCs w:val="24"/>
          <w:highlight w:val="none"/>
          <w:lang w:val="zh-CN"/>
        </w:rPr>
        <w:t xml:space="preserve">：</w:t>
      </w:r>
      <w:r>
        <w:rPr>
          <w:rFonts w:hint="eastAsia" w:ascii="宋体" w:hAnsi="宋体" w:cs="宋体"/>
          <w:color w:val="000000"/>
          <w:sz w:val="24"/>
          <w:szCs w:val="24"/>
          <w:highlight w:val="none"/>
          <w:shd w:val="clear" w:color="auto" w:fill="ffffff"/>
          <w:lang w:val="zh-CN" w:eastAsia="zh-CN"/>
        </w:rPr>
        <w:t xml:space="preserve">南京长江新济洲国家湿地公园位于南京市江宁区，江苏省长江段最上游，包括长江低水位时的新济洲、新生洲、再生洲、子母洲和子汇洲五个洲滩，以及公园东侧江边陆域码头区。湿地公园五个洲滩位于长江江心；东侧江边陆域码头区东至江堤路西侧，西至登岛码头西侧，南至新民河北岸，北至通往水政的道路南侧。</w:t>
      </w:r>
      <w:r/>
    </w:p>
    <w:p>
      <w:pPr>
        <w:ind w:firstLine="482"/>
        <w:jc w:val="left"/>
        <w:keepLines w:val="0"/>
        <w:keepNext w:val="0"/>
        <w:pageBreakBefore w:val="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预算金额：</w:t>
      </w:r>
      <w:r>
        <w:rPr>
          <w:rFonts w:hint="eastAsia" w:ascii="宋体" w:hAnsi="宋体" w:eastAsia="宋体" w:cs="宋体"/>
          <w:bCs/>
          <w:color w:val="000000"/>
          <w:sz w:val="24"/>
          <w:szCs w:val="24"/>
          <w:highlight w:val="none"/>
          <w:lang w:val="en-US" w:eastAsia="zh-CN"/>
        </w:rPr>
        <w:t xml:space="preserve">150.000000万元</w:t>
      </w:r>
      <w:r/>
    </w:p>
    <w:p>
      <w:pPr>
        <w:ind w:firstLine="482"/>
        <w:jc w:val="left"/>
        <w:keepLines w:val="0"/>
        <w:keepNext w:val="0"/>
        <w:pageBreakBefore w:val="0"/>
        <w:spacing w:line="360" w:lineRule="auto"/>
        <w:rPr>
          <w:rFonts w:hint="default" w:ascii="宋体" w:hAnsi="宋体" w:eastAsia="宋体" w:cs="宋体"/>
          <w:bCs/>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服务期限</w:t>
      </w:r>
      <w:r>
        <w:rPr>
          <w:rFonts w:hint="eastAsia" w:ascii="宋体" w:hAnsi="宋体" w:eastAsia="宋体" w:cs="宋体"/>
          <w:b/>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1年</w:t>
      </w:r>
      <w:r/>
    </w:p>
    <w:p>
      <w:pPr>
        <w:pStyle w:val="1113"/>
        <w:ind w:firstLine="482"/>
        <w:jc w:val="left"/>
        <w:keepLines w:val="0"/>
        <w:keepNext w:val="0"/>
        <w:pageBreakBefore w:val="0"/>
        <w:spacing w:after="0"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sz w:val="24"/>
          <w:szCs w:val="24"/>
          <w:highlight w:val="none"/>
          <w:lang w:val="zh-CN" w:eastAsia="zh-CN"/>
        </w:rPr>
        <w:t xml:space="preserve">二、</w:t>
      </w:r>
      <w:r>
        <w:rPr>
          <w:rFonts w:hint="eastAsia" w:ascii="宋体" w:hAnsi="宋体" w:eastAsia="宋体" w:cs="宋体"/>
          <w:b/>
          <w:sz w:val="24"/>
          <w:szCs w:val="24"/>
          <w:highlight w:val="none"/>
          <w:lang w:val="en-US" w:eastAsia="zh-CN"/>
        </w:rPr>
        <w:t xml:space="preserve">项目实施内容及要求</w:t>
      </w:r>
      <w:r>
        <w:rPr>
          <w:rFonts w:hint="eastAsia" w:ascii="宋体" w:hAnsi="宋体" w:eastAsia="宋体" w:cs="宋体"/>
          <w:b/>
          <w:color w:val="auto"/>
          <w:sz w:val="24"/>
          <w:szCs w:val="24"/>
          <w:highlight w:val="none"/>
          <w:lang w:val="zh-CN"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一</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购买劳务（护林员）：</w:t>
      </w:r>
      <w:r>
        <w:rPr>
          <w:rFonts w:hint="eastAsia" w:ascii="宋体" w:hAnsi="宋体" w:cs="宋体"/>
          <w:color w:val="auto"/>
          <w:sz w:val="24"/>
          <w:szCs w:val="24"/>
          <w:highlight w:val="none"/>
          <w:shd w:val="clear" w:color="auto" w:fill="ffffff"/>
          <w:lang w:val="en-US" w:eastAsia="zh-CN"/>
        </w:rPr>
        <w:t xml:space="preserve">18</w:t>
      </w:r>
      <w:r>
        <w:rPr>
          <w:rFonts w:hint="eastAsia" w:ascii="宋体" w:hAnsi="宋体" w:eastAsia="宋体" w:cs="宋体"/>
          <w:color w:val="auto"/>
          <w:sz w:val="24"/>
          <w:szCs w:val="24"/>
          <w:highlight w:val="none"/>
          <w:shd w:val="clear" w:color="auto" w:fill="ffffff"/>
          <w:lang w:eastAsia="zh-CN"/>
        </w:rPr>
        <w:t xml:space="preserve">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1.公益林巡护，时间为1年。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2.护林员</w:t>
      </w:r>
      <w:r>
        <w:rPr>
          <w:rFonts w:hint="eastAsia" w:ascii="宋体" w:hAnsi="宋体" w:eastAsia="宋体" w:cs="宋体"/>
          <w:color w:val="auto"/>
          <w:sz w:val="24"/>
          <w:szCs w:val="24"/>
          <w:highlight w:val="none"/>
          <w:shd w:val="clear" w:color="auto" w:fill="ffffff"/>
          <w:lang w:val="en-US" w:eastAsia="zh-CN"/>
        </w:rPr>
        <w:t xml:space="preserve">18</w:t>
      </w:r>
      <w:r>
        <w:rPr>
          <w:rFonts w:hint="eastAsia" w:ascii="宋体" w:hAnsi="宋体" w:eastAsia="宋体" w:cs="宋体"/>
          <w:color w:val="auto"/>
          <w:sz w:val="24"/>
          <w:szCs w:val="24"/>
          <w:highlight w:val="none"/>
          <w:shd w:val="clear" w:color="auto" w:fill="ffffff"/>
          <w:lang w:eastAsia="zh-CN"/>
        </w:rPr>
        <w:t xml:space="preserve">人，年龄不高于60周岁，身体健康。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3.按时上下班，做好考勤表。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4.学习、宣传保护公益林有关法律法规。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5.熟悉和掌握公益林现场情况，每月对巡护区域进行自查登记，做到心中有数。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6.认真做好防火工作，加强巡视和防范，及时消除火灾隐情。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7.对公益林区域内水域发现偷捕等、林木偷盗等、道路破坏等情况，要及时反映上报至业主单位，保护现场，摸清情况，并配合有关部门查明原因。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8.每月进行巡护考核。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二</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森林抚育：（</w:t>
      </w:r>
      <w:r>
        <w:rPr>
          <w:rFonts w:hint="eastAsia" w:ascii="宋体" w:hAnsi="宋体" w:cs="宋体"/>
          <w:color w:val="auto"/>
          <w:sz w:val="24"/>
          <w:szCs w:val="24"/>
          <w:highlight w:val="none"/>
          <w:shd w:val="clear" w:color="auto" w:fill="ffffff"/>
          <w:lang w:val="en-US" w:eastAsia="zh-CN"/>
        </w:rPr>
        <w:t xml:space="preserve">森林抚育面积226500m2</w:t>
      </w:r>
      <w:r>
        <w:rPr>
          <w:rFonts w:hint="eastAsia" w:ascii="宋体" w:hAnsi="宋体" w:eastAsia="宋体" w:cs="宋体"/>
          <w:color w:val="auto"/>
          <w:sz w:val="24"/>
          <w:szCs w:val="24"/>
          <w:highlight w:val="none"/>
          <w:shd w:val="clear" w:color="auto" w:fill="ffffff"/>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1、每月清理杂草一次、每年清理杂草12次（每次总面积约226500m2，每月具体清理次数由业主单位确定）。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1</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草坪区域应采用辅助工具将草连同草根一起拔掉，不可将杂草地上部分去除，拔出杂草应及时放于垃圾桶内，不可随意乱放。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（2）除草剂除草，已经蔓延的恶性杂草用选择性除草剂防除，并证得采购人同意，靠近时花、灌木、小苗禁用除草剂。任何区域范围内均禁用灭生性除草剂，并做好记录。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w:t>
      </w:r>
      <w:r>
        <w:rPr>
          <w:rFonts w:hint="eastAsia" w:ascii="宋体" w:hAnsi="宋体" w:cs="宋体"/>
          <w:color w:val="auto"/>
          <w:sz w:val="24"/>
          <w:szCs w:val="24"/>
          <w:highlight w:val="none"/>
          <w:shd w:val="clear" w:color="auto" w:fill="ffffff"/>
          <w:lang w:val="en-US" w:eastAsia="zh-CN"/>
        </w:rPr>
        <w:t xml:space="preserve">3</w:t>
      </w:r>
      <w:r>
        <w:rPr>
          <w:rFonts w:hint="eastAsia" w:ascii="宋体" w:hAnsi="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eastAsia="zh-CN"/>
        </w:rPr>
        <w:t xml:space="preserve">非草坪区域或者道路两侧应选用机械除草，割灌机为主，旋刀机辅助，若遇到人工培育的花丛、苗木等，不允许用机械除草，这些地方要用人工除草，剪完后将人工分片堆放晾晒，以便外运，如有蔓延恶性杂草用选择性除草剂防除，并证得采购人同意，靠近时花、灌木、小苗等地方禁用除草剂。任何区域范围内均禁用灭生性除草剂，并做好记录。除掉的杂草要及时清理，运走、掩埋或异地制作肥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2、修剪区域或者道路两旁树枝，植物整形修剪、去除枯死植株、树木扶正，乔木类：主要修剪内膛肢、徒长枝、病虫枝、交叉枝、下垂枝、扭伤枝及枯枝烂头。道路行道树枝下高度根据道路的功能严格控制，遇有架空线按杯状形修剪、分枝均匀、树冠圆整。灌木类：灌木修剪应促枝叶繁茂、分布均匀。花灌木修剪要有利于短枝和花芽的形成，遵循 “先上后下、先内后外、去弱留强、去老留新”的原则进行修剪，防台防汛期间要做好加固，保持水道通畅，防止植物受损，及时扫雪打雪，确保苗木安全及道路畅通。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3、绿地无杂物堆料、枯树枯枝堆积等现象，绿化管理产生的垃圾及时清运，确保绿地清爽整洁。产生的垃圾中能降解的集中堆放，降解成有机肥循环使用。不能降解的垃圾也要集中堆放，等待运出岛外。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4、所有养护工具及除草药水</w:t>
      </w:r>
      <w:r>
        <w:rPr>
          <w:rFonts w:hint="eastAsia" w:ascii="宋体" w:hAnsi="宋体" w:cs="宋体"/>
          <w:color w:val="auto"/>
          <w:sz w:val="24"/>
          <w:szCs w:val="24"/>
          <w:highlight w:val="none"/>
          <w:shd w:val="clear" w:color="auto" w:fill="ffffff"/>
          <w:lang w:val="en-US" w:eastAsia="zh-CN"/>
        </w:rPr>
        <w:t xml:space="preserve">由</w:t>
      </w:r>
      <w:r>
        <w:rPr>
          <w:rFonts w:hint="eastAsia" w:ascii="宋体" w:hAnsi="宋体" w:eastAsia="宋体" w:cs="宋体"/>
          <w:color w:val="auto"/>
          <w:sz w:val="24"/>
          <w:szCs w:val="24"/>
          <w:highlight w:val="none"/>
          <w:shd w:val="clear" w:color="auto" w:fill="ffffff"/>
          <w:lang w:eastAsia="zh-CN"/>
        </w:rPr>
        <w:t xml:space="preserve">供应商提供。养护工作供应商应自行解决登洲交通出行方式，承担交通费用。所有垃圾当月须运出岛外，垃圾处理费用由供应商承担。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5、每次养护，供应商须拍照留存，填写养护记录、台账等，供采购人验收，每次完成以采购人签字确认为准。 在不超过全年养护次数的情况下每月可减少或增加养护次数，确保养护区域环境的美观。养护过程中，出现问题再现场协商。</w:t>
      </w:r>
      <w:r/>
    </w:p>
    <w:p>
      <w:pPr>
        <w:pStyle w:val="1113"/>
        <w:ind w:firstLine="482"/>
        <w:jc w:val="left"/>
        <w:keepLines w:val="0"/>
        <w:keepNext w:val="0"/>
        <w:pageBreakBefore w:val="0"/>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报价要求：</w:t>
      </w:r>
      <w:r/>
    </w:p>
    <w:p>
      <w:pPr>
        <w:ind w:firstLine="480"/>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供应商的投标报价应</w:t>
      </w:r>
      <w:r>
        <w:rPr>
          <w:rFonts w:hint="eastAsia" w:ascii="宋体" w:hAnsi="宋体" w:cs="宋体"/>
          <w:color w:val="auto"/>
          <w:sz w:val="24"/>
          <w:szCs w:val="24"/>
          <w:highlight w:val="none"/>
          <w:lang w:val="en-US" w:eastAsia="zh-CN"/>
        </w:rPr>
        <w:t xml:space="preserve">包含完成本项目相关的配套工作及服务期间所需的人工工资、人员五险一金、商业保险、加班费、福利、相关补贴、装备费、管理费、国家强制社保资金、外调经费、车辆、保险、利润、税金、通讯、办公设备、政策性文件规定及合同包含的风险、责任等各项应有费用</w:t>
      </w:r>
      <w:r>
        <w:rPr>
          <w:rFonts w:hint="eastAsia" w:ascii="宋体" w:hAnsi="宋体" w:eastAsia="宋体" w:cs="宋体"/>
          <w:color w:val="auto"/>
          <w:sz w:val="24"/>
          <w:szCs w:val="24"/>
          <w:highlight w:val="none"/>
          <w:lang w:val="zh-CN"/>
        </w:rPr>
        <w:t xml:space="preserve">。</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、付款方式：</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eastAsia="宋体"/>
          <w:highlight w:val="none"/>
          <w:lang w:val="en-US" w:eastAsia="zh-CN"/>
        </w:rPr>
        <w:t xml:space="preserve">合同签订后30日内支付合同价款的30％，服务进行到半年后30日内支付合同价款的20％，服务完成，乙方提供巡查、养护记录、成果和甲方考核结果等结算资料，按照中标单价和甲方确认的完成数量上报结算，经甲方审计后30日内支付至结算价的100％。</w:t>
      </w:r>
      <w:r>
        <w:rPr>
          <w:rFonts w:hint="eastAsia" w:ascii="宋体" w:hAnsi="宋体" w:eastAsia="宋体" w:cs="宋体"/>
          <w:color w:val="auto"/>
          <w:sz w:val="24"/>
          <w:szCs w:val="24"/>
          <w:highlight w:val="none"/>
          <w:lang w:val="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0"/>
      </w:pPr>
      <w:r>
        <w:rPr>
          <w:rFonts w:hint="eastAsia" w:ascii="宋体" w:hAnsi="宋体" w:eastAsia="宋体" w:cs="宋体"/>
          <w:color w:val="auto"/>
          <w:sz w:val="24"/>
          <w:szCs w:val="24"/>
          <w:highlight w:val="none"/>
          <w:lang w:val="zh-CN"/>
        </w:rPr>
        <w:t xml:space="preserve">2、每次付款的同时提供增值税专用发票。</w:t>
      </w:r>
      <w:r/>
    </w:p>
    <w:p>
      <w:pPr>
        <w:pStyle w:val="691"/>
        <w:ind w:firstLine="480"/>
        <w:keepLines w:val="0"/>
        <w:keepNext w:val="0"/>
        <w:pageBreakBefore w:val="0"/>
        <w:spacing w:line="360" w:lineRule="auto"/>
        <w:widowControl w:val="off"/>
        <w:rPr>
          <w:rFonts w:hint="eastAsia" w:ascii="宋体" w:hAnsi="宋体" w:eastAsia="Calibri" w:cs="宋体"/>
          <w:b/>
          <w:bCs/>
          <w:color w:val="auto"/>
          <w:sz w:val="24"/>
          <w:szCs w:val="24"/>
          <w:highlight w:val="none"/>
          <w:lang w:val="en-US" w:eastAsia="zh-CN" w:bidi="ar-SA"/>
        </w:rPr>
      </w:pPr>
      <w:r>
        <w:rPr>
          <w:rFonts w:hint="eastAsia" w:ascii="宋体" w:hAnsi="宋体" w:eastAsia="Calibri" w:cs="宋体"/>
          <w:b/>
          <w:bCs/>
          <w:color w:val="auto"/>
          <w:sz w:val="24"/>
          <w:szCs w:val="24"/>
          <w:highlight w:val="none"/>
          <w:lang w:val="en-US" w:eastAsia="zh-CN" w:bidi="ar-SA"/>
        </w:rPr>
        <w:t xml:space="preserve">五、采购清单</w:t>
      </w:r>
      <w:r/>
    </w:p>
    <w:tbl>
      <w:tblPr>
        <w:tblStyle w:val="637"/>
        <w:tblW w:w="945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6"/>
        <w:gridCol w:w="883"/>
        <w:gridCol w:w="539"/>
        <w:gridCol w:w="683"/>
        <w:gridCol w:w="979"/>
        <w:gridCol w:w="1191"/>
        <w:gridCol w:w="4694"/>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计量</w:t>
            </w:r>
            <w:r/>
          </w:p>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综合单价</w:t>
            </w:r>
            <w:r/>
          </w:p>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w:t>
            </w:r>
            <w:r/>
          </w:p>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w:t>
            </w:r>
            <w:r/>
          </w:p>
        </w:tc>
      </w:tr>
      <w:tr>
        <w:trPr>
          <w:trHeight w:val="384"/>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1、森林防护</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护林员</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Style w:val="1115"/>
                <w:sz w:val="18"/>
                <w:szCs w:val="18"/>
                <w:highlight w:val="none"/>
                <w:lang w:val="en-US" w:eastAsia="zh-CN" w:bidi="ar"/>
              </w:rPr>
              <w:t xml:space="preserve">要求：1.公益林巡护，时间为1年。2.护林员</w:t>
            </w:r>
            <w:r>
              <w:rPr>
                <w:rStyle w:val="1115"/>
                <w:rFonts w:hint="eastAsia"/>
                <w:sz w:val="18"/>
                <w:szCs w:val="18"/>
                <w:highlight w:val="none"/>
                <w:lang w:val="en-US" w:eastAsia="zh-CN" w:bidi="ar"/>
              </w:rPr>
              <w:t xml:space="preserve">18</w:t>
            </w:r>
            <w:r>
              <w:rPr>
                <w:rStyle w:val="1115"/>
                <w:sz w:val="18"/>
                <w:szCs w:val="18"/>
                <w:highlight w:val="none"/>
                <w:lang w:val="en-US" w:eastAsia="zh-CN" w:bidi="ar"/>
              </w:rPr>
              <w:t xml:space="preserve">人，年龄不高于60周岁，身体健康。3.按时上下班，做好考勤表。4.学习、宣传保护公益林有关法律法规。5.熟悉和掌握公益林现场情况，每月对巡护区域进行自查登记，做到心中有数。6.认真做好防火工作，加强巡视和防范，及时消除火灾隐情。7.对公益林区域内水域发现偷捕等、林木偷盗等、道路破坏等情况，要及时反映上报至业主单位，保护现场，摸清情况，并配合有关部门查明原因。8.每月进行巡护考核。</w:t>
            </w:r>
            <w:r/>
          </w:p>
        </w:tc>
      </w:tr>
      <w:tr>
        <w:trPr>
          <w:trHeight w:val="387"/>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2、森林抚育</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购买服务（森林抚育）</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226500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工作内容：</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1、每月清理杂草一次、每年清理杂草12次（每次总面积约</w:t>
            </w:r>
            <w:r>
              <w:rPr>
                <w:rFonts w:hint="eastAsia" w:ascii="宋体" w:hAnsi="宋体" w:cs="宋体"/>
                <w:color w:val="auto"/>
                <w:sz w:val="24"/>
                <w:szCs w:val="24"/>
                <w:highlight w:val="none"/>
                <w:shd w:val="clear" w:color="auto" w:fill="ffffff"/>
                <w:lang w:val="en-US" w:eastAsia="zh-CN"/>
              </w:rPr>
              <w:t xml:space="preserve">226500</w:t>
            </w:r>
            <w:r>
              <w:rPr>
                <w:rFonts w:hint="eastAsia" w:ascii="宋体" w:hAnsi="宋体" w:eastAsia="宋体" w:cs="宋体"/>
                <w:i w:val="0"/>
                <w:iCs w:val="0"/>
                <w:color w:val="000000"/>
                <w:sz w:val="18"/>
                <w:szCs w:val="18"/>
                <w:highlight w:val="none"/>
                <w:u w:val="none"/>
                <w:lang w:val="en-US" w:eastAsia="zh-CN" w:bidi="ar"/>
              </w:rPr>
              <w:t xml:space="preserve">m2，每月具体清理次数由业主单位确定）。(1)草坪区域应采用辅助工具将草连同草根一起拔掉，不可将杂草地上部分去除，拔出杂草应及时放于垃圾桶内，不可随意乱放。</w:t>
            </w:r>
            <w:r>
              <w:rPr>
                <w:rFonts w:hint="eastAsia" w:ascii="宋体" w:hAnsi="宋体" w:eastAsia="宋体" w:cs="宋体"/>
                <w:i w:val="0"/>
                <w:iCs w:val="0"/>
                <w:color w:val="000000"/>
                <w:sz w:val="18"/>
                <w:szCs w:val="18"/>
                <w:highlight w:val="none"/>
                <w:u w:val="none"/>
                <w:lang w:val="en-US" w:eastAsia="zh-CN" w:bidi="ar"/>
              </w:rPr>
              <w:t xml:space="preserve">（2）除草剂除草，已经蔓延的恶性杂草用选择性除草剂防除，并证得采购人同意，靠近时花、灌木、小苗禁用除草剂。任何区域范围内均禁用灭生性除草剂，并做好记录。（3）非草坪区域或者道路两侧应选用机械除草，割灌机为主，旋刀机辅助，若遇到人工培育的花丛、苗木等，不允许用机械除草，这些地方要用人工除草，剪完后将人工分片堆放晾晒，以便外运，如有蔓延恶性杂草用选择性除草剂防除，并证得采购人同意，靠近时花、灌木、小苗等地方禁用除草剂。任何区域范围内均禁用灭生性除草剂，并做好记录。除掉的杂草要及时清理，运走、掩埋或异地制作肥料。</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修剪区域或者道路两旁树枝，植物整形修剪、去除枯死植株、树木扶正，乔木类：主要修剪内膛肢、徒长枝、病虫枝、交叉枝、下垂枝、扭伤枝及枯枝烂头。道路行道树枝下高度根据道路的功能严格控制，遇有架空线按杯状形修剪、分枝均匀、树冠圆整。灌木类：灌木修剪应促枝叶繁茂、分布均匀。花灌木修剪要有利于短枝和花芽的形成，遵循 “先上后下、先内后外、去弱留强、去老留新”的原则进行修剪，防台防汛期间要做好加固，保持水道通畅，防止植物受损，及时扫雪打雪，确保苗木安全及道路畅通。</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3、绿地无杂物堆料、枯树枯枝堆积等现象，绿化管理产生的垃圾及时清运，确保绿地清爽整洁。产生的垃圾中能降解的集中堆放，降解成有机肥循环使用。不能降解的垃圾也要集中堆放，等待运出岛外。</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4、所有养护工具及除草药水由供应商提供。养护工作供应商应自行解决登洲交通出行方式，承担交通费用。所有垃圾当月须运出岛外，垃圾处理费用由供应商承担。</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每次养护，供应商须拍照留存，填写养护记录、台账等，供采购人验收，每次完成以采购人签字确认为准。在不超过全年养护次数的情况下每月可减少或增加养护次数，确保养护区域环境的美观。养护过程中，出现问题再现场协商。</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3、林区道路维护</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469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1、道路路床整平整形</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2、路线内杂草清理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林间碎石道路基层</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1、碎石道路基层铺设</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2、粒径规格：5-40mm；厚度：5cm；碎石应符合质量要求，碎石级配良好</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3、整平、压实</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4、满足车辆通行要求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林间碎石道路面层</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1、碎石道路面层铺设</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2、粒径规格：5-16mm；厚度：3cm；碎石应符合质量要求，碎石级配良好</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3、路面层摊铺密实找平、压实</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4、满足车辆通行要求</w:t>
            </w:r>
            <w:r/>
          </w:p>
        </w:tc>
      </w:tr>
      <w:tr>
        <w:trPr>
          <w:trHeight w:val="373"/>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4、小计（1+2+3）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3"/>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5、管理费（4）*3%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6"/>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6、利润（4）*3%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7"/>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7、税金（4+5+6）*3%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8、合计（4+5+6+7）</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9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691"/>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clear="all"/>
      </w:r>
      <w:r/>
    </w:p>
    <w:p>
      <w:pPr>
        <w:jc w:val="center"/>
        <w:spacing w:line="360" w:lineRule="auto"/>
        <w:rPr>
          <w:color w:val="000000" w:themeColor="text1"/>
          <w:highlight w:val="none"/>
          <w:lang w:eastAsia="zh-CN"/>
          <w14:textFill>
            <w14:solidFill>
              <w14:schemeClr w14:val="tx1"/>
            </w14:solidFill>
          </w14:textFill>
        </w:rPr>
        <w:outlineLvl w:val="0"/>
      </w:pP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 xml:space="preserve">合同草案条款及格式</w:t>
      </w:r>
      <w:bookmarkEnd w:id="136"/>
      <w:r/>
      <w:r/>
    </w:p>
    <w:p>
      <w:pPr>
        <w:ind w:left="118"/>
        <w:jc w:val="center"/>
        <w:rPr>
          <w:rFonts w:ascii="黑体" w:eastAsia="黑体"/>
          <w:color w:val="000000" w:themeColor="text1"/>
          <w:spacing w:val="-3"/>
          <w:sz w:val="52"/>
          <w:highlight w:val="none"/>
          <w:lang w:eastAsia="zh-CN"/>
          <w14:textFill>
            <w14:solidFill>
              <w14:schemeClr w14:val="tx1"/>
            </w14:solidFill>
          </w14:textFill>
        </w:rPr>
      </w:pPr>
      <w:r/>
      <w:bookmarkStart w:id="137" w:name="_bookmark10"/>
      <w:r/>
      <w:bookmarkEnd w:id="137"/>
      <w:r/>
      <w:r/>
    </w:p>
    <w:p>
      <w:pPr>
        <w:pStyle w:val="654"/>
        <w:ind w:left="440"/>
        <w:rPr>
          <w:rFonts w:ascii="黑体" w:hAnsi="宋体" w:eastAsia="黑体"/>
          <w:b/>
          <w:bCs/>
          <w:color w:val="000000" w:themeColor="text1"/>
          <w:sz w:val="44"/>
          <w:szCs w:val="44"/>
          <w:highlight w:val="none"/>
          <w:lang w:eastAsia="zh-CN"/>
          <w14:textFill>
            <w14:solidFill>
              <w14:schemeClr w14:val="tx1"/>
            </w14:solidFill>
          </w14:textFill>
        </w:rPr>
      </w:pPr>
      <w:r>
        <w:rPr>
          <w:rFonts w:ascii="黑体" w:hAnsi="宋体" w:eastAsia="黑体"/>
          <w:b/>
          <w:bCs/>
          <w:color w:val="000000" w:themeColor="text1"/>
          <w:sz w:val="44"/>
          <w:szCs w:val="44"/>
          <w:highlight w:val="none"/>
          <w:lang w:eastAsia="zh-CN"/>
          <w14:textFill>
            <w14:solidFill>
              <w14:schemeClr w14:val="tx1"/>
            </w14:solidFill>
          </w14:textFill>
        </w:rPr>
      </w:r>
      <w:r/>
    </w:p>
    <w:p>
      <w:pPr>
        <w:pStyle w:val="654"/>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 xml:space="preserve">南京市政府采购合同</w:t>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color w:val="000000" w:themeColor="text1"/>
          <w:highlight w:val="none"/>
          <w:lang w:eastAsia="zh-CN"/>
          <w14:textFill>
            <w14:solidFill>
              <w14:schemeClr w14:val="tx1"/>
            </w14:solidFill>
          </w14:textFill>
        </w:rPr>
      </w:pPr>
      <w:r>
        <w:rPr>
          <w:rFonts w:ascii="宋体" w:hAnsi="宋体"/>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rPr>
          <w:rFonts w:ascii="宋体" w:hAnsi="宋体"/>
          <w:b/>
          <w:color w:val="000000" w:themeColor="text1"/>
          <w:highlight w:val="none"/>
          <w:lang w:eastAsia="zh-CN"/>
          <w14:textFill>
            <w14:solidFill>
              <w14:schemeClr w14:val="tx1"/>
            </w14:solidFill>
          </w14:textFill>
        </w:rPr>
      </w:pPr>
      <w:r>
        <w:rPr>
          <w:rFonts w:ascii="宋体" w:hAnsi="宋体"/>
          <w:b/>
          <w:color w:val="000000" w:themeColor="text1"/>
          <w:highlight w:val="none"/>
          <w:lang w:eastAsia="zh-CN"/>
          <w14:textFill>
            <w14:solidFill>
              <w14:schemeClr w14:val="tx1"/>
            </w14:solidFill>
          </w14:textFill>
        </w:rPr>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left="2502" w:hanging="2493"/>
        <w:spacing w:line="900" w:lineRule="exact"/>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采购</w:t>
      </w:r>
      <w:r>
        <w:rPr>
          <w:rFonts w:hint="eastAsia" w:ascii="宋体" w:hAnsi="宋体"/>
          <w:b/>
          <w:color w:val="000000" w:themeColor="text1"/>
          <w:sz w:val="28"/>
          <w:szCs w:val="28"/>
          <w:highlight w:val="none"/>
          <w:lang w:val="en-US" w:eastAsia="zh-CN"/>
          <w14:textFill>
            <w14:solidFill>
              <w14:schemeClr w14:val="tx1"/>
            </w14:solidFill>
          </w14:textFill>
        </w:rPr>
        <w:t xml:space="preserve">人</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 xml:space="preserve">供应商</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p>
    <w:p>
      <w:pPr>
        <w:ind w:firstLine="964"/>
        <w:spacing w:line="900" w:lineRule="exact"/>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jc w:val="both"/>
        <w:keepLines w:val="0"/>
        <w:keepNext w:val="0"/>
        <w:pageBreakBefore w:val="0"/>
        <w:spacing w:before="75" w:line="300" w:lineRule="exact"/>
        <w:shd w:val="clear" w:color="auto" w:fill="ffffff"/>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项目编号： </w:t>
      </w:r>
      <w:r/>
    </w:p>
    <w:p>
      <w:pPr>
        <w:jc w:val="both"/>
        <w:keepLines w:val="0"/>
        <w:keepNext w:val="0"/>
        <w:pageBreakBefore w:val="0"/>
        <w:spacing w:before="75" w:line="300" w:lineRule="exact"/>
        <w:shd w:val="clear" w:color="auto" w:fill="ffffff"/>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项目名称：</w:t>
      </w:r>
      <w:r/>
    </w:p>
    <w:p>
      <w:pPr>
        <w:jc w:val="both"/>
        <w:keepLines w:val="0"/>
        <w:keepNext w:val="0"/>
        <w:pageBreakBefore w:val="0"/>
        <w:spacing w:before="75" w:line="300" w:lineRule="exact"/>
        <w:shd w:val="clear" w:color="auto" w:fill="ffffff"/>
        <w:widowControl/>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政府采购计划号：</w:t>
      </w:r>
      <w:r/>
    </w:p>
    <w:p>
      <w:pPr>
        <w:jc w:val="both"/>
        <w:keepLines w:val="0"/>
        <w:keepNext w:val="0"/>
        <w:pageBreakBefore w:val="0"/>
        <w:spacing w:before="75" w:line="300" w:lineRule="exact"/>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采购人：（以下简称甲方）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供应商：（以下简称乙方）</w:t>
      </w:r>
      <w:r/>
    </w:p>
    <w:p>
      <w:pPr>
        <w:jc w:val="both"/>
        <w:keepLines w:val="0"/>
        <w:keepNext w:val="0"/>
        <w:pageBreakBefore w:val="0"/>
        <w:spacing w:before="75" w:line="300" w:lineRule="exact"/>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jc w:val="both"/>
        <w:keepLines w:val="0"/>
        <w:keepNext w:val="0"/>
        <w:pageBreakBefore w:val="0"/>
        <w:spacing w:before="75" w:line="300" w:lineRule="exact"/>
        <w:shd w:val="clear" w:color="auto" w:fill="ffffff"/>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 xml:space="preserve">住所地：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 xml:space="preserve">住所地：</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根据《中华人民共和国政府采购法》、《中华人民共和国民法典》等法律法规的规定， 甲乙双方经协商签订本合同。</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第一条 合同标的</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乙方提供下列服务：</w:t>
      </w:r>
      <w:r/>
    </w:p>
    <w:p>
      <w:pPr>
        <w:jc w:val="both"/>
        <w:spacing w:line="360" w:lineRule="auto"/>
        <w:rPr>
          <w:rFonts w:hint="eastAsia" w:ascii="仿宋" w:hAnsi="仿宋" w:eastAsia="仿宋" w:cs="仿宋"/>
          <w:color w:val="000000"/>
          <w:sz w:val="10"/>
          <w:szCs w:val="10"/>
          <w:highlight w:val="none"/>
          <w:lang w:val="zh-CN" w:bidi="ar"/>
        </w:rPr>
        <w:outlineLvl w:val="9"/>
      </w:pPr>
      <w:r>
        <w:rPr>
          <w:rFonts w:hint="eastAsia" w:ascii="仿宋" w:hAnsi="仿宋" w:eastAsia="仿宋" w:cs="仿宋"/>
          <w:color w:val="000000"/>
          <w:sz w:val="10"/>
          <w:szCs w:val="10"/>
          <w:highlight w:val="none"/>
          <w:lang w:val="zh-CN" w:bidi="ar"/>
        </w:rPr>
      </w:r>
      <w:r/>
    </w:p>
    <w:tbl>
      <w:tblPr>
        <w:tblStyle w:val="909"/>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left w:w="0" w:type="dxa"/>
          <w:top w:w="0" w:type="dxa"/>
          <w:right w:w="0" w:type="dxa"/>
          <w:bottom w:w="0" w:type="dxa"/>
        </w:tblCellMar>
        <w:tblLook w:val="04A0" w:firstRow="1" w:lastRow="0" w:firstColumn="1" w:lastColumn="0" w:noHBand="0" w:noVBand="1"/>
      </w:tblPr>
      <w:tblGrid>
        <w:gridCol w:w="1985"/>
        <w:gridCol w:w="3809"/>
        <w:gridCol w:w="1727"/>
        <w:gridCol w:w="1985"/>
      </w:tblGrid>
      <w:tr>
        <w:trPr>
          <w:trHeight w:val="390"/>
        </w:trPr>
        <w:tc>
          <w:tcPr>
            <w:tcW w:w="1985" w:type="dxa"/>
            <w:textDirection w:val="lrTb"/>
            <w:noWrap w:val="false"/>
          </w:tcPr>
          <w:p>
            <w:pPr>
              <w:pStyle w:val="1114"/>
              <w:ind w:left="68"/>
              <w:spacing w:before="94" w:line="22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序号</w:t>
            </w:r>
            <w:r/>
          </w:p>
        </w:tc>
        <w:tc>
          <w:tcPr>
            <w:tcW w:w="3809" w:type="dxa"/>
            <w:textDirection w:val="lrTb"/>
            <w:noWrap w:val="false"/>
          </w:tcPr>
          <w:p>
            <w:pPr>
              <w:pStyle w:val="1114"/>
              <w:ind w:left="39"/>
              <w:spacing w:before="94" w:line="22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名称</w:t>
            </w:r>
            <w:r/>
          </w:p>
        </w:tc>
        <w:tc>
          <w:tcPr>
            <w:tcW w:w="1727" w:type="dxa"/>
            <w:textDirection w:val="lrTb"/>
            <w:noWrap w:val="false"/>
          </w:tcPr>
          <w:p>
            <w:pPr>
              <w:pStyle w:val="1114"/>
              <w:ind w:left="38"/>
              <w:spacing w:before="93" w:line="22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数量</w:t>
            </w:r>
            <w:r/>
          </w:p>
        </w:tc>
        <w:tc>
          <w:tcPr>
            <w:tcW w:w="1985" w:type="dxa"/>
            <w:textDirection w:val="lrTb"/>
            <w:noWrap w:val="false"/>
          </w:tcPr>
          <w:p>
            <w:pPr>
              <w:pStyle w:val="1114"/>
              <w:ind w:left="59"/>
              <w:spacing w:before="94" w:line="22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单位</w:t>
            </w:r>
            <w:r/>
          </w:p>
        </w:tc>
      </w:tr>
      <w:tr>
        <w:trPr>
          <w:trHeight w:val="420"/>
        </w:trPr>
        <w:tc>
          <w:tcPr>
            <w:tcBorders>
              <w:bottom w:val="single" w:color="404040" w:sz="2" w:space="0"/>
              <w:right w:val="single" w:color="404040" w:sz="2" w:space="0"/>
            </w:tcBorders>
            <w:tcW w:w="1985" w:type="dxa"/>
            <w:textDirection w:val="lrTb"/>
            <w:noWrap w:val="false"/>
          </w:tcPr>
          <w:p>
            <w:pPr>
              <w:pStyle w:val="1114"/>
              <w:ind w:left="87"/>
              <w:spacing w:before="133" w:line="18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bottom w:val="single" w:color="404040" w:sz="2" w:space="0"/>
              <w:right w:val="single" w:color="404040" w:sz="2" w:space="0"/>
            </w:tcBorders>
            <w:tcW w:w="3809" w:type="dxa"/>
            <w:textDirection w:val="lrTb"/>
            <w:noWrap w:val="false"/>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Borders>
              <w:bottom w:val="single" w:color="404040" w:sz="2" w:space="0"/>
              <w:right w:val="single" w:color="404040" w:sz="2" w:space="0"/>
            </w:tcBorders>
            <w:tcW w:w="1727" w:type="dxa"/>
            <w:textDirection w:val="lrTb"/>
            <w:noWrap w:val="false"/>
          </w:tcPr>
          <w:p>
            <w:pPr>
              <w:pStyle w:val="1114"/>
              <w:ind w:left="54"/>
              <w:spacing w:before="133" w:line="18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bottom w:val="single" w:color="404040" w:sz="2" w:space="0"/>
              <w:right w:val="single" w:color="404040" w:sz="2" w:space="0"/>
            </w:tcBorders>
            <w:tcW w:w="1985" w:type="dxa"/>
            <w:textDirection w:val="lrTb"/>
            <w:noWrap w:val="false"/>
          </w:tcPr>
          <w:p>
            <w:pPr>
              <w:pStyle w:val="1114"/>
              <w:ind w:left="61"/>
              <w:spacing w:before="94" w:line="22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r>
    </w:tbl>
    <w:p>
      <w:pPr>
        <w:jc w:val="both"/>
        <w:spacing w:line="360" w:lineRule="auto"/>
        <w:rPr>
          <w:rFonts w:hint="eastAsia" w:ascii="宋体" w:hAnsi="宋体" w:eastAsia="宋体" w:cs="宋体"/>
          <w:color w:val="000000"/>
          <w:sz w:val="18"/>
          <w:szCs w:val="18"/>
          <w:highlight w:val="none"/>
          <w:lang w:val="zh-CN" w:bidi="ar"/>
        </w:rPr>
        <w:outlineLvl w:val="9"/>
      </w:pPr>
      <w:r>
        <w:rPr>
          <w:rFonts w:hint="eastAsia" w:ascii="宋体" w:hAnsi="宋体" w:eastAsia="宋体" w:cs="宋体"/>
          <w:color w:val="000000"/>
          <w:sz w:val="18"/>
          <w:szCs w:val="18"/>
          <w:highlight w:val="none"/>
          <w:lang w:val="zh-CN" w:bidi="ar"/>
        </w:rPr>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服务内容详见乙方投标（响应）文件。</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第二条 合同总价款</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本合同项下总价款为（大写：</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en-US" w:eastAsia="zh-CN" w:bidi="ar"/>
        </w:rPr>
        <w:t xml:space="preserve">¥</w:t>
      </w:r>
      <w:r>
        <w:rPr>
          <w:rFonts w:hint="eastAsia" w:ascii="宋体" w:hAnsi="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zh-CN" w:bidi="ar"/>
        </w:rPr>
        <w:t xml:space="preserve">人民币， 分项价款详见 《</w:t>
      </w:r>
      <w:r>
        <w:rPr>
          <w:rFonts w:hint="eastAsia" w:ascii="宋体" w:hAnsi="宋体" w:eastAsia="宋体" w:cs="宋体"/>
          <w:color w:val="000000"/>
          <w:sz w:val="24"/>
          <w:szCs w:val="24"/>
          <w:highlight w:val="none"/>
          <w:lang w:val="en-US" w:eastAsia="zh-CN" w:bidi="ar"/>
        </w:rPr>
        <w:t xml:space="preserve">分项</w:t>
      </w:r>
      <w:r>
        <w:rPr>
          <w:rFonts w:hint="eastAsia" w:ascii="宋体" w:hAnsi="宋体" w:eastAsia="宋体" w:cs="宋体"/>
          <w:color w:val="000000"/>
          <w:sz w:val="24"/>
          <w:szCs w:val="24"/>
          <w:highlight w:val="none"/>
          <w:lang w:val="zh-CN" w:bidi="ar"/>
        </w:rPr>
        <w:t xml:space="preserve">报价表》 。</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本合同最终结算总价款按照</w:t>
      </w:r>
      <w:r>
        <w:rPr>
          <w:rFonts w:hint="eastAsia" w:ascii="宋体" w:hAnsi="宋体" w:cs="宋体"/>
          <w:color w:val="000000"/>
          <w:sz w:val="24"/>
          <w:szCs w:val="24"/>
          <w:highlight w:val="none"/>
          <w:lang w:val="en-US" w:eastAsia="zh-CN" w:bidi="ar"/>
        </w:rPr>
        <w:t xml:space="preserve">采购</w:t>
      </w:r>
      <w:r>
        <w:rPr>
          <w:rFonts w:hint="eastAsia" w:ascii="宋体" w:hAnsi="宋体" w:eastAsia="宋体" w:cs="宋体"/>
          <w:color w:val="000000"/>
          <w:sz w:val="24"/>
          <w:szCs w:val="24"/>
          <w:highlight w:val="none"/>
          <w:lang w:val="zh-CN" w:bidi="ar"/>
        </w:rPr>
        <w:t xml:space="preserve">文件约定执行。</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本合同总价款包含以下内容：</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（1）完成本服务项目发生的所有含税费用；</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（2）支付给员工的工资和国家强制缴纳的各种社会保障资金；</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（3）乙方应当提供的伴随服务/售后服务费用；</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（4）供应商认为需要的其他费用。</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本合同为固定</w:t>
      </w:r>
      <w:r>
        <w:rPr>
          <w:rFonts w:hint="eastAsia" w:ascii="宋体" w:hAnsi="宋体" w:eastAsia="宋体" w:cs="宋体"/>
          <w:color w:val="000000"/>
          <w:sz w:val="24"/>
          <w:szCs w:val="24"/>
          <w:highlight w:val="none"/>
          <w:lang w:val="en-US" w:eastAsia="zh-CN" w:bidi="ar"/>
        </w:rPr>
        <w:t xml:space="preserve">单价</w:t>
      </w:r>
      <w:r>
        <w:rPr>
          <w:rFonts w:hint="eastAsia" w:ascii="宋体" w:hAnsi="宋体" w:eastAsia="宋体" w:cs="宋体"/>
          <w:color w:val="000000"/>
          <w:sz w:val="24"/>
          <w:szCs w:val="24"/>
          <w:highlight w:val="none"/>
          <w:lang w:val="zh-CN" w:bidi="ar"/>
        </w:rPr>
        <w:t xml:space="preserve">合同。</w:t>
      </w:r>
      <w:r/>
    </w:p>
    <w:p>
      <w:pPr>
        <w:jc w:val="both"/>
        <w:spacing w:line="360" w:lineRule="auto"/>
        <w:rPr>
          <w:rFonts w:hint="eastAsia" w:ascii="宋体" w:hAnsi="宋体" w:eastAsia="宋体" w:cs="宋体"/>
          <w:b/>
          <w:bCs/>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第三条 合同期限</w:t>
      </w:r>
      <w:r/>
    </w:p>
    <w:p>
      <w:pPr>
        <w:jc w:val="both"/>
        <w:spacing w:line="360" w:lineRule="auto"/>
        <w:rPr>
          <w:rFonts w:hint="eastAsia" w:ascii="宋体" w:hAnsi="宋体" w:eastAsia="宋体" w:cs="宋体"/>
          <w:b/>
          <w:bCs/>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合同服务时间：自</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 xml:space="preserve">年</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 xml:space="preserve">月</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 xml:space="preserve">日至</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 xml:space="preserve">年</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 xml:space="preserve">月</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 xml:space="preserve">日。服务</w:t>
      </w:r>
      <w:r>
        <w:rPr>
          <w:rFonts w:hint="eastAsia" w:ascii="宋体" w:hAnsi="宋体" w:cs="宋体"/>
          <w:color w:val="000000"/>
          <w:sz w:val="24"/>
          <w:szCs w:val="24"/>
          <w:highlight w:val="none"/>
          <w:lang w:val="en-US" w:eastAsia="zh-CN" w:bidi="ar"/>
        </w:rPr>
        <w:t xml:space="preserve">期限</w:t>
      </w:r>
      <w:r>
        <w:rPr>
          <w:rFonts w:hint="eastAsia" w:ascii="宋体" w:hAnsi="宋体" w:eastAsia="宋体" w:cs="宋体"/>
          <w:color w:val="000000"/>
          <w:sz w:val="24"/>
          <w:szCs w:val="24"/>
          <w:highlight w:val="none"/>
          <w:lang w:val="zh-CN" w:bidi="ar"/>
        </w:rPr>
        <w:t xml:space="preserve">为一年。</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第四条 组成本合同的有关文件</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下列关于</w:t>
      </w:r>
      <w:r>
        <w:rPr>
          <w:rFonts w:hint="eastAsia" w:ascii="宋体" w:hAnsi="宋体" w:eastAsia="宋体" w:cs="宋体"/>
          <w:color w:val="000000"/>
          <w:sz w:val="24"/>
          <w:szCs w:val="24"/>
          <w:highlight w:val="none"/>
          <w:u w:val="single"/>
          <w:lang w:val="zh-CN" w:bidi="ar"/>
        </w:rPr>
        <w:t xml:space="preserve">      </w:t>
      </w:r>
      <w:r>
        <w:rPr>
          <w:rFonts w:hint="eastAsia" w:ascii="宋体" w:hAnsi="宋体" w:eastAsia="宋体" w:cs="宋体"/>
          <w:color w:val="000000"/>
          <w:sz w:val="24"/>
          <w:szCs w:val="24"/>
          <w:highlight w:val="none"/>
          <w:lang w:val="zh-CN" w:bidi="ar"/>
        </w:rPr>
        <w:t xml:space="preserve">号的招标（采购）文件、投标（响应）文件， 以及与本次采购活动相关的文件及有关附件是本合同不可分割的组成部分，与本合同具有同等法律效力，这些文件包括但不限于：</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（1）投标（响应）文件和报价表；</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（2）中标（成交）通知书；</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w:t>
      </w: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）甲乙双方商定的其它文件。</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第五条 权利保证</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一、甲方权利、义务：</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1、检查监督乙方工作的实施及制度的执行情况；</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2、协助乙方做好服务工作并提供必要的工作条件和材料堆放、用品储藏区域；</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3、法律、法规规定由甲方承担的其他责任。</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二、乙方权利、义务：</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1、乙方根据甲方的委托，对项目实施综合管理，确保实现管理目标，并承担相应责任，接受甲方检查、管理。及时与甲方沟通，接受甲方合理化建议；</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2、根据有关法律、法规，结合甲方需求及项目特点，制定乙方工作岗位的工作规范和考核办法。</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3、未经过甲方</w:t>
      </w:r>
      <w:r>
        <w:rPr>
          <w:rFonts w:hint="eastAsia" w:ascii="宋体" w:hAnsi="宋体" w:eastAsia="宋体" w:cs="宋体"/>
          <w:color w:val="000000"/>
          <w:sz w:val="24"/>
          <w:szCs w:val="24"/>
          <w:highlight w:val="none"/>
          <w:lang w:val="en-US" w:eastAsia="zh-CN" w:bidi="ar"/>
        </w:rPr>
        <w:t xml:space="preserve">书面</w:t>
      </w:r>
      <w:r>
        <w:rPr>
          <w:rFonts w:hint="eastAsia" w:ascii="宋体" w:hAnsi="宋体" w:eastAsia="宋体" w:cs="宋体"/>
          <w:color w:val="000000"/>
          <w:sz w:val="24"/>
          <w:szCs w:val="24"/>
          <w:highlight w:val="none"/>
          <w:lang w:val="zh-CN" w:bidi="ar"/>
        </w:rPr>
        <w:t xml:space="preserve">同意，乙方不得对所管理的甲方公用设施擅自占用和改变其他使用功能。</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4、在经过甲方</w:t>
      </w:r>
      <w:r>
        <w:rPr>
          <w:rFonts w:hint="eastAsia" w:ascii="宋体" w:hAnsi="宋体" w:eastAsia="宋体" w:cs="宋体"/>
          <w:color w:val="000000"/>
          <w:sz w:val="24"/>
          <w:szCs w:val="24"/>
          <w:highlight w:val="none"/>
          <w:lang w:val="en-US" w:eastAsia="zh-CN" w:bidi="ar"/>
        </w:rPr>
        <w:t xml:space="preserve">书面</w:t>
      </w:r>
      <w:r>
        <w:rPr>
          <w:rFonts w:hint="eastAsia" w:ascii="宋体" w:hAnsi="宋体" w:eastAsia="宋体" w:cs="宋体"/>
          <w:color w:val="000000"/>
          <w:sz w:val="24"/>
          <w:szCs w:val="24"/>
          <w:highlight w:val="none"/>
          <w:lang w:val="zh-CN" w:bidi="ar"/>
        </w:rPr>
        <w:t xml:space="preserve">同意后，乙方才可委托专业公司承担乙方不能或没有资质的服务项目，并由乙方支付费用。</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5、乙方须本着高效、精干的原则设置项目管理机构和人员，统一着装，挂牌上岗，文明规范操作。</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6、乙方负责对保洁管理人员进行岗位前培训和经常性的职业道德、业务技能培训教育，尤其要加强安全、保密教育，严格遵守甲方有关规章制度。</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7、乙方应执行国家有关规定依法用工，负责乙方员工的生病、事故、伤残、死亡和劳务纠纷的处理，甲方不承担任何相关责任；</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8、提供合格的耗材和管理用具，确保供应；</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9、乙方负责各类设施设备的日常管理和巡查，如有设备损坏及时与甲方联系进行维修，保证良好运行状态；</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10、建立健全的服务管理台帐；</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11、合同终止时，向甲方移交全部管理用房、档案资料和属甲方所有的其他资产，并办理交接手续；</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12、法规、政策规定由乙方承担的其他责任。</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三、在管理过程中，因下列因素所致的损害，不论其为直接或间接，均构成对乙方的免责事由，乙方均不负赔偿之责：</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1、天灾、地震等不可抗力的事由所致的损害；</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2、暴动、持械抢劫、破坏、爆炸、火灾、刑事犯罪等违法行为等事由所致的损害，但因乙方故意或过失所致，不在此限；</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3、因本合同标的物本身固有瑕疵所致的损害；</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4、因甲方或第三者之故意、过失所致的损害；</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5、因甲方或使用人专有部分的火灾、盗窃等所致的损害。</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四、为维护公众、甲方及物业使用人的合法利益，在不可预见情况下，如发生煤气泄露、漏电、火灾、水管破裂、救助人命、协助公安机关执行任务等情况，乙方因采取紧急避险措施造成财产损失的，按有关法律规定处理。</w:t>
      </w:r>
      <w:r/>
    </w:p>
    <w:p>
      <w:pPr>
        <w:jc w:val="both"/>
        <w:spacing w:line="360" w:lineRule="auto"/>
        <w:rPr>
          <w:rFonts w:hint="eastAsia" w:ascii="宋体" w:hAnsi="宋体" w:eastAsia="宋体" w:cs="宋体"/>
          <w:b/>
          <w:bCs/>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第六条 质量保证</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一、服务质量标准</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1、乙方提供的服务必须全部达到采购文件各项要求、国家或行业有规定的、还要符合相应规定。</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建立质量管理体系并有效运行，管理服务能够接受质量审核。</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管理服务逐步达到接受创优评审条件。</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各项承诺指标及所采取的措施详见招标文件及投标文件等相关内容。</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其他管理服务质量要求按南京市有关标准执行。</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二、其他</w:t>
      </w:r>
      <w:r/>
    </w:p>
    <w:p>
      <w:pPr>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应设置巡查应急预案，如遇特殊天气情况或应急检查，乙方应确保有足够力量完成工作，并承担由此产生的相关费用。如乙方不能按照甲方要求完成合同工作，甲方有权将乙方承包范围内的相关工程量进行调整，交由其他单位实施，费用由乙方承担，乙方应无条件服从并给予配合。</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第七条 交付和验收</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1.乙方应当在合同签订后365日历天内完成服务事项。</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2.验收标准：按行业通行标准和乙方投标（响应）文件的承诺（详见合同附件载明的标准，并不低于国家相关标准）。</w:t>
      </w:r>
      <w:r/>
    </w:p>
    <w:p>
      <w:pPr>
        <w:jc w:val="both"/>
        <w:spacing w:line="360" w:lineRule="auto"/>
        <w:rPr>
          <w:rFonts w:hint="eastAsia" w:ascii="宋体" w:hAnsi="宋体" w:eastAsia="宋体" w:cs="宋体"/>
          <w:b/>
          <w:bCs/>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第八条 履约保证金</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1.中标（成交）供应商应按以下第（1）方式向采购人缴纳履约保证金：</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（1）无需缴纳履约保证金；</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（2）投标保证金转为履约保证金；</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（3）以支票、汇票、本票或者金融机构、担保机构出具的保函等非现金形式缴纳履约保证金，金额为</w:t>
      </w:r>
      <w:r>
        <w:rPr>
          <w:rFonts w:hint="eastAsia" w:ascii="宋体" w:hAnsi="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zh-CN" w:bidi="ar"/>
        </w:rPr>
        <w:t xml:space="preserve">。</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2.履约保证金的有效期至</w:t>
      </w:r>
      <w:r>
        <w:rPr>
          <w:rFonts w:hint="eastAsia" w:ascii="宋体" w:hAnsi="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zh-CN" w:bidi="ar"/>
        </w:rPr>
        <w:t xml:space="preserve">时止。</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3.如乙方未能履行合同规定的义务，甲方有权从履约保证金中取得补偿。</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4.履约保证金扣除甲方应得的补偿后的余额，在有效期满后个工作日内无息退还给乙方。</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第九条 合同款支付</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1.本合同项下所有款项均以人民币支付。</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2.本合同项下的采购资金由乙方开具</w:t>
      </w:r>
      <w:r>
        <w:rPr>
          <w:rFonts w:hint="eastAsia" w:ascii="宋体" w:hAnsi="宋体" w:eastAsia="宋体" w:cs="宋体"/>
          <w:color w:val="000000"/>
          <w:sz w:val="24"/>
          <w:szCs w:val="24"/>
          <w:highlight w:val="none"/>
          <w:lang w:val="en-US" w:eastAsia="zh-CN" w:bidi="ar"/>
        </w:rPr>
        <w:t xml:space="preserve">增值税专用</w:t>
      </w:r>
      <w:r>
        <w:rPr>
          <w:rFonts w:hint="eastAsia" w:ascii="宋体" w:hAnsi="宋体" w:eastAsia="宋体" w:cs="宋体"/>
          <w:color w:val="000000"/>
          <w:sz w:val="24"/>
          <w:szCs w:val="24"/>
          <w:highlight w:val="none"/>
          <w:lang w:val="zh-CN" w:bidi="ar"/>
        </w:rPr>
        <w:t xml:space="preserve">发票，甲方按照本条第 3 款的约定支付。</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3.付款条件：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en-US" w:eastAsia="zh-CN" w:bidi="ar"/>
        </w:rPr>
        <w:t xml:space="preserve">3.1</w:t>
      </w:r>
      <w:r>
        <w:rPr>
          <w:rFonts w:hint="eastAsia" w:eastAsia="宋体"/>
          <w:highlight w:val="none"/>
          <w:lang w:val="en-US" w:eastAsia="zh-CN"/>
        </w:rPr>
        <w:t xml:space="preserve">合同签订后30日内支付合同价款的30％，服务进行到半年后30日内支付合同价款的20％，服务完成，乙方提供巡查、养护记录、成果和甲方考核结果等结算资料，按照中标单价和甲方确认的完成数量上报结算，经甲方审计后30日内支付至结算价的100％。</w:t>
      </w:r>
      <w:r>
        <w:rPr>
          <w:rFonts w:hint="eastAsia" w:ascii="宋体" w:hAnsi="宋体" w:eastAsia="宋体" w:cs="宋体"/>
          <w:color w:val="000000"/>
          <w:sz w:val="24"/>
          <w:szCs w:val="24"/>
          <w:highlight w:val="none"/>
          <w:lang w:val="zh-CN" w:bidi="ar"/>
        </w:rPr>
        <w:t xml:space="preserve">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en-US" w:eastAsia="zh-CN" w:bidi="ar"/>
        </w:rPr>
        <w:t xml:space="preserve">3.2</w:t>
      </w:r>
      <w:r>
        <w:rPr>
          <w:rFonts w:hint="eastAsia" w:ascii="宋体" w:hAnsi="宋体" w:eastAsia="宋体" w:cs="宋体"/>
          <w:color w:val="000000"/>
          <w:sz w:val="24"/>
          <w:szCs w:val="24"/>
          <w:highlight w:val="none"/>
          <w:lang w:val="zh-CN" w:bidi="ar"/>
        </w:rPr>
        <w:t xml:space="preserve">每次付款</w:t>
      </w:r>
      <w:r>
        <w:rPr>
          <w:rFonts w:hint="eastAsia" w:ascii="宋体" w:hAnsi="宋体" w:eastAsia="宋体" w:cs="宋体"/>
          <w:color w:val="000000"/>
          <w:sz w:val="24"/>
          <w:szCs w:val="24"/>
          <w:highlight w:val="none"/>
          <w:lang w:val="en-US" w:eastAsia="zh-CN" w:bidi="ar"/>
        </w:rPr>
        <w:t xml:space="preserve">前乙方应当</w:t>
      </w:r>
      <w:r>
        <w:rPr>
          <w:rFonts w:hint="eastAsia" w:ascii="宋体" w:hAnsi="宋体" w:eastAsia="宋体" w:cs="宋体"/>
          <w:color w:val="000000"/>
          <w:sz w:val="24"/>
          <w:szCs w:val="24"/>
          <w:highlight w:val="none"/>
          <w:lang w:val="zh-CN" w:bidi="ar"/>
        </w:rPr>
        <w:t xml:space="preserve">提供增值税专用发票。</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第十条 违约责任</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1.甲方无正当理由拒收服务、拒付服务款的，甲方向乙方偿付合同总价的 5%违约金。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2.甲方未按合同规定的期限向乙方支付服务款的，每逾期 1 天甲方向乙方偿付欠款总额的5‰滞纳金，但累计滞纳金总额不超过欠款总额的 5%。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3.甲方逾期退还履约保证金的，除应当退还履约保证金本金外，还应当按中国人民银行同期贷款基准利率支付超期资金占用费，但因乙方自身原因导致无法及时退还的除外。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4.如乙方不能交付服务的，甲方有权扣留全部履约保证金；同时乙方应向甲方支付合同总价5%的违约金。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5.乙方逾期交付的，每逾期1天，乙方向甲方偿付合同总额的‰的滞纳金。如乙方逾期交付达10天，甲方有权解除合同，解除合同的通知自到达乙方时生效。</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6.乙方所交付的服务不符合合同规定的，甲方有权拒收。甲方拒收的，乙方应向甲方支付合同总款 5%的违约金。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7.在乙方承诺的或国家规定的质量保证期内（取两者中最长的期限），如经乙方 2 次整改仍不能达到合同约定的质量标准，乙方应退回全部合同价款，并按本条第 </w:t>
      </w: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 款处理，同时，乙方还须赔偿甲方因此遭受的损失。</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8.乙方未按本合同的规定和服务承诺提供伴随服务/售后服务的，应按合同总价款的 5%向甲方承担违约责任。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9.乙方在承担上述 4-7 款一项或多项违约责任后，仍应继续履行合同规定的义务（甲方解除合同的除外）。甲方未能及时追究乙方的任何一项违约责任并不表明甲方放弃追究乙方该项或其他违约责任。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10.乙方响应属虚假承诺，或经权威部门检测提供的服务不能满足投标（响应）文件要 </w:t>
      </w:r>
      <w:r/>
    </w:p>
    <w:p>
      <w:pPr>
        <w:jc w:val="left"/>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求，或是由于乙方的过错造成合同无法继续履行的，乙方履约保证金不予退还外，还应向甲方支付合同总价 30%赔偿金。若该赔偿金不足以弥补甲方实际损失的，甲方有权要求乙方赔偿全部损失，</w:t>
      </w:r>
      <w:r>
        <w:rPr>
          <w:rFonts w:hint="eastAsia" w:ascii="宋体" w:hAnsi="宋体" w:eastAsia="宋体" w:cs="宋体"/>
          <w:color w:val="000000"/>
          <w:sz w:val="24"/>
          <w:szCs w:val="24"/>
          <w:highlight w:val="none"/>
          <w:lang w:val="en-US" w:eastAsia="zh-CN" w:bidi="ar"/>
        </w:rPr>
        <w:t xml:space="preserve">包括但不限于直接损失、间接损失、维权支出的费用（律师费、保全担保服务费、鉴定费等）等</w:t>
      </w:r>
      <w:r>
        <w:rPr>
          <w:rFonts w:hint="eastAsia" w:ascii="宋体" w:hAnsi="宋体" w:eastAsia="宋体" w:cs="宋体"/>
          <w:color w:val="000000"/>
          <w:sz w:val="24"/>
          <w:szCs w:val="24"/>
          <w:highlight w:val="none"/>
          <w:lang w:val="zh-CN" w:bidi="ar"/>
        </w:rPr>
        <w:t xml:space="preserve">。同时，甲方有权解除合同，并不免除乙方的前述赔偿责任。</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第十一条 合同的变更和终止</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1.除《政府采购法》第 50 条规定的情形外，本合同一经签订，甲乙双方不得擅自变更</w:t>
      </w:r>
      <w:r>
        <w:rPr>
          <w:rFonts w:hint="eastAsia" w:ascii="宋体" w:hAnsi="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中止或终止。</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2.除发生法律规定的不能预见、不能避免并不能克服的客观情况外，甲乙双方不得放弃或拒绝履行合同。乙方放弃或拒绝履行合同，履约保证金不予退还，并按规定接受相关部门的处罚。</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zh-CN" w:bidi="ar"/>
        </w:rPr>
        <w:t xml:space="preserve">、本合同终止时，乙方应移交管理权，撤出本项目，协助甲方做好服务的交接和善后工作，移交或配合甲方移交管理用房和管理的全部档案资料等。</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zh-CN" w:bidi="ar"/>
        </w:rPr>
        <w:t xml:space="preserve">、本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第十二条 合同的转让</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乙方不得擅自部分或全部转让其应履行的合同义务。</w:t>
      </w:r>
      <w:r/>
    </w:p>
    <w:p>
      <w:pPr>
        <w:jc w:val="both"/>
        <w:spacing w:line="360" w:lineRule="auto"/>
        <w:rPr>
          <w:rFonts w:hint="eastAsia" w:ascii="宋体" w:hAnsi="宋体" w:eastAsia="宋体" w:cs="宋体"/>
          <w:b/>
          <w:bCs/>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第十三条 争议的解决</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1.因服务的质量问题发生争议的，应当邀请国家认可的质量检测机构对服务质量进行鉴定。符合标准的，鉴定费由甲方承担；不符合标准的，鉴定费由乙方承担。</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2.因履行本合同引起的或与本合同有关的争议，甲、乙双方应首先通过友好协商解决，如果协商不能解决争议，则采取以下第（1）种方式解决争议：</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（1）向甲方所在地有管辖权的人民法院提起诉讼；</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（2）向南京仲裁委员会按其仲裁规则申请仲裁。</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w:t>
      </w:r>
      <w:r>
        <w:rPr>
          <w:rFonts w:hint="eastAsia" w:ascii="宋体" w:hAnsi="宋体" w:cs="宋体"/>
          <w:color w:val="000000"/>
          <w:sz w:val="24"/>
          <w:szCs w:val="24"/>
          <w:highlight w:val="none"/>
          <w:lang w:val="en-US" w:eastAsia="zh-CN" w:bidi="ar"/>
        </w:rPr>
        <w:t xml:space="preserve">在</w:t>
      </w:r>
      <w:r>
        <w:rPr>
          <w:rFonts w:hint="eastAsia" w:ascii="宋体" w:hAnsi="宋体" w:eastAsia="宋体" w:cs="宋体"/>
          <w:color w:val="000000"/>
          <w:sz w:val="24"/>
          <w:szCs w:val="24"/>
          <w:highlight w:val="none"/>
          <w:lang w:val="zh-CN" w:bidi="ar"/>
        </w:rPr>
        <w:t xml:space="preserve">诉讼</w:t>
      </w:r>
      <w:r>
        <w:rPr>
          <w:rFonts w:hint="eastAsia" w:ascii="宋体" w:hAnsi="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仲裁期间</w:t>
      </w:r>
      <w:r>
        <w:rPr>
          <w:rFonts w:hint="eastAsia" w:ascii="宋体" w:hAnsi="宋体" w:cs="宋体"/>
          <w:color w:val="000000"/>
          <w:sz w:val="24"/>
          <w:szCs w:val="24"/>
          <w:highlight w:val="none"/>
          <w:lang w:val="zh-CN" w:bidi="ar"/>
        </w:rPr>
        <w:t xml:space="preserve">，</w:t>
      </w:r>
      <w:r>
        <w:rPr>
          <w:rFonts w:hint="eastAsia" w:ascii="宋体" w:hAnsi="宋体" w:eastAsia="宋体" w:cs="宋体"/>
          <w:color w:val="000000"/>
          <w:sz w:val="24"/>
          <w:szCs w:val="24"/>
          <w:highlight w:val="none"/>
          <w:lang w:val="zh-CN" w:bidi="ar"/>
        </w:rPr>
        <w:t xml:space="preserve">本合同应继续履行。</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第十四条 诚实信用</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乙方应诚实信用，严格按照招标（采购）文件要求和投标（响应）承诺履行合同，不向甲方进行商业贿赂或者提供不正当利益。</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b/>
          <w:bCs/>
          <w:color w:val="000000"/>
          <w:sz w:val="24"/>
          <w:szCs w:val="24"/>
          <w:highlight w:val="none"/>
          <w:lang w:val="zh-CN" w:bidi="ar"/>
        </w:rPr>
        <w:t xml:space="preserve">第十五条 合同生效及其他</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1.本合同自签订之日起生效，两个工作日内在财政部门指定的媒体上公告。</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2.本合同一式</w:t>
      </w:r>
      <w:r>
        <w:rPr>
          <w:rFonts w:hint="eastAsia" w:ascii="宋体" w:hAnsi="宋体" w:cs="宋体"/>
          <w:color w:val="000000"/>
          <w:sz w:val="24"/>
          <w:szCs w:val="24"/>
          <w:highlight w:val="none"/>
          <w:lang w:val="en-US" w:eastAsia="zh-CN" w:bidi="ar"/>
        </w:rPr>
        <w:t xml:space="preserve">四</w:t>
      </w:r>
      <w:r>
        <w:rPr>
          <w:rFonts w:hint="eastAsia" w:ascii="宋体" w:hAnsi="宋体" w:eastAsia="宋体" w:cs="宋体"/>
          <w:color w:val="000000"/>
          <w:sz w:val="24"/>
          <w:szCs w:val="24"/>
          <w:highlight w:val="none"/>
          <w:lang w:val="zh-CN" w:bidi="ar"/>
        </w:rPr>
        <w:t xml:space="preserve">份，甲乙双方各执</w:t>
      </w:r>
      <w:r>
        <w:rPr>
          <w:rFonts w:hint="eastAsia" w:ascii="宋体" w:hAnsi="宋体" w:cs="宋体"/>
          <w:color w:val="000000"/>
          <w:sz w:val="24"/>
          <w:szCs w:val="24"/>
          <w:highlight w:val="none"/>
          <w:lang w:val="en-US" w:eastAsia="zh-CN" w:bidi="ar"/>
        </w:rPr>
        <w:t xml:space="preserve">二</w:t>
      </w:r>
      <w:r>
        <w:rPr>
          <w:rFonts w:hint="eastAsia" w:ascii="宋体" w:hAnsi="宋体" w:eastAsia="宋体" w:cs="宋体"/>
          <w:color w:val="000000"/>
          <w:sz w:val="24"/>
          <w:szCs w:val="24"/>
          <w:highlight w:val="none"/>
          <w:lang w:val="zh-CN" w:bidi="ar"/>
        </w:rPr>
        <w:t xml:space="preserve">份。</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3.本合同按照中华人民共和国的现行法律进行解释。</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4.其他：考核管理要求</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4.1.考核对象：</w:t>
      </w:r>
      <w:r>
        <w:rPr>
          <w:rFonts w:hint="eastAsia" w:ascii="宋体" w:hAnsi="宋体" w:cs="宋体"/>
          <w:color w:val="000000"/>
          <w:sz w:val="24"/>
          <w:szCs w:val="24"/>
          <w:highlight w:val="none"/>
          <w:lang w:val="en-US" w:eastAsia="zh-CN" w:bidi="ar"/>
        </w:rPr>
        <w:t xml:space="preserve">成交</w:t>
      </w:r>
      <w:r>
        <w:rPr>
          <w:rFonts w:hint="eastAsia" w:ascii="宋体" w:hAnsi="宋体" w:eastAsia="宋体" w:cs="宋体"/>
          <w:color w:val="000000"/>
          <w:sz w:val="24"/>
          <w:szCs w:val="24"/>
          <w:highlight w:val="none"/>
          <w:lang w:val="zh-CN" w:bidi="ar"/>
        </w:rPr>
        <w:t xml:space="preserve">供应商；</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4.2.考核内容：</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1、乙方若有以下情形之一的，应向甲方支付贰万元的违约金，若违约金不足以弥补因此造成甲方的损失、第三方的损失</w:t>
      </w:r>
      <w:r>
        <w:rPr>
          <w:rFonts w:hint="eastAsia" w:ascii="宋体" w:hAnsi="宋体" w:eastAsia="宋体" w:cs="宋体"/>
          <w:color w:val="000000"/>
          <w:sz w:val="24"/>
          <w:szCs w:val="24"/>
          <w:highlight w:val="none"/>
          <w:lang w:val="en-US" w:eastAsia="zh-CN" w:bidi="ar"/>
        </w:rPr>
        <w:t xml:space="preserve">及维权损失（律师费、保全担保服务费等）</w:t>
      </w:r>
      <w:r>
        <w:rPr>
          <w:rFonts w:hint="eastAsia" w:ascii="宋体" w:hAnsi="宋体" w:eastAsia="宋体" w:cs="宋体"/>
          <w:color w:val="000000"/>
          <w:sz w:val="24"/>
          <w:szCs w:val="24"/>
          <w:highlight w:val="none"/>
          <w:lang w:val="zh-CN" w:bidi="ar"/>
        </w:rPr>
        <w:t xml:space="preserve">，乙方还应赔偿。</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（1）乙方发生超出工作职责范围外的任何行为，造成甲方损失和影响的；</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（2）乙方提供服务时有过错，被媒体进行负面报道造成恶劣影响，并经查实的；</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（3）其他造成严重后果的情形。</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2、乙方若有以下情形之一的，甲方按次扣减5000元服务费。</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（1）乙方因巡防工作执行不力被上级主管部门检查通报的；</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（2）乙方不按规定处置巡护范围内安全隐患，发现不利于森林安全管理事件不上报的；</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（3）乙方发生本条第1款约定的任一行为，经甲方三次书面指正仍拒不改正的，甲方有权解除本合同；因解除合同造成损失的，由乙方承担赔偿责任。</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（4）乙方违约时，应支付的违约金或赔偿金，甲方可从应付的服务费中扣除，不足部分，有权追偿。</w:t>
      </w:r>
      <w:r/>
    </w:p>
    <w:p>
      <w:pPr>
        <w:jc w:val="both"/>
        <w:spacing w:line="360" w:lineRule="auto"/>
        <w:rPr>
          <w:rFonts w:hint="eastAsia" w:ascii="宋体" w:hAnsi="宋体" w:eastAsia="宋体" w:cs="宋体"/>
          <w:color w:val="000000"/>
          <w:sz w:val="24"/>
          <w:szCs w:val="24"/>
          <w:highlight w:val="none"/>
          <w:lang w:val="zh-CN" w:bidi="ar"/>
        </w:rPr>
        <w:outlineLvl w:val="9"/>
      </w:pPr>
      <w:r>
        <w:rPr>
          <w:rFonts w:hint="eastAsia" w:ascii="宋体" w:hAnsi="宋体" w:eastAsia="宋体" w:cs="宋体"/>
          <w:color w:val="000000"/>
          <w:sz w:val="24"/>
          <w:szCs w:val="24"/>
          <w:highlight w:val="none"/>
          <w:lang w:val="zh-CN" w:bidi="ar"/>
        </w:rPr>
        <w:t xml:space="preserve">3、乙方发现巡查范围有祭扫或者野炊人员应及时劝导，无法劝导报</w:t>
      </w:r>
      <w:r>
        <w:rPr>
          <w:rFonts w:hint="eastAsia" w:ascii="宋体" w:hAnsi="宋体" w:cs="宋体"/>
          <w:color w:val="000000"/>
          <w:sz w:val="24"/>
          <w:szCs w:val="24"/>
          <w:highlight w:val="none"/>
          <w:lang w:val="en-US" w:eastAsia="zh-CN" w:bidi="ar"/>
        </w:rPr>
        <w:t xml:space="preserve">甲方</w:t>
      </w:r>
      <w:r>
        <w:rPr>
          <w:rFonts w:hint="eastAsia" w:ascii="宋体" w:hAnsi="宋体" w:eastAsia="宋体" w:cs="宋体"/>
          <w:color w:val="000000"/>
          <w:sz w:val="24"/>
          <w:szCs w:val="24"/>
          <w:highlight w:val="none"/>
          <w:lang w:val="zh-CN" w:bidi="ar"/>
        </w:rPr>
        <w:t xml:space="preserve">和</w:t>
      </w:r>
      <w:r>
        <w:rPr>
          <w:rFonts w:hint="eastAsia" w:ascii="宋体" w:hAnsi="宋体" w:cs="宋体"/>
          <w:color w:val="000000"/>
          <w:sz w:val="24"/>
          <w:szCs w:val="24"/>
          <w:highlight w:val="none"/>
          <w:lang w:val="en-US" w:eastAsia="zh-CN" w:bidi="ar"/>
        </w:rPr>
        <w:t xml:space="preserve">公安部门</w:t>
      </w:r>
      <w:r>
        <w:rPr>
          <w:rFonts w:hint="eastAsia" w:ascii="宋体" w:hAnsi="宋体" w:eastAsia="宋体" w:cs="宋体"/>
          <w:color w:val="000000"/>
          <w:sz w:val="24"/>
          <w:szCs w:val="24"/>
          <w:highlight w:val="none"/>
          <w:lang w:val="zh-CN" w:bidi="ar"/>
        </w:rPr>
        <w:t xml:space="preserve">报备；辖区内发生火情</w:t>
      </w:r>
      <w:r>
        <w:rPr>
          <w:rFonts w:hint="eastAsia" w:ascii="宋体" w:hAnsi="宋体" w:eastAsia="宋体" w:cs="宋体"/>
          <w:color w:val="000000"/>
          <w:sz w:val="24"/>
          <w:szCs w:val="24"/>
          <w:highlight w:val="none"/>
          <w:lang w:val="en-US" w:eastAsia="zh-CN" w:bidi="ar"/>
        </w:rPr>
        <w:t xml:space="preserve">的，乙方应</w:t>
      </w:r>
      <w:r>
        <w:rPr>
          <w:rFonts w:hint="eastAsia" w:ascii="宋体" w:hAnsi="宋体" w:eastAsia="宋体" w:cs="宋体"/>
          <w:color w:val="000000"/>
          <w:sz w:val="24"/>
          <w:szCs w:val="24"/>
          <w:highlight w:val="none"/>
          <w:lang w:val="zh-CN" w:bidi="ar"/>
        </w:rPr>
        <w:t xml:space="preserve">第一时间赶往现场并组织扑救；如发生火情，半小时内未及时到达现场并组织扑救的，未造成损失影响的2000元/次；如因扑救不及时造成损失严重并且有不良影响的处罚1万元/次；发生重大火情，未按照合同履行职责扑救的，造成重大损失或者人员伤亡的，扣罚10万元。</w:t>
      </w:r>
      <w:r>
        <w:rPr>
          <w:rFonts w:hint="eastAsia" w:ascii="宋体" w:hAnsi="宋体" w:eastAsia="宋体" w:cs="宋体"/>
          <w:color w:val="000000"/>
          <w:sz w:val="24"/>
          <w:szCs w:val="24"/>
          <w:highlight w:val="none"/>
          <w:lang w:val="en-US" w:eastAsia="zh-CN" w:bidi="ar"/>
        </w:rPr>
        <w:t xml:space="preserve">另外，乙方应赔偿</w:t>
      </w:r>
      <w:r>
        <w:rPr>
          <w:rFonts w:hint="eastAsia" w:ascii="宋体" w:hAnsi="宋体" w:eastAsia="宋体" w:cs="宋体"/>
          <w:color w:val="000000"/>
          <w:sz w:val="24"/>
          <w:szCs w:val="24"/>
          <w:highlight w:val="none"/>
          <w:lang w:val="zh-CN" w:bidi="ar"/>
        </w:rPr>
        <w:t xml:space="preserve">因此造成甲方的损失、第三方的损失</w:t>
      </w:r>
      <w:r>
        <w:rPr>
          <w:rFonts w:hint="eastAsia" w:ascii="宋体" w:hAnsi="宋体" w:eastAsia="宋体" w:cs="宋体"/>
          <w:color w:val="000000"/>
          <w:sz w:val="24"/>
          <w:szCs w:val="24"/>
          <w:highlight w:val="none"/>
          <w:lang w:val="en-US" w:eastAsia="zh-CN" w:bidi="ar"/>
        </w:rPr>
        <w:t xml:space="preserve">及维权损失（律师费、保全担保服务费等），</w:t>
      </w:r>
      <w:r>
        <w:rPr>
          <w:rFonts w:hint="eastAsia" w:ascii="宋体" w:hAnsi="宋体" w:eastAsia="宋体" w:cs="宋体"/>
          <w:color w:val="000000"/>
          <w:sz w:val="24"/>
          <w:szCs w:val="24"/>
          <w:highlight w:val="none"/>
          <w:lang w:val="zh-CN" w:bidi="ar"/>
        </w:rPr>
        <w:t xml:space="preserve">甲方有权根据情况考虑是否直接解除合同。</w:t>
      </w:r>
      <w:r/>
    </w:p>
    <w:p>
      <w:pPr>
        <w:jc w:val="both"/>
        <w:spacing w:line="360" w:lineRule="auto"/>
        <w:rPr>
          <w:rFonts w:hint="eastAsia" w:ascii="仿宋" w:hAnsi="仿宋" w:eastAsia="仿宋" w:cs="仿宋"/>
          <w:color w:val="000000"/>
          <w:sz w:val="24"/>
          <w:szCs w:val="24"/>
          <w:highlight w:val="none"/>
          <w:lang w:val="zh-CN" w:bidi="ar"/>
        </w:rPr>
        <w:outlineLvl w:val="9"/>
      </w:pPr>
      <w:r>
        <w:rPr>
          <w:rFonts w:hint="eastAsia" w:ascii="宋体" w:hAnsi="宋体" w:eastAsia="宋体" w:cs="宋体"/>
          <w:color w:val="000000"/>
          <w:sz w:val="24"/>
          <w:szCs w:val="24"/>
          <w:highlight w:val="none"/>
          <w:lang w:val="en-US" w:eastAsia="zh-CN" w:bidi="ar"/>
        </w:rPr>
        <w:t xml:space="preserve">4、因乙方原因发生第三方人身伤亡或财产损失的，乙方应承担全部赔偿责任，并赔偿甲方因此遭受的一切损失，包括但不限于直接损失、间接损失、维权支出的费用（律师费、保全担保服务费、鉴定费等）等</w:t>
      </w:r>
      <w:r>
        <w:rPr>
          <w:rFonts w:hint="eastAsia" w:ascii="宋体" w:hAnsi="宋体" w:eastAsia="宋体" w:cs="宋体"/>
          <w:color w:val="000000"/>
          <w:sz w:val="24"/>
          <w:szCs w:val="24"/>
          <w:highlight w:val="none"/>
          <w:lang w:val="zh-CN" w:bidi="ar"/>
        </w:rPr>
        <w:t xml:space="preserve">。同时，甲方有权解除合同，并不免除乙方的前述赔偿责</w:t>
      </w:r>
      <w:r>
        <w:rPr>
          <w:rFonts w:hint="eastAsia" w:ascii="宋体" w:hAnsi="宋体" w:eastAsia="宋体" w:cs="宋体"/>
          <w:color w:val="000000"/>
          <w:sz w:val="24"/>
          <w:szCs w:val="24"/>
          <w:highlight w:val="none"/>
          <w:lang w:val="zh-CN" w:eastAsia="zh-CN" w:bidi="ar"/>
        </w:rPr>
        <w:t xml:space="preserve">任</w:t>
      </w:r>
      <w:r>
        <w:rPr>
          <w:rFonts w:hint="eastAsia" w:ascii="宋体" w:hAnsi="宋体" w:eastAsia="宋体" w:cs="宋体"/>
          <w:color w:val="000000"/>
          <w:sz w:val="24"/>
          <w:szCs w:val="24"/>
          <w:highlight w:val="none"/>
          <w:lang w:val="en-US" w:eastAsia="zh-CN" w:bidi="ar"/>
        </w:rPr>
        <w:t xml:space="preserve">。</w:t>
      </w:r>
      <w:r/>
    </w:p>
    <w:tbl>
      <w:tblPr>
        <w:tblStyle w:val="909"/>
        <w:tblW w:w="935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676"/>
        <w:gridCol w:w="4678"/>
      </w:tblGrid>
      <w:tr>
        <w:trPr>
          <w:jc w:val="center"/>
          <w:trHeight w:val="680"/>
        </w:trPr>
        <w:tc>
          <w:tcPr>
            <w:tcW w:w="3220" w:type="dxa"/>
            <w:vAlign w:val="center"/>
            <w:textDirection w:val="lrTb"/>
            <w:noWrap w:val="false"/>
          </w:tcPr>
          <w:p>
            <w:pPr>
              <w:pStyle w:val="1114"/>
              <w:ind w:left="31"/>
              <w:spacing w:before="1" w:line="218"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甲方（采购人）：</w:t>
            </w:r>
            <w:r/>
          </w:p>
        </w:tc>
        <w:tc>
          <w:tcPr>
            <w:tcW w:w="3221" w:type="dxa"/>
            <w:vAlign w:val="center"/>
            <w:textDirection w:val="lrTb"/>
            <w:noWrap w:val="false"/>
          </w:tcPr>
          <w:p>
            <w:pPr>
              <w:pStyle w:val="1114"/>
              <w:jc w:val="both"/>
              <w:spacing w:before="1" w:line="218"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乙方（供应商）：</w:t>
            </w:r>
            <w:r/>
          </w:p>
        </w:tc>
      </w:tr>
      <w:tr>
        <w:trPr>
          <w:jc w:val="center"/>
          <w:trHeight w:val="680"/>
        </w:trPr>
        <w:tc>
          <w:tcPr>
            <w:tcW w:w="3220" w:type="dxa"/>
            <w:vAlign w:val="center"/>
            <w:textDirection w:val="lrTb"/>
            <w:noWrap w:val="false"/>
          </w:tcPr>
          <w:p>
            <w:pPr>
              <w:pStyle w:val="1114"/>
              <w:ind w:left="7"/>
              <w:spacing w:before="78" w:line="219"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（盖章）</w:t>
            </w:r>
            <w:r/>
          </w:p>
        </w:tc>
        <w:tc>
          <w:tcPr>
            <w:tcW w:w="3221" w:type="dxa"/>
            <w:vAlign w:val="center"/>
            <w:textDirection w:val="lrTb"/>
            <w:noWrap w:val="false"/>
          </w:tcPr>
          <w:p>
            <w:pPr>
              <w:pStyle w:val="1114"/>
              <w:spacing w:before="78" w:line="219"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（盖章）</w:t>
            </w:r>
            <w:r/>
          </w:p>
        </w:tc>
      </w:tr>
      <w:tr>
        <w:trPr>
          <w:jc w:val="center"/>
          <w:trHeight w:val="680"/>
        </w:trPr>
        <w:tc>
          <w:tcPr>
            <w:tcW w:w="3220" w:type="dxa"/>
            <w:vAlign w:val="center"/>
            <w:textDirection w:val="lrTb"/>
            <w:noWrap w:val="false"/>
          </w:tcPr>
          <w:p>
            <w:pPr>
              <w:pStyle w:val="1114"/>
              <w:spacing w:before="127" w:line="2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代表人：</w:t>
            </w:r>
            <w:r/>
          </w:p>
        </w:tc>
        <w:tc>
          <w:tcPr>
            <w:tcW w:w="3221" w:type="dxa"/>
            <w:vAlign w:val="center"/>
            <w:textDirection w:val="lrTb"/>
            <w:noWrap w:val="false"/>
          </w:tcPr>
          <w:p>
            <w:pPr>
              <w:pStyle w:val="1114"/>
              <w:spacing w:before="127" w:line="2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代表人：</w:t>
            </w:r>
            <w:r/>
          </w:p>
        </w:tc>
      </w:tr>
      <w:tr>
        <w:trPr>
          <w:jc w:val="center"/>
          <w:trHeight w:val="680"/>
        </w:trPr>
        <w:tc>
          <w:tcPr>
            <w:tcW w:w="3220" w:type="dxa"/>
            <w:vAlign w:val="center"/>
            <w:textDirection w:val="lrTb"/>
            <w:noWrap w:val="false"/>
          </w:tcPr>
          <w:p>
            <w:pPr>
              <w:pStyle w:val="1114"/>
              <w:ind w:left="29"/>
              <w:spacing w:before="128" w:line="222"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电话：</w:t>
            </w:r>
            <w:r/>
          </w:p>
        </w:tc>
        <w:tc>
          <w:tcPr>
            <w:tcW w:w="3221" w:type="dxa"/>
            <w:vAlign w:val="center"/>
            <w:textDirection w:val="lrTb"/>
            <w:noWrap w:val="false"/>
          </w:tcPr>
          <w:p>
            <w:pPr>
              <w:pStyle w:val="1114"/>
              <w:spacing w:before="128" w:line="222"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电话：</w:t>
            </w:r>
            <w:r/>
          </w:p>
        </w:tc>
      </w:tr>
      <w:tr>
        <w:trPr>
          <w:jc w:val="center"/>
          <w:trHeight w:val="680"/>
        </w:trPr>
        <w:tc>
          <w:tcPr>
            <w:tcW w:w="3220" w:type="dxa"/>
            <w:vAlign w:val="center"/>
            <w:textDirection w:val="lrTb"/>
            <w:noWrap w:val="false"/>
          </w:tcPr>
          <w:p>
            <w:pPr>
              <w:pStyle w:val="1114"/>
              <w:ind w:left="1"/>
              <w:spacing w:before="136" w:line="2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开户银行：</w:t>
            </w:r>
            <w:r/>
          </w:p>
        </w:tc>
        <w:tc>
          <w:tcPr>
            <w:tcW w:w="3221" w:type="dxa"/>
            <w:vAlign w:val="center"/>
            <w:textDirection w:val="lrTb"/>
            <w:noWrap w:val="false"/>
          </w:tcPr>
          <w:p>
            <w:pPr>
              <w:pStyle w:val="1114"/>
              <w:spacing w:before="136" w:line="2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开户银行：</w:t>
            </w:r>
            <w:r/>
          </w:p>
        </w:tc>
      </w:tr>
      <w:tr>
        <w:trPr>
          <w:jc w:val="center"/>
          <w:trHeight w:val="680"/>
        </w:trPr>
        <w:tc>
          <w:tcPr>
            <w:tcW w:w="3220" w:type="dxa"/>
            <w:vAlign w:val="center"/>
            <w:textDirection w:val="lrTb"/>
            <w:noWrap w:val="false"/>
          </w:tcPr>
          <w:p>
            <w:pPr>
              <w:pStyle w:val="1114"/>
              <w:ind w:left="4"/>
              <w:spacing w:before="129" w:line="176"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账号：</w:t>
            </w:r>
            <w:r/>
          </w:p>
        </w:tc>
        <w:tc>
          <w:tcPr>
            <w:tcW w:w="3221" w:type="dxa"/>
            <w:vAlign w:val="center"/>
            <w:textDirection w:val="lrTb"/>
            <w:noWrap w:val="false"/>
          </w:tcPr>
          <w:p>
            <w:pPr>
              <w:pStyle w:val="1114"/>
              <w:spacing w:before="129" w:line="176"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 xml:space="preserve">账号：</w:t>
            </w:r>
            <w:r/>
          </w:p>
        </w:tc>
      </w:tr>
    </w:tbl>
    <w:p>
      <w:pPr>
        <w:pStyle w:val="972"/>
        <w:ind w:firstLine="4800"/>
        <w:keepLines w:val="0"/>
        <w:keepNext w:val="0"/>
        <w:pageBreakBefore w:val="0"/>
        <w:spacing w:before="120" w:after="120" w:line="276"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keepLines w:val="0"/>
        <w:keepNext w:val="0"/>
        <w:pageBreakBefore w:val="0"/>
        <w:spacing w:line="360" w:lineRule="auto"/>
        <w:widowControl w:val="off"/>
        <w:rPr>
          <w:rFonts w:hint="eastAsia" w:ascii="仿宋" w:hAnsi="仿宋" w:eastAsia="仿宋" w:cs="仿宋"/>
          <w:b/>
          <w:bCs w:val="0"/>
          <w:sz w:val="30"/>
          <w:szCs w:val="21"/>
          <w:highlight w:val="none"/>
        </w:rPr>
        <w:outlineLvl w:val="9"/>
      </w:pPr>
      <w:r>
        <w:rPr>
          <w:rFonts w:hint="eastAsia" w:ascii="仿宋" w:hAnsi="仿宋" w:eastAsia="仿宋" w:cs="仿宋"/>
          <w:b/>
          <w:bCs w:val="0"/>
          <w:sz w:val="30"/>
          <w:szCs w:val="21"/>
          <w:highlight w:val="none"/>
        </w:rPr>
        <w:t xml:space="preserve">《*******合同》补充协议（合同附件）</w:t>
      </w:r>
      <w:r/>
    </w:p>
    <w:p>
      <w:pPr>
        <w:jc w:val="center"/>
        <w:keepLines w:val="0"/>
        <w:keepNext w:val="0"/>
        <w:pageBreakBefore w:val="0"/>
        <w:spacing w:line="360" w:lineRule="auto"/>
        <w:widowControl w:val="off"/>
        <w:rPr>
          <w:rFonts w:hint="eastAsia" w:ascii="仿宋" w:hAnsi="仿宋" w:eastAsia="仿宋" w:cs="仿宋"/>
          <w:color w:val="000000"/>
          <w:sz w:val="24"/>
          <w:szCs w:val="24"/>
          <w:highlight w:val="none"/>
          <w:lang w:val="zh-CN" w:bidi="ar"/>
        </w:rPr>
        <w:outlineLvl w:val="9"/>
      </w:pPr>
      <w:r>
        <w:rPr>
          <w:rFonts w:hint="eastAsia" w:ascii="仿宋" w:hAnsi="仿宋" w:eastAsia="仿宋" w:cs="仿宋"/>
          <w:color w:val="000000"/>
          <w:sz w:val="24"/>
          <w:szCs w:val="24"/>
          <w:highlight w:val="none"/>
        </w:rPr>
        <w:t xml:space="preserve">如遇</w:t>
      </w:r>
      <w:r>
        <w:rPr>
          <w:rFonts w:hint="eastAsia" w:ascii="仿宋" w:hAnsi="仿宋" w:eastAsia="仿宋" w:cs="仿宋"/>
          <w:color w:val="000000"/>
          <w:sz w:val="24"/>
          <w:szCs w:val="24"/>
          <w:highlight w:val="none"/>
          <w:lang w:eastAsia="zh-CN"/>
        </w:rPr>
        <w:t xml:space="preserve">采购</w:t>
      </w:r>
      <w:r>
        <w:rPr>
          <w:rFonts w:hint="eastAsia" w:ascii="仿宋" w:hAnsi="仿宋" w:eastAsia="仿宋" w:cs="仿宋"/>
          <w:color w:val="000000"/>
          <w:sz w:val="24"/>
          <w:szCs w:val="24"/>
          <w:highlight w:val="none"/>
        </w:rPr>
        <w:t xml:space="preserve">文件及合同未约定事项，双方可友好协商签订补充协议。</w:t>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r>
      <w:r/>
    </w:p>
    <w:p>
      <w:pPr>
        <w:ind w:right="177"/>
        <w:jc w:val="center"/>
        <w:tabs>
          <w:tab w:val="left" w:pos="1279" w:leader="none"/>
        </w:tabs>
        <w:rPr>
          <w:color w:val="000000" w:themeColor="text1"/>
          <w:highlight w:val="none"/>
          <w:lang w:eastAsia="zh-CN"/>
          <w14:textFill>
            <w14:solidFill>
              <w14:schemeClr w14:val="tx1"/>
            </w14:solidFill>
          </w14:textFill>
        </w:rPr>
        <w:outlineLvl w:val="0"/>
      </w:pPr>
      <w:r/>
      <w:bookmarkStart w:id="138"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第六章 响应文件格式</w:t>
      </w:r>
      <w:bookmarkEnd w:id="138"/>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spacing w:before="12"/>
        <w:rPr>
          <w:rFonts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z w:val="21"/>
          <w:szCs w:val="21"/>
          <w:highlight w:val="none"/>
          <w:lang w:eastAsia="zh-CN"/>
          <w14:textFill>
            <w14:solidFill>
              <w14:schemeClr w14:val="tx1"/>
            </w14:solidFill>
          </w14:textFill>
        </w:rPr>
      </w:r>
      <w:r/>
    </w:p>
    <w:p>
      <w:pPr>
        <w:jc w:val="right"/>
        <w:spacing w:line="712" w:lineRule="auto"/>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正本（副本）</w:t>
      </w:r>
      <w:r>
        <w:rPr>
          <w:color w:val="000000" w:themeColor="text1"/>
          <w:highlight w:val="none"/>
          <w:lang w:eastAsia="zh-CN"/>
          <w14:textFill>
            <w14:solidFill>
              <w14:schemeClr w14:val="tx1"/>
            </w14:solidFill>
          </w14:textFill>
        </w:rPr>
        <w:t xml:space="preserve"> </w:t>
      </w:r>
      <w:r/>
    </w:p>
    <w:p>
      <w:pPr>
        <w:jc w:val="center"/>
        <w:spacing w:line="360" w:lineRule="auto"/>
        <w:rPr>
          <w:rFonts w:ascii="宋体" w:hAnsi="宋体" w:eastAsia="宋体" w:cs="宋体"/>
          <w:color w:val="000000" w:themeColor="text1"/>
          <w:sz w:val="44"/>
          <w:szCs w:val="44"/>
          <w:highlight w:val="none"/>
          <w:lang w:eastAsia="zh-CN"/>
          <w14:textFill>
            <w14:solidFill>
              <w14:schemeClr w14:val="tx1"/>
            </w14:solidFill>
          </w14:textFill>
        </w:rPr>
      </w:pPr>
      <w:r>
        <w:rPr>
          <w:rFonts w:ascii="宋体" w:hAnsi="宋体" w:eastAsia="宋体" w:cs="宋体"/>
          <w:color w:val="000000" w:themeColor="text1"/>
          <w:sz w:val="44"/>
          <w:szCs w:val="44"/>
          <w:highlight w:val="none"/>
          <w:lang w:eastAsia="zh-CN"/>
          <w14:textFill>
            <w14:solidFill>
              <w14:schemeClr w14:val="tx1"/>
            </w14:solidFill>
          </w14:textFill>
        </w:rPr>
      </w:r>
      <w:r/>
    </w:p>
    <w:p>
      <w:pPr>
        <w:jc w:val="center"/>
        <w:spacing w:line="360" w:lineRule="auto"/>
        <w:rPr>
          <w:rFonts w:cs="黑体"/>
          <w:color w:val="000000" w:themeColor="text1"/>
          <w:sz w:val="48"/>
          <w:szCs w:val="48"/>
          <w:highlight w:val="none"/>
          <w:lang w:eastAsia="zh-CN"/>
          <w14:textFill>
            <w14:solidFill>
              <w14:schemeClr w14:val="tx1"/>
            </w14:solidFill>
          </w14:textFill>
        </w:rPr>
      </w:pPr>
      <w:r>
        <w:rPr>
          <w:rFonts w:hint="eastAsia" w:ascii="宋体" w:hAnsi="宋体" w:eastAsia="宋体" w:cs="宋体"/>
          <w:color w:val="000000" w:themeColor="text1"/>
          <w:sz w:val="48"/>
          <w:szCs w:val="48"/>
          <w:highlight w:val="none"/>
          <w:lang w:eastAsia="zh-CN"/>
          <w14:textFill>
            <w14:solidFill>
              <w14:schemeClr w14:val="tx1"/>
            </w14:solidFill>
          </w14:textFill>
        </w:rPr>
        <w:t xml:space="preserve">新济洲2025年度公益林生态效益补偿项目</w:t>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rPr>
          <w:rFonts w:ascii="黑体" w:hAnsi="黑体" w:eastAsia="黑体" w:cs="黑体"/>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r>
      <w:r/>
    </w:p>
    <w:p>
      <w:pPr>
        <w:spacing w:before="8"/>
        <w:rPr>
          <w:rFonts w:ascii="黑体" w:hAnsi="黑体" w:eastAsia="黑体" w:cs="黑体"/>
          <w:color w:val="000000" w:themeColor="text1"/>
          <w:sz w:val="24"/>
          <w:szCs w:val="24"/>
          <w:highlight w:val="none"/>
          <w:lang w:eastAsia="zh-CN"/>
          <w14:textFill>
            <w14:solidFill>
              <w14:schemeClr w14:val="tx1"/>
            </w14:solidFill>
          </w14:textFill>
        </w:rPr>
      </w:pPr>
      <w:r>
        <w:rPr>
          <w:rFonts w:ascii="黑体" w:hAnsi="黑体" w:eastAsia="黑体" w:cs="黑体"/>
          <w:color w:val="000000" w:themeColor="text1"/>
          <w:sz w:val="24"/>
          <w:szCs w:val="24"/>
          <w:highlight w:val="none"/>
          <w:lang w:eastAsia="zh-CN"/>
          <w14:textFill>
            <w14:solidFill>
              <w14:schemeClr w14:val="tx1"/>
            </w14:solidFill>
          </w14:textFill>
        </w:rPr>
      </w:r>
      <w:r/>
    </w:p>
    <w:p>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 xml:space="preserve">响应文件</w:t>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 xml:space="preserve">项目编号</w:t>
      </w:r>
      <w:r>
        <w:rPr>
          <w:rFonts w:ascii="黑体" w:hAnsi="黑体" w:eastAsia="黑体" w:cs="黑体"/>
          <w:color w:val="000000" w:themeColor="text1"/>
          <w:sz w:val="32"/>
          <w:szCs w:val="32"/>
          <w:highlight w:val="none"/>
          <w:lang w:eastAsia="zh-CN"/>
          <w14:textFill>
            <w14:solidFill>
              <w14:schemeClr w14:val="tx1"/>
            </w14:solidFill>
          </w14:textFill>
        </w:rPr>
        <w:t xml:space="preserve">：</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 xml:space="preserve">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r/>
    </w:p>
    <w:p>
      <w:pPr>
        <w:ind w:left="1397" w:right="1025"/>
        <w:spacing w:line="357" w:lineRule="auto"/>
        <w:tabs>
          <w:tab w:val="left" w:pos="6358" w:leader="none"/>
          <w:tab w:val="left" w:pos="6437" w:leader="none"/>
        </w:tabs>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 xml:space="preserve">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p>
    <w:p>
      <w:pPr>
        <w:ind w:left="47"/>
        <w:jc w:val="center"/>
        <w:spacing w:before="46"/>
        <w:tabs>
          <w:tab w:val="left" w:pos="847" w:leader="none"/>
          <w:tab w:val="left" w:pos="1648" w:leader="none"/>
          <w:tab w:val="left" w:pos="2448" w:leader="none"/>
        </w:tabs>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 xml:space="preserve">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 xml:space="preserve">日</w:t>
      </w:r>
      <w:r/>
    </w:p>
    <w:p>
      <w:pPr>
        <w:rPr>
          <w:rFonts w:hint="eastAsia" w:ascii="宋体" w:hAnsi="宋体"/>
          <w:b/>
          <w:color w:val="000000" w:themeColor="text1"/>
          <w:sz w:val="24"/>
          <w:szCs w:val="21"/>
          <w:highlight w:val="none"/>
          <w:lang w:eastAsia="zh-CN"/>
          <w14:textFill>
            <w14:solidFill>
              <w14:schemeClr w14:val="tx1"/>
            </w14:solidFill>
          </w14:textFill>
        </w:rPr>
      </w:pPr>
      <w:r/>
      <w:bookmarkStart w:id="139" w:name="_Toc11056"/>
      <w:r/>
      <w:bookmarkStart w:id="140" w:name="_Toc175663950"/>
      <w:r/>
      <w:bookmarkStart w:id="141" w:name="_Toc22659"/>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一、磋商申请及声明</w:t>
      </w:r>
      <w:bookmarkEnd w:id="139"/>
      <w:r/>
      <w:bookmarkEnd w:id="140"/>
      <w:r/>
      <w:bookmarkEnd w:id="141"/>
      <w:r/>
      <w:r/>
    </w:p>
    <w:p>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 xml:space="preserve">磋商申请及声明</w:t>
      </w:r>
      <w:r/>
    </w:p>
    <w:p>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致：</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南京长江新济洲国家湿地公园管理中心</w:t>
      </w:r>
      <w:r/>
    </w:p>
    <w:p>
      <w:pPr>
        <w:ind w:firstLine="420"/>
        <w:spacing w:line="360" w:lineRule="exact"/>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 xml:space="preserve">（供应商名称），提交响应文件并参加磋商。</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据此函，签字人兹宣布同意如下：</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xml:space="preserve">¥       （大写：      ）</w:t>
      </w:r>
      <w:r>
        <w:rPr>
          <w:rFonts w:hint="eastAsia" w:ascii="宋体" w:hAnsi="宋体"/>
          <w:color w:val="000000" w:themeColor="text1"/>
          <w:sz w:val="24"/>
          <w:szCs w:val="21"/>
          <w:highlight w:val="none"/>
          <w:lang w:eastAsia="zh-CN"/>
          <w14:textFill>
            <w14:solidFill>
              <w14:schemeClr w14:val="tx1"/>
            </w14:solidFill>
          </w14:textFill>
        </w:rPr>
        <w:t xml:space="preserve">。</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我们完全理解贵方不一定要接受最低报价的磋商或收到的任何磋商。</w:t>
      </w:r>
      <w:r/>
    </w:p>
    <w:p>
      <w:pPr>
        <w:ind w:firstLine="480"/>
        <w:spacing w:line="40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我们已详细审核全部磋商文件及其有效补充文件，我们知道必须放弃提出含糊不清或误解的问题的权利。</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我们同意从规定的磋商日期起遵循本磋商文件，并在规定的磋商有效期期满之前均具有约束力。</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5</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同意向贵方提供贵方可能要求的与磋商有关的任何证据或资料。</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6</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一旦我方成交，我方将根据磋商文件的规定，严格履行合同，并保证于承诺的时间完成货物的启动、调试等服务，交付采购人验收、使用。</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7</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‰以上</w:t>
      </w:r>
      <w:r>
        <w:rPr>
          <w:rFonts w:ascii="宋体" w:hAnsi="宋体"/>
          <w:color w:val="000000" w:themeColor="text1"/>
          <w:sz w:val="24"/>
          <w:szCs w:val="21"/>
          <w:highlight w:val="none"/>
          <w:lang w:eastAsia="zh-CN"/>
          <w14:textFill>
            <w14:solidFill>
              <w14:schemeClr w14:val="tx1"/>
            </w14:solidFill>
          </w14:textFill>
        </w:rPr>
        <w:t xml:space="preserve">10</w:t>
      </w:r>
      <w:r>
        <w:rPr>
          <w:rFonts w:hint="eastAsia" w:ascii="宋体" w:hAnsi="宋体"/>
          <w:color w:val="000000" w:themeColor="text1"/>
          <w:sz w:val="24"/>
          <w:szCs w:val="21"/>
          <w:highlight w:val="none"/>
          <w:lang w:eastAsia="zh-CN"/>
          <w14:textFill>
            <w14:solidFill>
              <w14:schemeClr w14:val="tx1"/>
            </w14:solidFill>
          </w14:textFill>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1</w:t>
      </w:r>
      <w:r>
        <w:rPr>
          <w:rFonts w:hint="eastAsia" w:ascii="宋体" w:hAnsi="宋体"/>
          <w:color w:val="000000" w:themeColor="text1"/>
          <w:sz w:val="24"/>
          <w:szCs w:val="21"/>
          <w:highlight w:val="none"/>
          <w:lang w:eastAsia="zh-CN"/>
          <w14:textFill>
            <w14:solidFill>
              <w14:schemeClr w14:val="tx1"/>
            </w14:solidFill>
          </w14:textFill>
        </w:rPr>
        <w:t xml:space="preserve">）提供虚假材料谋取中标、成交的；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2</w:t>
      </w:r>
      <w:r>
        <w:rPr>
          <w:rFonts w:hint="eastAsia" w:ascii="宋体" w:hAnsi="宋体"/>
          <w:color w:val="000000" w:themeColor="text1"/>
          <w:sz w:val="24"/>
          <w:szCs w:val="21"/>
          <w:highlight w:val="none"/>
          <w:lang w:eastAsia="zh-CN"/>
          <w14:textFill>
            <w14:solidFill>
              <w14:schemeClr w14:val="tx1"/>
            </w14:solidFill>
          </w14:textFill>
        </w:rPr>
        <w:t xml:space="preserve">）采取不正当手段诋毁、排挤其他供应商的；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3</w:t>
      </w:r>
      <w:r>
        <w:rPr>
          <w:rFonts w:hint="eastAsia" w:ascii="宋体" w:hAnsi="宋体"/>
          <w:color w:val="000000" w:themeColor="text1"/>
          <w:sz w:val="24"/>
          <w:szCs w:val="21"/>
          <w:highlight w:val="none"/>
          <w:lang w:eastAsia="zh-CN"/>
          <w14:textFill>
            <w14:solidFill>
              <w14:schemeClr w14:val="tx1"/>
            </w14:solidFill>
          </w14:textFill>
        </w:rPr>
        <w:t xml:space="preserve">）与采购人、其它供应商或者采购代理机构恶意串通的；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4</w:t>
      </w:r>
      <w:r>
        <w:rPr>
          <w:rFonts w:hint="eastAsia" w:ascii="宋体" w:hAnsi="宋体"/>
          <w:color w:val="000000" w:themeColor="text1"/>
          <w:sz w:val="24"/>
          <w:szCs w:val="21"/>
          <w:highlight w:val="none"/>
          <w:lang w:eastAsia="zh-CN"/>
          <w14:textFill>
            <w14:solidFill>
              <w14:schemeClr w14:val="tx1"/>
            </w14:solidFill>
          </w14:textFill>
        </w:rPr>
        <w:t xml:space="preserve">）向采购人、采购代理机构行贿或者提供其他不正当利益的；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5</w:t>
      </w:r>
      <w:r>
        <w:rPr>
          <w:rFonts w:hint="eastAsia" w:ascii="宋体" w:hAnsi="宋体"/>
          <w:color w:val="000000" w:themeColor="text1"/>
          <w:sz w:val="24"/>
          <w:szCs w:val="21"/>
          <w:highlight w:val="none"/>
          <w:lang w:eastAsia="zh-CN"/>
          <w14:textFill>
            <w14:solidFill>
              <w14:schemeClr w14:val="tx1"/>
            </w14:solidFill>
          </w14:textFill>
        </w:rPr>
        <w:t xml:space="preserve">）在采购过程中与采购人进行协商磋商的；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w:t>
      </w:r>
      <w:r>
        <w:rPr>
          <w:rFonts w:ascii="宋体" w:hAnsi="宋体"/>
          <w:color w:val="000000" w:themeColor="text1"/>
          <w:sz w:val="24"/>
          <w:szCs w:val="21"/>
          <w:highlight w:val="none"/>
          <w:lang w:eastAsia="zh-CN"/>
          <w14:textFill>
            <w14:solidFill>
              <w14:schemeClr w14:val="tx1"/>
            </w14:solidFill>
          </w14:textFill>
        </w:rPr>
        <w:t xml:space="preserve">6</w:t>
      </w:r>
      <w:r>
        <w:rPr>
          <w:rFonts w:hint="eastAsia" w:ascii="宋体" w:hAnsi="宋体"/>
          <w:color w:val="000000" w:themeColor="text1"/>
          <w:sz w:val="24"/>
          <w:szCs w:val="21"/>
          <w:highlight w:val="none"/>
          <w:lang w:eastAsia="zh-CN"/>
          <w14:textFill>
            <w14:solidFill>
              <w14:schemeClr w14:val="tx1"/>
            </w14:solidFill>
          </w14:textFill>
        </w:rPr>
        <w:t xml:space="preserve">）拒绝有关部门监督检查或提供虚假情况的。</w:t>
      </w:r>
      <w:r/>
    </w:p>
    <w:p>
      <w:pPr>
        <w:ind w:firstLine="480"/>
        <w:spacing w:line="360" w:lineRule="exact"/>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8</w:t>
      </w:r>
      <w:r>
        <w:rPr>
          <w:rFonts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lang w:eastAsia="zh-CN"/>
          <w14:textFill>
            <w14:solidFill>
              <w14:schemeClr w14:val="tx1"/>
            </w14:solidFill>
          </w14:textFill>
        </w:rPr>
        <w:t xml:space="preserve">与本磋商有关的正式通讯地址为：</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供应商名称（盖章）：</w:t>
      </w:r>
      <w:r/>
    </w:p>
    <w:p>
      <w:pPr>
        <w:ind w:firstLine="720"/>
        <w:spacing w:line="400" w:lineRule="exact"/>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地址：</w:t>
      </w:r>
      <w:r/>
    </w:p>
    <w:p>
      <w:pPr>
        <w:ind w:firstLine="720"/>
        <w:spacing w:line="400" w:lineRule="exact"/>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联系电话：</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 xml:space="preserve">法定</w:t>
      </w:r>
      <w:r>
        <w:rPr>
          <w:rFonts w:hint="eastAsia" w:ascii="宋体" w:hAnsi="宋体"/>
          <w:color w:val="000000" w:themeColor="text1"/>
          <w:sz w:val="24"/>
          <w:highlight w:val="none"/>
          <w:lang w:eastAsia="zh-CN"/>
          <w14:textFill>
            <w14:solidFill>
              <w14:schemeClr w14:val="tx1"/>
            </w14:solidFill>
          </w14:textFill>
        </w:rPr>
        <w:t xml:space="preserve">代表人（签字或盖章）：</w:t>
      </w:r>
      <w:r/>
    </w:p>
    <w:p>
      <w:pPr>
        <w:ind w:firstLine="720"/>
        <w:spacing w:line="400" w:lineRule="exact"/>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日期：   年   月   日</w:t>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firstLine="720"/>
        <w:spacing w:line="36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pStyle w:val="692"/>
        <w:rPr>
          <w:rFonts w:eastAsiaTheme="minorEastAsia"/>
          <w:color w:val="000000" w:themeColor="text1"/>
          <w:highlight w:val="none"/>
          <w:lang w:eastAsia="zh-CN"/>
          <w14:textFill>
            <w14:solidFill>
              <w14:schemeClr w14:val="tx1"/>
            </w14:solidFill>
          </w14:textFill>
        </w:rPr>
      </w:pPr>
      <w:r/>
      <w:bookmarkStart w:id="142" w:name="_Hlt460314944"/>
      <w:r/>
      <w:bookmarkEnd w:id="142"/>
      <w:r/>
      <w:bookmarkStart w:id="143" w:name="_Toc10181"/>
      <w:r/>
      <w:bookmarkStart w:id="144" w:name="_Toc26050"/>
      <w:r/>
      <w:r/>
    </w:p>
    <w:p>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45" w:name="_Toc175663951"/>
      <w:r>
        <w:rPr>
          <w:rFonts w:hint="eastAsia" w:ascii="宋体" w:hAnsi="宋体"/>
          <w:b/>
          <w:color w:val="000000" w:themeColor="text1"/>
          <w:sz w:val="24"/>
          <w:szCs w:val="21"/>
          <w:highlight w:val="none"/>
          <w:lang w:eastAsia="zh-CN"/>
          <w14:textFill>
            <w14:solidFill>
              <w14:schemeClr w14:val="tx1"/>
            </w14:solidFill>
          </w14:textFill>
        </w:rPr>
        <w:t xml:space="preserve">二、法定代表人授权委托书</w:t>
      </w:r>
      <w:bookmarkEnd w:id="143"/>
      <w:r/>
      <w:bookmarkEnd w:id="144"/>
      <w:r/>
      <w:bookmarkEnd w:id="145"/>
      <w:r/>
      <w:r/>
    </w:p>
    <w:p>
      <w:pPr>
        <w:ind w:firstLine="803"/>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 xml:space="preserve">法定代表人授权委托书</w:t>
      </w:r>
      <w:r/>
    </w:p>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南京长江新济洲国家湿地公园管理中心</w:t>
      </w:r>
      <w:r>
        <w:rPr>
          <w:rFonts w:hint="eastAsia" w:ascii="宋体" w:hAnsi="宋体"/>
          <w:color w:val="000000" w:themeColor="text1"/>
          <w:sz w:val="24"/>
          <w:szCs w:val="21"/>
          <w:highlight w:val="none"/>
          <w:lang w:eastAsia="zh-CN"/>
          <w14:textFill>
            <w14:solidFill>
              <w14:schemeClr w14:val="tx1"/>
            </w14:solidFill>
          </w14:textFill>
        </w:rPr>
        <w:t xml:space="preserve"> ：</w:t>
      </w:r>
      <w:r/>
    </w:p>
    <w:p>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（法定代表人姓名、职务）代表本公司授权在下面签字的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 xml:space="preserve">号</w:t>
      </w: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，以本公司名义处理一切与之有关的事务。</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 xml:space="preserve">日签字生效，特此声明。</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附：</w:t>
      </w:r>
      <w:r>
        <w:rPr>
          <w:rFonts w:hint="eastAsia" w:ascii="宋体" w:hAnsi="宋体"/>
          <w:b/>
          <w:color w:val="000000" w:themeColor="text1"/>
          <w:sz w:val="24"/>
          <w:szCs w:val="21"/>
          <w:highlight w:val="none"/>
          <w:lang w:eastAsia="zh-CN"/>
          <w14:textFill>
            <w14:solidFill>
              <w14:schemeClr w14:val="tx1"/>
            </w14:solidFill>
          </w14:textFill>
        </w:rPr>
        <w:t xml:space="preserve">法人</w:t>
      </w:r>
      <w:r>
        <w:rPr>
          <w:rFonts w:hint="eastAsia" w:ascii="宋体" w:hAnsi="宋体"/>
          <w:color w:val="000000" w:themeColor="text1"/>
          <w:sz w:val="24"/>
          <w:szCs w:val="21"/>
          <w:highlight w:val="none"/>
          <w:lang w:eastAsia="zh-CN"/>
          <w14:textFill>
            <w14:solidFill>
              <w14:schemeClr w14:val="tx1"/>
            </w14:solidFill>
          </w14:textFill>
        </w:rPr>
        <w:t xml:space="preserve">及授</w:t>
      </w:r>
      <w:r>
        <w:rPr>
          <w:rFonts w:hint="eastAsia" w:ascii="宋体" w:hAnsi="宋体"/>
          <w:b/>
          <w:color w:val="000000" w:themeColor="text1"/>
          <w:sz w:val="24"/>
          <w:szCs w:val="21"/>
          <w:highlight w:val="none"/>
          <w:lang w:eastAsia="zh-CN"/>
          <w14:textFill>
            <w14:solidFill>
              <w14:schemeClr w14:val="tx1"/>
            </w14:solidFill>
          </w14:textFill>
        </w:rPr>
        <w:t xml:space="preserve">权委托人</w:t>
      </w:r>
      <w:r>
        <w:rPr>
          <w:rFonts w:hint="eastAsia" w:ascii="宋体" w:hAnsi="宋体"/>
          <w:color w:val="000000" w:themeColor="text1"/>
          <w:sz w:val="24"/>
          <w:szCs w:val="21"/>
          <w:highlight w:val="none"/>
          <w:lang w:eastAsia="zh-CN"/>
          <w14:textFill>
            <w14:solidFill>
              <w14:schemeClr w14:val="tx1"/>
            </w14:solidFill>
          </w14:textFill>
        </w:rPr>
        <w:t xml:space="preserve">身份证加盖公章。</w:t>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20"/>
        <w:spacing w:line="50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firstLine="480"/>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ind w:firstLine="480"/>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46" w:name="_Toc354594116"/>
      <w:r/>
      <w:bookmarkStart w:id="147" w:name="_Toc175663952"/>
      <w:r/>
      <w:bookmarkStart w:id="148" w:name="_Toc8055"/>
      <w:r/>
      <w:bookmarkStart w:id="149" w:name="_Toc25188"/>
      <w:r>
        <w:rPr>
          <w:rFonts w:hint="eastAsia" w:ascii="宋体" w:hAnsi="宋体"/>
          <w:b/>
          <w:color w:val="000000" w:themeColor="text1"/>
          <w:sz w:val="24"/>
          <w:szCs w:val="21"/>
          <w:highlight w:val="none"/>
          <w:lang w:eastAsia="zh-CN"/>
          <w14:textFill>
            <w14:solidFill>
              <w14:schemeClr w14:val="tx1"/>
            </w14:solidFill>
          </w14:textFill>
        </w:rPr>
        <w:t xml:space="preserve">三、磋商报价</w:t>
      </w:r>
      <w:bookmarkEnd w:id="146"/>
      <w:r/>
      <w:bookmarkEnd w:id="147"/>
      <w:r/>
      <w:bookmarkEnd w:id="148"/>
      <w:r/>
      <w:bookmarkEnd w:id="149"/>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 xml:space="preserve">（第一轮）</w:t>
      </w:r>
      <w:r/>
    </w:p>
    <w:p>
      <w:pPr>
        <w:ind w:firstLine="361"/>
        <w:jc w:val="center"/>
        <w:spacing w:line="360" w:lineRule="auto"/>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 xml:space="preserve">磋商报价（第一轮）</w:t>
      </w:r>
      <w:r/>
    </w:p>
    <w:p>
      <w:pPr>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项目编号：JSZC-320115-NJMT-C2026-0010 </w:t>
      </w:r>
      <w:r/>
    </w:p>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新济洲2025年度公益林生态效益补偿项目</w:t>
      </w:r>
      <w:r/>
    </w:p>
    <w:tbl>
      <w:tblPr>
        <w:tblStyle w:val="6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9"/>
        <w:gridCol w:w="6840"/>
      </w:tblGrid>
      <w:tr>
        <w:trPr>
          <w:trHeight w:val="724"/>
        </w:trPr>
        <w:tc>
          <w:tcPr>
            <w:tcW w:w="2759" w:type="dxa"/>
            <w:vAlign w:val="center"/>
            <w:vMerge w:val="restart"/>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磋商报价</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p>
        </w:tc>
      </w:tr>
      <w:tr>
        <w:trPr>
          <w:trHeight w:val="789"/>
        </w:trPr>
        <w:tc>
          <w:tcPr>
            <w:tcW w:w="2759" w:type="dxa"/>
            <w:vAlign w:val="center"/>
            <w:vMerge w:val="continue"/>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vertAlign w:val="baseline"/>
                <w:lang w:eastAsia="zh-CN"/>
                <w14:textFill>
                  <w14:solidFill>
                    <w14:schemeClr w14:val="tx1"/>
                  </w14:solidFill>
                </w14:textFill>
              </w:rPr>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大写：</w:t>
            </w:r>
            <w:r/>
          </w:p>
        </w:tc>
      </w:tr>
      <w:tr>
        <w:trPr>
          <w:trHeight w:val="789"/>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en-US"/>
                <w14:textFill>
                  <w14:solidFill>
                    <w14:schemeClr w14:val="tx1"/>
                  </w14:solidFill>
                </w14:textFill>
              </w:rPr>
              <w:t xml:space="preserve">项目负责人</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vertAlign w:val="baseline"/>
                <w:lang w:eastAsia="zh-CN"/>
                <w14:textFill>
                  <w14:solidFill>
                    <w14:schemeClr w14:val="tx1"/>
                  </w14:solidFill>
                </w14:textFill>
              </w:rPr>
            </w:r>
            <w:r/>
          </w:p>
        </w:tc>
      </w:tr>
      <w:tr>
        <w:trPr>
          <w:trHeight w:val="789"/>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服务期</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ascii="宋体" w:hAnsi="宋体" w:eastAsia="宋体" w:cs="宋体"/>
                <w:color w:val="000000" w:themeColor="text1"/>
                <w:sz w:val="24"/>
                <w:highlight w:val="none"/>
                <w:vertAlign w:val="baseline"/>
                <w:lang w:eastAsia="zh-CN"/>
                <w14:textFill>
                  <w14:solidFill>
                    <w14:schemeClr w14:val="tx1"/>
                  </w14:solidFill>
                </w14:textFill>
              </w:rPr>
            </w:r>
            <w:r/>
          </w:p>
        </w:tc>
      </w:tr>
      <w:tr>
        <w:trPr>
          <w:trHeight w:val="724"/>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是否小微企业</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zh-CN"/>
                <w14:textFill>
                  <w14:solidFill>
                    <w14:schemeClr w14:val="tx1"/>
                  </w14:solidFill>
                </w14:textFill>
              </w:rPr>
              <w:t xml:space="preserve">是</w:t>
            </w:r>
            <w:r>
              <w:rPr>
                <w:rFonts w:hint="eastAsia"/>
                <w:color w:val="000000" w:themeColor="text1"/>
                <w:highlight w:val="none"/>
                <w:lang w:val="zh-CN"/>
                <w14:textFill>
                  <w14:solidFill>
                    <w14:schemeClr w14:val="tx1"/>
                  </w14:solidFill>
                </w14:textFill>
              </w:rPr>
              <w:t xml:space="preserve">       否</w:t>
            </w:r>
            <w:r/>
          </w:p>
        </w:tc>
      </w:tr>
      <w:tr>
        <w:trPr>
          <w:trHeight w:val="741"/>
        </w:trPr>
        <w:tc>
          <w:tcPr>
            <w:tcW w:w="2759" w:type="dxa"/>
            <w:vAlign w:val="center"/>
            <w:textDirection w:val="lrTb"/>
            <w:noWrap w:val="false"/>
          </w:tcPr>
          <w:p>
            <w:pPr>
              <w:jc w:val="center"/>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其它</w:t>
            </w:r>
            <w:r/>
          </w:p>
        </w:tc>
        <w:tc>
          <w:tcPr>
            <w:tcW w:w="6840" w:type="dxa"/>
            <w:vAlign w:val="center"/>
            <w:textDirection w:val="lrTb"/>
            <w:noWrap w:val="false"/>
          </w:tcPr>
          <w:p>
            <w:pPr>
              <w:jc w:val="both"/>
              <w:spacing w:line="360" w:lineRule="auto"/>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 xml:space="preserve">（如有优惠条件须在此注明）</w:t>
            </w:r>
            <w:r/>
          </w:p>
        </w:tc>
      </w:tr>
    </w:tbl>
    <w:p>
      <w:pPr>
        <w:rPr>
          <w:color w:val="000000" w:themeColor="text1"/>
          <w:highlight w:val="none"/>
          <w:lang w:val="zh-CN" w:eastAsia="zh-CN"/>
          <w14:textFill>
            <w14:solidFill>
              <w14:schemeClr w14:val="tx1"/>
            </w14:solidFill>
          </w14:textFill>
        </w:rPr>
      </w:pPr>
      <w:r>
        <w:rPr>
          <w:color w:val="000000" w:themeColor="text1"/>
          <w:highlight w:val="none"/>
          <w:lang w:val="zh-CN" w:eastAsia="zh-CN"/>
          <w14:textFill>
            <w14:solidFill>
              <w14:schemeClr w14:val="tx1"/>
            </w14:solidFill>
          </w14:textFill>
        </w:rPr>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r>
      <w:r/>
    </w:p>
    <w:p>
      <w:pPr>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rPr>
          <w:rFonts w:ascii="宋体" w:hAnsi="宋体" w:cs="宋体"/>
          <w:color w:val="000000" w:themeColor="text1"/>
          <w:sz w:val="24"/>
          <w:szCs w:val="21"/>
          <w:highlight w:val="none"/>
          <w:lang w:eastAsia="zh-CN"/>
          <w14:textFill>
            <w14:solidFill>
              <w14:schemeClr w14:val="tx1"/>
            </w14:solidFill>
          </w14:textFill>
        </w:rPr>
      </w:pPr>
      <w:r>
        <w:rPr>
          <w:rFonts w:ascii="宋体" w:hAnsi="宋体" w:cs="宋体"/>
          <w:color w:val="000000" w:themeColor="text1"/>
          <w:sz w:val="24"/>
          <w:szCs w:val="21"/>
          <w:highlight w:val="none"/>
          <w:lang w:eastAsia="zh-CN"/>
          <w14:textFill>
            <w14:solidFill>
              <w14:schemeClr w14:val="tx1"/>
            </w14:solidFill>
          </w14:textFill>
        </w:rPr>
      </w:r>
      <w:r/>
    </w:p>
    <w:p>
      <w:pPr>
        <w:ind w:firstLine="48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r/>
    </w:p>
    <w:p>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 xml:space="preserve">不得填报有选择性报价方案</w:t>
      </w:r>
      <w:r>
        <w:rPr>
          <w:rFonts w:hint="eastAsia" w:ascii="宋体" w:hAnsi="宋体"/>
          <w:color w:val="000000" w:themeColor="text1"/>
          <w:sz w:val="24"/>
          <w:szCs w:val="21"/>
          <w:highlight w:val="none"/>
          <w:lang w:eastAsia="zh-CN"/>
          <w14:textFill>
            <w14:solidFill>
              <w14:schemeClr w14:val="tx1"/>
            </w14:solidFill>
          </w14:textFill>
        </w:rPr>
        <w:t xml:space="preserve">。若有优惠条款须注明，但不得影响报价，影响产品整体功能。</w:t>
      </w:r>
      <w:r/>
    </w:p>
    <w:p>
      <w:pPr>
        <w:ind w:firstLine="420"/>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50" w:name="_Hlt460314991"/>
      <w:r/>
      <w:bookmarkEnd w:id="150"/>
      <w:r/>
      <w:bookmarkStart w:id="151" w:name="_Toc12980"/>
      <w:r/>
      <w:bookmarkStart w:id="152" w:name="_Toc12002"/>
      <w:r/>
      <w:bookmarkStart w:id="153" w:name="_Toc479931772"/>
      <w:r/>
      <w:bookmarkStart w:id="154" w:name="_Toc354594118"/>
      <w:r/>
      <w:bookmarkStart w:id="155" w:name="_Toc341184785"/>
      <w:r>
        <w:rPr>
          <w:rFonts w:hint="eastAsia" w:ascii="宋体" w:hAnsi="宋体"/>
          <w:color w:val="000000" w:themeColor="text1"/>
          <w:sz w:val="24"/>
          <w:szCs w:val="21"/>
          <w:highlight w:val="none"/>
          <w:lang w:eastAsia="zh-CN"/>
          <w14:textFill>
            <w14:solidFill>
              <w14:schemeClr w14:val="tx1"/>
            </w14:solidFill>
          </w14:textFill>
        </w:rPr>
        <w:t xml:space="preserve">。</w:t>
      </w:r>
      <w:bookmarkEnd w:id="151"/>
      <w:r/>
      <w:bookmarkEnd w:id="152"/>
      <w:r/>
      <w:bookmarkEnd w:id="153"/>
      <w:r/>
      <w:bookmarkStart w:id="156" w:name="_Toc12860"/>
      <w:r/>
      <w:bookmarkStart w:id="157" w:name="_Toc27011"/>
      <w:r/>
      <w:bookmarkStart w:id="158" w:name="_Toc459109593"/>
      <w:r/>
      <w:bookmarkStart w:id="159" w:name="_Toc175663953"/>
      <w:r/>
      <w:r/>
    </w:p>
    <w:p>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clear="all"/>
      </w:r>
      <w:r/>
    </w:p>
    <w:p>
      <w:pPr>
        <w:jc w:val="center"/>
        <w:spacing w:line="240" w:lineRule="atLeast"/>
        <w:rPr>
          <w:rFonts w:hint="eastAsia" w:ascii="宋体" w:hAnsi="宋体" w:cs="宋体"/>
          <w:color w:val="000000"/>
          <w:sz w:val="32"/>
          <w:szCs w:val="32"/>
          <w:highlight w:val="none"/>
          <w:lang w:val="zh-CN"/>
        </w:rPr>
      </w:pPr>
      <w:r>
        <w:rPr>
          <w:rFonts w:hint="eastAsia" w:ascii="宋体" w:hAnsi="宋体" w:cs="宋体"/>
          <w:color w:val="000000"/>
          <w:sz w:val="32"/>
          <w:szCs w:val="32"/>
          <w:highlight w:val="none"/>
          <w:lang w:val="zh-CN"/>
        </w:rPr>
        <w:t xml:space="preserve">分项报价表</w:t>
      </w:r>
      <w:r/>
    </w:p>
    <w:tbl>
      <w:tblPr>
        <w:tblStyle w:val="637"/>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6"/>
        <w:gridCol w:w="883"/>
        <w:gridCol w:w="539"/>
        <w:gridCol w:w="683"/>
        <w:gridCol w:w="979"/>
        <w:gridCol w:w="1191"/>
        <w:gridCol w:w="4199"/>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计量</w:t>
            </w:r>
            <w:r/>
          </w:p>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综合单价</w:t>
            </w:r>
            <w:r/>
          </w:p>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总价</w:t>
            </w:r>
            <w:r/>
          </w:p>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w:t>
            </w:r>
            <w:r/>
          </w:p>
        </w:tc>
      </w:tr>
      <w:tr>
        <w:trPr>
          <w:trHeight w:val="384"/>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1、森林防护</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护林员</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Style w:val="1115"/>
                <w:sz w:val="18"/>
                <w:szCs w:val="18"/>
                <w:highlight w:val="none"/>
                <w:lang w:val="en-US" w:eastAsia="zh-CN" w:bidi="ar"/>
              </w:rPr>
              <w:t xml:space="preserve">要求：1.公益林巡护，时间为1年。2.护林员</w:t>
            </w:r>
            <w:r>
              <w:rPr>
                <w:rStyle w:val="1115"/>
                <w:rFonts w:hint="eastAsia"/>
                <w:sz w:val="18"/>
                <w:szCs w:val="18"/>
                <w:highlight w:val="none"/>
                <w:lang w:val="en-US" w:eastAsia="zh-CN" w:bidi="ar"/>
              </w:rPr>
              <w:t xml:space="preserve">18</w:t>
            </w:r>
            <w:r>
              <w:rPr>
                <w:rStyle w:val="1115"/>
                <w:sz w:val="18"/>
                <w:szCs w:val="18"/>
                <w:highlight w:val="none"/>
                <w:lang w:val="en-US" w:eastAsia="zh-CN" w:bidi="ar"/>
              </w:rPr>
              <w:t xml:space="preserve">人，年龄不高于60周岁，身体健康。3.按时上下班，做好考勤表。4.学习、宣传保护公益林有关法律法规。5.熟悉和掌握公益林现场情况，每月对巡护区域进行自查登记，做到心中有数。6.认真做好防火工作，加强巡视和防范，及时消除火灾隐情。7.对公益林区域内水域发现偷捕等、林木偷盗等、道路破坏等情况，要及时反映上报至业主单位，保护现场，摸清情况，并配合有关部门查明原因。8.每月进行巡护考核。</w:t>
            </w:r>
            <w:r/>
          </w:p>
        </w:tc>
      </w:tr>
      <w:tr>
        <w:trPr>
          <w:trHeight w:val="387"/>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2、森林抚育</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购买服务（森林抚育）</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226500 </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工作内容：</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每月清理杂草一次、每年清理杂草12次（每次总面积约226500m2，每月具体清理次数由业主单位确定）。(1)草坪区域应采用辅助工具将草连同草根一起拔掉，不可将杂草地上部分去除，拔出杂草应及时放于垃圾桶内，不可随意乱放。</w:t>
            </w:r>
            <w:r>
              <w:rPr>
                <w:rFonts w:hint="eastAsia" w:ascii="宋体" w:hAnsi="宋体" w:eastAsia="宋体" w:cs="宋体"/>
                <w:i w:val="0"/>
                <w:iCs w:val="0"/>
                <w:color w:val="000000"/>
                <w:sz w:val="18"/>
                <w:szCs w:val="18"/>
                <w:highlight w:val="none"/>
                <w:u w:val="none"/>
                <w:lang w:val="en-US" w:eastAsia="zh-CN" w:bidi="ar"/>
              </w:rPr>
              <w:t xml:space="preserve">（2）除草剂除草，已经蔓延的恶性杂草用选择性除草剂防除，并证得采购人同意，靠近时花、灌木、小苗禁用除草剂。任何区域范围内均禁用灭生性除草剂，并做好记录。（3）非草坪区域或者道路两侧应选用机械除草，割灌机为主，旋刀机辅助，若遇到人工培育的花丛、苗木等，不允许用机械除草，这些地方要用人工除草，剪完后将人工分片堆放晾晒，以便外运，如有蔓延恶性杂草用选择性除草剂防除，并证得采购人同意，靠近时花、灌木、小苗等地方禁用除草剂。任何区域范围内均禁用灭生性除草剂，并做好记录。除掉的杂草要及时清理，运走、掩埋或异地制作肥料。</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修剪区域或者道路两旁树枝，植物整形修剪、去除枯死植株、树木扶正，乔木类：主要修剪内膛肢、徒长枝、病虫枝、交叉枝、下垂枝、扭伤枝及枯枝烂头。道路行道树枝下高度根据道路的功能严格控制，遇有架空线按杯状形修剪、分枝均匀、树冠圆整。灌木类：灌木修剪应促枝叶繁茂、分布均匀。花灌木修剪要有利于短枝和花芽的形成，遵循 “先上后下、先内后外、去弱留强、去老留新”的原则进行修剪，防台防汛期间要做好加固，保持水道通畅，防止植物受损，及时扫雪打雪，确保苗木安全及道路畅通。</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3、绿地无杂物堆料、枯树枯枝堆积等现象，绿化管理产生的垃圾及时清运，确保绿地清爽整洁。产生的垃圾中能降解的集中堆放，降解成有机肥循环使用。不能降解的垃圾也要集中堆放，等待运出岛外。</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4、所有养护工具及除草药水由供应商提供。养护工作供应商应自行解决登洲交通出行方式，承担交通费用。所有垃圾当月须运出岛外，垃圾处理费用由供应商承担。</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每次养护，供应商须拍照留存，填写养护记录、台账等，供采购人验收，每次完成以采购人签字确认为准。在不超过全年养护次数的情况下每月可减少或增加养护次数，确保养护区域环境的美观。养护过程中，出现问题再现场协商。</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3、林区道路维护</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auto" w:sz="4" w:space="0"/>
              <w:left w:val="single" w:color="000000" w:sz="4" w:space="0"/>
              <w:bottom w:val="single" w:color="000000" w:sz="4" w:space="0"/>
              <w:right w:val="single" w:color="000000" w:sz="4" w:space="0"/>
            </w:tcBorders>
            <w:tcW w:w="419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1、道路路床整平整形</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2、路线内杂草清理</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林间碎石道路基层</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1、碎石道路基层铺设</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2、粒径规格：5-40mm；厚度：5cm；碎石应符合质量要求，碎石级配良好</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3、整平、压实</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4、满足车辆通行要求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林间碎石道路面层</w:t>
            </w:r>
            <w:r/>
          </w:p>
        </w:tc>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1、碎石道路面层铺设</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2、粒径规格：5-16mm；厚度：3cm；碎石应符合质量要求，碎石级配良好</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3、路面层摊铺密实找平、压实</w:t>
            </w:r>
            <w:r/>
          </w:p>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4、满足车辆通行要求</w:t>
            </w:r>
            <w:r/>
          </w:p>
        </w:tc>
      </w:tr>
      <w:tr>
        <w:trPr>
          <w:trHeight w:val="373"/>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4、小计（1+2+3）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3"/>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5、管理费（4）*3%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6"/>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6、利润（4）*3%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87"/>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7、税金（4+5+6）*3%</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40"/>
        </w:trPr>
        <w:tc>
          <w:tcPr>
            <w:gridSpan w:val="5"/>
            <w:shd w:val="clear" w:color="auto" w:fill="auto"/>
            <w:tcBorders>
              <w:top w:val="single" w:color="000000" w:sz="4" w:space="0"/>
              <w:left w:val="single" w:color="000000" w:sz="4" w:space="0"/>
              <w:bottom w:val="single" w:color="000000" w:sz="4" w:space="0"/>
              <w:right w:val="single" w:color="000000" w:sz="4" w:space="0"/>
            </w:tcBorders>
            <w:tcW w:w="35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8、合计（4+5+6+7）</w:t>
            </w:r>
            <w:r/>
          </w:p>
        </w:tc>
        <w:tc>
          <w:tcPr>
            <w:shd w:val="clear" w:color="auto" w:fill="auto"/>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jc w:val="left"/>
        <w:spacing w:line="360" w:lineRule="auto"/>
        <w:shd w:val="clear" w:color="auto" w:fill="ffffff"/>
        <w:widowControl/>
        <w:rPr>
          <w:rFonts w:hint="eastAsia" w:ascii="宋体" w:hAnsi="宋体"/>
          <w:sz w:val="24"/>
          <w:highlight w:val="none"/>
        </w:rPr>
      </w:pPr>
      <w:r>
        <w:rPr>
          <w:rFonts w:hint="eastAsia" w:ascii="宋体" w:hAnsi="宋体"/>
          <w:sz w:val="24"/>
          <w:highlight w:val="none"/>
        </w:rPr>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r/>
    </w:p>
    <w:p>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r>
      <w:r/>
    </w:p>
    <w:p>
      <w:pPr>
        <w:spacing w:line="500" w:lineRule="exact"/>
        <w:tabs>
          <w:tab w:val="left" w:pos="1440" w:leader="none"/>
        </w:tabs>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日    期：       年    月    日</w:t>
      </w:r>
      <w:r/>
    </w:p>
    <w:p>
      <w:pPr>
        <w:ind w:firstLine="420"/>
        <w:spacing w:line="360" w:lineRule="auto"/>
        <w:rPr>
          <w:rFonts w:hint="eastAsia" w:ascii="宋体" w:hAnsi="宋体" w:eastAsia="宋体" w:cs="宋体"/>
          <w:sz w:val="21"/>
          <w:szCs w:val="21"/>
          <w:highlight w:val="none"/>
          <w:lang w:val="en-US" w:eastAsia="zh-CN"/>
        </w:rPr>
        <w:outlineLvl w:val="0"/>
      </w:pPr>
      <w:r>
        <w:rPr>
          <w:rFonts w:hint="eastAsia" w:ascii="宋体" w:hAnsi="宋体" w:eastAsia="宋体" w:cs="宋体"/>
          <w:sz w:val="21"/>
          <w:szCs w:val="21"/>
          <w:highlight w:val="none"/>
          <w:lang w:val="en-US" w:eastAsia="zh-CN"/>
        </w:rPr>
      </w:r>
      <w:r/>
    </w:p>
    <w:p>
      <w:pPr>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r>
      <w:r/>
    </w:p>
    <w:p>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clear="all"/>
      </w:r>
      <w:r/>
    </w:p>
    <w:p>
      <w:pPr>
        <w:pStyle w:val="691"/>
        <w:rPr>
          <w:rFonts w:hint="eastAsia"/>
          <w:highlight w:val="none"/>
          <w:lang w:eastAsia="zh-CN"/>
        </w:rPr>
      </w:pPr>
      <w:r>
        <w:rPr>
          <w:rFonts w:hint="eastAsia"/>
          <w:highlight w:val="none"/>
          <w:lang w:eastAsia="zh-CN"/>
        </w:rPr>
      </w:r>
      <w:r/>
    </w:p>
    <w:p>
      <w:pPr>
        <w:ind w:firstLine="420"/>
        <w:rPr>
          <w:rFonts w:ascii="宋体" w:hAnsi="宋体"/>
          <w:b/>
          <w:color w:val="000000" w:themeColor="text1"/>
          <w:sz w:val="24"/>
          <w:highlight w:val="none"/>
          <w:lang w:eastAsia="zh-CN"/>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四、</w:t>
      </w:r>
      <w:bookmarkEnd w:id="156"/>
      <w:r/>
      <w:bookmarkEnd w:id="157"/>
      <w:r/>
      <w:bookmarkEnd w:id="158"/>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资格证明文件</w:t>
      </w:r>
      <w:bookmarkEnd w:id="159"/>
      <w:r/>
      <w:r/>
    </w:p>
    <w:p>
      <w:pPr>
        <w:jc w:val="center"/>
        <w:rPr>
          <w:b/>
          <w:color w:val="000000" w:themeColor="text1"/>
          <w:sz w:val="30"/>
          <w:szCs w:val="30"/>
          <w:highlight w:val="none"/>
          <w:lang w:val="zh-CN" w:eastAsia="zh-CN"/>
          <w14:textFill>
            <w14:solidFill>
              <w14:schemeClr w14:val="tx1"/>
            </w14:solidFill>
          </w14:textFill>
        </w:rPr>
      </w:pPr>
      <w:r/>
      <w:bookmarkStart w:id="160" w:name="_Toc2864"/>
      <w:r/>
      <w:bookmarkStart w:id="161" w:name="_Toc506199229"/>
      <w:r/>
      <w:bookmarkStart w:id="162" w:name="_Toc13890"/>
      <w:r/>
      <w:bookmarkStart w:id="163" w:name="_Toc2759"/>
      <w:r>
        <w:rPr>
          <w:rFonts w:hint="eastAsia"/>
          <w:b/>
          <w:color w:val="000000" w:themeColor="text1"/>
          <w:sz w:val="30"/>
          <w:szCs w:val="30"/>
          <w:highlight w:val="none"/>
          <w:lang w:val="zh-CN" w:eastAsia="zh-CN"/>
          <w14:textFill>
            <w14:solidFill>
              <w14:schemeClr w14:val="tx1"/>
            </w14:solidFill>
          </w14:textFill>
        </w:rPr>
        <w:t xml:space="preserve">资格证明文件（参考）</w:t>
      </w:r>
      <w:bookmarkEnd w:id="160"/>
      <w:r/>
      <w:bookmarkEnd w:id="161"/>
      <w:r/>
      <w:bookmarkEnd w:id="162"/>
      <w:r/>
      <w:bookmarkEnd w:id="163"/>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 磋商公告2.1 参加政府采购活动的供应商应当具备政府采购法第二十二条第一款规定的条件证明材料</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2</w:t>
      </w:r>
      <w:r>
        <w:rPr>
          <w:rFonts w:ascii="宋体" w:cs="宋体"/>
          <w:color w:val="000000" w:themeColor="text1"/>
          <w:sz w:val="24"/>
          <w:szCs w:val="21"/>
          <w:highlight w:val="none"/>
          <w:lang w:val="zh-CN" w:eastAsia="zh-CN"/>
          <w14:textFill>
            <w14:solidFill>
              <w14:schemeClr w14:val="tx1"/>
            </w14:solidFill>
          </w14:textFill>
        </w:rPr>
        <w:t xml:space="preserve">.</w:t>
      </w:r>
      <w:r>
        <w:rPr>
          <w:rFonts w:ascii="宋体" w:hAnsi="宋体" w:cs="宋体"/>
          <w:b/>
          <w:bCs/>
          <w:color w:val="000000" w:themeColor="text1"/>
          <w:sz w:val="24"/>
          <w:highlight w:val="none"/>
          <w:lang w:eastAsia="zh-CN"/>
          <w14:textFill>
            <w14:solidFill>
              <w14:schemeClr w14:val="tx1"/>
            </w14:solidFill>
          </w14:textFill>
        </w:rPr>
        <w:t xml:space="preserve">磋商公告</w:t>
      </w:r>
      <w:r>
        <w:rPr>
          <w:rFonts w:hint="eastAsia" w:ascii="宋体" w:hAnsi="宋体" w:cs="宋体"/>
          <w:b/>
          <w:bCs/>
          <w:color w:val="000000" w:themeColor="text1"/>
          <w:sz w:val="24"/>
          <w:highlight w:val="none"/>
          <w:lang w:eastAsia="zh-CN"/>
          <w14:textFill>
            <w14:solidFill>
              <w14:schemeClr w14:val="tx1"/>
            </w14:solidFill>
          </w14:textFill>
        </w:rPr>
        <w:t xml:space="preserve"> 2.2 采购人根据采购项目的特殊要求规定的特定条件证明材料</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3</w:t>
      </w:r>
      <w:r>
        <w:rPr>
          <w:rFonts w:hint="eastAsia" w:ascii="宋体" w:cs="宋体"/>
          <w:color w:val="000000" w:themeColor="text1"/>
          <w:sz w:val="24"/>
          <w:szCs w:val="21"/>
          <w:highlight w:val="none"/>
          <w:lang w:val="zh-CN" w:eastAsia="zh-CN"/>
          <w14:textFill>
            <w14:solidFill>
              <w14:schemeClr w14:val="tx1"/>
            </w14:solidFill>
          </w14:textFill>
        </w:rPr>
        <w:t xml:space="preserve">.南京市政府采购供应商信用记录表暨信用承诺书</w:t>
      </w:r>
      <w:r/>
    </w:p>
    <w:p>
      <w:pPr>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 xml:space="preserve">4.</w:t>
      </w:r>
      <w:r>
        <w:rPr>
          <w:rFonts w:hint="eastAsia" w:ascii="宋体" w:cs="宋体"/>
          <w:color w:val="000000" w:themeColor="text1"/>
          <w:sz w:val="24"/>
          <w:szCs w:val="21"/>
          <w:highlight w:val="none"/>
          <w:lang w:val="zh-CN" w:eastAsia="zh-CN"/>
          <w14:textFill>
            <w14:solidFill>
              <w14:schemeClr w14:val="tx1"/>
            </w14:solidFill>
          </w14:textFill>
        </w:rPr>
        <w:t xml:space="preserve">投标供应商认为有必要有其他证明文件</w:t>
      </w:r>
      <w:r/>
    </w:p>
    <w:p>
      <w:pPr>
        <w:spacing w:line="440" w:lineRule="exact"/>
        <w:rPr>
          <w:rFonts w:ascii="宋体" w:hAns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r>
      <w:r/>
    </w:p>
    <w:p>
      <w:pPr>
        <w:ind w:right="480" w:firstLine="648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ind w:right="240"/>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ind w:firstLine="960"/>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64" w:name="_Toc29395"/>
      <w:r/>
      <w:bookmarkStart w:id="165" w:name="_Toc9482"/>
      <w:r/>
      <w:bookmarkStart w:id="166" w:name="_Toc175663955"/>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val="en-US" w:eastAsia="zh-CN"/>
          <w14:textFill>
            <w14:solidFill>
              <w14:schemeClr w14:val="tx1"/>
            </w14:solidFill>
          </w14:textFill>
        </w:rPr>
        <w:t xml:space="preserve">五</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54"/>
      <w:r/>
      <w:bookmarkEnd w:id="164"/>
      <w:r/>
      <w:bookmarkEnd w:id="165"/>
      <w:r>
        <w:rPr>
          <w:rFonts w:hint="eastAsia" w:ascii="宋体" w:hAnsi="宋体"/>
          <w:b/>
          <w:color w:val="000000" w:themeColor="text1"/>
          <w:sz w:val="24"/>
          <w:szCs w:val="21"/>
          <w:highlight w:val="none"/>
          <w:lang w:eastAsia="zh-CN"/>
          <w14:textFill>
            <w14:solidFill>
              <w14:schemeClr w14:val="tx1"/>
            </w14:solidFill>
          </w14:textFill>
        </w:rPr>
        <w:t xml:space="preserve">技术要求</w:t>
      </w:r>
      <w:bookmarkEnd w:id="166"/>
      <w:r/>
      <w:bookmarkEnd w:id="155"/>
      <w:r/>
    </w:p>
    <w:p>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服务</w:t>
      </w:r>
      <w:r>
        <w:rPr>
          <w:rFonts w:hint="eastAsia" w:ascii="宋体" w:hAnsi="宋体"/>
          <w:color w:val="000000" w:themeColor="text1"/>
          <w:sz w:val="24"/>
          <w:highlight w:val="none"/>
          <w:lang w:eastAsia="zh-CN"/>
          <w14:textFill>
            <w14:solidFill>
              <w14:schemeClr w14:val="tx1"/>
            </w14:solidFill>
          </w14:textFill>
        </w:rPr>
        <w:t xml:space="preserve">方案</w:t>
      </w:r>
      <w:r>
        <w:rPr>
          <w:rFonts w:hint="eastAsia" w:ascii="宋体" w:cs="宋体"/>
          <w:color w:val="000000" w:themeColor="text1"/>
          <w:sz w:val="24"/>
          <w:szCs w:val="21"/>
          <w:highlight w:val="none"/>
          <w:lang w:val="zh-CN" w:eastAsia="zh-CN"/>
          <w14:textFill>
            <w14:solidFill>
              <w14:schemeClr w14:val="tx1"/>
            </w14:solidFill>
          </w14:textFill>
        </w:rPr>
        <w:t xml:space="preserve">（格式自拟）</w:t>
      </w:r>
      <w:r/>
    </w:p>
    <w:p>
      <w:pPr>
        <w:rPr>
          <w:rFonts w:ascii="宋体" w:hAnsi="宋体" w:cs="宋体"/>
          <w:b/>
          <w:bCs/>
          <w:color w:val="000000" w:themeColor="text1"/>
          <w:sz w:val="24"/>
          <w:szCs w:val="21"/>
          <w:highlight w:val="none"/>
          <w:lang w:eastAsia="zh-CN"/>
          <w14:textFill>
            <w14:solidFill>
              <w14:schemeClr w14:val="tx1"/>
            </w14:solidFill>
          </w14:textFill>
        </w:rPr>
      </w:pPr>
      <w:r>
        <w:rPr>
          <w:rFonts w:ascii="宋体" w:hAnsi="宋体" w:cs="宋体"/>
          <w:b/>
          <w:bCs/>
          <w:color w:val="000000" w:themeColor="text1"/>
          <w:sz w:val="24"/>
          <w:szCs w:val="21"/>
          <w:highlight w:val="none"/>
          <w:lang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rPr>
          <w:rFonts w:ascii="宋体" w:hAnsi="宋体" w:cs="宋体"/>
          <w:b/>
          <w:bCs/>
          <w:color w:val="000000" w:themeColor="text1"/>
          <w:sz w:val="24"/>
          <w:szCs w:val="21"/>
          <w:highlight w:val="none"/>
          <w:lang w:val="zh-CN" w:eastAsia="zh-CN"/>
          <w14:textFill>
            <w14:solidFill>
              <w14:schemeClr w14:val="tx1"/>
            </w14:solidFill>
          </w14:textFill>
        </w:rPr>
      </w:pPr>
      <w:r>
        <w:rPr>
          <w:rFonts w:ascii="宋体" w:hAnsi="宋体" w:cs="宋体"/>
          <w:b/>
          <w:bCs/>
          <w:color w:val="000000" w:themeColor="text1"/>
          <w:sz w:val="24"/>
          <w:szCs w:val="21"/>
          <w:highlight w:val="none"/>
          <w:lang w:val="zh-CN" w:eastAsia="zh-CN"/>
          <w14:textFill>
            <w14:solidFill>
              <w14:schemeClr w14:val="tx1"/>
            </w14:solidFill>
          </w14:textFill>
        </w:rPr>
      </w:r>
      <w:r/>
    </w:p>
    <w:p>
      <w:pPr>
        <w:rPr>
          <w:rFonts w:ascii="宋体" w:hAnsi="宋体" w:eastAsiaTheme="minorEastAsia"/>
          <w:b/>
          <w:color w:val="000000" w:themeColor="text1"/>
          <w:sz w:val="24"/>
          <w:szCs w:val="21"/>
          <w:highlight w:val="none"/>
          <w:lang w:eastAsia="zh-CN"/>
          <w14:textFill>
            <w14:solidFill>
              <w14:schemeClr w14:val="tx1"/>
            </w14:solidFill>
          </w14:textFill>
        </w:rPr>
      </w:pPr>
      <w:r/>
      <w:bookmarkStart w:id="167" w:name="_Toc354594120"/>
      <w:r>
        <w:rPr>
          <w:rFonts w:ascii="宋体" w:hAnsi="宋体" w:eastAsiaTheme="minorEastAsia"/>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68" w:name="_Toc175663956"/>
      <w:r/>
      <w:bookmarkStart w:id="169" w:name="_Toc28031"/>
      <w:r/>
      <w:bookmarkStart w:id="170" w:name="_Toc5649"/>
      <w:r>
        <w:rPr>
          <w:rFonts w:hint="eastAsia" w:ascii="宋体" w:hAnsi="宋体"/>
          <w:b/>
          <w:color w:val="000000" w:themeColor="text1"/>
          <w:sz w:val="24"/>
          <w:szCs w:val="21"/>
          <w:highlight w:val="none"/>
          <w:lang w:val="en-US" w:eastAsia="zh-CN"/>
          <w14:textFill>
            <w14:solidFill>
              <w14:schemeClr w14:val="tx1"/>
            </w14:solidFill>
          </w14:textFill>
        </w:rPr>
        <w:t xml:space="preserve">六</w:t>
      </w:r>
      <w:r>
        <w:rPr>
          <w:rFonts w:hint="eastAsia" w:ascii="宋体" w:hAnsi="宋体"/>
          <w:b/>
          <w:color w:val="000000" w:themeColor="text1"/>
          <w:sz w:val="24"/>
          <w:szCs w:val="21"/>
          <w:highlight w:val="none"/>
          <w:lang w:eastAsia="zh-CN"/>
          <w14:textFill>
            <w14:solidFill>
              <w14:schemeClr w14:val="tx1"/>
            </w14:solidFill>
          </w14:textFill>
        </w:rPr>
        <w:t xml:space="preserve">、项目组成员一览表</w:t>
      </w:r>
      <w:bookmarkEnd w:id="167"/>
      <w:r/>
      <w:bookmarkEnd w:id="168"/>
      <w:r/>
      <w:bookmarkEnd w:id="169"/>
      <w:r/>
      <w:bookmarkEnd w:id="170"/>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71"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项目组成员一览表</w:t>
      </w:r>
      <w:bookmarkEnd w:id="171"/>
      <w:r/>
      <w:r/>
    </w:p>
    <w:p>
      <w:pPr>
        <w:ind w:firstLine="420"/>
        <w:rPr>
          <w:rFonts w:ascii="宋体" w:hAnsi="宋体"/>
          <w:color w:val="000000" w:themeColor="text1"/>
          <w:sz w:val="24"/>
          <w:szCs w:val="21"/>
          <w:highlight w:val="none"/>
          <w:lang w:val="zh-CN" w:eastAsia="zh-CN"/>
          <w14:textFill>
            <w14:solidFill>
              <w14:schemeClr w14:val="tx1"/>
            </w14:solidFill>
          </w14:textFill>
        </w:rPr>
      </w:pPr>
      <w:r>
        <w:rPr>
          <w:rFonts w:ascii="宋体" w:hAnsi="宋体"/>
          <w:color w:val="000000" w:themeColor="text1"/>
          <w:sz w:val="24"/>
          <w:szCs w:val="21"/>
          <w:highlight w:val="none"/>
          <w:lang w:val="zh-CN" w:eastAsia="zh-CN"/>
          <w14:textFill>
            <w14:solidFill>
              <w14:schemeClr w14:val="tx1"/>
            </w14:solidFill>
          </w14:textFill>
        </w:rPr>
      </w:r>
      <w:r/>
    </w:p>
    <w:tbl>
      <w:tblPr>
        <w:tblStyle w:val="637"/>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993"/>
        <w:gridCol w:w="992"/>
        <w:gridCol w:w="2126"/>
        <w:gridCol w:w="1559"/>
        <w:gridCol w:w="1560"/>
        <w:gridCol w:w="1276"/>
      </w:tblGrid>
      <w:tr>
        <w:trPr/>
        <w:tc>
          <w:tcPr>
            <w:gridSpan w:val="4"/>
            <w:tcW w:w="4786" w:type="dxa"/>
            <w:vAlign w:val="center"/>
            <w:textDirection w:val="lrTb"/>
            <w:noWrap/>
          </w:tcPr>
          <w:p>
            <w:pPr>
              <w:spacing w:line="24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lang w:eastAsia="zh-CN"/>
                <w14:textFill>
                  <w14:solidFill>
                    <w14:schemeClr w14:val="tx1"/>
                  </w14:solidFill>
                </w14:textFill>
              </w:rPr>
              <w:t xml:space="preserve">新济洲2025年度公益林生态效益补偿项目</w:t>
            </w:r>
            <w:r/>
          </w:p>
        </w:tc>
        <w:tc>
          <w:tcPr>
            <w:gridSpan w:val="3"/>
            <w:tcW w:w="4395" w:type="dxa"/>
            <w:textDirection w:val="lrTb"/>
            <w:noWrap w:val="false"/>
          </w:tcPr>
          <w:p>
            <w:pPr>
              <w:spacing w:line="240" w:lineRule="auto"/>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项目编号：JSZC-320115-NJMT-C2026-0010 </w:t>
            </w:r>
            <w:r/>
          </w:p>
        </w:tc>
      </w:tr>
      <w:tr>
        <w:trPr>
          <w:trHeight w:val="527"/>
        </w:trPr>
        <w:tc>
          <w:tcPr>
            <w:tcW w:w="675"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序号</w:t>
            </w:r>
            <w:r/>
          </w:p>
        </w:tc>
        <w:tc>
          <w:tcPr>
            <w:tcW w:w="993"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姓名</w:t>
            </w:r>
            <w:r/>
          </w:p>
        </w:tc>
        <w:tc>
          <w:tcPr>
            <w:tcW w:w="992"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性别</w:t>
            </w:r>
            <w:r/>
          </w:p>
        </w:tc>
        <w:tc>
          <w:tcPr>
            <w:tcW w:w="212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岗位</w:t>
            </w:r>
            <w:r/>
          </w:p>
        </w:tc>
        <w:tc>
          <w:tcPr>
            <w:tcW w:w="1559" w:type="dxa"/>
            <w:vAlign w:val="center"/>
            <w:textDirection w:val="lrTb"/>
            <w:noWrap w:val="false"/>
          </w:tcPr>
          <w:p>
            <w:pPr>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 xml:space="preserve">证书</w:t>
            </w:r>
            <w:r>
              <w:rPr>
                <w:rFonts w:hint="eastAsia" w:ascii="宋体"/>
                <w:b/>
                <w:color w:val="000000" w:themeColor="text1"/>
                <w:sz w:val="24"/>
                <w:szCs w:val="21"/>
                <w:highlight w:val="none"/>
                <w:lang w:val="zh-CN"/>
                <w14:textFill>
                  <w14:solidFill>
                    <w14:schemeClr w14:val="tx1"/>
                  </w14:solidFill>
                </w14:textFill>
              </w:rPr>
              <w:t xml:space="preserve">类型</w:t>
            </w:r>
            <w:r/>
          </w:p>
        </w:tc>
        <w:tc>
          <w:tcPr>
            <w:tcW w:w="1560"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 xml:space="preserve">证书号</w:t>
            </w:r>
            <w:r/>
          </w:p>
        </w:tc>
        <w:tc>
          <w:tcPr>
            <w:tcW w:w="1276" w:type="dxa"/>
            <w:vAlign w:val="center"/>
            <w:textDirection w:val="lrTb"/>
            <w:noWrap/>
          </w:tcPr>
          <w:p>
            <w:pPr>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 xml:space="preserve">备    注</w:t>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r>
        <w:trPr/>
        <w:tc>
          <w:tcPr>
            <w:tcW w:w="675"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3"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992"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212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59" w:type="dxa"/>
            <w:textDirection w:val="lrTb"/>
            <w:noWrap w:val="false"/>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560"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c>
          <w:tcPr>
            <w:tcW w:w="1276" w:type="dxa"/>
            <w:textDirection w:val="lrTb"/>
            <w:noWrap/>
          </w:tcPr>
          <w:p>
            <w:pPr>
              <w:rPr>
                <w:rFonts w:ascii="宋体"/>
                <w:color w:val="000000" w:themeColor="text1"/>
                <w:sz w:val="24"/>
                <w:szCs w:val="21"/>
                <w:highlight w:val="none"/>
                <w:lang w:val="zh-CN"/>
                <w14:textFill>
                  <w14:solidFill>
                    <w14:schemeClr w14:val="tx1"/>
                  </w14:solidFill>
                </w14:textFill>
              </w:rPr>
            </w:pPr>
            <w:r>
              <w:rPr>
                <w:rFonts w:ascii="宋体"/>
                <w:color w:val="000000" w:themeColor="text1"/>
                <w:sz w:val="24"/>
                <w:szCs w:val="21"/>
                <w:highlight w:val="none"/>
                <w:lang w:val="zh-CN"/>
                <w14:textFill>
                  <w14:solidFill>
                    <w14:schemeClr w14:val="tx1"/>
                  </w14:solidFill>
                </w14:textFill>
              </w:rPr>
            </w:r>
            <w:r/>
          </w:p>
        </w:tc>
      </w:tr>
    </w:tbl>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 xml:space="preserve">备注栏，可填写该人员擅长的工种，附相关证件加盖公章。</w:t>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rPr>
          <w:rFonts w:ascii="宋体"/>
          <w:color w:val="000000" w:themeColor="text1"/>
          <w:sz w:val="24"/>
          <w:szCs w:val="21"/>
          <w:highlight w:val="none"/>
          <w:lang w:val="zh-CN" w:eastAsia="zh-CN"/>
          <w14:textFill>
            <w14:solidFill>
              <w14:schemeClr w14:val="tx1"/>
            </w14:solidFill>
          </w14:textFill>
        </w:rPr>
      </w:pPr>
      <w:r>
        <w:rPr>
          <w:rFonts w:ascii="宋体"/>
          <w:color w:val="000000" w:themeColor="text1"/>
          <w:sz w:val="24"/>
          <w:szCs w:val="21"/>
          <w:highlight w:val="none"/>
          <w:lang w:val="zh-CN" w:eastAsia="zh-CN"/>
          <w14:textFill>
            <w14:solidFill>
              <w14:schemeClr w14:val="tx1"/>
            </w14:solidFill>
          </w14:textFill>
        </w:rPr>
      </w:r>
      <w:r/>
    </w:p>
    <w:p>
      <w:pPr>
        <w:rPr>
          <w:rFonts w:ascii="宋体" w:eastAsiaTheme="minorEastAsia"/>
          <w:color w:val="000000" w:themeColor="text1"/>
          <w:sz w:val="24"/>
          <w:szCs w:val="21"/>
          <w:highlight w:val="none"/>
          <w:lang w:val="zh-CN" w:eastAsia="zh-CN"/>
          <w14:textFill>
            <w14:solidFill>
              <w14:schemeClr w14:val="tx1"/>
            </w14:solidFill>
          </w14:textFill>
        </w:rPr>
      </w:pPr>
      <w:r>
        <w:rPr>
          <w:rFonts w:ascii="宋体" w:eastAsiaTheme="minorEastAsia"/>
          <w:color w:val="000000" w:themeColor="text1"/>
          <w:sz w:val="24"/>
          <w:szCs w:val="21"/>
          <w:highlight w:val="none"/>
          <w:lang w:val="zh-CN" w:eastAsia="zh-CN"/>
          <w14:textFill>
            <w14:solidFill>
              <w14:schemeClr w14:val="tx1"/>
            </w14:solidFill>
          </w14:textFill>
        </w:rPr>
      </w:r>
      <w:r/>
    </w:p>
    <w:p>
      <w:pPr>
        <w:pStyle w:val="692"/>
        <w:rPr>
          <w:color w:val="000000" w:themeColor="text1"/>
          <w:highlight w:val="none"/>
          <w:lang w:val="zh-CN" w:eastAsia="zh-CN"/>
          <w14:textFill>
            <w14:solidFill>
              <w14:schemeClr w14:val="tx1"/>
            </w14:solidFill>
          </w14:textFill>
        </w:rPr>
      </w:pPr>
      <w:r>
        <w:rPr>
          <w:color w:val="000000" w:themeColor="text1"/>
          <w:highlight w:val="none"/>
          <w:lang w:val="zh-CN" w:eastAsia="zh-CN"/>
          <w14:textFill>
            <w14:solidFill>
              <w14:schemeClr w14:val="tx1"/>
            </w14:solidFill>
          </w14:textFill>
        </w:rPr>
      </w:r>
      <w:r/>
    </w:p>
    <w:p>
      <w:pPr>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br w:type="page" w:clear="all"/>
      </w:r>
      <w:r/>
    </w:p>
    <w:p>
      <w:pPr>
        <w:spacing w:line="240" w:lineRule="atLeast"/>
        <w:widowControl/>
        <w:rPr>
          <w:b/>
          <w:color w:val="000000" w:themeColor="text1"/>
          <w:sz w:val="24"/>
          <w:highlight w:val="none"/>
          <w:lang w:eastAsia="zh-CN"/>
          <w14:textFill>
            <w14:solidFill>
              <w14:schemeClr w14:val="tx1"/>
            </w14:solidFill>
          </w14:textFill>
        </w:rPr>
        <w:outlineLvl w:val="1"/>
      </w:pPr>
      <w:r/>
      <w:bookmarkStart w:id="172" w:name="_Toc459109600"/>
      <w:r/>
      <w:bookmarkStart w:id="173" w:name="_Toc14286"/>
      <w:r/>
      <w:bookmarkStart w:id="174" w:name="_Toc11058"/>
      <w:r/>
      <w:bookmarkStart w:id="175" w:name="_Toc175663957"/>
      <w:r/>
      <w:bookmarkStart w:id="176" w:name="_Toc354594121"/>
      <w:r>
        <w:rPr>
          <w:rFonts w:hint="eastAsia"/>
          <w:b/>
          <w:color w:val="000000" w:themeColor="text1"/>
          <w:sz w:val="24"/>
          <w:highlight w:val="none"/>
          <w:lang w:val="en-US" w:eastAsia="zh-CN"/>
          <w14:textFill>
            <w14:solidFill>
              <w14:schemeClr w14:val="tx1"/>
            </w14:solidFill>
          </w14:textFill>
        </w:rPr>
        <w:t xml:space="preserve">七</w:t>
      </w:r>
      <w:r>
        <w:rPr>
          <w:rFonts w:hint="eastAsia"/>
          <w:b/>
          <w:color w:val="000000" w:themeColor="text1"/>
          <w:sz w:val="24"/>
          <w:highlight w:val="none"/>
          <w:lang w:eastAsia="zh-CN"/>
          <w14:textFill>
            <w14:solidFill>
              <w14:schemeClr w14:val="tx1"/>
            </w14:solidFill>
          </w14:textFill>
        </w:rPr>
        <w:t xml:space="preserve">、无重大违法记录声明格式</w:t>
      </w:r>
      <w:bookmarkEnd w:id="172"/>
      <w:r/>
      <w:bookmarkEnd w:id="173"/>
      <w:r/>
      <w:bookmarkEnd w:id="174"/>
      <w:r/>
      <w:bookmarkEnd w:id="175"/>
      <w:r/>
      <w:r/>
    </w:p>
    <w:p>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 xml:space="preserve">无重大违法记录声明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eastAsia="宋体" w:cs="宋体"/>
          <w:color w:val="000000" w:themeColor="text1"/>
          <w:spacing w:val="6"/>
          <w:sz w:val="24"/>
          <w:szCs w:val="21"/>
          <w:highlight w:val="none"/>
          <w:lang w:eastAsia="zh-CN"/>
          <w14:textFill>
            <w14:solidFill>
              <w14:schemeClr w14:val="tx1"/>
            </w14:solidFill>
          </w14:textFill>
        </w:rPr>
        <w:t xml:space="preserve">南京长江新济洲国家湿地公园管理中心</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（供应商名称）郑重声明：</w:t>
      </w:r>
      <w:r/>
    </w:p>
    <w:p>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（在下划线上如实填写：有或没有）重大违法记录。</w:t>
      </w:r>
      <w:r/>
    </w:p>
    <w:p>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ind w:right="924"/>
        <w:jc w:val="right"/>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jc w:val="right"/>
        <w:spacing w:line="600" w:lineRule="exac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77" w:name="_Toc504126844"/>
      <w:r/>
      <w:bookmarkStart w:id="178" w:name="_Toc506199234"/>
      <w:r/>
      <w:r/>
    </w:p>
    <w:p>
      <w:pPr>
        <w:spacing w:line="460" w:lineRule="exact"/>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460" w:lineRule="exact"/>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460" w:lineRule="exact"/>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460" w:lineRule="exact"/>
        <w:rPr>
          <w:rFonts w:ascii="宋体" w:hAnsi="宋体" w:cs="黑体"/>
          <w:b/>
          <w:bCs/>
          <w:color w:val="000000" w:themeColor="text1"/>
          <w:sz w:val="24"/>
          <w:szCs w:val="21"/>
          <w:highlight w:val="none"/>
          <w:lang w:val="zh-CN" w:eastAsia="zh-CN"/>
          <w14:textFill>
            <w14:solidFill>
              <w14:schemeClr w14:val="tx1"/>
            </w14:solidFill>
          </w14:textFill>
        </w:rPr>
        <w:outlineLvl w:val="1"/>
      </w:pPr>
      <w:r/>
      <w:bookmarkStart w:id="179" w:name="_Toc175663958"/>
      <w:r/>
      <w:bookmarkStart w:id="180" w:name="_Toc11616"/>
      <w:r/>
      <w:bookmarkStart w:id="181" w:name="_Toc27923"/>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八</w:t>
      </w:r>
      <w:r>
        <w:rPr>
          <w:rFonts w:hint="eastAsia" w:ascii="宋体" w:hAnsi="宋体" w:cs="黑体"/>
          <w:b/>
          <w:bCs/>
          <w:color w:val="000000" w:themeColor="text1"/>
          <w:sz w:val="24"/>
          <w:szCs w:val="21"/>
          <w:highlight w:val="none"/>
          <w:lang w:val="zh-CN" w:eastAsia="zh-CN"/>
          <w14:textFill>
            <w14:solidFill>
              <w14:schemeClr w14:val="tx1"/>
            </w14:solidFill>
          </w14:textFill>
        </w:rPr>
        <w:t xml:space="preserve">、具备履行合同所必需的设备和专业技术能力的书面声明</w:t>
      </w:r>
      <w:bookmarkEnd w:id="177"/>
      <w:r/>
      <w:bookmarkEnd w:id="178"/>
      <w:r/>
      <w:bookmarkEnd w:id="179"/>
      <w:r/>
      <w:bookmarkEnd w:id="180"/>
      <w:r/>
      <w:bookmarkEnd w:id="181"/>
      <w:r/>
      <w:r/>
    </w:p>
    <w:p>
      <w:pPr>
        <w:ind w:firstLine="504"/>
        <w:spacing w:line="360" w:lineRule="auto"/>
        <w:rPr>
          <w:color w:val="000000" w:themeColor="text1"/>
          <w:spacing w:val="6"/>
          <w:sz w:val="24"/>
          <w:szCs w:val="21"/>
          <w:highlight w:val="none"/>
          <w:lang w:eastAsia="zh-CN"/>
          <w14:textFill>
            <w14:solidFill>
              <w14:schemeClr w14:val="tx1"/>
            </w14:solidFill>
          </w14:textFill>
        </w:rPr>
      </w:pPr>
      <w:r>
        <w:rPr>
          <w:color w:val="000000" w:themeColor="text1"/>
          <w:spacing w:val="6"/>
          <w:sz w:val="24"/>
          <w:szCs w:val="21"/>
          <w:highlight w:val="none"/>
          <w:lang w:eastAsia="zh-CN"/>
          <w14:textFill>
            <w14:solidFill>
              <w14:schemeClr w14:val="tx1"/>
            </w14:solidFill>
          </w14:textFill>
        </w:rPr>
      </w:r>
      <w:r/>
    </w:p>
    <w:p>
      <w:pPr>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我单位郑重声明：我单位具备履行本项采购合同所必需的设备和专业技术能力，为履行本项采购合同我公司具备如下主要设备和主要专业技术能力：</w:t>
      </w:r>
      <w:r/>
    </w:p>
    <w:p>
      <w:pPr>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 xml:space="preserve">。</w:t>
      </w:r>
      <w:r/>
    </w:p>
    <w:p>
      <w:pPr>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ind w:right="84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供应商</w:t>
      </w:r>
      <w:r>
        <w:rPr>
          <w:color w:val="000000" w:themeColor="text1"/>
          <w:sz w:val="24"/>
          <w:szCs w:val="21"/>
          <w:highlight w:val="none"/>
          <w:lang w:eastAsia="zh-CN"/>
          <w14:textFill>
            <w14:solidFill>
              <w14:schemeClr w14:val="tx1"/>
            </w14:solidFill>
          </w14:textFill>
        </w:rPr>
        <w:t xml:space="preserve">（盖章）：           </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right="444"/>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82" w:name="_Toc13813"/>
      <w:r/>
      <w:bookmarkStart w:id="183" w:name="_Toc28457"/>
      <w:r/>
      <w:bookmarkStart w:id="184" w:name="_Toc175663959"/>
      <w:r>
        <w:rPr>
          <w:rFonts w:hint="eastAsia" w:ascii="宋体" w:hAnsi="宋体"/>
          <w:b/>
          <w:color w:val="000000" w:themeColor="text1"/>
          <w:sz w:val="24"/>
          <w:szCs w:val="21"/>
          <w:highlight w:val="none"/>
          <w:lang w:val="en-US" w:eastAsia="zh-CN"/>
          <w14:textFill>
            <w14:solidFill>
              <w14:schemeClr w14:val="tx1"/>
            </w14:solidFill>
          </w14:textFill>
        </w:rPr>
        <w:t xml:space="preserve">九</w:t>
      </w:r>
      <w:r>
        <w:rPr>
          <w:rFonts w:hint="eastAsia" w:ascii="宋体" w:hAnsi="宋体"/>
          <w:b/>
          <w:color w:val="000000" w:themeColor="text1"/>
          <w:sz w:val="24"/>
          <w:szCs w:val="21"/>
          <w:highlight w:val="none"/>
          <w:lang w:eastAsia="zh-CN"/>
          <w14:textFill>
            <w14:solidFill>
              <w14:schemeClr w14:val="tx1"/>
            </w14:solidFill>
          </w14:textFill>
        </w:rPr>
        <w:t xml:space="preserve">、</w:t>
      </w:r>
      <w:bookmarkEnd w:id="176"/>
      <w:r/>
      <w:bookmarkEnd w:id="182"/>
      <w:r/>
      <w:bookmarkEnd w:id="183"/>
      <w:r>
        <w:rPr>
          <w:rFonts w:hint="eastAsia" w:ascii="宋体" w:hAnsi="宋体"/>
          <w:b/>
          <w:color w:val="000000" w:themeColor="text1"/>
          <w:sz w:val="24"/>
          <w:szCs w:val="21"/>
          <w:highlight w:val="none"/>
          <w:lang w:eastAsia="zh-CN"/>
          <w14:textFill>
            <w14:solidFill>
              <w14:schemeClr w14:val="tx1"/>
            </w14:solidFill>
          </w14:textFill>
        </w:rPr>
        <w:t xml:space="preserve">服务承诺书</w:t>
      </w:r>
      <w:bookmarkEnd w:id="184"/>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服务承诺书</w:t>
      </w:r>
      <w:r/>
    </w:p>
    <w:p>
      <w:pPr>
        <w:rPr>
          <w:rFonts w:eastAsia="黑体"/>
          <w:color w:val="000000" w:themeColor="text1"/>
          <w:sz w:val="24"/>
          <w:szCs w:val="21"/>
          <w:highlight w:val="none"/>
          <w:lang w:eastAsia="zh-CN"/>
          <w14:textFill>
            <w14:solidFill>
              <w14:schemeClr w14:val="tx1"/>
            </w14:solidFill>
          </w14:textFill>
        </w:rPr>
      </w:pPr>
      <w:r>
        <w:rPr>
          <w:rFonts w:eastAsia="黑体"/>
          <w:color w:val="000000" w:themeColor="text1"/>
          <w:sz w:val="24"/>
          <w:szCs w:val="21"/>
          <w:highlight w:val="none"/>
          <w:lang w:eastAsia="zh-CN"/>
          <w14:textFill>
            <w14:solidFill>
              <w14:schemeClr w14:val="tx1"/>
            </w14:solidFill>
          </w14:textFill>
        </w:rPr>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 xml:space="preserve">我公司就项目编号为“JSZC-320115-NJMT-C2026-0010”的</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新济洲2025年度公益林生态效益补偿项目</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 xml:space="preserve">质量保证及服务承诺如下：</w:t>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ind w:firstLine="36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 xml:space="preserve">（其他服务承诺供应商自拟）</w:t>
      </w:r>
      <w:r/>
    </w:p>
    <w:p>
      <w:pPr>
        <w:ind w:firstLine="360"/>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日  期：    年   月  日</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ascii="宋体" w:hAnsi="宋体" w:cs="宋体"/>
          <w:color w:val="000000" w:themeColor="text1"/>
          <w:sz w:val="24"/>
          <w:szCs w:val="21"/>
          <w:highlight w:val="none"/>
          <w:lang w:val="zh-CN" w:eastAsia="zh-CN"/>
          <w14:textFill>
            <w14:solidFill>
              <w14:schemeClr w14:val="tx1"/>
            </w14:solidFill>
          </w14:textFill>
        </w:rPr>
      </w:r>
      <w:r/>
    </w:p>
    <w:p>
      <w:pPr>
        <w:rPr>
          <w:rFonts w:ascii="宋体" w:hAnsi="宋体"/>
          <w:b/>
          <w:color w:val="000000" w:themeColor="text1"/>
          <w:sz w:val="24"/>
          <w:szCs w:val="21"/>
          <w:highlight w:val="none"/>
          <w:lang w:eastAsia="zh-CN"/>
          <w14:textFill>
            <w14:solidFill>
              <w14:schemeClr w14:val="tx1"/>
            </w14:solidFill>
          </w14:textFill>
        </w:rPr>
        <w:outlineLvl w:val="1"/>
      </w:pPr>
      <w:r/>
      <w:bookmarkStart w:id="185" w:name="_Toc29039"/>
      <w:r/>
      <w:bookmarkStart w:id="186" w:name="_Toc20990"/>
      <w:r/>
      <w:bookmarkStart w:id="187" w:name="_Toc175663960"/>
      <w:r>
        <w:rPr>
          <w:rFonts w:hint="eastAsia" w:ascii="宋体" w:hAnsi="宋体"/>
          <w:b/>
          <w:color w:val="000000" w:themeColor="text1"/>
          <w:sz w:val="24"/>
          <w:szCs w:val="21"/>
          <w:highlight w:val="none"/>
          <w:lang w:eastAsia="zh-CN"/>
          <w14:textFill>
            <w14:solidFill>
              <w14:schemeClr w14:val="tx1"/>
            </w14:solidFill>
          </w14:textFill>
        </w:rPr>
        <w:t xml:space="preserve">十、</w:t>
      </w:r>
      <w:bookmarkStart w:id="188" w:name="_Toc354594122"/>
      <w:r>
        <w:rPr>
          <w:rFonts w:hint="eastAsia" w:ascii="宋体" w:hAnsi="宋体"/>
          <w:b/>
          <w:color w:val="000000" w:themeColor="text1"/>
          <w:sz w:val="24"/>
          <w:szCs w:val="21"/>
          <w:highlight w:val="none"/>
          <w:lang w:eastAsia="zh-CN"/>
          <w14:textFill>
            <w14:solidFill>
              <w14:schemeClr w14:val="tx1"/>
            </w14:solidFill>
          </w14:textFill>
        </w:rPr>
        <w:t xml:space="preserve">中小企业声明函</w:t>
      </w:r>
      <w:bookmarkEnd w:id="185"/>
      <w:r/>
      <w:bookmarkEnd w:id="186"/>
      <w:r/>
      <w:bookmarkEnd w:id="187"/>
      <w:r/>
      <w:bookmarkEnd w:id="188"/>
      <w:r/>
      <w:r/>
    </w:p>
    <w:p>
      <w:pPr>
        <w:jc w:val="center"/>
        <w:spacing w:line="460" w:lineRule="exact"/>
        <w:rPr>
          <w:rFonts w:ascii="黑体" w:eastAsia="黑体" w:cs="黑体"/>
          <w:b/>
          <w:bCs/>
          <w:color w:val="000000" w:themeColor="text1"/>
          <w:sz w:val="36"/>
          <w:szCs w:val="28"/>
          <w:highlight w:val="none"/>
          <w:lang w:val="zh-CN" w:eastAsia="zh-CN"/>
          <w14:textFill>
            <w14:solidFill>
              <w14:schemeClr w14:val="tx1"/>
            </w14:solidFill>
          </w14:textFill>
        </w:rPr>
      </w:pPr>
      <w:r/>
      <w:bookmarkStart w:id="189"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 xml:space="preserve">中小企业声明函</w:t>
      </w:r>
      <w:bookmarkEnd w:id="189"/>
      <w:r/>
      <w:r/>
    </w:p>
    <w:p>
      <w:pPr>
        <w:rPr>
          <w:rFonts w:ascii="宋体" w:hAnsi="宋体"/>
          <w:b/>
          <w:color w:val="000000" w:themeColor="text1"/>
          <w:sz w:val="24"/>
          <w:szCs w:val="21"/>
          <w:highlight w:val="none"/>
          <w:lang w:eastAsia="zh-CN"/>
          <w14:textFill>
            <w14:solidFill>
              <w14:schemeClr w14:val="tx1"/>
            </w14:solidFill>
          </w14:textFill>
        </w:rPr>
      </w:pPr>
      <w:r>
        <w:rPr>
          <w:rFonts w:ascii="宋体" w:hAnsi="宋体"/>
          <w:b/>
          <w:color w:val="000000" w:themeColor="text1"/>
          <w:sz w:val="24"/>
          <w:szCs w:val="21"/>
          <w:highlight w:val="none"/>
          <w:lang w:eastAsia="zh-CN"/>
          <w14:textFill>
            <w14:solidFill>
              <w14:schemeClr w14:val="tx1"/>
            </w14:solidFill>
          </w14:textFill>
        </w:rPr>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Cs w:val="20"/>
          <w:highlight w:val="none"/>
          <w:u w:val="single"/>
          <w14:textFill>
            <w14:solidFill>
              <w14:schemeClr w14:val="tx1"/>
            </w14:solidFill>
          </w14:textFill>
        </w:rPr>
        <w:t xml:space="preserve">    （单位名称）</w:t>
      </w:r>
      <w:r>
        <w:rPr>
          <w:rFonts w:hint="eastAsia" w:ascii="宋体" w:hAnsi="宋体" w:eastAsia="宋体" w:cs="宋体"/>
          <w:color w:val="000000" w:themeColor="text1"/>
          <w:highlight w:val="none"/>
          <w:lang w:bidi="ar"/>
          <w14:textFill>
            <w14:solidFill>
              <w14:schemeClr w14:val="tx1"/>
            </w14:solidFill>
          </w14:textFill>
        </w:rPr>
        <w:t xml:space="preserve">的</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szCs w:val="20"/>
          <w:highlight w:val="none"/>
          <w:u w:val="single"/>
          <w14:textFill>
            <w14:solidFill>
              <w14:schemeClr w14:val="tx1"/>
            </w14:solidFill>
          </w14:textFill>
        </w:rPr>
        <w:t xml:space="preserve">   （项目名称）采</w:t>
      </w:r>
      <w:r>
        <w:rPr>
          <w:rFonts w:hint="eastAsia" w:ascii="宋体" w:hAnsi="宋体" w:eastAsia="宋体" w:cs="宋体"/>
          <w:color w:val="000000" w:themeColor="text1"/>
          <w:szCs w:val="20"/>
          <w:highlight w:val="none"/>
          <w14:textFill>
            <w14:solidFill>
              <w14:schemeClr w14:val="tx1"/>
            </w14:solidFill>
          </w14:textFill>
        </w:rPr>
        <w:t xml:space="preserve">购活动，提供的货物全部由符合政策要求的中小企业制造。相关企业（含联合体中的中小企业、签订分包意向协议的中小企业）的具体情况如下：</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1</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 xml:space="preserve">（</w:t>
      </w:r>
      <w:r>
        <w:rPr>
          <w:rFonts w:hint="eastAsia" w:ascii="宋体" w:hAnsi="宋体" w:eastAsia="宋体" w:cs="宋体"/>
          <w:color w:val="000000" w:themeColor="text1"/>
          <w:szCs w:val="20"/>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lang w:bidi="ar"/>
          <w14:textFill>
            <w14:solidFill>
              <w14:schemeClr w14:val="tx1"/>
            </w14:solidFill>
          </w14:textFill>
        </w:rPr>
        <w:t xml:space="preserve">，属于</w:t>
      </w:r>
      <w:r>
        <w:rPr>
          <w:rFonts w:hint="eastAsia" w:ascii="宋体" w:hAnsi="宋体" w:eastAsia="宋体" w:cs="宋体"/>
          <w:color w:val="000000" w:themeColor="text1"/>
          <w:szCs w:val="20"/>
          <w:highlight w:val="none"/>
          <w:u w:val="single"/>
          <w:lang w:val="en-US" w:eastAsia="zh-CN"/>
          <w14:textFill>
            <w14:solidFill>
              <w14:schemeClr w14:val="tx1"/>
            </w14:solidFill>
          </w14:textFill>
        </w:rPr>
        <w:t xml:space="preserve">其他未列明</w:t>
      </w:r>
      <w:r>
        <w:rPr>
          <w:rFonts w:hint="eastAsia" w:ascii="宋体" w:hAnsi="宋体" w:eastAsia="宋体" w:cs="宋体"/>
          <w:color w:val="000000" w:themeColor="text1"/>
          <w:highlight w:val="none"/>
          <w:lang w:bidi="ar"/>
          <w14:textFill>
            <w14:solidFill>
              <w14:schemeClr w14:val="tx1"/>
            </w14:solidFill>
          </w14:textFill>
        </w:rPr>
        <w:t xml:space="preserve">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 xml:space="preserve">，</w:t>
      </w:r>
      <w:r>
        <w:rPr>
          <w:rFonts w:hint="eastAsia" w:ascii="宋体" w:hAnsi="宋体" w:eastAsia="宋体" w:cs="宋体"/>
          <w:color w:val="000000" w:themeColor="text1"/>
          <w:szCs w:val="20"/>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人，</w:t>
      </w:r>
      <w:r>
        <w:rPr>
          <w:rFonts w:hint="eastAsia" w:ascii="宋体" w:hAnsi="宋体" w:eastAsia="宋体" w:cs="宋体"/>
          <w:color w:val="000000" w:themeColor="text1"/>
          <w:szCs w:val="20"/>
          <w:highlight w:val="none"/>
          <w14:textFill>
            <w14:solidFill>
              <w14:schemeClr w14:val="tx1"/>
            </w14:solidFill>
          </w14:textFill>
        </w:rPr>
        <w:t xml:space="preserve">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万元，</w:t>
      </w:r>
      <w:r>
        <w:rPr>
          <w:rFonts w:hint="eastAsia" w:ascii="宋体" w:hAnsi="宋体" w:eastAsia="宋体" w:cs="宋体"/>
          <w:color w:val="000000" w:themeColor="text1"/>
          <w:szCs w:val="20"/>
          <w:highlight w:val="none"/>
          <w14:textFill>
            <w14:solidFill>
              <w14:schemeClr w14:val="tx1"/>
            </w14:solidFill>
          </w14:textFill>
        </w:rPr>
        <w:t xml:space="preserve">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w:t>
      </w:r>
      <w:r>
        <w:rPr>
          <w:rFonts w:hint="eastAsia" w:ascii="宋体" w:hAnsi="宋体" w:eastAsia="宋体" w:cs="宋体"/>
          <w:color w:val="000000" w:themeColor="text1"/>
          <w:szCs w:val="20"/>
          <w:highlight w:val="none"/>
          <w14:textFill>
            <w14:solidFill>
              <w14:schemeClr w14:val="tx1"/>
            </w14:solidFill>
          </w14:textFill>
        </w:rPr>
        <w:t xml:space="preserve">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 xml:space="preserve">；</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2</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 xml:space="preserve">（</w:t>
      </w:r>
      <w:r>
        <w:rPr>
          <w:rFonts w:hint="eastAsia" w:ascii="宋体" w:hAnsi="宋体" w:eastAsia="宋体" w:cs="宋体"/>
          <w:color w:val="000000" w:themeColor="text1"/>
          <w:szCs w:val="20"/>
          <w:highlight w:val="none"/>
          <w:u w:val="single"/>
          <w14:textFill>
            <w14:solidFill>
              <w14:schemeClr w14:val="tx1"/>
            </w14:solidFill>
          </w14:textFill>
        </w:rPr>
        <w:t xml:space="preserve">标的名称）</w:t>
      </w:r>
      <w:r>
        <w:rPr>
          <w:rFonts w:hint="eastAsia" w:ascii="宋体" w:hAnsi="宋体" w:eastAsia="宋体" w:cs="宋体"/>
          <w:color w:val="000000" w:themeColor="text1"/>
          <w:highlight w:val="none"/>
          <w:lang w:bidi="ar"/>
          <w14:textFill>
            <w14:solidFill>
              <w14:schemeClr w14:val="tx1"/>
            </w14:solidFill>
          </w14:textFill>
        </w:rPr>
        <w:t xml:space="preserve">，属于</w:t>
      </w:r>
      <w:r>
        <w:rPr>
          <w:rFonts w:hint="eastAsia" w:ascii="宋体" w:hAnsi="宋体" w:eastAsia="宋体" w:cs="宋体"/>
          <w:color w:val="000000" w:themeColor="text1"/>
          <w:szCs w:val="20"/>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highlight w:val="none"/>
          <w:lang w:bidi="ar"/>
          <w14:textFill>
            <w14:solidFill>
              <w14:schemeClr w14:val="tx1"/>
            </w14:solidFill>
          </w14:textFill>
        </w:rPr>
        <w:t xml:space="preserve">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 xml:space="preserve">，</w:t>
      </w:r>
      <w:r>
        <w:rPr>
          <w:rFonts w:hint="eastAsia" w:ascii="宋体" w:hAnsi="宋体" w:eastAsia="宋体" w:cs="宋体"/>
          <w:color w:val="000000" w:themeColor="text1"/>
          <w:szCs w:val="20"/>
          <w:highlight w:val="none"/>
          <w14:textFill>
            <w14:solidFill>
              <w14:schemeClr w14:val="tx1"/>
            </w14:solidFill>
          </w14:textFill>
        </w:rPr>
        <w:t xml:space="preserve">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人，</w:t>
      </w:r>
      <w:r>
        <w:rPr>
          <w:rFonts w:hint="eastAsia" w:ascii="宋体" w:hAnsi="宋体" w:eastAsia="宋体" w:cs="宋体"/>
          <w:color w:val="000000" w:themeColor="text1"/>
          <w:szCs w:val="20"/>
          <w:highlight w:val="none"/>
          <w14:textFill>
            <w14:solidFill>
              <w14:schemeClr w14:val="tx1"/>
            </w14:solidFill>
          </w14:textFill>
        </w:rPr>
        <w:t xml:space="preserve">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万元，</w:t>
      </w:r>
      <w:r>
        <w:rPr>
          <w:rFonts w:hint="eastAsia" w:ascii="宋体" w:hAnsi="宋体" w:eastAsia="宋体" w:cs="宋体"/>
          <w:color w:val="000000" w:themeColor="text1"/>
          <w:szCs w:val="20"/>
          <w:highlight w:val="none"/>
          <w14:textFill>
            <w14:solidFill>
              <w14:schemeClr w14:val="tx1"/>
            </w14:solidFill>
          </w14:textFill>
        </w:rPr>
        <w:t xml:space="preserve">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 xml:space="preserve">万</w:t>
      </w:r>
      <w:r>
        <w:rPr>
          <w:rFonts w:hint="eastAsia" w:ascii="宋体" w:hAnsi="宋体" w:eastAsia="宋体" w:cs="宋体"/>
          <w:color w:val="000000" w:themeColor="text1"/>
          <w:szCs w:val="20"/>
          <w:highlight w:val="none"/>
          <w14:textFill>
            <w14:solidFill>
              <w14:schemeClr w14:val="tx1"/>
            </w14:solidFill>
          </w14:textFill>
        </w:rPr>
        <w:t xml:space="preserve">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 xml:space="preserve">；</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 xml:space="preserve">……</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 xml:space="preserve">本企业对上述声明内容的真实性负责。如有虚假，将依法承担相应责任。</w:t>
      </w:r>
      <w:r/>
    </w:p>
    <w:p>
      <w:pPr>
        <w:ind w:firstLine="420"/>
        <w:jc w:val="center"/>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lang w:val="en-US" w:eastAsia="zh-CN"/>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 xml:space="preserve">企业名称（</w:t>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加盖公章</w:t>
      </w:r>
      <w:r>
        <w:rPr>
          <w:rFonts w:hint="eastAsia" w:ascii="宋体" w:hAnsi="宋体" w:eastAsia="宋体" w:cs="宋体"/>
          <w:color w:val="000000" w:themeColor="text1"/>
          <w:szCs w:val="20"/>
          <w:highlight w:val="none"/>
          <w14:textFill>
            <w14:solidFill>
              <w14:schemeClr w14:val="tx1"/>
            </w14:solidFill>
          </w14:textFill>
        </w:rPr>
        <w:t xml:space="preserve">）：</w:t>
      </w:r>
      <w:r>
        <w:rPr>
          <w:rFonts w:hint="eastAsia" w:ascii="宋体" w:hAnsi="宋体" w:eastAsia="宋体" w:cs="宋体"/>
          <w:color w:val="000000" w:themeColor="text1"/>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p>
    <w:p>
      <w:pPr>
        <w:ind w:firstLine="420"/>
        <w:jc w:val="center"/>
        <w:spacing w:before="100" w:beforeAutospacing="1" w:after="100" w:afterAutospacing="1" w:line="435" w:lineRule="exact"/>
        <w:shd w:val="clear" w:color="auto"/>
        <w:widowControl/>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 xml:space="preserve">日 期：</w:t>
      </w:r>
      <w:r/>
    </w:p>
    <w:p>
      <w:pPr>
        <w:ind w:firstLine="422"/>
        <w:jc w:val="left"/>
        <w:spacing w:line="420" w:lineRule="auto"/>
        <w:shd w:val="clear" w:color="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vertAlign w:val="superscript"/>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从业人员、营业收入、资产总额填报上一年度数据，无上一年度数据的新成立企业可不填报。</w:t>
      </w:r>
      <w:r/>
    </w:p>
    <w:p>
      <w:pPr>
        <w:ind w:firstLine="422"/>
        <w:jc w:val="left"/>
        <w:shd w:val="clear" w:color="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p>
      <w:pPr>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如供应商所投货物的制造商均为中小企业的，须由供应商在响应文件中提供加盖本单位公章的</w:t>
      </w:r>
      <w:r>
        <w:rPr>
          <w:rFonts w:hint="eastAsia" w:ascii="宋体" w:hAnsi="宋体" w:eastAsia="宋体" w:cs="宋体"/>
          <w:b/>
          <w:color w:val="000000" w:themeColor="text1"/>
          <w:sz w:val="21"/>
          <w:szCs w:val="21"/>
          <w:highlight w:val="none"/>
          <w14:textFill>
            <w14:solidFill>
              <w14:schemeClr w14:val="tx1"/>
            </w14:solidFill>
          </w14:textFill>
        </w:rPr>
        <w:t xml:space="preserve">声明</w:t>
      </w:r>
      <w:r>
        <w:rPr>
          <w:rFonts w:hint="eastAsia" w:ascii="宋体" w:hAnsi="宋体" w:eastAsia="宋体" w:cs="宋体"/>
          <w:b/>
          <w:bCs/>
          <w:color w:val="000000" w:themeColor="text1"/>
          <w:sz w:val="21"/>
          <w:szCs w:val="21"/>
          <w:highlight w:val="none"/>
          <w14:textFill>
            <w14:solidFill>
              <w14:schemeClr w14:val="tx1"/>
            </w14:solidFill>
          </w14:textFill>
        </w:rPr>
        <w:t xml:space="preserve">函，供应商应从制造商处获得充分、准确的信息，并对其出具的《中小企业声明函》真实性负责。</w:t>
      </w:r>
      <w:r/>
    </w:p>
    <w:p>
      <w:pPr>
        <w:rPr>
          <w:rFonts w:hint="eastAsia" w:ascii="宋体" w:hAnsi="宋体"/>
          <w:b/>
          <w:color w:val="000000" w:themeColor="text1"/>
          <w:sz w:val="24"/>
          <w:szCs w:val="21"/>
          <w:highlight w:val="none"/>
          <w:lang w:eastAsia="zh-CN"/>
          <w14:textFill>
            <w14:solidFill>
              <w14:schemeClr w14:val="tx1"/>
            </w14:solidFill>
          </w14:textFill>
        </w:rPr>
        <w:outlineLvl w:val="1"/>
      </w:pPr>
      <w:r/>
      <w:bookmarkStart w:id="190" w:name="_Toc16865"/>
      <w:r/>
      <w:bookmarkStart w:id="191" w:name="_Toc175663961"/>
      <w:r/>
      <w:bookmarkStart w:id="192" w:name="_Toc30604"/>
      <w:r/>
      <w:bookmarkStart w:id="193" w:name="_Toc5281"/>
      <w:r/>
      <w:r/>
    </w:p>
    <w:p>
      <w:pPr>
        <w:rPr>
          <w:rFonts w:hint="eastAsia"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r>
      <w:r/>
    </w:p>
    <w:p>
      <w:pPr>
        <w:rPr>
          <w:rFonts w:hint="eastAsia"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br w:type="page" w:clear="all"/>
      </w:r>
      <w:r/>
    </w:p>
    <w:p>
      <w:pPr>
        <w:rPr>
          <w:rFonts w:ascii="宋体" w:hAnsi="宋体"/>
          <w:b/>
          <w:color w:val="000000" w:themeColor="text1"/>
          <w:sz w:val="24"/>
          <w:szCs w:val="21"/>
          <w:highlight w:val="none"/>
          <w:lang w:eastAsia="zh-CN"/>
          <w14:textFill>
            <w14:solidFill>
              <w14:schemeClr w14:val="tx1"/>
            </w14:solidFill>
          </w14:textFill>
        </w:rPr>
        <w:outlineLvl w:val="1"/>
      </w:pPr>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一</w:t>
      </w:r>
      <w:r>
        <w:rPr>
          <w:rFonts w:hint="eastAsia" w:ascii="宋体" w:hAnsi="宋体"/>
          <w:b/>
          <w:color w:val="000000" w:themeColor="text1"/>
          <w:sz w:val="24"/>
          <w:szCs w:val="21"/>
          <w:highlight w:val="none"/>
          <w:lang w:eastAsia="zh-CN"/>
          <w14:textFill>
            <w14:solidFill>
              <w14:schemeClr w14:val="tx1"/>
            </w14:solidFill>
          </w14:textFill>
        </w:rPr>
        <w:t xml:space="preserve">、残疾人福利性单位声明函</w:t>
      </w:r>
      <w:bookmarkEnd w:id="190"/>
      <w:r/>
      <w:bookmarkEnd w:id="191"/>
      <w:r/>
      <w:bookmarkEnd w:id="192"/>
      <w:r/>
      <w:bookmarkEnd w:id="193"/>
      <w:r/>
      <w:r/>
    </w:p>
    <w:p>
      <w:pPr>
        <w:ind w:firstLine="723"/>
        <w:jc w:val="center"/>
        <w:widowControl/>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 xml:space="preserve">残疾人福利性单位声明函</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 xml:space="preserve">（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0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本单位对上述声明的真实性负责。如有虚假，将依法承担相应责任。</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供应商</w:t>
      </w:r>
      <w:r>
        <w:rPr>
          <w:color w:val="000000" w:themeColor="text1"/>
          <w:sz w:val="24"/>
          <w:szCs w:val="21"/>
          <w:highlight w:val="none"/>
          <w:lang w:eastAsia="zh-CN"/>
          <w14:textFill>
            <w14:solidFill>
              <w14:schemeClr w14:val="tx1"/>
            </w14:solidFill>
          </w14:textFill>
        </w:rPr>
        <w:t xml:space="preserve">（盖章）：            </w:t>
      </w:r>
      <w:r/>
    </w:p>
    <w:p>
      <w:pPr>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194" w:name="_Toc5074"/>
      <w:r/>
      <w:bookmarkStart w:id="195" w:name="_Toc27059"/>
      <w:r/>
      <w:bookmarkStart w:id="196" w:name="_Toc24113"/>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rPr>
          <w:rFonts w:ascii="宋体" w:hAnsi="宋体" w:cs="黑体"/>
          <w:b/>
          <w:bCs/>
          <w:color w:val="000000" w:themeColor="text1"/>
          <w:sz w:val="24"/>
          <w:szCs w:val="21"/>
          <w:highlight w:val="none"/>
          <w:lang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197" w:name="_Toc175663962"/>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二</w:t>
      </w:r>
      <w:r>
        <w:rPr>
          <w:rFonts w:hint="eastAsia" w:ascii="宋体" w:hAnsi="宋体"/>
          <w:b/>
          <w:color w:val="000000" w:themeColor="text1"/>
          <w:sz w:val="24"/>
          <w:szCs w:val="21"/>
          <w:highlight w:val="none"/>
          <w:lang w:eastAsia="zh-CN"/>
          <w14:textFill>
            <w14:solidFill>
              <w14:schemeClr w14:val="tx1"/>
            </w14:solidFill>
          </w14:textFill>
        </w:rPr>
        <w:t xml:space="preserve">：技术条款偏离表格式</w:t>
      </w:r>
      <w:bookmarkEnd w:id="197"/>
      <w:r/>
      <w:r/>
    </w:p>
    <w:p>
      <w:pPr>
        <w:ind w:firstLine="723"/>
        <w:jc w:val="center"/>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技术条款偏离表</w:t>
      </w:r>
      <w:r/>
    </w:p>
    <w:tbl>
      <w:tblPr>
        <w:tblStyle w:val="637"/>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5"/>
        <w:gridCol w:w="2338"/>
        <w:gridCol w:w="2693"/>
        <w:gridCol w:w="2410"/>
        <w:gridCol w:w="1229"/>
      </w:tblGrid>
      <w:tr>
        <w:trPr>
          <w:jc w:val="center"/>
          <w:trHeight w:val="747"/>
        </w:trPr>
        <w:tc>
          <w:tcPr>
            <w:gridSpan w:val="5"/>
            <w:tcBorders>
              <w:top w:val="none" w:color="000000" w:sz="4" w:space="0"/>
              <w:left w:val="none" w:color="000000" w:sz="4" w:space="0"/>
              <w:bottom w:val="single" w:color="auto" w:sz="4" w:space="0"/>
              <w:right w:val="none" w:color="000000" w:sz="4" w:space="0"/>
            </w:tcBorders>
            <w:tcW w:w="9435" w:type="dxa"/>
            <w:vAlign w:val="center"/>
            <w:textDirection w:val="lrTb"/>
            <w:noWrap/>
          </w:tcPr>
          <w:p>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JSZC-320115-NJMT-C2026-0010</w:t>
            </w:r>
            <w:r/>
          </w:p>
          <w:p>
            <w:pPr>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bCs/>
                <w:color w:val="000000" w:themeColor="text1"/>
                <w:sz w:val="24"/>
                <w:szCs w:val="21"/>
                <w:highlight w:val="none"/>
                <w:u w:val="single"/>
                <w:lang w:eastAsia="zh-CN"/>
                <w14:textFill>
                  <w14:solidFill>
                    <w14:schemeClr w14:val="tx1"/>
                  </w14:solidFill>
                </w14:textFill>
              </w:rPr>
              <w:t xml:space="preserve">新济洲2025年度公益林生态效益补偿项目</w:t>
            </w:r>
            <w:r/>
          </w:p>
        </w:tc>
      </w:tr>
      <w:tr>
        <w:trPr>
          <w:jc w:val="center"/>
          <w:trHeight w:val="284"/>
        </w:trPr>
        <w:tc>
          <w:tcPr>
            <w:tcBorders>
              <w:top w:val="single" w:color="auto" w:sz="4" w:space="0"/>
            </w:tcBorders>
            <w:tcW w:w="765" w:type="dxa"/>
            <w:vAlign w:val="center"/>
            <w:textDirection w:val="lrTb"/>
            <w:noWrap/>
          </w:tcPr>
          <w:p>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Borders>
              <w:top w:val="single" w:color="auto" w:sz="4" w:space="0"/>
            </w:tcBorders>
            <w:tcW w:w="2338"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采购文件的技术条款</w:t>
            </w:r>
            <w:r/>
          </w:p>
        </w:tc>
        <w:tc>
          <w:tcPr>
            <w:tcBorders>
              <w:top w:val="single" w:color="auto" w:sz="4" w:space="0"/>
            </w:tcBorders>
            <w:tcW w:w="2693"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Borders>
              <w:top w:val="single" w:color="auto" w:sz="4" w:space="0"/>
            </w:tcBorders>
            <w:tcW w:w="241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Borders>
              <w:top w:val="single" w:color="auto" w:sz="4" w:space="0"/>
            </w:tcBorders>
            <w:tcW w:w="1229"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38"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84"/>
        </w:trPr>
        <w:tc>
          <w:tcPr>
            <w:tcW w:w="765" w:type="dxa"/>
            <w:vAlign w:val="center"/>
            <w:textDirection w:val="lrTb"/>
            <w:noWrap/>
          </w:tcPr>
          <w:p>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38"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693"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2410"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c>
          <w:tcPr>
            <w:tcW w:w="1229" w:type="dxa"/>
            <w:vAlign w:val="center"/>
            <w:textDirection w:val="lrTb"/>
            <w:noWrap/>
          </w:tcPr>
          <w:p>
            <w:pPr>
              <w:ind w:firstLine="424"/>
              <w:jc w:val="center"/>
              <w:rPr>
                <w:color w:val="000000" w:themeColor="text1"/>
                <w:spacing w:val="6"/>
                <w:sz w:val="20"/>
                <w:szCs w:val="20"/>
                <w:highlight w:val="none"/>
                <w:lang w:val="zh-CN"/>
                <w14:textFill>
                  <w14:solidFill>
                    <w14:schemeClr w14:val="tx1"/>
                  </w14:solidFill>
                </w14:textFill>
              </w:rPr>
            </w:pPr>
            <w:r>
              <w:rPr>
                <w:color w:val="000000" w:themeColor="text1"/>
                <w:spacing w:val="6"/>
                <w:sz w:val="20"/>
                <w:szCs w:val="20"/>
                <w:highlight w:val="none"/>
                <w:lang w:val="zh-CN"/>
                <w14:textFill>
                  <w14:solidFill>
                    <w14:schemeClr w14:val="tx1"/>
                  </w14:solidFill>
                </w14:textFill>
              </w:rPr>
            </w:r>
            <w:r/>
          </w:p>
        </w:tc>
      </w:tr>
      <w:tr>
        <w:trPr>
          <w:jc w:val="center"/>
          <w:trHeight w:val="295"/>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3</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r>
        <w:trPr>
          <w:jc w:val="center"/>
          <w:trHeight w:val="373"/>
        </w:trPr>
        <w:tc>
          <w:tcPr>
            <w:tcW w:w="765"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4</w:t>
            </w:r>
            <w:r/>
          </w:p>
        </w:tc>
        <w:tc>
          <w:tcPr>
            <w:tcW w:w="2338"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693"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2410"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c>
          <w:tcPr>
            <w:tcW w:w="1229" w:type="dxa"/>
            <w:vAlign w:val="center"/>
            <w:textDirection w:val="lrTb"/>
            <w:noWrap/>
          </w:tcPr>
          <w:p>
            <w:pPr>
              <w:jc w:val="center"/>
              <w:spacing w:line="360" w:lineRule="auto"/>
              <w:rPr>
                <w:rFonts w:ascii="宋体" w:hAnsi="宋体" w:cs="宋体"/>
                <w:b/>
                <w:bCs/>
                <w:color w:val="000000" w:themeColor="text1"/>
                <w:szCs w:val="21"/>
                <w:highlight w:val="none"/>
                <w:lang w:val="zh-CN"/>
                <w14:textFill>
                  <w14:solidFill>
                    <w14:schemeClr w14:val="tx1"/>
                  </w14:solidFill>
                </w14:textFill>
              </w:rPr>
            </w:pPr>
            <w:r>
              <w:rPr>
                <w:rFonts w:ascii="宋体" w:hAnsi="宋体" w:cs="宋体"/>
                <w:b/>
                <w:bCs/>
                <w:color w:val="000000" w:themeColor="text1"/>
                <w:szCs w:val="21"/>
                <w:highlight w:val="none"/>
                <w:lang w:val="zh-CN"/>
                <w14:textFill>
                  <w14:solidFill>
                    <w14:schemeClr w14:val="tx1"/>
                  </w14:solidFill>
                </w14:textFill>
              </w:rPr>
            </w:r>
            <w:r/>
          </w:p>
        </w:tc>
      </w:tr>
    </w:tbl>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r/>
    </w:p>
    <w:p>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bookmarkStart w:id="198" w:name="_Toc11155"/>
      <w:r/>
      <w:bookmarkStart w:id="199" w:name="_Toc26433"/>
      <w:r/>
      <w:bookmarkStart w:id="200" w:name="_Toc23139"/>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eastAsiaTheme="minorEastAsia"/>
          <w:b/>
          <w:color w:val="000000" w:themeColor="text1"/>
          <w:szCs w:val="21"/>
          <w:highlight w:val="none"/>
          <w:lang w:val="zh-CN" w:eastAsia="zh-CN"/>
          <w14:textFill>
            <w14:solidFill>
              <w14:schemeClr w14:val="tx1"/>
            </w14:solidFill>
          </w14:textFill>
        </w:rPr>
        <w:outlineLvl w:val="1"/>
      </w:pPr>
      <w:r>
        <w:rPr>
          <w:rFonts w:ascii="宋体" w:cs="宋体" w:eastAsiaTheme="minorEastAsia"/>
          <w:b/>
          <w:color w:val="000000" w:themeColor="text1"/>
          <w:szCs w:val="21"/>
          <w:highlight w:val="none"/>
          <w:lang w:val="zh-CN" w:eastAsia="zh-CN"/>
          <w14:textFill>
            <w14:solidFill>
              <w14:schemeClr w14:val="tx1"/>
            </w14:solidFill>
          </w14:textFill>
        </w:rPr>
      </w:r>
      <w:r/>
    </w:p>
    <w:p>
      <w:pPr>
        <w:pStyle w:val="692"/>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pStyle w:val="692"/>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cs="宋体"/>
          <w:b/>
          <w:color w:val="000000" w:themeColor="text1"/>
          <w:szCs w:val="21"/>
          <w:highlight w:val="none"/>
          <w:lang w:val="zh-CN" w:eastAsia="zh-CN"/>
          <w14:textFill>
            <w14:solidFill>
              <w14:schemeClr w14:val="tx1"/>
            </w14:solidFill>
          </w14:textFill>
        </w:rPr>
        <w:outlineLvl w:val="1"/>
      </w:pPr>
      <w:r>
        <w:rPr>
          <w:rFonts w:ascii="宋体" w:cs="宋体"/>
          <w:b/>
          <w:color w:val="000000" w:themeColor="text1"/>
          <w:szCs w:val="21"/>
          <w:highlight w:val="none"/>
          <w:lang w:val="zh-CN" w:eastAsia="zh-CN"/>
          <w14:textFill>
            <w14:solidFill>
              <w14:schemeClr w14:val="tx1"/>
            </w14:solidFill>
          </w14:textFill>
        </w:rPr>
      </w:r>
      <w:r/>
    </w:p>
    <w:p>
      <w:pPr>
        <w:spacing w:line="360" w:lineRule="auto"/>
        <w:widowControl/>
        <w:rPr>
          <w:rFonts w:ascii="宋体" w:hAnsi="宋体"/>
          <w:b/>
          <w:color w:val="000000" w:themeColor="text1"/>
          <w:sz w:val="24"/>
          <w:szCs w:val="21"/>
          <w:highlight w:val="none"/>
          <w:lang w:eastAsia="zh-CN"/>
          <w14:textFill>
            <w14:solidFill>
              <w14:schemeClr w14:val="tx1"/>
            </w14:solidFill>
          </w14:textFill>
        </w:rPr>
        <w:outlineLvl w:val="1"/>
      </w:pPr>
      <w:r/>
      <w:bookmarkStart w:id="201" w:name="_Toc175663963"/>
      <w:r>
        <w:rPr>
          <w:rFonts w:hint="eastAsia" w:ascii="宋体" w:hAnsi="宋体"/>
          <w:b/>
          <w:color w:val="000000" w:themeColor="text1"/>
          <w:sz w:val="24"/>
          <w:szCs w:val="21"/>
          <w:highlight w:val="none"/>
          <w:lang w:eastAsia="zh-CN"/>
          <w14:textFill>
            <w14:solidFill>
              <w14:schemeClr w14:val="tx1"/>
            </w14:solidFill>
          </w14:textFill>
        </w:rPr>
        <w:t xml:space="preserve">十</w:t>
      </w:r>
      <w:r>
        <w:rPr>
          <w:rFonts w:hint="eastAsia" w:ascii="宋体" w:hAnsi="宋体"/>
          <w:b/>
          <w:color w:val="000000" w:themeColor="text1"/>
          <w:sz w:val="24"/>
          <w:szCs w:val="21"/>
          <w:highlight w:val="none"/>
          <w:lang w:val="en-US" w:eastAsia="zh-CN"/>
          <w14:textFill>
            <w14:solidFill>
              <w14:schemeClr w14:val="tx1"/>
            </w14:solidFill>
          </w14:textFill>
        </w:rPr>
        <w:t xml:space="preserve">三</w:t>
      </w:r>
      <w:r>
        <w:rPr>
          <w:rFonts w:hint="eastAsia" w:ascii="宋体" w:hAnsi="宋体"/>
          <w:b/>
          <w:color w:val="000000" w:themeColor="text1"/>
          <w:sz w:val="24"/>
          <w:szCs w:val="21"/>
          <w:highlight w:val="none"/>
          <w:lang w:eastAsia="zh-CN"/>
          <w14:textFill>
            <w14:solidFill>
              <w14:schemeClr w14:val="tx1"/>
            </w14:solidFill>
          </w14:textFill>
        </w:rPr>
        <w:t xml:space="preserve">：商务条款偏离表格式</w:t>
      </w:r>
      <w:bookmarkEnd w:id="198"/>
      <w:r/>
      <w:bookmarkEnd w:id="199"/>
      <w:r/>
      <w:bookmarkEnd w:id="200"/>
      <w:r/>
      <w:bookmarkEnd w:id="201"/>
      <w:r/>
      <w:r/>
    </w:p>
    <w:p>
      <w:pPr>
        <w:ind w:firstLine="723"/>
        <w:jc w:val="center"/>
        <w:spacing w:line="360" w:lineRule="auto"/>
        <w:widowControl/>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 xml:space="preserve">商务条款偏离表</w:t>
      </w:r>
      <w:r/>
    </w:p>
    <w:tbl>
      <w:tblPr>
        <w:tblStyle w:val="63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77"/>
        <w:gridCol w:w="2342"/>
        <w:gridCol w:w="2835"/>
        <w:gridCol w:w="2368"/>
        <w:gridCol w:w="1020"/>
      </w:tblGrid>
      <w:tr>
        <w:trPr>
          <w:jc w:val="center"/>
          <w:trHeight w:val="284"/>
          <w:tblHeader/>
        </w:trPr>
        <w:tc>
          <w:tcPr>
            <w:gridSpan w:val="5"/>
            <w:tcBorders>
              <w:top w:val="none" w:color="000000" w:sz="4" w:space="0"/>
              <w:left w:val="none" w:color="000000" w:sz="4" w:space="0"/>
              <w:right w:val="none" w:color="000000" w:sz="4" w:space="0"/>
            </w:tcBorders>
            <w:tcW w:w="9342" w:type="dxa"/>
            <w:vAlign w:val="center"/>
            <w:textDirection w:val="lrTb"/>
            <w:noWrap/>
          </w:tcPr>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项目编号：</w:t>
            </w:r>
            <w:r>
              <w:rPr>
                <w:rFonts w:hint="eastAsia" w:ascii="宋体" w:hAnsi="宋体"/>
                <w:bCs/>
                <w:color w:val="000000" w:themeColor="text1"/>
                <w:sz w:val="24"/>
                <w:szCs w:val="21"/>
                <w:highlight w:val="none"/>
                <w:lang w:eastAsia="zh-CN"/>
                <w14:textFill>
                  <w14:solidFill>
                    <w14:schemeClr w14:val="tx1"/>
                  </w14:solidFill>
                </w14:textFill>
              </w:rPr>
              <w:t xml:space="preserve">JSZC-320115-NJMT-C2026-0010</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项目名称：</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 xml:space="preserve">新济洲2025年度公益林生态效益补偿项目</w:t>
            </w:r>
            <w:r/>
          </w:p>
        </w:tc>
      </w:tr>
      <w:tr>
        <w:trPr>
          <w:jc w:val="center"/>
          <w:trHeight w:val="774"/>
        </w:trPr>
        <w:tc>
          <w:tcPr>
            <w:tcW w:w="777"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序号</w:t>
            </w:r>
            <w:r/>
          </w:p>
        </w:tc>
        <w:tc>
          <w:tcPr>
            <w:tcW w:w="2342" w:type="dxa"/>
            <w:vAlign w:val="center"/>
            <w:textDirection w:val="lrTb"/>
            <w:noWrap/>
          </w:tcPr>
          <w:p>
            <w:pPr>
              <w:jc w:val="center"/>
              <w:spacing w:line="360" w:lineRule="auto"/>
              <w:widowControl/>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采购文件的商务条款</w:t>
            </w:r>
            <w:r/>
          </w:p>
        </w:tc>
        <w:tc>
          <w:tcPr>
            <w:tcW w:w="2835"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响应文件中响应条款</w:t>
            </w:r>
            <w:r/>
          </w:p>
        </w:tc>
        <w:tc>
          <w:tcPr>
            <w:tcW w:w="2368"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符合/正偏离/负偏离</w:t>
            </w:r>
            <w:r/>
          </w:p>
        </w:tc>
        <w:tc>
          <w:tcPr>
            <w:tcW w:w="1020" w:type="dxa"/>
            <w:vAlign w:val="center"/>
            <w:textDirection w:val="lrTb"/>
            <w:noWrap/>
          </w:tcPr>
          <w:p>
            <w:pPr>
              <w:jc w:val="center"/>
              <w:spacing w:line="360" w:lineRule="auto"/>
              <w:widowControl/>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 xml:space="preserve">备注</w:t>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1</w:t>
            </w:r>
            <w:r/>
          </w:p>
        </w:tc>
        <w:tc>
          <w:tcPr>
            <w:tcW w:w="2342" w:type="dxa"/>
            <w:vAlign w:val="center"/>
            <w:textDirection w:val="lrTb"/>
            <w:noWrap/>
          </w:tcPr>
          <w:p>
            <w:pPr>
              <w:jc w:val="center"/>
              <w:spacing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磋商申请及声明</w:t>
            </w:r>
            <w:r/>
          </w:p>
        </w:tc>
        <w:tc>
          <w:tcPr>
            <w:tcW w:w="2835"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c>
          <w:tcPr>
            <w:tcW w:w="2368"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c>
          <w:tcPr>
            <w:tcW w:w="1020"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2</w:t>
            </w:r>
            <w:r/>
          </w:p>
        </w:tc>
        <w:tc>
          <w:tcPr>
            <w:tcW w:w="2342" w:type="dxa"/>
            <w:vAlign w:val="center"/>
            <w:textDirection w:val="lrTb"/>
            <w:noWrap/>
          </w:tcPr>
          <w:p>
            <w:pPr>
              <w:jc w:val="center"/>
              <w:spacing w:line="360" w:lineRule="auto"/>
              <w:widowControl/>
              <w:rPr>
                <w:rFonts w:hint="eastAsia" w:ascii="宋体" w:hAnsi="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 xml:space="preserve">法定代表人授权委托书</w:t>
            </w:r>
            <w:r/>
          </w:p>
        </w:tc>
        <w:tc>
          <w:tcPr>
            <w:tcW w:w="2835" w:type="dxa"/>
            <w:vAlign w:val="center"/>
            <w:textDirection w:val="lrTb"/>
            <w:noWrap/>
          </w:tcPr>
          <w:p>
            <w:pPr>
              <w:jc w:val="center"/>
              <w:spacing w:line="360" w:lineRule="auto"/>
              <w:widowControl/>
              <w:rPr>
                <w:rFonts w:hint="eastAsia" w:ascii="宋体" w:hAnsi="宋体"/>
                <w:bCs/>
                <w:color w:val="000000" w:themeColor="text1"/>
                <w:sz w:val="24"/>
                <w:highlight w:val="none"/>
                <w:lang w:val="zh-CN" w:eastAsia="zh-CN"/>
                <w14:textFill>
                  <w14:solidFill>
                    <w14:schemeClr w14:val="tx1"/>
                  </w14:solidFill>
                </w14:textFill>
              </w:rPr>
            </w:pPr>
            <w:r>
              <w:rPr>
                <w:rFonts w:hint="eastAsia" w:ascii="宋体" w:hAnsi="宋体"/>
                <w:bCs/>
                <w:color w:val="000000" w:themeColor="text1"/>
                <w:sz w:val="24"/>
                <w:highlight w:val="none"/>
                <w:lang w:val="zh-CN" w:eastAsia="zh-CN"/>
                <w14:textFill>
                  <w14:solidFill>
                    <w14:schemeClr w14:val="tx1"/>
                  </w14:solidFill>
                </w14:textFill>
              </w:rPr>
            </w:r>
            <w:r/>
          </w:p>
        </w:tc>
        <w:tc>
          <w:tcPr>
            <w:tcW w:w="2368" w:type="dxa"/>
            <w:vAlign w:val="center"/>
            <w:textDirection w:val="lrTb"/>
            <w:noWrap/>
          </w:tcPr>
          <w:p>
            <w:pPr>
              <w:jc w:val="center"/>
              <w:spacing w:line="360" w:lineRule="auto"/>
              <w:widowControl/>
              <w:rPr>
                <w:rFonts w:hint="eastAsia" w:ascii="宋体" w:hAnsi="宋体"/>
                <w:bCs/>
                <w:color w:val="000000" w:themeColor="text1"/>
                <w:sz w:val="24"/>
                <w:highlight w:val="none"/>
                <w:lang w:val="zh-CN" w:eastAsia="zh-CN"/>
                <w14:textFill>
                  <w14:solidFill>
                    <w14:schemeClr w14:val="tx1"/>
                  </w14:solidFill>
                </w14:textFill>
              </w:rPr>
            </w:pPr>
            <w:r>
              <w:rPr>
                <w:rFonts w:hint="eastAsia" w:ascii="宋体" w:hAnsi="宋体"/>
                <w:bCs/>
                <w:color w:val="000000" w:themeColor="text1"/>
                <w:sz w:val="24"/>
                <w:highlight w:val="none"/>
                <w:lang w:val="zh-CN" w:eastAsia="zh-CN"/>
                <w14:textFill>
                  <w14:solidFill>
                    <w14:schemeClr w14:val="tx1"/>
                  </w14:solidFill>
                </w14:textFill>
              </w:rPr>
            </w:r>
            <w:r/>
          </w:p>
        </w:tc>
        <w:tc>
          <w:tcPr>
            <w:tcW w:w="1020" w:type="dxa"/>
            <w:vAlign w:val="center"/>
            <w:textDirection w:val="lrTb"/>
            <w:noWrap/>
          </w:tcPr>
          <w:p>
            <w:pPr>
              <w:jc w:val="center"/>
              <w:spacing w:line="360" w:lineRule="auto"/>
              <w:widowControl/>
              <w:rPr>
                <w:rFonts w:hint="eastAsia" w:ascii="宋体" w:hAnsi="宋体"/>
                <w:bCs/>
                <w:color w:val="000000" w:themeColor="text1"/>
                <w:sz w:val="24"/>
                <w:highlight w:val="none"/>
                <w:lang w:val="zh-CN" w:eastAsia="zh-CN"/>
                <w14:textFill>
                  <w14:solidFill>
                    <w14:schemeClr w14:val="tx1"/>
                  </w14:solidFill>
                </w14:textFill>
              </w:rPr>
            </w:pPr>
            <w:r>
              <w:rPr>
                <w:rFonts w:hint="eastAsia" w:ascii="宋体" w:hAnsi="宋体"/>
                <w:bCs/>
                <w:color w:val="000000" w:themeColor="text1"/>
                <w:sz w:val="24"/>
                <w:highlight w:val="none"/>
                <w:lang w:val="zh-CN" w:eastAsia="zh-CN"/>
                <w14:textFill>
                  <w14:solidFill>
                    <w14:schemeClr w14:val="tx1"/>
                  </w14:solidFill>
                </w14:textFill>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3</w:t>
            </w:r>
            <w:r/>
          </w:p>
        </w:tc>
        <w:tc>
          <w:tcPr>
            <w:tcW w:w="2342" w:type="dxa"/>
            <w:vAlign w:val="center"/>
            <w:textDirection w:val="lrTb"/>
            <w:noWrap/>
          </w:tcPr>
          <w:p>
            <w:pPr>
              <w:jc w:val="center"/>
              <w:spacing w:line="360" w:lineRule="auto"/>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磋商报价汇总表</w:t>
            </w:r>
            <w:r/>
          </w:p>
        </w:tc>
        <w:tc>
          <w:tcPr>
            <w:tcW w:w="2835"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c>
          <w:tcPr>
            <w:tcW w:w="2368"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c>
          <w:tcPr>
            <w:tcW w:w="1020"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r>
      <w:tr>
        <w:trPr>
          <w:jc w:val="center"/>
          <w:trHeight w:val="284"/>
        </w:trPr>
        <w:tc>
          <w:tcPr>
            <w:tcW w:w="777" w:type="dxa"/>
            <w:vAlign w:val="center"/>
            <w:textDirection w:val="lrTb"/>
            <w:noWrap/>
          </w:tcPr>
          <w:p>
            <w:pPr>
              <w:jc w:val="center"/>
              <w:spacing w:line="360" w:lineRule="auto"/>
              <w:widowControl/>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 xml:space="preserve">4</w:t>
            </w:r>
            <w:r/>
          </w:p>
        </w:tc>
        <w:tc>
          <w:tcPr>
            <w:tcW w:w="2342" w:type="dxa"/>
            <w:vAlign w:val="center"/>
            <w:textDirection w:val="lrTb"/>
            <w:noWrap/>
          </w:tcPr>
          <w:p>
            <w:pPr>
              <w:jc w:val="center"/>
              <w:spacing w:line="360" w:lineRule="auto"/>
              <w:widowControl/>
              <w:rPr>
                <w:rFonts w:hint="default" w:ascii="宋体" w:hAnsi="宋体"/>
                <w:bCs/>
                <w:color w:val="000000" w:themeColor="text1"/>
                <w:sz w:val="24"/>
                <w:highlight w:val="none"/>
                <w:lang w:val="en-US" w:eastAsia="zh-CN"/>
                <w14:textFill>
                  <w14:solidFill>
                    <w14:schemeClr w14:val="tx1"/>
                  </w14:solidFill>
                </w14:textFill>
              </w:rPr>
            </w:pPr>
            <w:r>
              <w:rPr>
                <w:rFonts w:hint="default" w:ascii="宋体" w:hAnsi="宋体"/>
                <w:bCs/>
                <w:color w:val="000000" w:themeColor="text1"/>
                <w:sz w:val="24"/>
                <w:highlight w:val="none"/>
                <w:lang w:val="en-US" w:eastAsia="zh-CN"/>
                <w14:textFill>
                  <w14:solidFill>
                    <w14:schemeClr w14:val="tx1"/>
                  </w14:solidFill>
                </w14:textFill>
              </w:rPr>
            </w:r>
            <w:r/>
          </w:p>
        </w:tc>
        <w:tc>
          <w:tcPr>
            <w:tcW w:w="2835"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c>
          <w:tcPr>
            <w:tcW w:w="2368"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c>
          <w:tcPr>
            <w:tcW w:w="1020" w:type="dxa"/>
            <w:vAlign w:val="center"/>
            <w:textDirection w:val="lrTb"/>
            <w:noWrap/>
          </w:tcPr>
          <w:p>
            <w:pPr>
              <w:jc w:val="center"/>
              <w:spacing w:line="360" w:lineRule="auto"/>
              <w:widowControl/>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tc>
      </w:tr>
    </w:tbl>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我方承诺，除上表所列内容外，我方完全响应招标文件商务条款要求。</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供应商名称：（盖章）</w:t>
      </w:r>
      <w:r/>
    </w:p>
    <w:p>
      <w:pPr>
        <w:spacing w:line="360" w:lineRule="auto"/>
        <w:widowControl/>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 xml:space="preserve">日    期：    年    月   日</w:t>
      </w:r>
      <w:r/>
    </w:p>
    <w:p>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说明：如果行数不够，请自行增加。</w:t>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692"/>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pStyle w:val="692"/>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exact"/>
        <w:rPr>
          <w:color w:val="000000" w:themeColor="text1"/>
          <w:spacing w:val="6"/>
          <w:sz w:val="24"/>
          <w:szCs w:val="21"/>
          <w:highlight w:val="none"/>
          <w:lang w:val="zh-CN" w:eastAsia="zh-CN"/>
          <w14:textFill>
            <w14:solidFill>
              <w14:schemeClr w14:val="tx1"/>
            </w14:solidFill>
          </w14:textFill>
        </w:rPr>
      </w:pPr>
      <w:r>
        <w:rPr>
          <w:color w:val="000000" w:themeColor="text1"/>
          <w:spacing w:val="6"/>
          <w:sz w:val="24"/>
          <w:szCs w:val="21"/>
          <w:highlight w:val="none"/>
          <w:lang w:val="zh-CN" w:eastAsia="zh-CN"/>
          <w14:textFill>
            <w14:solidFill>
              <w14:schemeClr w14:val="tx1"/>
            </w14:solidFill>
          </w14:textFill>
        </w:rPr>
      </w:r>
      <w:r/>
    </w:p>
    <w:p>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r>
        <w:rPr>
          <w:rFonts w:eastAsiaTheme="minorEastAsia"/>
          <w:color w:val="000000" w:themeColor="text1"/>
          <w:spacing w:val="6"/>
          <w:sz w:val="24"/>
          <w:szCs w:val="21"/>
          <w:highlight w:val="none"/>
          <w:lang w:val="zh-CN" w:eastAsia="zh-CN"/>
          <w14:textFill>
            <w14:solidFill>
              <w14:schemeClr w14:val="tx1"/>
            </w14:solidFill>
          </w14:textFill>
        </w:rPr>
      </w:r>
      <w:r/>
    </w:p>
    <w:p>
      <w:pPr>
        <w:pStyle w:val="692"/>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r>
      <w:r/>
    </w:p>
    <w:p>
      <w:pPr>
        <w:spacing w:line="360" w:lineRule="auto"/>
        <w:rPr>
          <w:rFonts w:ascii="宋体" w:hAnsi="宋体" w:cs="黑体"/>
          <w:b/>
          <w:bCs/>
          <w:color w:val="000000" w:themeColor="text1"/>
          <w:sz w:val="24"/>
          <w:szCs w:val="21"/>
          <w:highlight w:val="none"/>
          <w:lang w:eastAsia="zh-CN"/>
          <w14:textFill>
            <w14:solidFill>
              <w14:schemeClr w14:val="tx1"/>
            </w14:solidFill>
          </w14:textFill>
        </w:rPr>
        <w:outlineLvl w:val="1"/>
      </w:pPr>
      <w:r/>
      <w:bookmarkStart w:id="202" w:name="_Toc175663964"/>
      <w:r>
        <w:rPr>
          <w:rFonts w:hint="eastAsia" w:ascii="宋体" w:hAnsi="宋体" w:cs="黑体"/>
          <w:b/>
          <w:bCs/>
          <w:color w:val="000000" w:themeColor="text1"/>
          <w:sz w:val="24"/>
          <w:szCs w:val="21"/>
          <w:highlight w:val="none"/>
          <w:lang w:eastAsia="zh-CN"/>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四</w:t>
      </w:r>
      <w:r>
        <w:rPr>
          <w:rFonts w:hint="eastAsia" w:ascii="宋体" w:hAnsi="宋体" w:cs="黑体"/>
          <w:b/>
          <w:bCs/>
          <w:color w:val="000000" w:themeColor="text1"/>
          <w:sz w:val="24"/>
          <w:szCs w:val="21"/>
          <w:highlight w:val="none"/>
          <w:lang w:eastAsia="zh-CN"/>
          <w14:textFill>
            <w14:solidFill>
              <w14:schemeClr w14:val="tx1"/>
            </w14:solidFill>
          </w14:textFill>
        </w:rPr>
        <w:t xml:space="preserve">、南京市政府采购供应商信用记录表暨信用承诺书</w:t>
      </w:r>
      <w:bookmarkEnd w:id="194"/>
      <w:r/>
      <w:bookmarkEnd w:id="195"/>
      <w:r/>
      <w:bookmarkEnd w:id="196"/>
      <w:r>
        <w:rPr>
          <w:rFonts w:hint="eastAsia" w:ascii="宋体" w:hAnsi="宋体" w:cs="黑体"/>
          <w:b/>
          <w:bCs/>
          <w:color w:val="000000" w:themeColor="text1"/>
          <w:sz w:val="24"/>
          <w:szCs w:val="21"/>
          <w:highlight w:val="none"/>
          <w:lang w:eastAsia="zh-CN"/>
          <w14:textFill>
            <w14:solidFill>
              <w14:schemeClr w14:val="tx1"/>
            </w14:solidFill>
          </w14:textFill>
        </w:rPr>
        <w:t xml:space="preserve">（附件）</w:t>
      </w:r>
      <w:bookmarkEnd w:id="202"/>
      <w:r/>
      <w:r/>
    </w:p>
    <w:tbl>
      <w:tblPr>
        <w:tblStyle w:val="637"/>
        <w:tblW w:w="9654" w:type="dxa"/>
        <w:tblInd w:w="0" w:type="dxa"/>
        <w:tblLayout w:type="fixed"/>
        <w:tblCellMar>
          <w:left w:w="15" w:type="dxa"/>
          <w:top w:w="15" w:type="dxa"/>
          <w:right w:w="15" w:type="dxa"/>
          <w:bottom w:w="15" w:type="dxa"/>
        </w:tblCellMar>
        <w:tblLook w:val="04A0" w:firstRow="1" w:lastRow="0" w:firstColumn="1" w:lastColumn="0" w:noHBand="0" w:noVBand="1"/>
      </w:tblPr>
      <w:tblGrid>
        <w:gridCol w:w="2000"/>
        <w:gridCol w:w="2693"/>
        <w:gridCol w:w="2552"/>
        <w:gridCol w:w="2409"/>
      </w:tblGrid>
      <w:tr>
        <w:trPr>
          <w:trHeight w:val="600"/>
        </w:trPr>
        <w:tc>
          <w:tcPr>
            <w:gridSpan w:val="4"/>
            <w:tcW w:w="9654" w:type="dxa"/>
            <w:vAlign w:val="center"/>
            <w:textDirection w:val="lrTb"/>
            <w:noWrap/>
          </w:tcPr>
          <w:p>
            <w:pPr>
              <w:jc w:val="center"/>
              <w:widowControl/>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 xml:space="preserve">南京市政府采购供应商信用记录表暨信用承诺书（附件）</w:t>
            </w:r>
            <w:r/>
          </w:p>
        </w:tc>
      </w:tr>
      <w:tr>
        <w:trPr>
          <w:trHeight w:val="570"/>
        </w:trPr>
        <w:tc>
          <w:tcPr>
            <w:gridSpan w:val="4"/>
            <w:tcW w:w="9654" w:type="dxa"/>
            <w:vAlign w:val="center"/>
            <w:textDirection w:val="lrTb"/>
            <w:noWrap/>
          </w:tcPr>
          <w:p>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 xml:space="preserve">（仅为示范格式，直接填写无效，需至“南京政府采购供应商诚信档案管理系统”在线打印）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单位名称</w:t>
            </w:r>
            <w:r/>
          </w:p>
        </w:tc>
        <w:tc>
          <w:tcPr>
            <w:tcBorders>
              <w:top w:val="single" w:color="000000" w:sz="18"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18"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585"/>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法定代表人</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联系人</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720"/>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联系地址</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联系电话</w:t>
            </w:r>
            <w:r/>
          </w:p>
        </w:tc>
        <w:tc>
          <w:tcPr>
            <w:tcBorders>
              <w:top w:val="single" w:color="000000" w:sz="4" w:space="0"/>
              <w:left w:val="single" w:color="000000" w:sz="4" w:space="0"/>
              <w:bottom w:val="single" w:color="000000" w:sz="4" w:space="0"/>
              <w:right w:val="single" w:color="000000" w:sz="18" w:space="0"/>
            </w:tcBorders>
            <w:tcW w:w="2409"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953"/>
        </w:trPr>
        <w:tc>
          <w:tcPr>
            <w:tcBorders>
              <w:top w:val="single" w:color="000000" w:sz="4" w:space="0"/>
              <w:left w:val="single" w:color="000000" w:sz="18" w:space="0"/>
              <w:bottom w:val="single" w:color="000000" w:sz="4"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7654" w:type="dxa"/>
            <w:vAlign w:val="center"/>
            <w:textDirection w:val="lrTb"/>
            <w:noWrap/>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3512"/>
        </w:trPr>
        <w:tc>
          <w:tcPr>
            <w:tcBorders>
              <w:top w:val="single" w:color="000000" w:sz="4" w:space="0"/>
              <w:left w:val="single" w:color="000000" w:sz="18" w:space="0"/>
              <w:bottom w:val="single" w:color="000000" w:sz="18" w:space="0"/>
              <w:right w:val="single" w:color="000000" w:sz="4" w:space="0"/>
            </w:tcBorders>
            <w:tcW w:w="2000" w:type="dxa"/>
            <w:vAlign w:val="center"/>
            <w:textDirection w:val="lrTb"/>
            <w:noWrap/>
          </w:tcPr>
          <w:p>
            <w:pPr>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7654" w:type="dxa"/>
            <w:vAlign w:val="center"/>
            <w:textDirection w:val="lrTb"/>
            <w:noWrap/>
          </w:tcPr>
          <w:p>
            <w:pPr>
              <w:spacing w:line="400" w:lineRule="exact"/>
              <w:widowControl/>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 xml:space="preserve">信用承诺：</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我公司自愿参加贵中心（公司）组织的本次采购活动，严格遵守《中华人民共和国政府采购法》及相关法律法规，坚</w:t>
            </w:r>
            <w:r>
              <w:rPr>
                <w:rFonts w:hint="eastAsia" w:ascii="宋体" w:hAnsi="宋体" w:cs="宋体"/>
                <w:color w:val="000000" w:themeColor="text1"/>
                <w:sz w:val="24"/>
                <w:highlight w:val="none"/>
                <w:lang w:eastAsia="zh-CN"/>
                <w14:textFill>
                  <w14:solidFill>
                    <w14:schemeClr w14:val="tx1"/>
                  </w14:solidFill>
                </w14:textFill>
              </w:rPr>
              <w:t xml:space="preserve">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r/>
          </w:p>
          <w:p>
            <w:pPr>
              <w:ind w:firstLine="240"/>
              <w:spacing w:line="400" w:lineRule="exact"/>
              <w:widowControl/>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r/>
          </w:p>
          <w:p>
            <w:pPr>
              <w:ind w:firstLine="240"/>
              <w:spacing w:line="40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二〇    年  月    日</w:t>
            </w:r>
            <w:r/>
          </w:p>
        </w:tc>
      </w:tr>
    </w:tbl>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注：1、供应商在中标（成交）后，应按采购文件要求，将上述由信用承诺书替代的证明材料提交采购人或采购代理机构核验。经核验无误后，由采购人或采购代理机构发出中标（成交）通知书。</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★3、本承诺书打印时间须在本项目招标公告发布至投标截止时间内。</w:t>
      </w:r>
      <w:r/>
    </w:p>
    <w:p>
      <w:pPr>
        <w:rPr>
          <w:rFonts w:ascii="宋体" w:hAnsi="宋体" w:cs="宋体"/>
          <w:b/>
          <w:color w:val="000000" w:themeColor="text1"/>
          <w:sz w:val="24"/>
          <w:szCs w:val="21"/>
          <w:highlight w:val="none"/>
          <w:lang w:val="zh-CN" w:eastAsia="zh-CN"/>
          <w14:textFill>
            <w14:solidFill>
              <w14:schemeClr w14:val="tx1"/>
            </w14:solidFill>
          </w14:textFill>
        </w:rPr>
      </w:pPr>
      <w:r>
        <w:rPr>
          <w:rFonts w:ascii="宋体" w:hAnsi="宋体" w:cs="宋体"/>
          <w:b/>
          <w:color w:val="000000" w:themeColor="text1"/>
          <w:sz w:val="24"/>
          <w:szCs w:val="21"/>
          <w:highlight w:val="none"/>
          <w:lang w:val="zh-CN" w:eastAsia="zh-CN"/>
          <w14:textFill>
            <w14:solidFill>
              <w14:schemeClr w14:val="tx1"/>
            </w14:solidFill>
          </w14:textFill>
        </w:rPr>
      </w:r>
      <w:r/>
    </w:p>
    <w:p>
      <w:pPr>
        <w:rPr>
          <w:rFonts w:ascii="宋体" w:hAnsi="宋体" w:cs="宋体"/>
          <w:b/>
          <w:color w:val="000000" w:themeColor="text1"/>
          <w:sz w:val="24"/>
          <w:szCs w:val="21"/>
          <w:highlight w:val="none"/>
          <w:lang w:val="zh-CN" w:eastAsia="zh-CN"/>
          <w14:textFill>
            <w14:solidFill>
              <w14:schemeClr w14:val="tx1"/>
            </w14:solidFill>
          </w14:textFill>
        </w:rPr>
      </w:pPr>
      <w:r>
        <w:rPr>
          <w:rFonts w:ascii="宋体" w:hAnsi="宋体" w:cs="宋体"/>
          <w:b/>
          <w:color w:val="000000" w:themeColor="text1"/>
          <w:sz w:val="24"/>
          <w:szCs w:val="21"/>
          <w:highlight w:val="none"/>
          <w:lang w:val="zh-CN" w:eastAsia="zh-CN"/>
          <w14:textFill>
            <w14:solidFill>
              <w14:schemeClr w14:val="tx1"/>
            </w14:solidFill>
          </w14:textFill>
        </w:rPr>
      </w:r>
      <w:r/>
    </w:p>
    <w:p>
      <w:pPr>
        <w:spacing w:line="360" w:lineRule="auto"/>
        <w:rPr>
          <w:rFonts w:ascii="宋体" w:hAnsi="宋体" w:cs="黑体" w:eastAsiaTheme="minorEastAsia"/>
          <w:b/>
          <w:bCs/>
          <w:color w:val="000000" w:themeColor="text1"/>
          <w:sz w:val="24"/>
          <w:szCs w:val="21"/>
          <w:highlight w:val="none"/>
          <w:lang w:eastAsia="zh-CN"/>
          <w14:textFill>
            <w14:solidFill>
              <w14:schemeClr w14:val="tx1"/>
            </w14:solidFill>
          </w14:textFill>
        </w:rPr>
        <w:outlineLvl w:val="1"/>
      </w:pPr>
      <w:r/>
      <w:bookmarkStart w:id="203" w:name="_Toc175663965"/>
      <w:r>
        <w:rPr>
          <w:rFonts w:hint="eastAsia" w:ascii="宋体" w:hAnsi="宋体" w:cs="黑体"/>
          <w:b/>
          <w:bCs/>
          <w:color w:val="000000" w:themeColor="text1"/>
          <w:sz w:val="24"/>
          <w:szCs w:val="21"/>
          <w:highlight w:val="none"/>
          <w:lang w:eastAsia="zh-CN"/>
          <w14:textFill>
            <w14:solidFill>
              <w14:schemeClr w14:val="tx1"/>
            </w14:solidFill>
          </w14:textFill>
        </w:rPr>
        <w:t xml:space="preserve">十</w:t>
      </w:r>
      <w:r>
        <w:rPr>
          <w:rFonts w:hint="eastAsia" w:ascii="宋体" w:hAnsi="宋体" w:cs="黑体"/>
          <w:b/>
          <w:bCs/>
          <w:color w:val="000000" w:themeColor="text1"/>
          <w:sz w:val="24"/>
          <w:szCs w:val="21"/>
          <w:highlight w:val="none"/>
          <w:lang w:val="en-US" w:eastAsia="zh-CN"/>
          <w14:textFill>
            <w14:solidFill>
              <w14:schemeClr w14:val="tx1"/>
            </w14:solidFill>
          </w14:textFill>
        </w:rPr>
        <w:t xml:space="preserve">五</w:t>
      </w:r>
      <w:r>
        <w:rPr>
          <w:rFonts w:hint="eastAsia" w:ascii="宋体" w:hAnsi="宋体" w:cs="黑体"/>
          <w:b/>
          <w:bCs/>
          <w:color w:val="000000" w:themeColor="text1"/>
          <w:sz w:val="24"/>
          <w:szCs w:val="21"/>
          <w:highlight w:val="none"/>
          <w:lang w:eastAsia="zh-CN"/>
          <w14:textFill>
            <w14:solidFill>
              <w14:schemeClr w14:val="tx1"/>
            </w14:solidFill>
          </w14:textFill>
        </w:rPr>
        <w:t xml:space="preserve">、其他（格式自拟）</w:t>
      </w:r>
      <w:bookmarkEnd w:id="203"/>
      <w:r/>
      <w:r/>
    </w:p>
    <w:p>
      <w:pPr>
        <w:pStyle w:val="645"/>
        <w:ind w:left="112" w:right="233"/>
        <w:jc w:val="center"/>
        <w:spacing w:before="26"/>
        <w:rPr>
          <w:color w:val="000000" w:themeColor="text1"/>
          <w:sz w:val="21"/>
          <w:szCs w:val="2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ourier New">
    <w:panose1 w:val="02070309020205020404"/>
  </w:font>
  <w:font w:name="金山简魏碑">
    <w:panose1 w:val="020B0503020202020204"/>
  </w:font>
  <w:font w:name="华文细黑">
    <w:panose1 w:val="02010600040101010101"/>
  </w:font>
  <w:font w:name=":ZLe">
    <w:panose1 w:val="020B0503020202020204"/>
  </w:font>
  <w:font w:name="仿宋">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7"/>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 xml:space="preserve">45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636"/>
    <w:link w:val="663"/>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character" w:styleId="175">
    <w:name w:val="Footnote Text Char"/>
    <w:link w:val="665"/>
    <w:uiPriority w:val="99"/>
    <w:rPr>
      <w:sz w:val="18"/>
    </w:rPr>
  </w:style>
  <w:style w:type="character" w:styleId="178">
    <w:name w:val="Endnote Text Char"/>
    <w:link w:val="655"/>
    <w:uiPriority w:val="99"/>
    <w:rPr>
      <w:sz w:val="20"/>
    </w:rPr>
  </w:style>
  <w:style w:type="paragraph" w:styleId="189">
    <w:name w:val="TOC Heading"/>
    <w:uiPriority w:val="39"/>
    <w:unhideWhenUsed/>
  </w:style>
  <w:style w:type="paragraph" w:styleId="626" w:default="1">
    <w:name w:val="Normal"/>
    <w:uiPriority w:val="1"/>
    <w:qFormat/>
    <w:pPr>
      <w:widowControl w:val="off"/>
    </w:pPr>
    <w:rPr>
      <w:rFonts w:ascii="Calibri" w:hAnsi="Calibri" w:eastAsia="Calibri" w:cs="Times New Roman"/>
      <w:sz w:val="22"/>
      <w:szCs w:val="22"/>
      <w:lang w:val="en-US" w:eastAsia="en-US" w:bidi="ar-SA"/>
    </w:rPr>
  </w:style>
  <w:style w:type="paragraph" w:styleId="627">
    <w:name w:val="Heading 1"/>
    <w:basedOn w:val="626"/>
    <w:next w:val="626"/>
    <w:link w:val="852"/>
    <w:uiPriority w:val="0"/>
    <w:qFormat/>
    <w:pPr>
      <w:outlineLvl w:val="0"/>
    </w:pPr>
    <w:rPr>
      <w:rFonts w:ascii="黑体" w:hAnsi="黑体" w:eastAsia="黑体"/>
      <w:sz w:val="72"/>
      <w:szCs w:val="72"/>
    </w:rPr>
  </w:style>
  <w:style w:type="paragraph" w:styleId="628">
    <w:name w:val="Heading 2"/>
    <w:basedOn w:val="626"/>
    <w:next w:val="626"/>
    <w:link w:val="853"/>
    <w:uiPriority w:val="0"/>
    <w:qFormat/>
    <w:pPr>
      <w:ind w:left="1558"/>
      <w:outlineLvl w:val="1"/>
    </w:pPr>
    <w:rPr>
      <w:rFonts w:ascii="黑体" w:hAnsi="黑体" w:eastAsia="黑体"/>
      <w:b/>
      <w:bCs/>
      <w:sz w:val="36"/>
      <w:szCs w:val="36"/>
    </w:rPr>
  </w:style>
  <w:style w:type="paragraph" w:styleId="629">
    <w:name w:val="Heading 3"/>
    <w:basedOn w:val="626"/>
    <w:next w:val="626"/>
    <w:link w:val="854"/>
    <w:uiPriority w:val="0"/>
    <w:qFormat/>
    <w:pPr>
      <w:outlineLvl w:val="2"/>
    </w:pPr>
    <w:rPr>
      <w:rFonts w:ascii="黑体" w:hAnsi="黑体" w:eastAsia="黑体"/>
      <w:sz w:val="32"/>
      <w:szCs w:val="32"/>
    </w:rPr>
  </w:style>
  <w:style w:type="paragraph" w:styleId="630">
    <w:name w:val="Heading 4"/>
    <w:basedOn w:val="626"/>
    <w:next w:val="626"/>
    <w:link w:val="855"/>
    <w:uiPriority w:val="0"/>
    <w:qFormat/>
    <w:pPr>
      <w:ind w:left="358"/>
      <w:spacing w:before="34"/>
      <w:outlineLvl w:val="3"/>
    </w:pPr>
    <w:rPr>
      <w:rFonts w:ascii="宋体" w:hAnsi="宋体" w:eastAsia="宋体"/>
      <w:b/>
      <w:bCs/>
      <w:sz w:val="24"/>
      <w:szCs w:val="24"/>
    </w:rPr>
  </w:style>
  <w:style w:type="paragraph" w:styleId="631">
    <w:name w:val="Heading 5"/>
    <w:basedOn w:val="626"/>
    <w:next w:val="626"/>
    <w:link w:val="912"/>
    <w:uiPriority w:val="0"/>
    <w:qFormat/>
    <w:pPr>
      <w:jc w:val="both"/>
      <w:keepLines/>
      <w:keepNext/>
      <w:spacing w:before="280" w:after="290" w:line="372" w:lineRule="auto"/>
      <w:outlineLvl w:val="4"/>
    </w:pPr>
    <w:rPr>
      <w:rFonts w:ascii="Times New Roman" w:hAnsi="Times New Roman" w:eastAsia="宋体"/>
      <w:b/>
      <w:bCs/>
      <w:sz w:val="28"/>
      <w:szCs w:val="28"/>
      <w:lang w:eastAsia="zh-CN"/>
    </w:rPr>
  </w:style>
  <w:style w:type="paragraph" w:styleId="632">
    <w:name w:val="Heading 6"/>
    <w:basedOn w:val="626"/>
    <w:next w:val="626"/>
    <w:link w:val="856"/>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633">
    <w:name w:val="Heading 7"/>
    <w:basedOn w:val="626"/>
    <w:next w:val="626"/>
    <w:link w:val="857"/>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634">
    <w:name w:val="Heading 8"/>
    <w:basedOn w:val="626"/>
    <w:next w:val="626"/>
    <w:link w:val="858"/>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635">
    <w:name w:val="Heading 9"/>
    <w:basedOn w:val="626"/>
    <w:next w:val="626"/>
    <w:link w:val="859"/>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0"/>
    <w:unhideWhenUsed/>
    <w:qFormat/>
    <w:pPr>
      <w:ind w:left="2520"/>
      <w:jc w:val="both"/>
    </w:pPr>
    <w:rPr>
      <w:rFonts w:eastAsia="宋体"/>
      <w:sz w:val="21"/>
      <w:lang w:eastAsia="zh-CN"/>
    </w:rPr>
  </w:style>
  <w:style w:type="paragraph" w:styleId="639">
    <w:name w:val="Normal Indent"/>
    <w:basedOn w:val="626"/>
    <w:uiPriority w:val="0"/>
    <w:qFormat/>
    <w:pPr>
      <w:ind w:firstLine="420"/>
    </w:pPr>
  </w:style>
  <w:style w:type="paragraph" w:styleId="640">
    <w:name w:val="Caption"/>
    <w:basedOn w:val="626"/>
    <w:next w:val="626"/>
    <w:uiPriority w:val="0"/>
    <w:qFormat/>
    <w:pPr>
      <w:jc w:val="both"/>
    </w:pPr>
    <w:rPr>
      <w:rFonts w:ascii="Cambria" w:hAnsi="Cambria" w:eastAsia="黑体"/>
      <w:sz w:val="20"/>
      <w:szCs w:val="20"/>
      <w:lang w:eastAsia="zh-CN"/>
    </w:rPr>
  </w:style>
  <w:style w:type="paragraph" w:styleId="641">
    <w:name w:val="Document Map"/>
    <w:basedOn w:val="626"/>
    <w:link w:val="860"/>
    <w:uiPriority w:val="0"/>
    <w:qFormat/>
    <w:rPr>
      <w:rFonts w:ascii="宋体" w:eastAsia="宋体"/>
      <w:sz w:val="18"/>
      <w:szCs w:val="18"/>
    </w:rPr>
  </w:style>
  <w:style w:type="paragraph" w:styleId="642">
    <w:name w:val="annotation text"/>
    <w:basedOn w:val="626"/>
    <w:link w:val="861"/>
    <w:uiPriority w:val="0"/>
    <w:qFormat/>
    <w:rPr>
      <w:sz w:val="20"/>
    </w:rPr>
  </w:style>
  <w:style w:type="paragraph" w:styleId="643">
    <w:name w:val="Salutation"/>
    <w:basedOn w:val="626"/>
    <w:next w:val="626"/>
    <w:link w:val="1013"/>
    <w:uiPriority w:val="99"/>
    <w:qFormat/>
    <w:pPr>
      <w:jc w:val="both"/>
    </w:pPr>
    <w:rPr>
      <w:rFonts w:ascii="楷体_GB2312" w:eastAsia="楷体_GB2312"/>
      <w:sz w:val="28"/>
      <w:szCs w:val="20"/>
      <w:lang w:eastAsia="zh-CN"/>
    </w:rPr>
  </w:style>
  <w:style w:type="paragraph" w:styleId="644">
    <w:name w:val="Body Text 3"/>
    <w:basedOn w:val="626"/>
    <w:link w:val="862"/>
    <w:uiPriority w:val="0"/>
    <w:qFormat/>
    <w:pPr>
      <w:jc w:val="both"/>
    </w:pPr>
    <w:rPr>
      <w:rFonts w:ascii="宋体" w:eastAsia="宋体"/>
      <w:sz w:val="24"/>
      <w:szCs w:val="20"/>
    </w:rPr>
  </w:style>
  <w:style w:type="paragraph" w:styleId="645">
    <w:name w:val="Body Text"/>
    <w:basedOn w:val="626"/>
    <w:link w:val="863"/>
    <w:uiPriority w:val="0"/>
    <w:qFormat/>
    <w:pPr>
      <w:ind w:left="118"/>
      <w:spacing w:before="34"/>
    </w:pPr>
    <w:rPr>
      <w:rFonts w:ascii="宋体" w:hAnsi="宋体" w:eastAsia="宋体"/>
      <w:sz w:val="24"/>
      <w:szCs w:val="24"/>
    </w:rPr>
  </w:style>
  <w:style w:type="paragraph" w:styleId="646">
    <w:name w:val="Body Text Indent"/>
    <w:basedOn w:val="626"/>
    <w:next w:val="647"/>
    <w:link w:val="864"/>
    <w:uiPriority w:val="99"/>
    <w:qFormat/>
    <w:pPr>
      <w:ind w:left="420"/>
      <w:jc w:val="both"/>
      <w:spacing w:after="120"/>
    </w:pPr>
    <w:rPr>
      <w:rFonts w:eastAsia="宋体"/>
      <w:sz w:val="21"/>
      <w:szCs w:val="20"/>
    </w:rPr>
  </w:style>
  <w:style w:type="paragraph" w:styleId="647">
    <w:name w:val="envelope return"/>
    <w:basedOn w:val="626"/>
    <w:uiPriority w:val="99"/>
    <w:unhideWhenUsed/>
    <w:qFormat/>
    <w:rPr>
      <w:rFonts w:ascii="Arial" w:hAnsi="Arial" w:cs="Arial"/>
    </w:rPr>
  </w:style>
  <w:style w:type="paragraph" w:styleId="648">
    <w:name w:val="index 4"/>
    <w:basedOn w:val="626"/>
    <w:next w:val="626"/>
    <w:uiPriority w:val="0"/>
    <w:unhideWhenUsed/>
    <w:qFormat/>
    <w:pPr>
      <w:ind w:left="600"/>
    </w:pPr>
  </w:style>
  <w:style w:type="paragraph" w:styleId="649">
    <w:name w:val="toc 5"/>
    <w:basedOn w:val="626"/>
    <w:next w:val="626"/>
    <w:uiPriority w:val="0"/>
    <w:unhideWhenUsed/>
    <w:qFormat/>
    <w:pPr>
      <w:ind w:left="1680"/>
      <w:jc w:val="both"/>
    </w:pPr>
    <w:rPr>
      <w:rFonts w:eastAsia="宋体"/>
      <w:sz w:val="21"/>
      <w:lang w:eastAsia="zh-CN"/>
    </w:rPr>
  </w:style>
  <w:style w:type="paragraph" w:styleId="650">
    <w:name w:val="toc 3"/>
    <w:basedOn w:val="626"/>
    <w:next w:val="626"/>
    <w:uiPriority w:val="39"/>
    <w:qFormat/>
    <w:pPr>
      <w:ind w:left="840"/>
      <w:jc w:val="both"/>
    </w:pPr>
    <w:rPr>
      <w:rFonts w:eastAsia="宋体"/>
      <w:sz w:val="21"/>
      <w:szCs w:val="20"/>
      <w:lang w:eastAsia="zh-CN"/>
    </w:rPr>
  </w:style>
  <w:style w:type="paragraph" w:styleId="651">
    <w:name w:val="Plain Text"/>
    <w:basedOn w:val="626"/>
    <w:link w:val="865"/>
    <w:uiPriority w:val="0"/>
    <w:qFormat/>
    <w:pPr>
      <w:jc w:val="both"/>
    </w:pPr>
    <w:rPr>
      <w:rFonts w:ascii="Ari" w:eastAsia="宋体"/>
      <w:sz w:val="21"/>
      <w:szCs w:val="24"/>
    </w:rPr>
  </w:style>
  <w:style w:type="paragraph" w:styleId="652">
    <w:name w:val="toc 8"/>
    <w:basedOn w:val="626"/>
    <w:next w:val="626"/>
    <w:uiPriority w:val="0"/>
    <w:unhideWhenUsed/>
    <w:qFormat/>
    <w:pPr>
      <w:ind w:left="2940"/>
      <w:jc w:val="both"/>
    </w:pPr>
    <w:rPr>
      <w:rFonts w:eastAsia="宋体"/>
      <w:sz w:val="21"/>
      <w:lang w:eastAsia="zh-CN"/>
    </w:rPr>
  </w:style>
  <w:style w:type="paragraph" w:styleId="653">
    <w:name w:val="Date"/>
    <w:basedOn w:val="626"/>
    <w:next w:val="626"/>
    <w:link w:val="866"/>
    <w:uiPriority w:val="0"/>
    <w:qFormat/>
    <w:pPr>
      <w:jc w:val="both"/>
    </w:pPr>
    <w:rPr>
      <w:rFonts w:eastAsia="宋体"/>
      <w:sz w:val="24"/>
      <w:szCs w:val="20"/>
    </w:rPr>
  </w:style>
  <w:style w:type="paragraph" w:styleId="654">
    <w:name w:val="Body Text Indent 2"/>
    <w:basedOn w:val="626"/>
    <w:link w:val="911"/>
    <w:uiPriority w:val="0"/>
    <w:unhideWhenUsed/>
    <w:qFormat/>
    <w:pPr>
      <w:ind w:left="420"/>
      <w:spacing w:after="120" w:line="480" w:lineRule="auto"/>
    </w:pPr>
  </w:style>
  <w:style w:type="paragraph" w:styleId="655">
    <w:name w:val="endnote text"/>
    <w:basedOn w:val="626"/>
    <w:link w:val="850"/>
    <w:uiPriority w:val="99"/>
    <w:semiHidden/>
    <w:unhideWhenUsed/>
    <w:qFormat/>
    <w:rPr>
      <w:rFonts w:eastAsia="宋体"/>
      <w:sz w:val="20"/>
      <w:szCs w:val="20"/>
    </w:rPr>
  </w:style>
  <w:style w:type="paragraph" w:styleId="656">
    <w:name w:val="Balloon Text"/>
    <w:basedOn w:val="626"/>
    <w:link w:val="867"/>
    <w:uiPriority w:val="0"/>
    <w:qFormat/>
    <w:rPr>
      <w:sz w:val="18"/>
      <w:szCs w:val="18"/>
    </w:rPr>
  </w:style>
  <w:style w:type="paragraph" w:styleId="657">
    <w:name w:val="Footer"/>
    <w:basedOn w:val="626"/>
    <w:link w:val="868"/>
    <w:uiPriority w:val="0"/>
    <w:qFormat/>
    <w:pPr>
      <w:tabs>
        <w:tab w:val="center" w:pos="4153" w:leader="none"/>
        <w:tab w:val="right" w:pos="8306" w:leader="none"/>
      </w:tabs>
    </w:pPr>
    <w:rPr>
      <w:sz w:val="18"/>
    </w:rPr>
  </w:style>
  <w:style w:type="paragraph" w:styleId="658">
    <w:name w:val="Header"/>
    <w:basedOn w:val="626"/>
    <w:link w:val="869"/>
    <w:uiPriority w:val="9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59">
    <w:name w:val="toc 1"/>
    <w:basedOn w:val="626"/>
    <w:next w:val="626"/>
    <w:uiPriority w:val="39"/>
    <w:qFormat/>
    <w:pPr>
      <w:spacing w:before="271"/>
    </w:pPr>
    <w:rPr>
      <w:rFonts w:ascii="宋体" w:hAnsi="宋体" w:eastAsia="宋体"/>
      <w:b/>
      <w:bCs/>
      <w:sz w:val="24"/>
      <w:szCs w:val="24"/>
    </w:rPr>
  </w:style>
  <w:style w:type="paragraph" w:styleId="660">
    <w:name w:val="toc 4"/>
    <w:basedOn w:val="626"/>
    <w:next w:val="626"/>
    <w:uiPriority w:val="0"/>
    <w:unhideWhenUsed/>
    <w:qFormat/>
    <w:pPr>
      <w:ind w:left="1260"/>
      <w:jc w:val="both"/>
    </w:pPr>
    <w:rPr>
      <w:rFonts w:eastAsia="宋体"/>
      <w:sz w:val="21"/>
      <w:lang w:eastAsia="zh-CN"/>
    </w:rPr>
  </w:style>
  <w:style w:type="paragraph" w:styleId="661">
    <w:name w:val="index heading"/>
    <w:basedOn w:val="626"/>
    <w:next w:val="662"/>
    <w:uiPriority w:val="0"/>
    <w:qFormat/>
    <w:pPr>
      <w:jc w:val="both"/>
    </w:pPr>
    <w:rPr>
      <w:rFonts w:ascii="Times New Roman" w:hAnsi="Times New Roman" w:eastAsia="宋体"/>
      <w:sz w:val="21"/>
      <w:szCs w:val="20"/>
      <w:lang w:eastAsia="zh-CN"/>
    </w:rPr>
  </w:style>
  <w:style w:type="paragraph" w:styleId="662">
    <w:name w:val="index 1"/>
    <w:basedOn w:val="626"/>
    <w:next w:val="626"/>
    <w:uiPriority w:val="0"/>
    <w:qFormat/>
    <w:pPr>
      <w:jc w:val="center"/>
      <w:spacing w:line="220" w:lineRule="exact"/>
    </w:pPr>
    <w:rPr>
      <w:rFonts w:ascii="仿宋_GB2312" w:eastAsia="仿宋_GB2312"/>
      <w:sz w:val="21"/>
      <w:szCs w:val="20"/>
      <w:lang w:eastAsia="zh-CN"/>
    </w:rPr>
  </w:style>
  <w:style w:type="paragraph" w:styleId="663">
    <w:name w:val="Subtitle"/>
    <w:basedOn w:val="626"/>
    <w:next w:val="626"/>
    <w:link w:val="713"/>
    <w:uiPriority w:val="0"/>
    <w:qFormat/>
    <w:pPr>
      <w:spacing w:before="200" w:after="200"/>
    </w:pPr>
    <w:rPr>
      <w:rFonts w:eastAsia="宋体"/>
      <w:sz w:val="24"/>
      <w:szCs w:val="24"/>
    </w:rPr>
  </w:style>
  <w:style w:type="paragraph" w:styleId="664">
    <w:name w:val="List"/>
    <w:basedOn w:val="626"/>
    <w:uiPriority w:val="0"/>
    <w:qFormat/>
    <w:pPr>
      <w:contextualSpacing/>
      <w:ind w:left="200" w:hanging="200"/>
    </w:pPr>
    <w:rPr>
      <w:rFonts w:ascii="Times New Roman" w:hAnsi="Times New Roman"/>
    </w:rPr>
  </w:style>
  <w:style w:type="paragraph" w:styleId="665">
    <w:name w:val="footnote text"/>
    <w:basedOn w:val="626"/>
    <w:link w:val="849"/>
    <w:uiPriority w:val="99"/>
    <w:semiHidden/>
    <w:unhideWhenUsed/>
    <w:qFormat/>
    <w:pPr>
      <w:spacing w:after="40"/>
    </w:pPr>
    <w:rPr>
      <w:rFonts w:eastAsia="宋体"/>
      <w:sz w:val="18"/>
      <w:szCs w:val="20"/>
    </w:rPr>
  </w:style>
  <w:style w:type="paragraph" w:styleId="666">
    <w:name w:val="toc 6"/>
    <w:basedOn w:val="626"/>
    <w:next w:val="626"/>
    <w:uiPriority w:val="0"/>
    <w:unhideWhenUsed/>
    <w:qFormat/>
    <w:pPr>
      <w:ind w:left="2100"/>
      <w:jc w:val="both"/>
    </w:pPr>
    <w:rPr>
      <w:rFonts w:eastAsia="宋体"/>
      <w:sz w:val="21"/>
      <w:lang w:eastAsia="zh-CN"/>
    </w:rPr>
  </w:style>
  <w:style w:type="paragraph" w:styleId="667">
    <w:name w:val="Body Text Indent 3"/>
    <w:basedOn w:val="626"/>
    <w:link w:val="870"/>
    <w:uiPriority w:val="0"/>
    <w:qFormat/>
    <w:pPr>
      <w:ind w:left="420"/>
      <w:jc w:val="both"/>
      <w:spacing w:after="120"/>
    </w:pPr>
    <w:rPr>
      <w:rFonts w:eastAsia="宋体"/>
      <w:sz w:val="16"/>
      <w:szCs w:val="20"/>
    </w:rPr>
  </w:style>
  <w:style w:type="paragraph" w:styleId="668">
    <w:name w:val="table of figures"/>
    <w:basedOn w:val="626"/>
    <w:next w:val="626"/>
    <w:uiPriority w:val="99"/>
    <w:unhideWhenUsed/>
    <w:qFormat/>
  </w:style>
  <w:style w:type="paragraph" w:styleId="669">
    <w:name w:val="toc 2"/>
    <w:basedOn w:val="626"/>
    <w:next w:val="626"/>
    <w:uiPriority w:val="39"/>
    <w:qFormat/>
    <w:pPr>
      <w:ind w:left="327"/>
      <w:spacing w:before="151"/>
    </w:pPr>
    <w:rPr>
      <w:rFonts w:ascii="宋体" w:hAnsi="宋体" w:eastAsia="宋体"/>
      <w:sz w:val="24"/>
      <w:szCs w:val="24"/>
    </w:rPr>
  </w:style>
  <w:style w:type="paragraph" w:styleId="670">
    <w:name w:val="toc 9"/>
    <w:basedOn w:val="626"/>
    <w:next w:val="626"/>
    <w:uiPriority w:val="0"/>
    <w:unhideWhenUsed/>
    <w:qFormat/>
    <w:pPr>
      <w:ind w:left="3360"/>
      <w:jc w:val="both"/>
    </w:pPr>
    <w:rPr>
      <w:rFonts w:eastAsia="宋体"/>
      <w:sz w:val="21"/>
      <w:lang w:eastAsia="zh-CN"/>
    </w:rPr>
  </w:style>
  <w:style w:type="paragraph" w:styleId="671">
    <w:name w:val="Body Text 2"/>
    <w:basedOn w:val="626"/>
    <w:link w:val="1014"/>
    <w:uiPriority w:val="99"/>
    <w:qFormat/>
    <w:pPr>
      <w:jc w:val="both"/>
    </w:pPr>
    <w:rPr>
      <w:rFonts w:ascii="宋体" w:eastAsia="宋体"/>
      <w:b/>
      <w:bCs/>
      <w:sz w:val="24"/>
      <w:szCs w:val="24"/>
      <w:lang w:eastAsia="zh-CN"/>
    </w:rPr>
  </w:style>
  <w:style w:type="paragraph" w:styleId="672">
    <w:name w:val="HTML Preformatted"/>
    <w:basedOn w:val="626"/>
    <w:link w:val="914"/>
    <w:uiPriority w:val="99"/>
    <w:unhideWhenUsed/>
    <w:qFormat/>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lang w:eastAsia="zh-CN"/>
    </w:rPr>
  </w:style>
  <w:style w:type="paragraph" w:styleId="673">
    <w:name w:val="Normal (Web)"/>
    <w:basedOn w:val="626"/>
    <w:uiPriority w:val="0"/>
    <w:unhideWhenUsed/>
    <w:qFormat/>
    <w:pPr>
      <w:spacing w:before="100" w:beforeAutospacing="1" w:after="100" w:afterAutospacing="1"/>
      <w:widowControl/>
    </w:pPr>
    <w:rPr>
      <w:rFonts w:ascii="宋体" w:hAnsi="宋体" w:eastAsia="宋体" w:cs="宋体"/>
      <w:sz w:val="24"/>
      <w:szCs w:val="24"/>
      <w:lang w:eastAsia="zh-CN"/>
    </w:rPr>
  </w:style>
  <w:style w:type="paragraph" w:styleId="674">
    <w:name w:val="Title"/>
    <w:basedOn w:val="626"/>
    <w:link w:val="871"/>
    <w:uiPriority w:val="0"/>
    <w:qFormat/>
    <w:pPr>
      <w:jc w:val="center"/>
      <w:spacing w:before="240" w:after="60" w:line="420" w:lineRule="atLeast"/>
      <w:outlineLvl w:val="0"/>
    </w:pPr>
    <w:rPr>
      <w:rFonts w:ascii="Arial" w:hAnsi="Arial" w:eastAsia="宋体"/>
      <w:b/>
      <w:sz w:val="32"/>
      <w:szCs w:val="20"/>
    </w:rPr>
  </w:style>
  <w:style w:type="paragraph" w:styleId="675">
    <w:name w:val="annotation subject"/>
    <w:basedOn w:val="642"/>
    <w:next w:val="642"/>
    <w:link w:val="872"/>
    <w:uiPriority w:val="0"/>
    <w:qFormat/>
    <w:rPr>
      <w:rFonts w:eastAsia="宋体"/>
      <w:szCs w:val="20"/>
    </w:rPr>
  </w:style>
  <w:style w:type="paragraph" w:styleId="676">
    <w:name w:val="Body Text First Indent"/>
    <w:basedOn w:val="645"/>
    <w:link w:val="873"/>
    <w:uiPriority w:val="0"/>
    <w:qFormat/>
    <w:pPr>
      <w:ind w:firstLine="200"/>
      <w:tabs>
        <w:tab w:val="left" w:pos="562" w:leader="none"/>
        <w:tab w:val="left" w:pos="3372" w:leader="none"/>
        <w:tab w:val="left" w:pos="3653" w:leader="none"/>
      </w:tabs>
    </w:pPr>
  </w:style>
  <w:style w:type="paragraph" w:styleId="677">
    <w:name w:val="Body Text First Indent 2"/>
    <w:basedOn w:val="646"/>
    <w:next w:val="626"/>
    <w:link w:val="1015"/>
    <w:uiPriority w:val="0"/>
    <w:qFormat/>
    <w:pPr>
      <w:ind w:firstLine="420"/>
    </w:pPr>
  </w:style>
  <w:style w:type="table" w:styleId="678">
    <w:name w:val="Table Grid"/>
    <w:basedOn w:val="637"/>
    <w:uiPriority w:val="0"/>
    <w:qFormat/>
    <w:tblPr>
      <w:tblCellMar>
        <w:left w:w="108" w:type="dxa"/>
        <w:top w:w="0" w:type="dxa"/>
        <w:right w:w="108" w:type="dxa"/>
        <w:bottom w:w="0" w:type="dxa"/>
      </w:tblCellMar>
    </w:tblPr>
  </w:style>
  <w:style w:type="character" w:styleId="679">
    <w:name w:val="Strong"/>
    <w:uiPriority w:val="0"/>
    <w:qFormat/>
    <w:rPr>
      <w:b/>
      <w:bCs/>
    </w:rPr>
  </w:style>
  <w:style w:type="character" w:styleId="680">
    <w:name w:val="endnote reference"/>
    <w:uiPriority w:val="99"/>
    <w:semiHidden/>
    <w:unhideWhenUsed/>
    <w:qFormat/>
    <w:rPr>
      <w:vertAlign w:val="superscript"/>
    </w:rPr>
  </w:style>
  <w:style w:type="character" w:styleId="681">
    <w:name w:val="page number"/>
    <w:uiPriority w:val="0"/>
    <w:qFormat/>
  </w:style>
  <w:style w:type="character" w:styleId="682">
    <w:name w:val="FollowedHyperlink"/>
    <w:uiPriority w:val="99"/>
    <w:unhideWhenUsed/>
    <w:qFormat/>
    <w:rPr>
      <w:color w:val="800080"/>
      <w:u w:val="single"/>
    </w:rPr>
  </w:style>
  <w:style w:type="character" w:styleId="683">
    <w:name w:val="Emphasis"/>
    <w:uiPriority w:val="0"/>
    <w:qFormat/>
    <w:rPr>
      <w:i/>
      <w:iCs/>
    </w:rPr>
  </w:style>
  <w:style w:type="character" w:styleId="684">
    <w:name w:val="HTML Definition"/>
    <w:uiPriority w:val="0"/>
    <w:qFormat/>
    <w:rPr>
      <w:i/>
    </w:rPr>
  </w:style>
  <w:style w:type="character" w:styleId="685">
    <w:name w:val="Hyperlink"/>
    <w:uiPriority w:val="99"/>
    <w:qFormat/>
    <w:rPr>
      <w:color w:val="0000ff"/>
      <w:u w:val="single"/>
    </w:rPr>
  </w:style>
  <w:style w:type="character" w:styleId="686">
    <w:name w:val="HTML Code"/>
    <w:uiPriority w:val="0"/>
    <w:qFormat/>
    <w:rPr>
      <w:rFonts w:ascii="Consolas" w:hAnsi="Consolas" w:eastAsia="Consolas" w:cs="Consolas"/>
      <w:color w:val="ca4440"/>
      <w:sz w:val="21"/>
      <w:szCs w:val="21"/>
      <w:shd w:val="clear" w:color="auto" w:fill="f9f2f4"/>
    </w:rPr>
  </w:style>
  <w:style w:type="character" w:styleId="687">
    <w:name w:val="annotation reference"/>
    <w:uiPriority w:val="0"/>
    <w:qFormat/>
    <w:rPr>
      <w:sz w:val="21"/>
      <w:szCs w:val="21"/>
    </w:rPr>
  </w:style>
  <w:style w:type="character" w:styleId="688">
    <w:name w:val="footnote reference"/>
    <w:uiPriority w:val="99"/>
    <w:unhideWhenUsed/>
    <w:qFormat/>
    <w:rPr>
      <w:vertAlign w:val="superscript"/>
    </w:rPr>
  </w:style>
  <w:style w:type="character" w:styleId="689">
    <w:name w:val="HTML Keyboard"/>
    <w:uiPriority w:val="0"/>
    <w:qFormat/>
    <w:rPr>
      <w:rFonts w:hint="default" w:ascii="Consolas" w:hAnsi="Consolas" w:eastAsia="Consolas" w:cs="Consolas"/>
      <w:color w:val="ffffff"/>
      <w:sz w:val="21"/>
      <w:szCs w:val="21"/>
      <w:shd w:val="clear" w:color="auto" w:fill="333333"/>
    </w:rPr>
  </w:style>
  <w:style w:type="character" w:styleId="690">
    <w:name w:val="HTML Sample"/>
    <w:uiPriority w:val="0"/>
    <w:qFormat/>
    <w:rPr>
      <w:rFonts w:hint="default" w:ascii="Consolas" w:hAnsi="Consolas" w:eastAsia="Consolas" w:cs="Consolas"/>
      <w:sz w:val="21"/>
      <w:szCs w:val="21"/>
    </w:rPr>
  </w:style>
  <w:style w:type="paragraph" w:styleId="691" w:customStyle="1">
    <w:name w:val="正文文本 21"/>
    <w:basedOn w:val="626"/>
    <w:uiPriority w:val="0"/>
    <w:qFormat/>
    <w:rPr>
      <w:sz w:val="24"/>
      <w:szCs w:val="24"/>
    </w:rPr>
  </w:style>
  <w:style w:type="paragraph" w:styleId="692">
    <w:name w:val="List Paragraph"/>
    <w:basedOn w:val="626"/>
    <w:uiPriority w:val="34"/>
    <w:qFormat/>
  </w:style>
  <w:style w:type="paragraph" w:styleId="693" w:customStyle="1">
    <w:name w:val="Heading 1"/>
    <w:basedOn w:val="626"/>
    <w:next w:val="626"/>
    <w:link w:val="694"/>
    <w:uiPriority w:val="9"/>
    <w:qFormat/>
    <w:pPr>
      <w:keepLines/>
      <w:keepNext/>
      <w:spacing w:before="480" w:after="200"/>
      <w:outlineLvl w:val="0"/>
    </w:pPr>
    <w:rPr>
      <w:rFonts w:ascii="Arial" w:hAnsi="Arial" w:eastAsia="Arial"/>
      <w:sz w:val="40"/>
      <w:szCs w:val="40"/>
    </w:rPr>
  </w:style>
  <w:style w:type="character" w:styleId="694" w:customStyle="1">
    <w:name w:val="Heading 1 Char"/>
    <w:link w:val="693"/>
    <w:uiPriority w:val="9"/>
    <w:qFormat/>
    <w:rPr>
      <w:rFonts w:ascii="Arial" w:hAnsi="Arial" w:eastAsia="Arial" w:cs="Arial"/>
      <w:sz w:val="40"/>
      <w:szCs w:val="40"/>
    </w:rPr>
  </w:style>
  <w:style w:type="character" w:styleId="695" w:customStyle="1">
    <w:name w:val="Heading 2 Char"/>
    <w:link w:val="696"/>
    <w:uiPriority w:val="9"/>
    <w:qFormat/>
    <w:rPr>
      <w:rFonts w:ascii="Arial" w:hAnsi="Arial" w:eastAsia="Arial" w:cs="Arial"/>
      <w:sz w:val="34"/>
    </w:rPr>
  </w:style>
  <w:style w:type="paragraph" w:styleId="696" w:customStyle="1">
    <w:name w:val="Heading 2"/>
    <w:basedOn w:val="626"/>
    <w:link w:val="695"/>
    <w:uiPriority w:val="9"/>
    <w:qFormat/>
    <w:pPr>
      <w:ind w:left="157"/>
      <w:spacing w:before="169"/>
      <w:outlineLvl w:val="2"/>
    </w:pPr>
    <w:rPr>
      <w:rFonts w:ascii="Arial" w:hAnsi="Arial" w:eastAsia="Arial"/>
      <w:sz w:val="34"/>
      <w:szCs w:val="20"/>
    </w:rPr>
  </w:style>
  <w:style w:type="paragraph" w:styleId="697" w:customStyle="1">
    <w:name w:val="Heading 3"/>
    <w:basedOn w:val="626"/>
    <w:next w:val="626"/>
    <w:link w:val="698"/>
    <w:uiPriority w:val="9"/>
    <w:unhideWhenUsed/>
    <w:qFormat/>
    <w:pPr>
      <w:keepLines/>
      <w:keepNext/>
      <w:spacing w:before="320" w:after="200"/>
      <w:outlineLvl w:val="2"/>
    </w:pPr>
    <w:rPr>
      <w:rFonts w:ascii="Arial" w:hAnsi="Arial" w:eastAsia="Arial"/>
      <w:sz w:val="30"/>
      <w:szCs w:val="30"/>
    </w:rPr>
  </w:style>
  <w:style w:type="character" w:styleId="698" w:customStyle="1">
    <w:name w:val="Heading 3 Char"/>
    <w:link w:val="697"/>
    <w:uiPriority w:val="9"/>
    <w:qFormat/>
    <w:rPr>
      <w:rFonts w:ascii="Arial" w:hAnsi="Arial" w:eastAsia="Arial" w:cs="Arial"/>
      <w:sz w:val="30"/>
      <w:szCs w:val="30"/>
    </w:rPr>
  </w:style>
  <w:style w:type="paragraph" w:styleId="699" w:customStyle="1">
    <w:name w:val="Heading 4"/>
    <w:basedOn w:val="626"/>
    <w:next w:val="626"/>
    <w:link w:val="700"/>
    <w:uiPriority w:val="9"/>
    <w:unhideWhenUsed/>
    <w:qFormat/>
    <w:pPr>
      <w:keepLines/>
      <w:keepNext/>
      <w:spacing w:before="320" w:after="200"/>
      <w:outlineLvl w:val="3"/>
    </w:pPr>
    <w:rPr>
      <w:rFonts w:ascii="Arial" w:hAnsi="Arial" w:eastAsia="Arial"/>
      <w:b/>
      <w:bCs/>
      <w:sz w:val="26"/>
      <w:szCs w:val="26"/>
    </w:rPr>
  </w:style>
  <w:style w:type="character" w:styleId="700" w:customStyle="1">
    <w:name w:val="Heading 4 Char"/>
    <w:link w:val="699"/>
    <w:uiPriority w:val="9"/>
    <w:qFormat/>
    <w:rPr>
      <w:rFonts w:ascii="Arial" w:hAnsi="Arial" w:eastAsia="Arial" w:cs="Arial"/>
      <w:b/>
      <w:bCs/>
      <w:sz w:val="26"/>
      <w:szCs w:val="26"/>
    </w:rPr>
  </w:style>
  <w:style w:type="paragraph" w:styleId="701" w:customStyle="1">
    <w:name w:val="Heading 5"/>
    <w:basedOn w:val="626"/>
    <w:next w:val="626"/>
    <w:link w:val="702"/>
    <w:uiPriority w:val="9"/>
    <w:unhideWhenUsed/>
    <w:qFormat/>
    <w:pPr>
      <w:keepLines/>
      <w:keepNext/>
      <w:spacing w:before="320" w:after="200"/>
      <w:outlineLvl w:val="4"/>
    </w:pPr>
    <w:rPr>
      <w:rFonts w:ascii="Arial" w:hAnsi="Arial" w:eastAsia="Arial"/>
      <w:b/>
      <w:bCs/>
      <w:sz w:val="24"/>
      <w:szCs w:val="24"/>
    </w:rPr>
  </w:style>
  <w:style w:type="character" w:styleId="702" w:customStyle="1">
    <w:name w:val="Heading 5 Char"/>
    <w:link w:val="701"/>
    <w:uiPriority w:val="9"/>
    <w:qFormat/>
    <w:rPr>
      <w:rFonts w:ascii="Arial" w:hAnsi="Arial" w:eastAsia="Arial" w:cs="Arial"/>
      <w:b/>
      <w:bCs/>
      <w:sz w:val="24"/>
      <w:szCs w:val="24"/>
    </w:rPr>
  </w:style>
  <w:style w:type="paragraph" w:styleId="703" w:customStyle="1">
    <w:name w:val="Heading 6"/>
    <w:basedOn w:val="626"/>
    <w:next w:val="626"/>
    <w:link w:val="704"/>
    <w:uiPriority w:val="9"/>
    <w:unhideWhenUsed/>
    <w:qFormat/>
    <w:pPr>
      <w:keepLines/>
      <w:keepNext/>
      <w:spacing w:before="320" w:after="200"/>
      <w:outlineLvl w:val="5"/>
    </w:pPr>
    <w:rPr>
      <w:rFonts w:ascii="Arial" w:hAnsi="Arial" w:eastAsia="Arial"/>
      <w:b/>
      <w:bCs/>
    </w:rPr>
  </w:style>
  <w:style w:type="character" w:styleId="704" w:customStyle="1">
    <w:name w:val="Heading 6 Char"/>
    <w:link w:val="703"/>
    <w:uiPriority w:val="9"/>
    <w:qFormat/>
    <w:rPr>
      <w:rFonts w:ascii="Arial" w:hAnsi="Arial" w:eastAsia="Arial" w:cs="Arial"/>
      <w:b/>
      <w:bCs/>
      <w:sz w:val="22"/>
      <w:szCs w:val="22"/>
    </w:rPr>
  </w:style>
  <w:style w:type="paragraph" w:styleId="705" w:customStyle="1">
    <w:name w:val="Heading 7"/>
    <w:basedOn w:val="626"/>
    <w:next w:val="626"/>
    <w:link w:val="706"/>
    <w:uiPriority w:val="9"/>
    <w:unhideWhenUsed/>
    <w:qFormat/>
    <w:pPr>
      <w:keepLines/>
      <w:keepNext/>
      <w:spacing w:before="320" w:after="200"/>
      <w:outlineLvl w:val="6"/>
    </w:pPr>
    <w:rPr>
      <w:rFonts w:ascii="Arial" w:hAnsi="Arial" w:eastAsia="Arial"/>
      <w:b/>
      <w:bCs/>
      <w:i/>
      <w:iCs/>
    </w:rPr>
  </w:style>
  <w:style w:type="character" w:styleId="706" w:customStyle="1">
    <w:name w:val="Heading 7 Char"/>
    <w:link w:val="705"/>
    <w:uiPriority w:val="9"/>
    <w:qFormat/>
    <w:rPr>
      <w:rFonts w:ascii="Arial" w:hAnsi="Arial" w:eastAsia="Arial" w:cs="Arial"/>
      <w:b/>
      <w:bCs/>
      <w:i/>
      <w:iCs/>
      <w:sz w:val="22"/>
      <w:szCs w:val="22"/>
    </w:rPr>
  </w:style>
  <w:style w:type="paragraph" w:styleId="707" w:customStyle="1">
    <w:name w:val="Heading 8"/>
    <w:basedOn w:val="626"/>
    <w:next w:val="626"/>
    <w:link w:val="708"/>
    <w:uiPriority w:val="9"/>
    <w:unhideWhenUsed/>
    <w:qFormat/>
    <w:pPr>
      <w:keepLines/>
      <w:keepNext/>
      <w:spacing w:before="320" w:after="200"/>
      <w:outlineLvl w:val="7"/>
    </w:pPr>
    <w:rPr>
      <w:rFonts w:ascii="Arial" w:hAnsi="Arial" w:eastAsia="Arial"/>
      <w:i/>
      <w:iCs/>
    </w:rPr>
  </w:style>
  <w:style w:type="character" w:styleId="708" w:customStyle="1">
    <w:name w:val="Heading 8 Char"/>
    <w:link w:val="707"/>
    <w:uiPriority w:val="9"/>
    <w:qFormat/>
    <w:rPr>
      <w:rFonts w:ascii="Arial" w:hAnsi="Arial" w:eastAsia="Arial" w:cs="Arial"/>
      <w:i/>
      <w:iCs/>
      <w:sz w:val="22"/>
      <w:szCs w:val="22"/>
    </w:rPr>
  </w:style>
  <w:style w:type="paragraph" w:styleId="709" w:customStyle="1">
    <w:name w:val="Heading 9"/>
    <w:basedOn w:val="626"/>
    <w:next w:val="626"/>
    <w:link w:val="710"/>
    <w:uiPriority w:val="9"/>
    <w:unhideWhenUsed/>
    <w:qFormat/>
    <w:pPr>
      <w:keepLines/>
      <w:keepNext/>
      <w:spacing w:before="320" w:after="200"/>
      <w:outlineLvl w:val="8"/>
    </w:pPr>
    <w:rPr>
      <w:rFonts w:ascii="Arial" w:hAnsi="Arial" w:eastAsia="Arial"/>
      <w:i/>
      <w:iCs/>
      <w:sz w:val="21"/>
      <w:szCs w:val="21"/>
    </w:rPr>
  </w:style>
  <w:style w:type="character" w:styleId="710" w:customStyle="1">
    <w:name w:val="Heading 9 Char"/>
    <w:link w:val="709"/>
    <w:uiPriority w:val="9"/>
    <w:qFormat/>
    <w:rPr>
      <w:rFonts w:ascii="Arial" w:hAnsi="Arial" w:eastAsia="Arial" w:cs="Arial"/>
      <w:i/>
      <w:iCs/>
      <w:sz w:val="21"/>
      <w:szCs w:val="21"/>
    </w:rPr>
  </w:style>
  <w:style w:type="paragraph" w:styleId="711">
    <w:name w:val="No Spacing"/>
    <w:link w:val="956"/>
    <w:uiPriority w:val="1"/>
    <w:qFormat/>
    <w:rPr>
      <w:rFonts w:ascii="Calibri" w:hAnsi="Calibri" w:eastAsia="宋体" w:cs="Times New Roman"/>
      <w:lang w:val="en-US" w:eastAsia="zh-CN" w:bidi="ar-SA"/>
    </w:rPr>
  </w:style>
  <w:style w:type="character" w:styleId="712" w:customStyle="1">
    <w:name w:val="Title Char"/>
    <w:uiPriority w:val="10"/>
    <w:qFormat/>
    <w:rPr>
      <w:sz w:val="48"/>
      <w:szCs w:val="48"/>
    </w:rPr>
  </w:style>
  <w:style w:type="character" w:styleId="713" w:customStyle="1">
    <w:name w:val="副标题 Char"/>
    <w:link w:val="663"/>
    <w:uiPriority w:val="0"/>
    <w:qFormat/>
    <w:rPr>
      <w:sz w:val="24"/>
      <w:szCs w:val="24"/>
    </w:rPr>
  </w:style>
  <w:style w:type="paragraph" w:styleId="714">
    <w:name w:val="Quote"/>
    <w:basedOn w:val="626"/>
    <w:next w:val="626"/>
    <w:link w:val="715"/>
    <w:uiPriority w:val="0"/>
    <w:qFormat/>
    <w:pPr>
      <w:ind w:left="720" w:right="720"/>
    </w:pPr>
    <w:rPr>
      <w:rFonts w:eastAsia="宋体"/>
      <w:i/>
      <w:sz w:val="20"/>
      <w:szCs w:val="20"/>
    </w:rPr>
  </w:style>
  <w:style w:type="character" w:styleId="715" w:customStyle="1">
    <w:name w:val="引用 Char"/>
    <w:link w:val="714"/>
    <w:uiPriority w:val="0"/>
    <w:qFormat/>
    <w:rPr>
      <w:i/>
    </w:rPr>
  </w:style>
  <w:style w:type="paragraph" w:styleId="716">
    <w:name w:val="Intense Quote"/>
    <w:basedOn w:val="626"/>
    <w:next w:val="626"/>
    <w:link w:val="71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szCs w:val="20"/>
    </w:rPr>
  </w:style>
  <w:style w:type="character" w:styleId="717" w:customStyle="1">
    <w:name w:val="明显引用 Char"/>
    <w:link w:val="716"/>
    <w:uiPriority w:val="0"/>
    <w:qFormat/>
    <w:rPr>
      <w:i/>
    </w:rPr>
  </w:style>
  <w:style w:type="paragraph" w:styleId="718" w:customStyle="1">
    <w:name w:val="Header"/>
    <w:basedOn w:val="626"/>
    <w:link w:val="719"/>
    <w:uiPriority w:val="99"/>
    <w:unhideWhenUsed/>
    <w:qFormat/>
    <w:pPr>
      <w:tabs>
        <w:tab w:val="center" w:pos="7143" w:leader="none"/>
        <w:tab w:val="right" w:pos="14287" w:leader="none"/>
      </w:tabs>
    </w:pPr>
  </w:style>
  <w:style w:type="character" w:styleId="719" w:customStyle="1">
    <w:name w:val="Header Char"/>
    <w:link w:val="718"/>
    <w:uiPriority w:val="99"/>
    <w:qFormat/>
  </w:style>
  <w:style w:type="paragraph" w:styleId="720" w:customStyle="1">
    <w:name w:val="Footer"/>
    <w:basedOn w:val="626"/>
    <w:link w:val="723"/>
    <w:uiPriority w:val="99"/>
    <w:unhideWhenUsed/>
    <w:qFormat/>
    <w:pPr>
      <w:tabs>
        <w:tab w:val="center" w:pos="7143" w:leader="none"/>
        <w:tab w:val="right" w:pos="14287" w:leader="none"/>
      </w:tabs>
    </w:pPr>
  </w:style>
  <w:style w:type="character" w:styleId="721" w:customStyle="1">
    <w:name w:val="Footer Char"/>
    <w:uiPriority w:val="99"/>
    <w:qFormat/>
  </w:style>
  <w:style w:type="paragraph" w:styleId="722" w:customStyle="1">
    <w:name w:val="Caption"/>
    <w:basedOn w:val="626"/>
    <w:next w:val="626"/>
    <w:uiPriority w:val="35"/>
    <w:semiHidden/>
    <w:unhideWhenUsed/>
    <w:qFormat/>
    <w:pPr>
      <w:spacing w:line="276" w:lineRule="auto"/>
    </w:pPr>
    <w:rPr>
      <w:b/>
      <w:bCs/>
      <w:color w:val="4f81bd"/>
      <w:sz w:val="18"/>
      <w:szCs w:val="18"/>
    </w:rPr>
  </w:style>
  <w:style w:type="character" w:styleId="723" w:customStyle="1">
    <w:name w:val="Caption Char"/>
    <w:link w:val="720"/>
    <w:uiPriority w:val="99"/>
    <w:qFormat/>
  </w:style>
  <w:style w:type="table" w:styleId="7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7" w:customStyle="1">
    <w:name w:val="Plain Table 3"/>
    <w:uiPriority w:val="99"/>
    <w:qFormat/>
    <w:tblPr>
      <w:tblCellMar>
        <w:left w:w="0" w:type="dxa"/>
        <w:top w:w="0" w:type="dxa"/>
        <w:right w:w="0" w:type="dxa"/>
        <w:bottom w:w="0" w:type="dxa"/>
      </w:tblCellMar>
    </w:tblPr>
  </w:style>
  <w:style w:type="table" w:styleId="728" w:customStyle="1">
    <w:name w:val="Plain Table 4"/>
    <w:uiPriority w:val="99"/>
    <w:qFormat/>
    <w:tblPr>
      <w:tblCellMar>
        <w:left w:w="0" w:type="dxa"/>
        <w:top w:w="0" w:type="dxa"/>
        <w:right w:w="0" w:type="dxa"/>
        <w:bottom w:w="0" w:type="dxa"/>
      </w:tblCellMar>
    </w:tblPr>
  </w:style>
  <w:style w:type="table" w:styleId="729" w:customStyle="1">
    <w:name w:val="Plain Table 5"/>
    <w:uiPriority w:val="99"/>
    <w:qFormat/>
    <w:tblPr>
      <w:tblCellMar>
        <w:left w:w="0" w:type="dxa"/>
        <w:top w:w="0" w:type="dxa"/>
        <w:right w:w="0" w:type="dxa"/>
        <w:bottom w:w="0" w:type="dxa"/>
      </w:tblCellMar>
    </w:tblPr>
  </w:style>
  <w:style w:type="table" w:styleId="73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9" w:customStyle="1">
    <w:name w:val="List Table 1 Light"/>
    <w:uiPriority w:val="99"/>
    <w:qFormat/>
    <w:tblPr>
      <w:tblCellMar>
        <w:left w:w="0" w:type="dxa"/>
        <w:top w:w="0" w:type="dxa"/>
        <w:right w:w="0" w:type="dxa"/>
        <w:bottom w:w="0" w:type="dxa"/>
      </w:tblCellMar>
    </w:tblPr>
  </w:style>
  <w:style w:type="table" w:styleId="780" w:customStyle="1">
    <w:name w:val="List Table 1 Light - Accent 1"/>
    <w:uiPriority w:val="99"/>
    <w:qFormat/>
    <w:tblPr>
      <w:tblCellMar>
        <w:left w:w="0" w:type="dxa"/>
        <w:top w:w="0" w:type="dxa"/>
        <w:right w:w="0" w:type="dxa"/>
        <w:bottom w:w="0" w:type="dxa"/>
      </w:tblCellMar>
    </w:tblPr>
  </w:style>
  <w:style w:type="table" w:styleId="781" w:customStyle="1">
    <w:name w:val="List Table 1 Light - Accent 2"/>
    <w:uiPriority w:val="99"/>
    <w:qFormat/>
    <w:tblPr>
      <w:tblCellMar>
        <w:left w:w="0" w:type="dxa"/>
        <w:top w:w="0" w:type="dxa"/>
        <w:right w:w="0" w:type="dxa"/>
        <w:bottom w:w="0" w:type="dxa"/>
      </w:tblCellMar>
    </w:tblPr>
  </w:style>
  <w:style w:type="table" w:styleId="782" w:customStyle="1">
    <w:name w:val="List Table 1 Light - Accent 3"/>
    <w:uiPriority w:val="99"/>
    <w:qFormat/>
    <w:tblPr>
      <w:tblCellMar>
        <w:left w:w="0" w:type="dxa"/>
        <w:top w:w="0" w:type="dxa"/>
        <w:right w:w="0" w:type="dxa"/>
        <w:bottom w:w="0" w:type="dxa"/>
      </w:tblCellMar>
    </w:tblPr>
  </w:style>
  <w:style w:type="table" w:styleId="783" w:customStyle="1">
    <w:name w:val="List Table 1 Light - Accent 4"/>
    <w:uiPriority w:val="99"/>
    <w:qFormat/>
    <w:tblPr>
      <w:tblCellMar>
        <w:left w:w="0" w:type="dxa"/>
        <w:top w:w="0" w:type="dxa"/>
        <w:right w:w="0" w:type="dxa"/>
        <w:bottom w:w="0" w:type="dxa"/>
      </w:tblCellMar>
    </w:tblPr>
  </w:style>
  <w:style w:type="table" w:styleId="784" w:customStyle="1">
    <w:name w:val="List Table 1 Light - Accent 5"/>
    <w:uiPriority w:val="99"/>
    <w:qFormat/>
    <w:tblPr>
      <w:tblCellMar>
        <w:left w:w="0" w:type="dxa"/>
        <w:top w:w="0" w:type="dxa"/>
        <w:right w:w="0" w:type="dxa"/>
        <w:bottom w:w="0" w:type="dxa"/>
      </w:tblCellMar>
    </w:tblPr>
  </w:style>
  <w:style w:type="table" w:styleId="785" w:customStyle="1">
    <w:name w:val="List Table 1 Light - Accent 6"/>
    <w:uiPriority w:val="99"/>
    <w:qFormat/>
    <w:tblPr>
      <w:tblCellMar>
        <w:left w:w="0" w:type="dxa"/>
        <w:top w:w="0" w:type="dxa"/>
        <w:right w:w="0" w:type="dxa"/>
        <w:bottom w:w="0" w:type="dxa"/>
      </w:tblCellMar>
    </w:tblPr>
  </w:style>
  <w:style w:type="table" w:styleId="78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1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1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1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8" w:customStyle="1">
    <w:name w:val="Lined - Accent"/>
    <w:uiPriority w:val="99"/>
    <w:qFormat/>
    <w:rPr>
      <w:color w:val="404040"/>
    </w:rPr>
    <w:tblPr>
      <w:tblCellMar>
        <w:left w:w="0" w:type="dxa"/>
        <w:top w:w="0" w:type="dxa"/>
        <w:right w:w="0" w:type="dxa"/>
        <w:bottom w:w="0" w:type="dxa"/>
      </w:tblCellMar>
    </w:tblPr>
  </w:style>
  <w:style w:type="table" w:styleId="829" w:customStyle="1">
    <w:name w:val="Lined - Accent 1"/>
    <w:uiPriority w:val="99"/>
    <w:qFormat/>
    <w:rPr>
      <w:color w:val="404040"/>
    </w:rPr>
    <w:tblPr>
      <w:tblCellMar>
        <w:left w:w="0" w:type="dxa"/>
        <w:top w:w="0" w:type="dxa"/>
        <w:right w:w="0" w:type="dxa"/>
        <w:bottom w:w="0" w:type="dxa"/>
      </w:tblCellMar>
    </w:tblPr>
  </w:style>
  <w:style w:type="table" w:styleId="830" w:customStyle="1">
    <w:name w:val="Lined - Accent 2"/>
    <w:uiPriority w:val="99"/>
    <w:qFormat/>
    <w:rPr>
      <w:color w:val="404040"/>
    </w:rPr>
    <w:tblPr>
      <w:tblCellMar>
        <w:left w:w="0" w:type="dxa"/>
        <w:top w:w="0" w:type="dxa"/>
        <w:right w:w="0" w:type="dxa"/>
        <w:bottom w:w="0" w:type="dxa"/>
      </w:tblCellMar>
    </w:tblPr>
  </w:style>
  <w:style w:type="table" w:styleId="831" w:customStyle="1">
    <w:name w:val="Lined - Accent 3"/>
    <w:uiPriority w:val="99"/>
    <w:qFormat/>
    <w:rPr>
      <w:color w:val="404040"/>
    </w:rPr>
    <w:tblPr>
      <w:tblCellMar>
        <w:left w:w="0" w:type="dxa"/>
        <w:top w:w="0" w:type="dxa"/>
        <w:right w:w="0" w:type="dxa"/>
        <w:bottom w:w="0" w:type="dxa"/>
      </w:tblCellMar>
    </w:tblPr>
  </w:style>
  <w:style w:type="table" w:styleId="832" w:customStyle="1">
    <w:name w:val="Lined - Accent 4"/>
    <w:uiPriority w:val="99"/>
    <w:qFormat/>
    <w:rPr>
      <w:color w:val="404040"/>
    </w:rPr>
    <w:tblPr>
      <w:tblCellMar>
        <w:left w:w="0" w:type="dxa"/>
        <w:top w:w="0" w:type="dxa"/>
        <w:right w:w="0" w:type="dxa"/>
        <w:bottom w:w="0" w:type="dxa"/>
      </w:tblCellMar>
    </w:tblPr>
  </w:style>
  <w:style w:type="table" w:styleId="833" w:customStyle="1">
    <w:name w:val="Lined - Accent 5"/>
    <w:uiPriority w:val="99"/>
    <w:qFormat/>
    <w:rPr>
      <w:color w:val="404040"/>
    </w:rPr>
    <w:tblPr>
      <w:tblCellMar>
        <w:left w:w="0" w:type="dxa"/>
        <w:top w:w="0" w:type="dxa"/>
        <w:right w:w="0" w:type="dxa"/>
        <w:bottom w:w="0" w:type="dxa"/>
      </w:tblCellMar>
    </w:tblPr>
  </w:style>
  <w:style w:type="table" w:styleId="834" w:customStyle="1">
    <w:name w:val="Lined - Accent 6"/>
    <w:uiPriority w:val="99"/>
    <w:qFormat/>
    <w:rPr>
      <w:color w:val="404040"/>
    </w:rPr>
    <w:tblPr>
      <w:tblCellMar>
        <w:left w:w="0" w:type="dxa"/>
        <w:top w:w="0" w:type="dxa"/>
        <w:right w:w="0" w:type="dxa"/>
        <w:bottom w:w="0" w:type="dxa"/>
      </w:tblCellMar>
    </w:tblPr>
  </w:style>
  <w:style w:type="table" w:styleId="8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9" w:customStyle="1">
    <w:name w:val="脚注文本 Char"/>
    <w:link w:val="665"/>
    <w:uiPriority w:val="99"/>
    <w:qFormat/>
    <w:rPr>
      <w:sz w:val="18"/>
    </w:rPr>
  </w:style>
  <w:style w:type="character" w:styleId="850" w:customStyle="1">
    <w:name w:val="尾注文本 Char"/>
    <w:link w:val="655"/>
    <w:uiPriority w:val="99"/>
    <w:qFormat/>
    <w:rPr>
      <w:sz w:val="20"/>
    </w:rPr>
  </w:style>
  <w:style w:type="paragraph" w:styleId="851" w:customStyle="1">
    <w:name w:val="TOC 标题1"/>
    <w:uiPriority w:val="39"/>
    <w:unhideWhenUsed/>
    <w:qFormat/>
    <w:rPr>
      <w:rFonts w:ascii="Calibri" w:hAnsi="Calibri" w:eastAsia="宋体" w:cs="Times New Roman"/>
      <w:lang w:val="en-US" w:eastAsia="zh-CN" w:bidi="ar-SA"/>
    </w:rPr>
  </w:style>
  <w:style w:type="character" w:styleId="852" w:customStyle="1">
    <w:name w:val="标题 1 Char1"/>
    <w:basedOn w:val="636"/>
    <w:link w:val="627"/>
    <w:uiPriority w:val="0"/>
    <w:qFormat/>
    <w:rPr>
      <w:rFonts w:ascii="黑体" w:hAnsi="Times New Roman" w:eastAsia="仿宋" w:cs="Times New Roman"/>
      <w:b/>
      <w:sz w:val="24"/>
      <w:szCs w:val="28"/>
    </w:rPr>
  </w:style>
  <w:style w:type="character" w:styleId="853" w:customStyle="1">
    <w:name w:val="标题 2 Char"/>
    <w:link w:val="628"/>
    <w:uiPriority w:val="0"/>
    <w:qFormat/>
    <w:rPr>
      <w:rFonts w:ascii="黑体" w:hAnsi="黑体" w:eastAsia="黑体"/>
      <w:b/>
      <w:bCs/>
      <w:sz w:val="36"/>
      <w:szCs w:val="36"/>
      <w:lang w:eastAsia="en-US"/>
    </w:rPr>
  </w:style>
  <w:style w:type="character" w:styleId="854" w:customStyle="1">
    <w:name w:val="标题 3 Char"/>
    <w:link w:val="629"/>
    <w:uiPriority w:val="0"/>
    <w:qFormat/>
    <w:rPr>
      <w:rFonts w:ascii="黑体" w:hAnsi="黑体" w:eastAsia="黑体"/>
      <w:sz w:val="32"/>
      <w:szCs w:val="32"/>
      <w:lang w:eastAsia="en-US"/>
    </w:rPr>
  </w:style>
  <w:style w:type="character" w:styleId="855" w:customStyle="1">
    <w:name w:val="标题 4 Char"/>
    <w:link w:val="630"/>
    <w:uiPriority w:val="0"/>
    <w:qFormat/>
    <w:rPr>
      <w:rFonts w:ascii="宋体" w:hAnsi="宋体"/>
      <w:b/>
      <w:bCs/>
      <w:sz w:val="24"/>
      <w:szCs w:val="24"/>
      <w:lang w:eastAsia="en-US"/>
    </w:rPr>
  </w:style>
  <w:style w:type="character" w:styleId="856" w:customStyle="1">
    <w:name w:val="标题 6 Char"/>
    <w:link w:val="632"/>
    <w:uiPriority w:val="0"/>
    <w:qFormat/>
    <w:rPr>
      <w:rFonts w:ascii="Arial" w:hAnsi="Arial" w:eastAsia="黑体"/>
      <w:b/>
      <w:sz w:val="24"/>
    </w:rPr>
  </w:style>
  <w:style w:type="character" w:styleId="857" w:customStyle="1">
    <w:name w:val="标题 7 Char"/>
    <w:link w:val="633"/>
    <w:uiPriority w:val="0"/>
    <w:qFormat/>
    <w:rPr>
      <w:b/>
      <w:sz w:val="24"/>
    </w:rPr>
  </w:style>
  <w:style w:type="character" w:styleId="858" w:customStyle="1">
    <w:name w:val="标题 8 Char"/>
    <w:link w:val="634"/>
    <w:uiPriority w:val="0"/>
    <w:qFormat/>
    <w:rPr>
      <w:rFonts w:ascii="Arial" w:hAnsi="Arial" w:eastAsia="黑体"/>
      <w:sz w:val="24"/>
    </w:rPr>
  </w:style>
  <w:style w:type="character" w:styleId="859" w:customStyle="1">
    <w:name w:val="标题 9 Char"/>
    <w:link w:val="635"/>
    <w:uiPriority w:val="0"/>
    <w:qFormat/>
    <w:rPr>
      <w:rFonts w:ascii="Arial" w:hAnsi="Arial" w:eastAsia="黑体"/>
      <w:sz w:val="21"/>
    </w:rPr>
  </w:style>
  <w:style w:type="character" w:styleId="860" w:customStyle="1">
    <w:name w:val="文档结构图 Char"/>
    <w:link w:val="641"/>
    <w:uiPriority w:val="0"/>
    <w:qFormat/>
    <w:rPr>
      <w:rFonts w:ascii="宋体"/>
      <w:sz w:val="18"/>
      <w:szCs w:val="18"/>
      <w:lang w:eastAsia="en-US"/>
    </w:rPr>
  </w:style>
  <w:style w:type="character" w:styleId="861" w:customStyle="1">
    <w:name w:val="批注文字 Char"/>
    <w:link w:val="642"/>
    <w:uiPriority w:val="0"/>
    <w:qFormat/>
    <w:rPr>
      <w:rFonts w:eastAsia="Calibri"/>
      <w:szCs w:val="22"/>
      <w:lang w:eastAsia="en-US"/>
    </w:rPr>
  </w:style>
  <w:style w:type="character" w:styleId="862" w:customStyle="1">
    <w:name w:val="正文文本 3 Char"/>
    <w:link w:val="644"/>
    <w:uiPriority w:val="0"/>
    <w:qFormat/>
    <w:rPr>
      <w:rFonts w:ascii="宋体"/>
      <w:sz w:val="24"/>
    </w:rPr>
  </w:style>
  <w:style w:type="character" w:styleId="863" w:customStyle="1">
    <w:name w:val="正文文本 Char"/>
    <w:link w:val="645"/>
    <w:uiPriority w:val="0"/>
    <w:qFormat/>
    <w:rPr>
      <w:rFonts w:ascii="宋体" w:hAnsi="宋体"/>
      <w:sz w:val="24"/>
      <w:szCs w:val="24"/>
      <w:lang w:eastAsia="en-US"/>
    </w:rPr>
  </w:style>
  <w:style w:type="character" w:styleId="864" w:customStyle="1">
    <w:name w:val="正文文本缩进 Char"/>
    <w:link w:val="646"/>
    <w:uiPriority w:val="99"/>
    <w:qFormat/>
    <w:rPr>
      <w:sz w:val="21"/>
    </w:rPr>
  </w:style>
  <w:style w:type="character" w:styleId="865" w:customStyle="1">
    <w:name w:val="纯文本 Char"/>
    <w:link w:val="651"/>
    <w:uiPriority w:val="0"/>
    <w:qFormat/>
    <w:rPr>
      <w:rFonts w:ascii="Ari"/>
      <w:sz w:val="21"/>
      <w:szCs w:val="24"/>
    </w:rPr>
  </w:style>
  <w:style w:type="character" w:styleId="866" w:customStyle="1">
    <w:name w:val="日期 Char"/>
    <w:link w:val="653"/>
    <w:uiPriority w:val="0"/>
    <w:qFormat/>
    <w:rPr>
      <w:sz w:val="24"/>
    </w:rPr>
  </w:style>
  <w:style w:type="character" w:styleId="867" w:customStyle="1">
    <w:name w:val="批注框文本 Char"/>
    <w:link w:val="656"/>
    <w:uiPriority w:val="0"/>
    <w:qFormat/>
    <w:rPr>
      <w:rFonts w:eastAsia="Calibri"/>
      <w:sz w:val="18"/>
      <w:szCs w:val="18"/>
      <w:lang w:eastAsia="en-US"/>
    </w:rPr>
  </w:style>
  <w:style w:type="character" w:styleId="868" w:customStyle="1">
    <w:name w:val="页脚 Char"/>
    <w:link w:val="657"/>
    <w:uiPriority w:val="0"/>
    <w:qFormat/>
    <w:rPr>
      <w:rFonts w:eastAsia="Calibri"/>
      <w:sz w:val="18"/>
      <w:szCs w:val="22"/>
      <w:lang w:eastAsia="en-US"/>
    </w:rPr>
  </w:style>
  <w:style w:type="character" w:styleId="869" w:customStyle="1">
    <w:name w:val="页眉 Char"/>
    <w:link w:val="658"/>
    <w:uiPriority w:val="99"/>
    <w:qFormat/>
    <w:rPr>
      <w:rFonts w:eastAsia="Calibri"/>
      <w:sz w:val="18"/>
      <w:szCs w:val="22"/>
      <w:lang w:eastAsia="en-US"/>
    </w:rPr>
  </w:style>
  <w:style w:type="character" w:styleId="870" w:customStyle="1">
    <w:name w:val="正文文本缩进 3 Char"/>
    <w:link w:val="667"/>
    <w:uiPriority w:val="0"/>
    <w:qFormat/>
    <w:rPr>
      <w:sz w:val="16"/>
    </w:rPr>
  </w:style>
  <w:style w:type="character" w:styleId="871" w:customStyle="1">
    <w:name w:val="标题 Char"/>
    <w:link w:val="674"/>
    <w:uiPriority w:val="0"/>
    <w:qFormat/>
    <w:rPr>
      <w:rFonts w:ascii="Arial" w:hAnsi="Arial"/>
      <w:b/>
      <w:sz w:val="32"/>
    </w:rPr>
  </w:style>
  <w:style w:type="character" w:styleId="872" w:customStyle="1">
    <w:name w:val="批注主题 Char"/>
    <w:link w:val="675"/>
    <w:uiPriority w:val="0"/>
    <w:qFormat/>
    <w:rPr>
      <w:lang w:eastAsia="en-US"/>
    </w:rPr>
  </w:style>
  <w:style w:type="character" w:styleId="873" w:customStyle="1">
    <w:name w:val="正文首行缩进 Char"/>
    <w:link w:val="676"/>
    <w:uiPriority w:val="0"/>
    <w:qFormat/>
    <w:rPr>
      <w:rFonts w:ascii="宋体" w:hAnsi="宋体" w:cs="宋体"/>
      <w:sz w:val="24"/>
      <w:szCs w:val="24"/>
      <w:lang w:eastAsia="en-US"/>
    </w:rPr>
  </w:style>
  <w:style w:type="character" w:styleId="874" w:customStyle="1">
    <w:name w:val="标题 1 Char"/>
    <w:uiPriority w:val="0"/>
    <w:qFormat/>
    <w:rPr>
      <w:rFonts w:ascii="黑体" w:hAnsi="黑体" w:eastAsia="黑体"/>
      <w:sz w:val="72"/>
      <w:szCs w:val="72"/>
      <w:lang w:eastAsia="en-US"/>
    </w:rPr>
  </w:style>
  <w:style w:type="character" w:styleId="875" w:customStyle="1">
    <w:name w:val="Char Char25"/>
    <w:uiPriority w:val="0"/>
    <w:qFormat/>
    <w:rPr>
      <w:rFonts w:ascii="Arial" w:hAnsi="Arial" w:eastAsia="黑体"/>
      <w:b/>
      <w:sz w:val="28"/>
    </w:rPr>
  </w:style>
  <w:style w:type="character" w:styleId="876" w:customStyle="1">
    <w:name w:val="未处理的提及"/>
    <w:uiPriority w:val="99"/>
    <w:unhideWhenUsed/>
    <w:qFormat/>
    <w:rPr>
      <w:color w:val="605e5c"/>
      <w:shd w:val="clear" w:color="auto" w:fill="e1dfdd"/>
    </w:rPr>
  </w:style>
  <w:style w:type="character" w:styleId="877" w:customStyle="1">
    <w:name w:val="bookmark"/>
    <w:uiPriority w:val="0"/>
    <w:qFormat/>
  </w:style>
  <w:style w:type="character" w:styleId="878" w:customStyle="1">
    <w:name w:val="NormalCharacter1"/>
    <w:uiPriority w:val="0"/>
    <w:qFormat/>
  </w:style>
  <w:style w:type="character" w:styleId="879" w:customStyle="1">
    <w:name w:val="font161"/>
    <w:uiPriority w:val="0"/>
    <w:qFormat/>
    <w:rPr>
      <w:b/>
      <w:sz w:val="32"/>
    </w:rPr>
  </w:style>
  <w:style w:type="character" w:styleId="880" w:customStyle="1">
    <w:name w:val="已访问的超链接11"/>
    <w:uiPriority w:val="99"/>
    <w:qFormat/>
    <w:rPr>
      <w:rFonts w:eastAsia="Calibri"/>
      <w:sz w:val="22"/>
      <w:szCs w:val="22"/>
      <w:lang w:val="en-US" w:eastAsia="en-US" w:bidi="ar-SA"/>
    </w:rPr>
  </w:style>
  <w:style w:type="paragraph" w:styleId="881" w:customStyle="1">
    <w:name w:val="Table Paragraph"/>
    <w:basedOn w:val="626"/>
    <w:uiPriority w:val="99"/>
    <w:qFormat/>
  </w:style>
  <w:style w:type="paragraph" w:styleId="882" w:customStyle="1">
    <w:name w:val="首行缩进"/>
    <w:basedOn w:val="626"/>
    <w:uiPriority w:val="99"/>
    <w:qFormat/>
    <w:pPr>
      <w:ind w:firstLine="480"/>
      <w:spacing w:line="360" w:lineRule="auto"/>
    </w:pPr>
    <w:rPr>
      <w:rFonts w:ascii="宋体" w:hAnsi="宋体"/>
      <w:sz w:val="24"/>
      <w:szCs w:val="24"/>
    </w:rPr>
  </w:style>
  <w:style w:type="paragraph" w:styleId="883" w:customStyle="1">
    <w:name w:val="样式 标题 2 + Times New Roman 四号 非加粗 段前: 5 磅 段后: 0 磅 行距: 固定值 20..."/>
    <w:basedOn w:val="628"/>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884" w:customStyle="1">
    <w:name w:val="Heading21"/>
    <w:basedOn w:val="626"/>
    <w:next w:val="626"/>
    <w:uiPriority w:val="0"/>
    <w:qFormat/>
    <w:pPr>
      <w:keepLines/>
      <w:keepNext/>
    </w:pPr>
    <w:rPr>
      <w:rFonts w:ascii="Arial" w:hAnsi="Arial"/>
      <w:sz w:val="28"/>
      <w:szCs w:val="24"/>
    </w:rPr>
  </w:style>
  <w:style w:type="paragraph" w:styleId="885" w:customStyle="1">
    <w:name w:val="6'"/>
    <w:basedOn w:val="626"/>
    <w:uiPriority w:val="0"/>
    <w:qFormat/>
    <w:pPr>
      <w:jc w:val="center"/>
      <w:spacing w:line="320" w:lineRule="exact"/>
    </w:pPr>
    <w:rPr>
      <w:rFonts w:eastAsia="宋体"/>
      <w:spacing w:val="20"/>
      <w:sz w:val="21"/>
      <w:szCs w:val="20"/>
      <w:lang w:eastAsia="zh-CN"/>
    </w:rPr>
  </w:style>
  <w:style w:type="paragraph" w:styleId="886" w:customStyle="1">
    <w:name w:val="正文_1_0_0_0_0"/>
    <w:uiPriority w:val="0"/>
    <w:qFormat/>
    <w:pPr>
      <w:jc w:val="both"/>
      <w:widowControl w:val="off"/>
    </w:pPr>
    <w:rPr>
      <w:rFonts w:ascii="Times New Roman" w:hAnsi="Times New Roman" w:eastAsia="宋体" w:cs="Times New Roman"/>
      <w:szCs w:val="24"/>
      <w:lang w:val="en-US" w:eastAsia="zh-CN" w:bidi="ar-SA"/>
    </w:rPr>
  </w:style>
  <w:style w:type="paragraph" w:styleId="887" w:customStyle="1">
    <w:name w:val="样式 标题 3 + (中文) 黑体 小四 非加粗 段前: 7.8 磅 段后: 0 磅 行距: 固定值 20 磅"/>
    <w:basedOn w:val="629"/>
    <w:uiPriority w:val="0"/>
    <w:qFormat/>
    <w:pPr>
      <w:jc w:val="both"/>
      <w:keepLines/>
      <w:keepNext/>
      <w:spacing w:line="400" w:lineRule="exact"/>
    </w:pPr>
    <w:rPr>
      <w:rFonts w:ascii="Times New Roman" w:hAnsi="Times New Roman"/>
      <w:sz w:val="24"/>
      <w:szCs w:val="20"/>
      <w:lang w:eastAsia="zh-CN"/>
    </w:rPr>
  </w:style>
  <w:style w:type="paragraph" w:styleId="888" w:customStyle="1">
    <w:name w:val="Heading 3_0_0_0"/>
    <w:basedOn w:val="889"/>
    <w:next w:val="889"/>
    <w:uiPriority w:val="0"/>
    <w:qFormat/>
    <w:pPr>
      <w:keepLines/>
      <w:keepNext/>
      <w:spacing w:line="400" w:lineRule="exact"/>
      <w:outlineLvl w:val="2"/>
    </w:pPr>
    <w:rPr>
      <w:rFonts w:ascii="黑体" w:hAnsi="黑体" w:eastAsia="黑体"/>
      <w:bCs/>
      <w:color w:val="ff0000"/>
      <w:szCs w:val="21"/>
    </w:rPr>
  </w:style>
  <w:style w:type="paragraph" w:styleId="889" w:customStyle="1">
    <w:name w:val="Normal_0_0"/>
    <w:uiPriority w:val="0"/>
    <w:qFormat/>
    <w:pPr>
      <w:jc w:val="both"/>
      <w:widowControl w:val="off"/>
    </w:pPr>
    <w:rPr>
      <w:rFonts w:ascii="Times New Roman" w:hAnsi="Times New Roman" w:eastAsia="宋体" w:cs="Times New Roman"/>
      <w:szCs w:val="24"/>
      <w:lang w:val="en-US" w:eastAsia="zh-CN" w:bidi="ar-SA"/>
    </w:rPr>
  </w:style>
  <w:style w:type="paragraph" w:styleId="890" w:customStyle="1">
    <w:name w:val="正文_1_0"/>
    <w:uiPriority w:val="0"/>
    <w:qFormat/>
    <w:pPr>
      <w:jc w:val="both"/>
      <w:widowControl w:val="off"/>
    </w:pPr>
    <w:rPr>
      <w:rFonts w:ascii="Times New Roman" w:hAnsi="Times New Roman" w:eastAsia="宋体" w:cs="Times New Roman"/>
      <w:szCs w:val="24"/>
      <w:lang w:val="en-US" w:eastAsia="zh-CN" w:bidi="ar-SA"/>
    </w:rPr>
  </w:style>
  <w:style w:type="paragraph" w:styleId="891" w:customStyle="1">
    <w:name w:val="表格文字"/>
    <w:basedOn w:val="626"/>
    <w:uiPriority w:val="0"/>
    <w:qFormat/>
    <w:pPr>
      <w:spacing w:line="420" w:lineRule="atLeast"/>
    </w:pPr>
    <w:rPr>
      <w:rFonts w:eastAsia="宋体"/>
      <w:sz w:val="21"/>
      <w:szCs w:val="20"/>
      <w:lang w:eastAsia="zh-CN"/>
    </w:rPr>
  </w:style>
  <w:style w:type="paragraph" w:styleId="892" w:customStyle="1">
    <w:name w:val="1"/>
    <w:basedOn w:val="626"/>
    <w:next w:val="626"/>
    <w:uiPriority w:val="0"/>
    <w:qFormat/>
    <w:pPr>
      <w:jc w:val="both"/>
    </w:pPr>
    <w:rPr>
      <w:rFonts w:eastAsia="宋体"/>
      <w:sz w:val="21"/>
      <w:szCs w:val="20"/>
      <w:lang w:eastAsia="zh-CN"/>
    </w:rPr>
  </w:style>
  <w:style w:type="paragraph" w:styleId="893" w:customStyle="1">
    <w:name w:val="WPSOffice手动目录 1"/>
    <w:uiPriority w:val="0"/>
    <w:qFormat/>
    <w:rPr>
      <w:rFonts w:ascii="Calibri" w:hAnsi="Calibri" w:eastAsia="宋体" w:cs="Times New Roman"/>
      <w:lang w:val="en-US" w:eastAsia="zh-CN" w:bidi="ar-SA"/>
    </w:rPr>
  </w:style>
  <w:style w:type="paragraph" w:styleId="894" w:customStyle="1">
    <w:name w:val="段"/>
    <w:next w:val="626"/>
    <w:uiPriority w:val="0"/>
    <w:qFormat/>
    <w:pPr>
      <w:ind w:firstLine="200"/>
      <w:jc w:val="both"/>
    </w:pPr>
    <w:rPr>
      <w:rFonts w:ascii="宋体" w:hAnsi="Calibri" w:eastAsia="宋体" w:cs="Times New Roman"/>
      <w:sz w:val="21"/>
      <w:lang w:val="en-US" w:eastAsia="zh-CN" w:bidi="ar-SA"/>
    </w:rPr>
  </w:style>
  <w:style w:type="paragraph" w:styleId="895"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96"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897" w:customStyle="1">
    <w:name w:val="正文_2"/>
    <w:uiPriority w:val="0"/>
    <w:qFormat/>
    <w:pPr>
      <w:spacing w:after="200" w:line="276" w:lineRule="auto"/>
      <w:widowControl w:val="off"/>
    </w:pPr>
    <w:rPr>
      <w:rFonts w:ascii="Calibri" w:hAnsi="Calibri" w:eastAsia="宋体" w:cs="Times New Roman"/>
      <w:lang w:val="en-US" w:eastAsia="zh-CN" w:bidi="ar-SA"/>
    </w:rPr>
  </w:style>
  <w:style w:type="paragraph" w:styleId="898" w:customStyle="1">
    <w:name w:val="表格"/>
    <w:basedOn w:val="626"/>
    <w:uiPriority w:val="0"/>
    <w:qFormat/>
    <w:pPr>
      <w:jc w:val="center"/>
    </w:pPr>
    <w:rPr>
      <w:rFonts w:ascii="华文细黑" w:hAnsi="华文细黑" w:eastAsia="宋体"/>
      <w:sz w:val="21"/>
      <w:szCs w:val="20"/>
      <w:lang w:eastAsia="zh-CN"/>
    </w:rPr>
  </w:style>
  <w:style w:type="paragraph" w:styleId="899" w:customStyle="1">
    <w:name w:val="正文_1_1"/>
    <w:uiPriority w:val="99"/>
    <w:qFormat/>
    <w:pPr>
      <w:jc w:val="both"/>
      <w:widowControl w:val="off"/>
    </w:pPr>
    <w:rPr>
      <w:rFonts w:ascii="Times New Roman" w:hAnsi="Times New Roman" w:eastAsia="宋体" w:cs="Times New Roman"/>
      <w:szCs w:val="24"/>
      <w:lang w:val="en-US" w:eastAsia="zh-CN" w:bidi="ar-SA"/>
    </w:rPr>
  </w:style>
  <w:style w:type="paragraph" w:styleId="900" w:customStyle="1">
    <w:name w:val="正文_1_0_0_0_0_0"/>
    <w:uiPriority w:val="0"/>
    <w:qFormat/>
    <w:pPr>
      <w:jc w:val="both"/>
      <w:widowControl w:val="off"/>
    </w:pPr>
    <w:rPr>
      <w:rFonts w:ascii="Times New Roman" w:hAnsi="Times New Roman" w:eastAsia="宋体" w:cs="Times New Roman"/>
      <w:szCs w:val="24"/>
      <w:lang w:val="en-US" w:eastAsia="zh-CN" w:bidi="ar-SA"/>
    </w:rPr>
  </w:style>
  <w:style w:type="paragraph" w:styleId="901"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902" w:customStyle="1">
    <w:name w:val="列出段落1"/>
    <w:basedOn w:val="626"/>
    <w:uiPriority w:val="0"/>
    <w:qFormat/>
    <w:pPr>
      <w:contextualSpacing/>
      <w:ind w:left="720"/>
      <w:widowControl/>
    </w:pPr>
    <w:rPr>
      <w:rFonts w:ascii="Arial" w:hAnsi="Arial" w:eastAsia="黑体"/>
      <w:sz w:val="24"/>
      <w:szCs w:val="24"/>
    </w:rPr>
  </w:style>
  <w:style w:type="paragraph" w:styleId="903" w:customStyle="1">
    <w:name w:val="正文_1_0_0_0"/>
    <w:uiPriority w:val="0"/>
    <w:qFormat/>
    <w:pPr>
      <w:jc w:val="both"/>
      <w:widowControl w:val="off"/>
    </w:pPr>
    <w:rPr>
      <w:rFonts w:ascii="Times New Roman" w:hAnsi="Times New Roman" w:eastAsia="宋体" w:cs="Times New Roman"/>
      <w:szCs w:val="24"/>
      <w:lang w:val="en-US" w:eastAsia="zh-CN" w:bidi="ar-SA"/>
    </w:rPr>
  </w:style>
  <w:style w:type="paragraph" w:styleId="904" w:customStyle="1">
    <w:name w:val="Normal_0_1"/>
    <w:uiPriority w:val="0"/>
    <w:qFormat/>
    <w:pPr>
      <w:jc w:val="both"/>
      <w:widowControl w:val="off"/>
    </w:pPr>
    <w:rPr>
      <w:rFonts w:ascii="Times New Roman" w:hAnsi="Times New Roman" w:eastAsia="宋体" w:cs="Times New Roman"/>
      <w:lang w:val="en-US" w:eastAsia="zh-CN" w:bidi="ar-SA"/>
    </w:rPr>
  </w:style>
  <w:style w:type="paragraph" w:styleId="905" w:customStyle="1">
    <w:name w:val="正文文本缩进1"/>
    <w:basedOn w:val="890"/>
    <w:uiPriority w:val="0"/>
    <w:qFormat/>
    <w:pPr>
      <w:ind w:left="420"/>
      <w:spacing w:after="120"/>
    </w:pPr>
    <w:rPr>
      <w:rFonts w:ascii="Calibri" w:hAnsi="Calibri" w:eastAsia="微软雅黑"/>
    </w:rPr>
  </w:style>
  <w:style w:type="paragraph" w:styleId="906" w:customStyle="1">
    <w:name w:val="样式 标题 1 + 黑体 三号 非加粗 居中 段前: 6 磅 段后: 6 磅 行距: 固定值 20 磅"/>
    <w:basedOn w:val="627"/>
    <w:uiPriority w:val="0"/>
    <w:qFormat/>
    <w:pPr>
      <w:jc w:val="center"/>
      <w:keepLines/>
      <w:keepNext/>
      <w:spacing w:before="120" w:after="120" w:line="400" w:lineRule="exact"/>
    </w:pPr>
    <w:rPr>
      <w:sz w:val="32"/>
      <w:szCs w:val="20"/>
      <w:lang w:eastAsia="zh-CN"/>
    </w:rPr>
  </w:style>
  <w:style w:type="paragraph" w:styleId="907" w:customStyle="1">
    <w:name w:val="Blockquote"/>
    <w:basedOn w:val="626"/>
    <w:uiPriority w:val="99"/>
    <w:qFormat/>
    <w:pPr>
      <w:ind w:left="360" w:right="360"/>
      <w:spacing w:before="100" w:after="100"/>
    </w:pPr>
    <w:rPr>
      <w:rFonts w:eastAsia="宋体"/>
      <w:sz w:val="24"/>
      <w:szCs w:val="20"/>
      <w:lang w:eastAsia="zh-CN"/>
    </w:rPr>
  </w:style>
  <w:style w:type="paragraph" w:styleId="908" w:customStyle="1">
    <w:name w:val="_Style 19"/>
    <w:uiPriority w:val="0"/>
    <w:qFormat/>
    <w:pPr>
      <w:jc w:val="both"/>
      <w:widowControl w:val="off"/>
    </w:pPr>
    <w:rPr>
      <w:rFonts w:ascii="Calibri" w:hAnsi="Calibri" w:eastAsia="宋体" w:cs="Times New Roman"/>
      <w:sz w:val="21"/>
      <w:szCs w:val="22"/>
      <w:lang w:val="en-US" w:eastAsia="zh-CN" w:bidi="ar-SA"/>
    </w:rPr>
  </w:style>
  <w:style w:type="table" w:styleId="909" w:customStyle="1">
    <w:name w:val="Table Normal"/>
    <w:uiPriority w:val="2"/>
    <w:unhideWhenUsed/>
    <w:qFormat/>
    <w:tblPr>
      <w:tblCellMar>
        <w:left w:w="0" w:type="dxa"/>
        <w:top w:w="0" w:type="dxa"/>
        <w:right w:w="0" w:type="dxa"/>
        <w:bottom w:w="0" w:type="dxa"/>
      </w:tblCellMar>
    </w:tblPr>
  </w:style>
  <w:style w:type="table" w:styleId="910" w:customStyle="1">
    <w:name w:val="网格型1"/>
    <w:basedOn w:val="637"/>
    <w:uiPriority w:val="59"/>
    <w:qFormat/>
    <w:tblPr>
      <w:tblCellMar>
        <w:left w:w="108" w:type="dxa"/>
        <w:top w:w="0" w:type="dxa"/>
        <w:right w:w="108" w:type="dxa"/>
        <w:bottom w:w="0" w:type="dxa"/>
      </w:tblCellMar>
    </w:tblPr>
  </w:style>
  <w:style w:type="character" w:styleId="911" w:customStyle="1">
    <w:name w:val="正文文本缩进 2 Char"/>
    <w:basedOn w:val="636"/>
    <w:link w:val="654"/>
    <w:uiPriority w:val="0"/>
    <w:qFormat/>
    <w:rPr>
      <w:rFonts w:eastAsia="Calibri"/>
      <w:sz w:val="22"/>
      <w:szCs w:val="22"/>
      <w:lang w:eastAsia="en-US"/>
    </w:rPr>
  </w:style>
  <w:style w:type="character" w:styleId="912" w:customStyle="1">
    <w:name w:val="标题 5 Char"/>
    <w:basedOn w:val="636"/>
    <w:link w:val="631"/>
    <w:uiPriority w:val="0"/>
    <w:qFormat/>
    <w:rPr>
      <w:rFonts w:ascii="Times New Roman" w:hAnsi="Times New Roman"/>
      <w:b/>
      <w:bCs/>
      <w:sz w:val="28"/>
      <w:szCs w:val="28"/>
    </w:rPr>
  </w:style>
  <w:style w:type="character" w:styleId="913" w:customStyle="1">
    <w:name w:val="纯文本 Char1"/>
    <w:uiPriority w:val="0"/>
    <w:qFormat/>
    <w:rPr>
      <w:rFonts w:ascii="宋体" w:hAnsi="Courier New" w:cs="金山简魏碑"/>
      <w:sz w:val="21"/>
      <w:szCs w:val="21"/>
    </w:rPr>
  </w:style>
  <w:style w:type="character" w:styleId="914" w:customStyle="1">
    <w:name w:val="HTML 预设格式 Char"/>
    <w:basedOn w:val="636"/>
    <w:link w:val="672"/>
    <w:uiPriority w:val="99"/>
    <w:qFormat/>
    <w:rPr>
      <w:rFonts w:ascii="Arial" w:hAnsi="Arial"/>
      <w:sz w:val="11"/>
      <w:szCs w:val="11"/>
    </w:rPr>
  </w:style>
  <w:style w:type="character" w:styleId="915" w:customStyle="1">
    <w:name w:val="明显引用 Char1"/>
    <w:uiPriority w:val="99"/>
    <w:qFormat/>
    <w:rPr>
      <w:b/>
      <w:bCs/>
      <w:i/>
      <w:iCs/>
      <w:color w:val="4f81bd"/>
      <w:sz w:val="21"/>
      <w:szCs w:val="24"/>
    </w:rPr>
  </w:style>
  <w:style w:type="character" w:styleId="916" w:customStyle="1">
    <w:name w:val="rvts13"/>
    <w:uiPriority w:val="0"/>
    <w:qFormat/>
    <w:rPr>
      <w:rFonts w:hint="default" w:ascii="KNLe" w:hAnsi="KNLe"/>
      <w:color w:val="000000"/>
    </w:rPr>
  </w:style>
  <w:style w:type="character" w:styleId="917" w:customStyle="1">
    <w:name w:val="文档结构图 Char1"/>
    <w:uiPriority w:val="0"/>
    <w:qFormat/>
    <w:rPr>
      <w:rFonts w:ascii="宋体"/>
      <w:sz w:val="18"/>
      <w:szCs w:val="18"/>
    </w:rPr>
  </w:style>
  <w:style w:type="character" w:styleId="918" w:customStyle="1">
    <w:name w:val="标题 Char1"/>
    <w:uiPriority w:val="10"/>
    <w:qFormat/>
    <w:rPr>
      <w:rFonts w:ascii="Cambria" w:hAnsi="Cambria" w:eastAsia="宋体" w:cs="Times New Roman"/>
      <w:b/>
      <w:bCs/>
      <w:sz w:val="32"/>
      <w:szCs w:val="32"/>
    </w:rPr>
  </w:style>
  <w:style w:type="character" w:styleId="919" w:customStyle="1">
    <w:name w:val="标题 3 Char1"/>
    <w:uiPriority w:val="0"/>
    <w:qFormat/>
    <w:rPr>
      <w:b/>
      <w:bCs/>
      <w:sz w:val="32"/>
      <w:szCs w:val="32"/>
    </w:rPr>
  </w:style>
  <w:style w:type="character" w:styleId="920" w:customStyle="1">
    <w:name w:val="font21"/>
    <w:uiPriority w:val="0"/>
    <w:qFormat/>
    <w:rPr>
      <w:rFonts w:hint="eastAsia" w:ascii="微软雅黑" w:hAnsi="微软雅黑" w:eastAsia="微软雅黑" w:cs="微软雅黑"/>
      <w:color w:val="000000"/>
      <w:sz w:val="24"/>
      <w:szCs w:val="24"/>
      <w:u w:val="none"/>
    </w:rPr>
  </w:style>
  <w:style w:type="character" w:styleId="921" w:customStyle="1">
    <w:name w:val="标题 4 Char1"/>
    <w:uiPriority w:val="0"/>
    <w:qFormat/>
    <w:rPr>
      <w:rFonts w:ascii="Cambria" w:hAnsi="Cambria" w:eastAsia="宋体" w:cs="Times New Roman"/>
      <w:b/>
      <w:bCs/>
      <w:sz w:val="28"/>
      <w:szCs w:val="28"/>
    </w:rPr>
  </w:style>
  <w:style w:type="character" w:styleId="922" w:customStyle="1">
    <w:name w:val="标题4 Char Char"/>
    <w:link w:val="923"/>
    <w:uiPriority w:val="0"/>
    <w:qFormat/>
    <w:rPr>
      <w:rFonts w:ascii="Arial" w:hAnsi="Arial"/>
      <w:b/>
      <w:bCs/>
      <w:sz w:val="24"/>
      <w:szCs w:val="32"/>
    </w:rPr>
  </w:style>
  <w:style w:type="paragraph" w:styleId="923" w:customStyle="1">
    <w:name w:val="标题4"/>
    <w:basedOn w:val="628"/>
    <w:next w:val="648"/>
    <w:link w:val="922"/>
    <w:uiPriority w:val="0"/>
    <w:qFormat/>
    <w:pPr>
      <w:ind w:left="0"/>
      <w:jc w:val="both"/>
      <w:keepLines/>
      <w:keepNext/>
      <w:spacing w:before="260" w:after="260" w:line="413" w:lineRule="auto"/>
    </w:pPr>
    <w:rPr>
      <w:rFonts w:ascii="Arial" w:hAnsi="Arial" w:eastAsia="宋体"/>
      <w:sz w:val="24"/>
      <w:szCs w:val="32"/>
    </w:rPr>
  </w:style>
  <w:style w:type="character" w:styleId="924" w:customStyle="1">
    <w:name w:val="批注框文本 Char1"/>
    <w:uiPriority w:val="0"/>
    <w:qFormat/>
    <w:rPr>
      <w:sz w:val="18"/>
      <w:szCs w:val="18"/>
    </w:rPr>
  </w:style>
  <w:style w:type="character" w:styleId="925" w:customStyle="1">
    <w:name w:val="_Style 78"/>
    <w:uiPriority w:val="0"/>
    <w:qFormat/>
    <w:rPr>
      <w:b/>
      <w:bCs/>
      <w:smallCaps/>
      <w:spacing w:val="5"/>
    </w:rPr>
  </w:style>
  <w:style w:type="character" w:styleId="926" w:customStyle="1">
    <w:name w:val="副标题 Char1"/>
    <w:uiPriority w:val="0"/>
    <w:qFormat/>
    <w:rPr>
      <w:rFonts w:ascii="Cambria" w:hAnsi="Cambria" w:cs="Times New Roman"/>
      <w:b/>
      <w:bCs/>
      <w:sz w:val="32"/>
      <w:szCs w:val="32"/>
    </w:rPr>
  </w:style>
  <w:style w:type="character" w:styleId="927" w:customStyle="1">
    <w:name w:val="批注文字 Char Char"/>
    <w:uiPriority w:val="0"/>
    <w:qFormat/>
    <w:rPr>
      <w:rFonts w:ascii="宋体" w:hAnsi="Times New Roman" w:eastAsia="宋体" w:cs="Times New Roman"/>
      <w:sz w:val="28"/>
      <w:szCs w:val="20"/>
    </w:rPr>
  </w:style>
  <w:style w:type="character" w:styleId="928" w:customStyle="1">
    <w:name w:val="批注主题 Char1"/>
    <w:uiPriority w:val="0"/>
    <w:qFormat/>
    <w:rPr>
      <w:b/>
      <w:bCs/>
      <w:sz w:val="21"/>
      <w:szCs w:val="22"/>
    </w:rPr>
  </w:style>
  <w:style w:type="character" w:styleId="929" w:customStyle="1">
    <w:name w:val="_Style 82"/>
    <w:uiPriority w:val="0"/>
    <w:qFormat/>
    <w:rPr>
      <w:b/>
      <w:bCs/>
      <w:smallCaps/>
      <w:color w:val="c0504d"/>
      <w:spacing w:val="5"/>
      <w:u w:val="single"/>
    </w:rPr>
  </w:style>
  <w:style w:type="character" w:styleId="930" w:customStyle="1">
    <w:name w:val="rvts10"/>
    <w:uiPriority w:val="0"/>
    <w:qFormat/>
    <w:rPr>
      <w:rFonts w:hint="default" w:ascii="KNLe" w:hAnsi="KNLe"/>
      <w:b/>
      <w:bCs/>
    </w:rPr>
  </w:style>
  <w:style w:type="character" w:styleId="931"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932" w:customStyle="1">
    <w:name w:val="引用 Char1"/>
    <w:uiPriority w:val="99"/>
    <w:qFormat/>
    <w:rPr>
      <w:i/>
      <w:iCs/>
      <w:color w:val="000000"/>
      <w:sz w:val="21"/>
      <w:szCs w:val="24"/>
    </w:rPr>
  </w:style>
  <w:style w:type="character" w:styleId="933" w:customStyle="1">
    <w:name w:val="日期 Char1"/>
    <w:uiPriority w:val="0"/>
    <w:qFormat/>
    <w:rPr>
      <w:sz w:val="21"/>
      <w:szCs w:val="22"/>
    </w:rPr>
  </w:style>
  <w:style w:type="character" w:styleId="934" w:customStyle="1">
    <w:name w:val="NormalCharacter"/>
    <w:uiPriority w:val="0"/>
    <w:qFormat/>
  </w:style>
  <w:style w:type="character" w:styleId="935" w:customStyle="1">
    <w:name w:val="批注主题 Char2"/>
    <w:uiPriority w:val="0"/>
    <w:qFormat/>
    <w:rPr>
      <w:b/>
      <w:bCs/>
      <w:sz w:val="21"/>
      <w:szCs w:val="24"/>
    </w:rPr>
  </w:style>
  <w:style w:type="character" w:styleId="936" w:customStyle="1">
    <w:name w:val="批注文字 字符"/>
    <w:uiPriority w:val="0"/>
    <w:semiHidden/>
    <w:qFormat/>
    <w:rPr>
      <w:sz w:val="21"/>
    </w:rPr>
  </w:style>
  <w:style w:type="character" w:styleId="937" w:customStyle="1">
    <w:name w:val="_Style 91"/>
    <w:uiPriority w:val="0"/>
    <w:qFormat/>
    <w:rPr>
      <w:smallCaps/>
      <w:color w:val="c0504d"/>
      <w:u w:val="single"/>
    </w:rPr>
  </w:style>
  <w:style w:type="character" w:styleId="938" w:customStyle="1">
    <w:name w:val="_Style 92"/>
    <w:uiPriority w:val="0"/>
    <w:qFormat/>
    <w:rPr>
      <w:i/>
      <w:iCs/>
      <w:color w:val="808080"/>
    </w:rPr>
  </w:style>
  <w:style w:type="character" w:styleId="939" w:customStyle="1">
    <w:name w:val="rvts11"/>
    <w:uiPriority w:val="0"/>
    <w:qFormat/>
    <w:rPr>
      <w:rFonts w:hint="default" w:ascii="KNLe" w:hAnsi="KNLe"/>
      <w:u w:val="single"/>
    </w:rPr>
  </w:style>
  <w:style w:type="character" w:styleId="940" w:customStyle="1">
    <w:name w:val="标题3 Char"/>
    <w:link w:val="941"/>
    <w:uiPriority w:val="0"/>
    <w:qFormat/>
    <w:rPr>
      <w:rFonts w:ascii="黑体" w:hAnsi="黑体" w:eastAsia="黑体"/>
      <w:b/>
      <w:sz w:val="32"/>
      <w:szCs w:val="32"/>
    </w:rPr>
  </w:style>
  <w:style w:type="paragraph" w:styleId="941" w:customStyle="1">
    <w:name w:val="标题3"/>
    <w:basedOn w:val="626"/>
    <w:link w:val="940"/>
    <w:uiPriority w:val="0"/>
    <w:qFormat/>
    <w:pPr>
      <w:jc w:val="center"/>
      <w:pageBreakBefore/>
      <w:outlineLvl w:val="2"/>
    </w:pPr>
    <w:rPr>
      <w:rFonts w:ascii="黑体" w:hAnsi="黑体" w:eastAsia="黑体"/>
      <w:b/>
      <w:sz w:val="32"/>
      <w:szCs w:val="32"/>
    </w:rPr>
  </w:style>
  <w:style w:type="character" w:styleId="942" w:customStyle="1">
    <w:name w:val="_Style 96"/>
    <w:uiPriority w:val="0"/>
    <w:qFormat/>
    <w:rPr>
      <w:b/>
      <w:bCs/>
      <w:i/>
      <w:iCs/>
      <w:color w:val="4f81bd"/>
    </w:rPr>
  </w:style>
  <w:style w:type="character" w:styleId="943" w:customStyle="1">
    <w:name w:val="正文文本 Char1"/>
    <w:uiPriority w:val="0"/>
    <w:qFormat/>
    <w:rPr>
      <w:sz w:val="21"/>
      <w:szCs w:val="22"/>
    </w:rPr>
  </w:style>
  <w:style w:type="character" w:styleId="944" w:customStyle="1">
    <w:name w:val="textcontents"/>
    <w:uiPriority w:val="0"/>
    <w:qFormat/>
    <w:rPr>
      <w:rFonts w:cs="Times New Roman"/>
    </w:rPr>
  </w:style>
  <w:style w:type="character" w:styleId="945" w:customStyle="1">
    <w:name w:val="p21"/>
    <w:uiPriority w:val="0"/>
    <w:qFormat/>
    <w:rPr>
      <w:sz w:val="9"/>
      <w:szCs w:val="9"/>
    </w:rPr>
  </w:style>
  <w:style w:type="character" w:styleId="946" w:customStyle="1">
    <w:name w:val="标题5 Char Char"/>
    <w:link w:val="947"/>
    <w:uiPriority w:val="0"/>
    <w:qFormat/>
    <w:rPr>
      <w:rFonts w:ascii="Arial" w:hAnsi="Arial"/>
      <w:b/>
      <w:bCs/>
      <w:sz w:val="24"/>
      <w:szCs w:val="32"/>
    </w:rPr>
  </w:style>
  <w:style w:type="paragraph" w:styleId="947" w:customStyle="1">
    <w:name w:val="标题5"/>
    <w:basedOn w:val="629"/>
    <w:link w:val="946"/>
    <w:uiPriority w:val="0"/>
    <w:qFormat/>
    <w:pPr>
      <w:jc w:val="both"/>
      <w:keepLines/>
      <w:keepNext/>
      <w:spacing w:before="260" w:after="260" w:line="413" w:lineRule="auto"/>
      <w:tabs>
        <w:tab w:val="left" w:pos="432" w:leader="none"/>
      </w:tabs>
    </w:pPr>
    <w:rPr>
      <w:rFonts w:ascii="Arial" w:hAnsi="Arial" w:eastAsia="宋体"/>
      <w:b/>
      <w:bCs/>
      <w:sz w:val="24"/>
    </w:rPr>
  </w:style>
  <w:style w:type="character" w:styleId="948" w:customStyle="1">
    <w:name w:val="标题 2 Char_0"/>
    <w:link w:val="949"/>
    <w:uiPriority w:val="0"/>
    <w:qFormat/>
    <w:rPr>
      <w:rFonts w:ascii="Cambria" w:hAnsi="Cambria" w:eastAsia="黑体"/>
      <w:b/>
      <w:bCs/>
      <w:sz w:val="32"/>
      <w:szCs w:val="32"/>
    </w:rPr>
  </w:style>
  <w:style w:type="paragraph" w:styleId="949" w:customStyle="1">
    <w:name w:val="标题 21"/>
    <w:basedOn w:val="950"/>
    <w:next w:val="950"/>
    <w:link w:val="948"/>
    <w:uiPriority w:val="0"/>
    <w:qFormat/>
    <w:rPr>
      <w:rFonts w:ascii="Cambria" w:hAnsi="Cambria" w:eastAsia="黑体"/>
      <w:b/>
      <w:bCs/>
      <w:sz w:val="32"/>
      <w:szCs w:val="32"/>
    </w:rPr>
  </w:style>
  <w:style w:type="paragraph" w:styleId="950" w:customStyle="1">
    <w:name w:val="Normal_0"/>
    <w:uiPriority w:val="0"/>
    <w:qFormat/>
    <w:pPr>
      <w:widowControl w:val="off"/>
    </w:pPr>
    <w:rPr>
      <w:rFonts w:ascii="Times New Roman" w:hAnsi="Times New Roman" w:eastAsia="宋体" w:cs="Times New Roman"/>
      <w:lang w:val="en-US" w:eastAsia="zh-CN" w:bidi="ar-SA"/>
    </w:rPr>
  </w:style>
  <w:style w:type="character" w:styleId="951" w:customStyle="1">
    <w:name w:val="rvts9"/>
    <w:uiPriority w:val="0"/>
    <w:qFormat/>
    <w:rPr>
      <w:rFonts w:hint="default" w:ascii="KNLe" w:hAnsi="KNLe"/>
    </w:rPr>
  </w:style>
  <w:style w:type="paragraph" w:styleId="952" w:customStyle="1">
    <w:name w:val="Char7"/>
    <w:basedOn w:val="641"/>
    <w:uiPriority w:val="0"/>
    <w:qFormat/>
    <w:pPr>
      <w:jc w:val="both"/>
      <w:spacing w:line="360" w:lineRule="auto"/>
      <w:shd w:val="clear" w:color="auto" w:fill="000080"/>
    </w:pPr>
    <w:rPr>
      <w:rFonts w:ascii="Tahoma" w:hAnsi="Tahoma"/>
      <w:sz w:val="24"/>
      <w:szCs w:val="24"/>
      <w:lang w:eastAsia="zh-CN"/>
    </w:rPr>
  </w:style>
  <w:style w:type="paragraph" w:styleId="953" w:customStyle="1">
    <w:name w:val="列出段落2"/>
    <w:basedOn w:val="626"/>
    <w:uiPriority w:val="0"/>
    <w:qFormat/>
    <w:pPr>
      <w:ind w:firstLine="420"/>
      <w:jc w:val="both"/>
    </w:pPr>
    <w:rPr>
      <w:rFonts w:eastAsia="宋体"/>
      <w:sz w:val="21"/>
      <w:lang w:eastAsia="zh-CN"/>
    </w:rPr>
  </w:style>
  <w:style w:type="paragraph" w:styleId="954" w:customStyle="1">
    <w:name w:val="Char Char Char Char Char Char Char Char Char Char Char Char Char Char Char Char"/>
    <w:basedOn w:val="626"/>
    <w:uiPriority w:val="0"/>
    <w:qFormat/>
    <w:pPr>
      <w:ind w:left="482" w:firstLine="200"/>
      <w:jc w:val="both"/>
      <w:spacing w:line="360" w:lineRule="auto"/>
      <w:tabs>
        <w:tab w:val="left" w:pos="360" w:leader="none"/>
      </w:tabs>
    </w:pPr>
    <w:rPr>
      <w:rFonts w:ascii="宋体" w:hAnsi="Times New Roman" w:eastAsia="宋体"/>
      <w:sz w:val="24"/>
      <w:szCs w:val="24"/>
      <w:lang w:eastAsia="zh-CN"/>
    </w:rPr>
  </w:style>
  <w:style w:type="paragraph" w:styleId="955" w:customStyle="1">
    <w:name w:val="t_black_12_b"/>
    <w:basedOn w:val="626"/>
    <w:uiPriority w:val="0"/>
    <w:qFormat/>
    <w:pPr>
      <w:widowControl/>
    </w:pPr>
    <w:rPr>
      <w:rFonts w:ascii="宋体" w:hAnsi="宋体" w:eastAsia="宋体" w:cs="宋体"/>
      <w:b/>
      <w:bCs/>
      <w:color w:val="212121"/>
      <w:sz w:val="9"/>
      <w:szCs w:val="9"/>
      <w:lang w:eastAsia="zh-CN"/>
    </w:rPr>
  </w:style>
  <w:style w:type="character" w:styleId="956" w:customStyle="1">
    <w:name w:val="无间隔 Char"/>
    <w:link w:val="711"/>
    <w:uiPriority w:val="1"/>
    <w:qFormat/>
    <w:rPr>
      <w:lang w:val="en-US" w:eastAsia="zh-CN" w:bidi="ar-SA"/>
    </w:rPr>
  </w:style>
  <w:style w:type="paragraph" w:styleId="957" w:customStyle="1">
    <w:name w:val="pa-2"/>
    <w:basedOn w:val="626"/>
    <w:uiPriority w:val="0"/>
    <w:qFormat/>
    <w:pPr>
      <w:ind w:firstLine="700"/>
      <w:jc w:val="both"/>
      <w:spacing w:line="320" w:lineRule="atLeast"/>
      <w:widowControl/>
    </w:pPr>
    <w:rPr>
      <w:rFonts w:ascii="宋体" w:hAnsi="宋体" w:eastAsia="宋体" w:cs="宋体"/>
      <w:sz w:val="24"/>
      <w:szCs w:val="24"/>
      <w:lang w:eastAsia="zh-CN"/>
    </w:rPr>
  </w:style>
  <w:style w:type="paragraph" w:styleId="958" w:customStyle="1">
    <w:name w:val="Char Char Char Char Char Char Char1 Char"/>
    <w:basedOn w:val="626"/>
    <w:uiPriority w:val="0"/>
    <w:qFormat/>
    <w:pPr>
      <w:jc w:val="both"/>
    </w:pPr>
    <w:rPr>
      <w:rFonts w:ascii="Tahoma" w:hAnsi="Tahoma" w:eastAsia="宋体" w:cs="Tahoma"/>
      <w:sz w:val="24"/>
      <w:szCs w:val="24"/>
      <w:lang w:eastAsia="zh-CN"/>
    </w:rPr>
  </w:style>
  <w:style w:type="paragraph" w:styleId="959" w:customStyle="1">
    <w:name w:val="Char1"/>
    <w:basedOn w:val="626"/>
    <w:uiPriority w:val="0"/>
    <w:qFormat/>
    <w:pPr>
      <w:spacing w:after="160" w:line="240" w:lineRule="exact"/>
      <w:widowControl/>
    </w:pPr>
    <w:rPr>
      <w:rFonts w:ascii="Verdana" w:hAnsi="Verdana" w:eastAsia="仿宋_GB2312"/>
      <w:sz w:val="24"/>
      <w:szCs w:val="20"/>
    </w:rPr>
  </w:style>
  <w:style w:type="paragraph" w:styleId="96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961" w:customStyle="1">
    <w:name w:val="样式 小四 段前: 5 磅 段后: 5 磅 首行缩进:  2 字符"/>
    <w:basedOn w:val="626"/>
    <w:uiPriority w:val="0"/>
    <w:qFormat/>
    <w:pPr>
      <w:jc w:val="both"/>
      <w:spacing w:line="360" w:lineRule="auto"/>
    </w:pPr>
    <w:rPr>
      <w:rFonts w:ascii="宋体" w:hAnsi="宋体" w:eastAsia="宋体"/>
      <w:sz w:val="21"/>
      <w:szCs w:val="21"/>
      <w:lang w:eastAsia="zh-CN"/>
    </w:rPr>
  </w:style>
  <w:style w:type="paragraph" w:styleId="962" w:customStyle="1">
    <w:name w:val="Char"/>
    <w:basedOn w:val="626"/>
    <w:uiPriority w:val="0"/>
    <w:qFormat/>
    <w:pPr>
      <w:spacing w:after="160" w:line="240" w:lineRule="exact"/>
      <w:widowControl/>
    </w:pPr>
    <w:rPr>
      <w:rFonts w:ascii="Verdana" w:hAnsi="Verdana" w:eastAsia="仿宋_GB2312"/>
      <w:sz w:val="24"/>
      <w:szCs w:val="20"/>
    </w:rPr>
  </w:style>
  <w:style w:type="paragraph" w:styleId="963" w:customStyle="1">
    <w:name w:val="_Style 122"/>
    <w:basedOn w:val="627"/>
    <w:next w:val="626"/>
    <w:uiPriority w:val="39"/>
    <w:qFormat/>
    <w:pPr>
      <w:jc w:val="both"/>
      <w:keepLines/>
      <w:keepNext/>
      <w:spacing w:before="340" w:after="330" w:line="578" w:lineRule="auto"/>
      <w:tabs>
        <w:tab w:val="left" w:pos="432" w:leader="none"/>
      </w:tabs>
      <w:outlineLvl w:val="9"/>
    </w:pPr>
    <w:rPr>
      <w:rFonts w:ascii="Calibri" w:hAnsi="Times New Roman" w:eastAsia="宋体"/>
      <w:b/>
      <w:bCs/>
      <w:sz w:val="44"/>
      <w:szCs w:val="44"/>
      <w:lang w:eastAsia="zh-CN"/>
    </w:rPr>
  </w:style>
  <w:style w:type="paragraph" w:styleId="964"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965" w:customStyle="1">
    <w:name w:val="正文1"/>
    <w:uiPriority w:val="0"/>
    <w:qFormat/>
    <w:pPr>
      <w:widowControl w:val="off"/>
    </w:pPr>
    <w:rPr>
      <w:rFonts w:ascii="Times New Roman" w:hAnsi="Times New Roman" w:eastAsia="Times New Roman" w:cs="Times New Roman"/>
      <w:lang w:val="en-US" w:eastAsia="zh-CN" w:bidi="ar-SA"/>
    </w:rPr>
  </w:style>
  <w:style w:type="paragraph" w:styleId="966" w:customStyle="1">
    <w:name w:val="TOC 标题11"/>
    <w:basedOn w:val="627"/>
    <w:next w:val="626"/>
    <w:uiPriority w:val="0"/>
    <w:qFormat/>
    <w:pPr>
      <w:ind w:left="8"/>
      <w:jc w:val="center"/>
      <w:outlineLvl w:val="9"/>
    </w:pPr>
    <w:rPr>
      <w:rFonts w:cs="黑体"/>
      <w:sz w:val="30"/>
      <w:szCs w:val="30"/>
      <w:lang w:val="zh-CN" w:eastAsia="zh-CN" w:bidi="zh-CN"/>
    </w:rPr>
  </w:style>
  <w:style w:type="paragraph" w:styleId="967" w:customStyle="1">
    <w:name w:val="正文_0"/>
    <w:uiPriority w:val="0"/>
    <w:qFormat/>
    <w:pPr>
      <w:widowControl w:val="off"/>
    </w:pPr>
    <w:rPr>
      <w:rFonts w:ascii="Times New Roman" w:hAnsi="Times New Roman" w:eastAsia="宋体" w:cs="Times New Roman"/>
      <w:szCs w:val="24"/>
      <w:lang w:val="en-US" w:eastAsia="zh-CN" w:bidi="ar-SA"/>
    </w:rPr>
  </w:style>
  <w:style w:type="paragraph" w:styleId="968" w:customStyle="1">
    <w:name w:val="Char2"/>
    <w:basedOn w:val="626"/>
    <w:uiPriority w:val="0"/>
    <w:qFormat/>
    <w:pPr>
      <w:spacing w:after="160" w:line="240" w:lineRule="exact"/>
      <w:widowControl/>
    </w:pPr>
    <w:rPr>
      <w:rFonts w:ascii="Verdana" w:hAnsi="Verdana" w:eastAsia="仿宋_GB2312"/>
      <w:sz w:val="24"/>
      <w:szCs w:val="20"/>
    </w:rPr>
  </w:style>
  <w:style w:type="paragraph" w:styleId="969" w:customStyle="1">
    <w:name w:val="Char711"/>
    <w:basedOn w:val="641"/>
    <w:uiPriority w:val="0"/>
    <w:qFormat/>
    <w:pPr>
      <w:jc w:val="both"/>
      <w:spacing w:line="360" w:lineRule="auto"/>
      <w:shd w:val="clear" w:color="auto" w:fill="000080"/>
    </w:pPr>
    <w:rPr>
      <w:rFonts w:ascii="Tahoma" w:hAnsi="Tahoma"/>
      <w:sz w:val="24"/>
      <w:szCs w:val="24"/>
      <w:lang w:eastAsia="zh-CN"/>
    </w:rPr>
  </w:style>
  <w:style w:type="paragraph" w:styleId="970" w:customStyle="1">
    <w:name w:val="列出段落4"/>
    <w:basedOn w:val="626"/>
    <w:uiPriority w:val="0"/>
    <w:qFormat/>
    <w:pPr>
      <w:ind w:firstLine="420"/>
      <w:jc w:val="both"/>
    </w:pPr>
    <w:rPr>
      <w:rFonts w:ascii="Times New Roman" w:hAnsi="Times New Roman" w:eastAsia="宋体"/>
      <w:sz w:val="21"/>
      <w:szCs w:val="20"/>
      <w:lang w:eastAsia="zh-CN"/>
    </w:rPr>
  </w:style>
  <w:style w:type="paragraph" w:styleId="971" w:customStyle="1">
    <w:name w:val="普通 (Web)"/>
    <w:basedOn w:val="626"/>
    <w:uiPriority w:val="0"/>
    <w:qFormat/>
    <w:pPr>
      <w:spacing w:before="100" w:beforeAutospacing="1" w:after="100" w:afterAutospacing="1"/>
      <w:widowControl/>
    </w:pPr>
    <w:rPr>
      <w:rFonts w:ascii="宋体" w:hAnsi="宋体" w:eastAsia="宋体"/>
      <w:sz w:val="24"/>
      <w:szCs w:val="24"/>
      <w:lang w:eastAsia="zh-CN"/>
    </w:rPr>
  </w:style>
  <w:style w:type="paragraph" w:styleId="972" w:customStyle="1">
    <w:name w:val="纯文本1"/>
    <w:basedOn w:val="626"/>
    <w:uiPriority w:val="0"/>
    <w:qFormat/>
    <w:pPr>
      <w:jc w:val="both"/>
    </w:pPr>
    <w:rPr>
      <w:rFonts w:ascii="宋体" w:hAnsi="Courier New" w:eastAsia="楷体_GB2312"/>
      <w:sz w:val="26"/>
      <w:szCs w:val="20"/>
      <w:lang w:eastAsia="zh-CN"/>
    </w:rPr>
  </w:style>
  <w:style w:type="paragraph" w:styleId="973" w:customStyle="1">
    <w:name w:val="列出段落3"/>
    <w:basedOn w:val="626"/>
    <w:uiPriority w:val="99"/>
    <w:qFormat/>
    <w:pPr>
      <w:contextualSpacing/>
      <w:ind w:left="720"/>
      <w:widowControl/>
    </w:pPr>
    <w:rPr>
      <w:rFonts w:ascii="Arial" w:hAnsi="Arial" w:eastAsia="黑体"/>
      <w:sz w:val="24"/>
      <w:szCs w:val="24"/>
    </w:rPr>
  </w:style>
  <w:style w:type="paragraph" w:styleId="974" w:customStyle="1">
    <w:name w:val="列出段落11"/>
    <w:basedOn w:val="626"/>
    <w:uiPriority w:val="0"/>
    <w:qFormat/>
    <w:pPr>
      <w:ind w:firstLine="420"/>
      <w:jc w:val="both"/>
    </w:pPr>
    <w:rPr>
      <w:rFonts w:eastAsia="宋体"/>
      <w:sz w:val="21"/>
      <w:lang w:eastAsia="zh-CN"/>
    </w:rPr>
  </w:style>
  <w:style w:type="paragraph" w:styleId="975" w:customStyle="1">
    <w:name w:val="正文_0_0"/>
    <w:uiPriority w:val="0"/>
    <w:qFormat/>
    <w:pPr>
      <w:widowControl w:val="off"/>
    </w:pPr>
    <w:rPr>
      <w:rFonts w:ascii="Times New Roman" w:hAnsi="Times New Roman" w:eastAsia="宋体" w:cs="Times New Roman"/>
      <w:szCs w:val="24"/>
      <w:lang w:val="en-US" w:eastAsia="zh-CN" w:bidi="ar-SA"/>
    </w:rPr>
  </w:style>
  <w:style w:type="paragraph" w:styleId="976" w:customStyle="1">
    <w:name w:val="默认段落字体 Para Char Char Char Char Char Char Char"/>
    <w:basedOn w:val="626"/>
    <w:uiPriority w:val="0"/>
    <w:qFormat/>
    <w:pPr>
      <w:jc w:val="both"/>
    </w:pPr>
    <w:rPr>
      <w:rFonts w:ascii="Tahoma" w:hAnsi="Tahoma" w:eastAsia="宋体"/>
      <w:sz w:val="24"/>
      <w:szCs w:val="20"/>
      <w:lang w:eastAsia="zh-CN"/>
    </w:rPr>
  </w:style>
  <w:style w:type="paragraph" w:styleId="977" w:customStyle="1">
    <w:name w:val="_Style 140"/>
    <w:uiPriority w:val="0"/>
    <w:qFormat/>
    <w:rPr>
      <w:rFonts w:ascii="Times New Roman" w:hAnsi="Times New Roman" w:eastAsia="宋体" w:cs="Times New Roman"/>
      <w:sz w:val="21"/>
      <w:szCs w:val="24"/>
      <w:lang w:val="en-US" w:eastAsia="zh-CN" w:bidi="ar-SA"/>
    </w:rPr>
  </w:style>
  <w:style w:type="paragraph" w:styleId="978" w:customStyle="1">
    <w:name w:val="正文缩进4"/>
    <w:next w:val="626"/>
    <w:uiPriority w:val="99"/>
    <w:qFormat/>
    <w:pPr>
      <w:ind w:left="3400"/>
      <w:jc w:val="both"/>
    </w:pPr>
    <w:rPr>
      <w:rFonts w:ascii="Times New Roman" w:hAnsi="Times New Roman" w:eastAsia="宋体" w:cs="Times New Roman"/>
      <w:sz w:val="21"/>
      <w:lang w:val="en-US" w:eastAsia="zh-CN" w:bidi="ar-SA"/>
    </w:rPr>
  </w:style>
  <w:style w:type="paragraph" w:styleId="979" w:customStyle="1">
    <w:name w:val="contentarticle"/>
    <w:basedOn w:val="626"/>
    <w:uiPriority w:val="0"/>
    <w:qFormat/>
    <w:pPr>
      <w:spacing w:before="100" w:beforeAutospacing="1" w:after="100" w:afterAutospacing="1"/>
      <w:widowControl/>
    </w:pPr>
    <w:rPr>
      <w:rFonts w:ascii="宋体" w:hAnsi="宋体" w:eastAsia="宋体" w:cs="宋体"/>
      <w:sz w:val="24"/>
      <w:lang w:eastAsia="zh-CN"/>
    </w:rPr>
  </w:style>
  <w:style w:type="paragraph" w:styleId="980" w:customStyle="1">
    <w:name w:val="_Style 24"/>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981" w:customStyle="1">
    <w:name w:val="Char71"/>
    <w:basedOn w:val="641"/>
    <w:uiPriority w:val="0"/>
    <w:qFormat/>
    <w:pPr>
      <w:jc w:val="both"/>
      <w:spacing w:line="360" w:lineRule="auto"/>
      <w:shd w:val="clear" w:color="auto" w:fill="000080"/>
    </w:pPr>
    <w:rPr>
      <w:rFonts w:ascii="Tahoma" w:hAnsi="Tahoma"/>
      <w:sz w:val="24"/>
      <w:szCs w:val="24"/>
      <w:lang w:eastAsia="zh-CN"/>
    </w:rPr>
  </w:style>
  <w:style w:type="character" w:styleId="982" w:customStyle="1">
    <w:name w:val="15"/>
    <w:basedOn w:val="636"/>
    <w:uiPriority w:val="0"/>
    <w:qFormat/>
    <w:rPr>
      <w:rFonts w:hint="default" w:ascii="Calibri" w:hAnsi="Calibri"/>
    </w:rPr>
  </w:style>
  <w:style w:type="paragraph" w:styleId="983" w:customStyle="1">
    <w:name w:val="正文首缩两字"/>
    <w:basedOn w:val="626"/>
    <w:uiPriority w:val="0"/>
    <w:qFormat/>
    <w:pPr>
      <w:ind w:left="210" w:right="210" w:firstLine="480"/>
      <w:spacing w:line="360" w:lineRule="auto"/>
    </w:pPr>
    <w:rPr>
      <w:rFonts w:ascii="宋体" w:hAnsi="宋体" w:eastAsia="仿宋_GB2312"/>
      <w:sz w:val="24"/>
      <w:szCs w:val="24"/>
      <w:lang w:eastAsia="zh-CN"/>
    </w:rPr>
  </w:style>
  <w:style w:type="paragraph" w:styleId="984" w:customStyle="1">
    <w:name w:val="列出段落5"/>
    <w:basedOn w:val="626"/>
    <w:uiPriority w:val="0"/>
    <w:qFormat/>
    <w:pPr>
      <w:ind w:firstLine="420"/>
      <w:jc w:val="both"/>
    </w:pPr>
    <w:rPr>
      <w:rFonts w:eastAsia="宋体"/>
      <w:sz w:val="21"/>
      <w:lang w:eastAsia="zh-CN"/>
    </w:rPr>
  </w:style>
  <w:style w:type="character" w:styleId="985" w:customStyle="1">
    <w:name w:val="font121"/>
    <w:uiPriority w:val="0"/>
    <w:qFormat/>
    <w:rPr>
      <w:rFonts w:hint="eastAsia" w:ascii="宋体" w:hAnsi="宋体" w:eastAsia="宋体" w:cs="宋体"/>
      <w:color w:val="ff0000"/>
      <w:sz w:val="24"/>
      <w:szCs w:val="24"/>
      <w:u w:val="none"/>
    </w:rPr>
  </w:style>
  <w:style w:type="character" w:styleId="986" w:customStyle="1">
    <w:name w:val="font101"/>
    <w:uiPriority w:val="0"/>
    <w:qFormat/>
    <w:rPr>
      <w:rFonts w:hint="eastAsia" w:ascii="宋体" w:hAnsi="宋体" w:eastAsia="宋体" w:cs="宋体"/>
      <w:color w:val="000000"/>
      <w:sz w:val="22"/>
      <w:szCs w:val="22"/>
      <w:u w:val="none"/>
    </w:rPr>
  </w:style>
  <w:style w:type="character" w:styleId="987" w:customStyle="1">
    <w:name w:val="font131"/>
    <w:uiPriority w:val="0"/>
    <w:qFormat/>
    <w:rPr>
      <w:rFonts w:hint="eastAsia" w:ascii="宋体" w:hAnsi="宋体" w:eastAsia="宋体" w:cs="宋体"/>
      <w:color w:val="000000"/>
      <w:sz w:val="22"/>
      <w:szCs w:val="22"/>
      <w:u w:val="none"/>
    </w:rPr>
  </w:style>
  <w:style w:type="paragraph" w:styleId="988" w:customStyle="1">
    <w:name w:val="Index4"/>
    <w:basedOn w:val="626"/>
    <w:next w:val="626"/>
    <w:uiPriority w:val="0"/>
    <w:semiHidden/>
    <w:qFormat/>
    <w:pPr>
      <w:ind w:left="1260"/>
      <w:jc w:val="both"/>
      <w:widowControl/>
    </w:pPr>
    <w:rPr>
      <w:sz w:val="20"/>
      <w:szCs w:val="20"/>
      <w:lang w:val="zh-CN" w:eastAsia="zh-CN"/>
    </w:rPr>
  </w:style>
  <w:style w:type="paragraph" w:styleId="989" w:customStyle="1">
    <w:name w:val="font5"/>
    <w:basedOn w:val="626"/>
    <w:uiPriority w:val="0"/>
    <w:qFormat/>
    <w:pPr>
      <w:spacing w:before="100" w:beforeAutospacing="1" w:after="100" w:afterAutospacing="1"/>
      <w:widowControl/>
    </w:pPr>
    <w:rPr>
      <w:rFonts w:ascii="宋体" w:hAnsi="宋体" w:eastAsia="宋体" w:cs="宋体"/>
      <w:sz w:val="18"/>
      <w:szCs w:val="18"/>
      <w:lang w:eastAsia="zh-CN"/>
    </w:rPr>
  </w:style>
  <w:style w:type="paragraph" w:styleId="990" w:customStyle="1">
    <w:name w:val="xl65"/>
    <w:basedOn w:val="62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991" w:customStyle="1">
    <w:name w:val="xl66"/>
    <w:basedOn w:val="626"/>
    <w:uiPriority w:val="0"/>
    <w:qFormat/>
    <w:pPr>
      <w:jc w:val="center"/>
      <w:spacing w:before="100" w:beforeAutospacing="1" w:after="100" w:afterAutospacing="1"/>
      <w:widowControl/>
    </w:pPr>
    <w:rPr>
      <w:rFonts w:ascii="宋体" w:hAnsi="宋体" w:eastAsia="宋体" w:cs="宋体"/>
      <w:sz w:val="18"/>
      <w:szCs w:val="18"/>
      <w:lang w:eastAsia="zh-CN"/>
    </w:rPr>
  </w:style>
  <w:style w:type="paragraph" w:styleId="992" w:customStyle="1">
    <w:name w:val="xl67"/>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lang w:eastAsia="zh-CN"/>
    </w:rPr>
  </w:style>
  <w:style w:type="paragraph" w:styleId="993" w:customStyle="1">
    <w:name w:val="xl68"/>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18"/>
      <w:szCs w:val="18"/>
      <w:lang w:eastAsia="zh-CN"/>
    </w:rPr>
  </w:style>
  <w:style w:type="paragraph" w:styleId="994" w:customStyle="1">
    <w:name w:val="xl69"/>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5" w:customStyle="1">
    <w:name w:val="xl70"/>
    <w:basedOn w:val="6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lang w:eastAsia="zh-CN"/>
    </w:rPr>
  </w:style>
  <w:style w:type="paragraph" w:styleId="996" w:customStyle="1">
    <w:name w:val="xl71"/>
    <w:basedOn w:val="62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7"/>
      <w:szCs w:val="17"/>
      <w:lang w:eastAsia="zh-CN"/>
    </w:rPr>
  </w:style>
  <w:style w:type="paragraph" w:styleId="997" w:customStyle="1">
    <w:name w:val="xl72"/>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000000"/>
      <w:sz w:val="18"/>
      <w:szCs w:val="18"/>
      <w:lang w:eastAsia="zh-CN"/>
    </w:rPr>
  </w:style>
  <w:style w:type="paragraph" w:styleId="998" w:customStyle="1">
    <w:name w:val="xl73"/>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lang w:eastAsia="zh-CN"/>
    </w:rPr>
  </w:style>
  <w:style w:type="paragraph" w:styleId="999" w:customStyle="1">
    <w:name w:val="xl74"/>
    <w:basedOn w:val="62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00" w:customStyle="1">
    <w:name w:val="xl75"/>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paragraph" w:styleId="1001" w:customStyle="1">
    <w:name w:val="xl76"/>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lang w:eastAsia="zh-CN"/>
    </w:rPr>
  </w:style>
  <w:style w:type="character" w:styleId="1002" w:customStyle="1">
    <w:name w:val="书籍标题1"/>
    <w:uiPriority w:val="0"/>
    <w:qFormat/>
    <w:rPr>
      <w:b/>
      <w:bCs/>
      <w:smallCaps/>
      <w:spacing w:val="5"/>
    </w:rPr>
  </w:style>
  <w:style w:type="character" w:styleId="1003" w:customStyle="1">
    <w:name w:val="明显参考1"/>
    <w:uiPriority w:val="0"/>
    <w:qFormat/>
    <w:rPr>
      <w:b/>
      <w:bCs/>
      <w:smallCaps/>
      <w:color w:val="c0504d"/>
      <w:spacing w:val="5"/>
      <w:u w:val="single"/>
    </w:rPr>
  </w:style>
  <w:style w:type="character" w:styleId="1004" w:customStyle="1">
    <w:name w:val="不明显参考1"/>
    <w:uiPriority w:val="0"/>
    <w:qFormat/>
    <w:rPr>
      <w:smallCaps/>
      <w:color w:val="c0504d"/>
      <w:u w:val="single"/>
    </w:rPr>
  </w:style>
  <w:style w:type="character" w:styleId="1005" w:customStyle="1">
    <w:name w:val="不明显强调1"/>
    <w:uiPriority w:val="0"/>
    <w:qFormat/>
    <w:rPr>
      <w:i/>
      <w:iCs/>
      <w:color w:val="808080"/>
    </w:rPr>
  </w:style>
  <w:style w:type="character" w:styleId="1006" w:customStyle="1">
    <w:name w:val="明显强调1"/>
    <w:uiPriority w:val="0"/>
    <w:qFormat/>
    <w:rPr>
      <w:b/>
      <w:bCs/>
      <w:i/>
      <w:iCs/>
      <w:color w:val="4f81bd"/>
    </w:rPr>
  </w:style>
  <w:style w:type="paragraph" w:styleId="1007" w:customStyle="1">
    <w:name w:val="标题 22"/>
    <w:basedOn w:val="950"/>
    <w:next w:val="950"/>
    <w:uiPriority w:val="0"/>
    <w:qFormat/>
  </w:style>
  <w:style w:type="paragraph" w:styleId="1008" w:customStyle="1">
    <w:name w:val="列出段落6"/>
    <w:basedOn w:val="626"/>
    <w:uiPriority w:val="0"/>
    <w:qFormat/>
    <w:pPr>
      <w:ind w:firstLine="420"/>
      <w:jc w:val="both"/>
    </w:pPr>
    <w:rPr>
      <w:rFonts w:ascii="Times New Roman" w:hAnsi="Times New Roman" w:eastAsia="宋体"/>
      <w:sz w:val="21"/>
      <w:szCs w:val="20"/>
      <w:lang w:eastAsia="zh-CN"/>
    </w:rPr>
  </w:style>
  <w:style w:type="paragraph" w:styleId="1009" w:customStyle="1">
    <w:name w:val="修订1"/>
    <w:uiPriority w:val="0"/>
    <w:qFormat/>
    <w:rPr>
      <w:rFonts w:ascii="Times New Roman" w:hAnsi="Times New Roman" w:eastAsia="宋体" w:cs="Times New Roman"/>
      <w:sz w:val="21"/>
      <w:szCs w:val="24"/>
      <w:lang w:val="en-US" w:eastAsia="zh-CN" w:bidi="ar-SA"/>
    </w:rPr>
  </w:style>
  <w:style w:type="character" w:styleId="1010" w:customStyle="1">
    <w:name w:val="纯文本 Char Char"/>
    <w:uiPriority w:val="99"/>
    <w:qFormat/>
    <w:rPr>
      <w:rFonts w:ascii="宋体" w:hAnsi="Courier New" w:eastAsia="宋体"/>
      <w:sz w:val="21"/>
      <w:szCs w:val="21"/>
      <w:lang w:val="en-US" w:eastAsia="zh-CN" w:bidi="ar-SA"/>
    </w:rPr>
  </w:style>
  <w:style w:type="paragraph" w:styleId="1011" w:customStyle="1">
    <w:name w:val="正文（首行缩进）"/>
    <w:uiPriority w:val="0"/>
    <w:qFormat/>
    <w:pPr>
      <w:ind w:firstLine="200"/>
      <w:jc w:val="both"/>
      <w:spacing w:line="360" w:lineRule="auto"/>
      <w:widowControl w:val="off"/>
    </w:pPr>
    <w:rPr>
      <w:rFonts w:ascii="Times New Roman" w:hAnsi="Times New Roman" w:eastAsia="宋体" w:cs="Times New Roman"/>
      <w:sz w:val="21"/>
      <w:szCs w:val="24"/>
      <w:lang w:val="en-US" w:eastAsia="zh-CN" w:bidi="ar-SA"/>
    </w:rPr>
  </w:style>
  <w:style w:type="paragraph" w:styleId="1012" w:customStyle="1">
    <w:name w:val="正文 A"/>
    <w:next w:val="626"/>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13" w:customStyle="1">
    <w:name w:val="称呼 Char"/>
    <w:basedOn w:val="636"/>
    <w:link w:val="643"/>
    <w:uiPriority w:val="99"/>
    <w:qFormat/>
    <w:rPr>
      <w:rFonts w:ascii="楷体_GB2312" w:eastAsia="楷体_GB2312"/>
      <w:sz w:val="28"/>
    </w:rPr>
  </w:style>
  <w:style w:type="character" w:styleId="1014" w:customStyle="1">
    <w:name w:val="正文文本 2 Char"/>
    <w:basedOn w:val="636"/>
    <w:link w:val="671"/>
    <w:uiPriority w:val="99"/>
    <w:qFormat/>
    <w:rPr>
      <w:rFonts w:ascii="宋体"/>
      <w:b/>
      <w:bCs/>
      <w:sz w:val="24"/>
      <w:szCs w:val="24"/>
    </w:rPr>
  </w:style>
  <w:style w:type="character" w:styleId="1015" w:customStyle="1">
    <w:name w:val="正文首行缩进 2 Char"/>
    <w:basedOn w:val="864"/>
    <w:link w:val="677"/>
    <w:uiPriority w:val="0"/>
    <w:qFormat/>
    <w:rPr>
      <w:lang w:eastAsia="en-US"/>
    </w:rPr>
  </w:style>
  <w:style w:type="character" w:styleId="1016" w:customStyle="1">
    <w:name w:val="书籍标题11"/>
    <w:uiPriority w:val="0"/>
    <w:qFormat/>
    <w:rPr>
      <w:b/>
      <w:bCs/>
      <w:smallCaps/>
      <w:spacing w:val="5"/>
    </w:rPr>
  </w:style>
  <w:style w:type="character" w:styleId="1017" w:customStyle="1">
    <w:name w:val="明显参考11"/>
    <w:uiPriority w:val="0"/>
    <w:qFormat/>
    <w:rPr>
      <w:b/>
      <w:bCs/>
      <w:smallCaps/>
      <w:color w:val="c0504d"/>
      <w:spacing w:val="5"/>
      <w:u w:val="single"/>
    </w:rPr>
  </w:style>
  <w:style w:type="character" w:styleId="1018" w:customStyle="1">
    <w:name w:val="不明显参考11"/>
    <w:uiPriority w:val="0"/>
    <w:qFormat/>
    <w:rPr>
      <w:smallCaps/>
      <w:color w:val="c0504d"/>
      <w:u w:val="single"/>
    </w:rPr>
  </w:style>
  <w:style w:type="character" w:styleId="1019" w:customStyle="1">
    <w:name w:val="不明显强调11"/>
    <w:uiPriority w:val="0"/>
    <w:qFormat/>
    <w:rPr>
      <w:i/>
      <w:iCs/>
      <w:color w:val="808080"/>
    </w:rPr>
  </w:style>
  <w:style w:type="character" w:styleId="1020" w:customStyle="1">
    <w:name w:val="明显强调11"/>
    <w:uiPriority w:val="0"/>
    <w:qFormat/>
    <w:rPr>
      <w:b/>
      <w:bCs/>
      <w:i/>
      <w:iCs/>
      <w:color w:val="4f81bd"/>
    </w:rPr>
  </w:style>
  <w:style w:type="paragraph" w:styleId="1021" w:customStyle="1">
    <w:name w:val="列出段落111"/>
    <w:basedOn w:val="626"/>
    <w:uiPriority w:val="0"/>
    <w:qFormat/>
    <w:pPr>
      <w:ind w:firstLine="420"/>
      <w:jc w:val="both"/>
    </w:pPr>
    <w:rPr>
      <w:rFonts w:eastAsia="宋体"/>
      <w:sz w:val="21"/>
      <w:lang w:eastAsia="zh-CN"/>
    </w:rPr>
  </w:style>
  <w:style w:type="paragraph" w:styleId="1022" w:customStyle="1">
    <w:name w:val="修订11"/>
    <w:uiPriority w:val="0"/>
    <w:qFormat/>
    <w:rPr>
      <w:rFonts w:ascii="Times New Roman" w:hAnsi="Times New Roman" w:eastAsia="宋体" w:cs="Times New Roman"/>
      <w:sz w:val="21"/>
      <w:szCs w:val="24"/>
      <w:lang w:val="en-US" w:eastAsia="zh-CN" w:bidi="ar-SA"/>
    </w:rPr>
  </w:style>
  <w:style w:type="character" w:styleId="1023" w:customStyle="1">
    <w:name w:val="fontstyle01"/>
    <w:uiPriority w:val="0"/>
    <w:qFormat/>
    <w:rPr>
      <w:rFonts w:hint="eastAsia" w:ascii="仿宋_GB2312" w:eastAsia="仿宋_GB2312"/>
      <w:color w:val="000000"/>
      <w:sz w:val="32"/>
      <w:szCs w:val="32"/>
    </w:rPr>
  </w:style>
  <w:style w:type="character" w:styleId="1024" w:customStyle="1">
    <w:name w:val="fontstyle21"/>
    <w:uiPriority w:val="0"/>
    <w:qFormat/>
    <w:rPr>
      <w:rFonts w:hint="default" w:ascii="Times New Roman" w:hAnsi="Times New Roman" w:cs="Times New Roman"/>
      <w:color w:val="000000"/>
      <w:sz w:val="32"/>
      <w:szCs w:val="32"/>
    </w:rPr>
  </w:style>
  <w:style w:type="paragraph" w:styleId="1025" w:customStyle="1">
    <w:name w:val="正文文本1"/>
    <w:basedOn w:val="626"/>
    <w:uiPriority w:val="0"/>
    <w:qFormat/>
    <w:pPr>
      <w:ind w:firstLine="400"/>
      <w:spacing w:line="463" w:lineRule="auto"/>
    </w:pPr>
    <w:rPr>
      <w:rFonts w:ascii="宋体" w:hAnsi="宋体" w:eastAsia="宋体" w:cs="宋体"/>
      <w:sz w:val="40"/>
      <w:szCs w:val="40"/>
      <w:lang w:val="zh-CN" w:eastAsia="zh-CN" w:bidi="zh-CN"/>
    </w:rPr>
  </w:style>
  <w:style w:type="character" w:styleId="1026" w:customStyle="1">
    <w:name w:val="正文文本 字符"/>
    <w:basedOn w:val="636"/>
    <w:uiPriority w:val="0"/>
    <w:qFormat/>
    <w:rPr>
      <w:rFonts w:ascii="宋体" w:hAnsi="宋体" w:cs="宋体"/>
      <w:sz w:val="21"/>
      <w:szCs w:val="21"/>
      <w:lang w:val="zh-CN" w:bidi="zh-CN"/>
    </w:rPr>
  </w:style>
  <w:style w:type="character" w:styleId="1027" w:customStyle="1">
    <w:name w:val="页脚 字符"/>
    <w:basedOn w:val="636"/>
    <w:uiPriority w:val="0"/>
    <w:qFormat/>
    <w:rPr>
      <w:rFonts w:ascii="宋体" w:hAnsi="宋体" w:cs="宋体"/>
      <w:sz w:val="18"/>
      <w:szCs w:val="18"/>
      <w:lang w:val="zh-CN" w:bidi="zh-CN"/>
    </w:rPr>
  </w:style>
  <w:style w:type="character" w:styleId="1028" w:customStyle="1">
    <w:name w:val="批注文字 Char1"/>
    <w:basedOn w:val="636"/>
    <w:uiPriority w:val="0"/>
    <w:qFormat/>
    <w:rPr>
      <w:rFonts w:ascii="宋体" w:hAnsi="宋体" w:cs="宋体"/>
      <w:sz w:val="22"/>
      <w:szCs w:val="22"/>
      <w:lang w:val="zh-CN" w:bidi="zh-CN"/>
    </w:rPr>
  </w:style>
  <w:style w:type="character" w:styleId="1029" w:customStyle="1">
    <w:name w:val="正文文本缩进 2 Char1"/>
    <w:basedOn w:val="636"/>
    <w:uiPriority w:val="0"/>
    <w:qFormat/>
    <w:rPr>
      <w:rFonts w:ascii="宋体" w:hAnsi="宋体" w:cs="宋体"/>
      <w:sz w:val="22"/>
      <w:szCs w:val="22"/>
      <w:lang w:val="zh-CN" w:bidi="zh-CN"/>
    </w:rPr>
  </w:style>
  <w:style w:type="character" w:styleId="1030" w:customStyle="1">
    <w:name w:val="Char Char9"/>
    <w:uiPriority w:val="0"/>
    <w:qFormat/>
    <w:rPr>
      <w:rFonts w:ascii="Calibri" w:hAnsi="Calibri" w:eastAsia="宋体" w:cs="Times New Roman"/>
      <w:sz w:val="21"/>
      <w:szCs w:val="24"/>
    </w:rPr>
  </w:style>
  <w:style w:type="character" w:styleId="1031" w:customStyle="1">
    <w:name w:val="标题 字符1"/>
    <w:basedOn w:val="636"/>
    <w:uiPriority w:val="10"/>
    <w:qFormat/>
    <w:rPr>
      <w:rFonts w:ascii="Arial" w:hAnsi="Arial" w:eastAsia="黑体" w:cs="Times New Roman"/>
      <w:b/>
      <w:bCs/>
      <w:sz w:val="32"/>
      <w:szCs w:val="32"/>
      <w:lang w:val="zh-CN" w:bidi="zh-CN"/>
    </w:rPr>
  </w:style>
  <w:style w:type="paragraph" w:styleId="1032" w:customStyle="1">
    <w:name w:val="_Style 2"/>
    <w:basedOn w:val="626"/>
    <w:uiPriority w:val="0"/>
    <w:qFormat/>
    <w:pPr>
      <w:ind w:firstLine="420"/>
      <w:widowControl/>
    </w:pPr>
    <w:rPr>
      <w:rFonts w:eastAsia="宋体"/>
      <w:sz w:val="21"/>
      <w:lang w:eastAsia="zh-CN"/>
    </w:rPr>
  </w:style>
  <w:style w:type="paragraph" w:styleId="1033" w:customStyle="1">
    <w:name w:val="表格无间距"/>
    <w:basedOn w:val="626"/>
    <w:uiPriority w:val="0"/>
    <w:qFormat/>
    <w:pPr>
      <w:jc w:val="center"/>
      <w:spacing w:line="240" w:lineRule="atLeast"/>
      <w:widowControl/>
    </w:pPr>
    <w:rPr>
      <w:rFonts w:ascii="宋体" w:hAnsi="宋体" w:eastAsia="宋体" w:cs="宋体"/>
      <w:bCs/>
      <w:sz w:val="18"/>
      <w:szCs w:val="18"/>
      <w:lang w:eastAsia="zh-CN"/>
    </w:rPr>
  </w:style>
  <w:style w:type="character" w:styleId="1034" w:customStyle="1">
    <w:name w:val="rvts14"/>
    <w:uiPriority w:val="0"/>
    <w:qFormat/>
    <w:rPr>
      <w:rFonts w:hint="default" w:ascii="KNLe" w:hAnsi="KNLe" w:eastAsia="宋体" w:cs="Times New Roman"/>
      <w:color w:val="000000"/>
      <w:u w:val="single"/>
    </w:rPr>
  </w:style>
  <w:style w:type="character" w:styleId="1035" w:customStyle="1">
    <w:name w:val="rvts19"/>
    <w:uiPriority w:val="0"/>
    <w:qFormat/>
    <w:rPr>
      <w:rFonts w:hint="default" w:ascii="KNLe" w:hAnsi="KNLe" w:eastAsia="宋体" w:cs="Times New Roman"/>
      <w:sz w:val="24"/>
      <w:szCs w:val="24"/>
    </w:rPr>
  </w:style>
  <w:style w:type="character" w:styleId="1036" w:customStyle="1">
    <w:name w:val="rvts7"/>
    <w:uiPriority w:val="0"/>
    <w:qFormat/>
    <w:rPr>
      <w:rFonts w:hint="default" w:ascii=":ZLe" w:hAnsi=":ZLe" w:eastAsia="宋体" w:cs="Times New Roman"/>
      <w:sz w:val="32"/>
      <w:szCs w:val="32"/>
    </w:rPr>
  </w:style>
  <w:style w:type="character" w:styleId="1037" w:customStyle="1">
    <w:name w:val="rvts12"/>
    <w:uiPriority w:val="0"/>
    <w:qFormat/>
    <w:rPr>
      <w:rFonts w:hint="default" w:ascii="KNLe" w:hAnsi="KNLe" w:eastAsia="宋体" w:cs="Times New Roman"/>
      <w:b/>
      <w:bCs/>
      <w:u w:val="single"/>
    </w:rPr>
  </w:style>
  <w:style w:type="character" w:styleId="1038" w:customStyle="1">
    <w:name w:val="正文文本 3 Char1"/>
    <w:basedOn w:val="636"/>
    <w:uiPriority w:val="99"/>
    <w:qFormat/>
    <w:rPr>
      <w:rFonts w:ascii="宋体" w:hAnsi="宋体" w:cs="宋体"/>
      <w:sz w:val="16"/>
      <w:szCs w:val="16"/>
      <w:lang w:val="zh-CN" w:bidi="zh-CN"/>
    </w:rPr>
  </w:style>
  <w:style w:type="paragraph" w:styleId="1039" w:customStyle="1">
    <w:name w:val="rvps1"/>
    <w:basedOn w:val="626"/>
    <w:uiPriority w:val="99"/>
    <w:qFormat/>
    <w:pPr>
      <w:jc w:val="center"/>
      <w:widowControl/>
    </w:pPr>
    <w:rPr>
      <w:rFonts w:ascii="Times New Roman" w:hAnsi="Times New Roman" w:eastAsia="宋体"/>
      <w:sz w:val="24"/>
      <w:szCs w:val="24"/>
      <w:lang w:eastAsia="zh-CN"/>
    </w:rPr>
  </w:style>
  <w:style w:type="paragraph" w:styleId="1040" w:customStyle="1">
    <w:name w:val="rvps2"/>
    <w:basedOn w:val="626"/>
    <w:uiPriority w:val="0"/>
    <w:qFormat/>
    <w:pPr>
      <w:jc w:val="both"/>
      <w:widowControl/>
    </w:pPr>
    <w:rPr>
      <w:rFonts w:ascii="宋体" w:hAnsi="宋体" w:eastAsia="宋体" w:cs="宋体"/>
      <w:sz w:val="24"/>
      <w:szCs w:val="24"/>
      <w:lang w:eastAsia="zh-CN"/>
    </w:rPr>
  </w:style>
  <w:style w:type="character" w:styleId="1041" w:customStyle="1">
    <w:name w:val="普通文字 Char Char1"/>
    <w:uiPriority w:val="0"/>
    <w:qFormat/>
    <w:rPr>
      <w:rFonts w:ascii="宋体" w:hAnsi="Courier New" w:eastAsia="宋体" w:cs="Times New Roman"/>
      <w:sz w:val="21"/>
      <w:szCs w:val="21"/>
      <w:lang w:val="en-US" w:eastAsia="zh-CN" w:bidi="ar-SA"/>
    </w:rPr>
  </w:style>
  <w:style w:type="character" w:styleId="1042" w:customStyle="1">
    <w:name w:val="称呼 Char1"/>
    <w:basedOn w:val="636"/>
    <w:uiPriority w:val="99"/>
    <w:qFormat/>
    <w:rPr>
      <w:rFonts w:ascii="宋体" w:hAnsi="宋体" w:cs="宋体"/>
      <w:sz w:val="22"/>
      <w:szCs w:val="22"/>
      <w:lang w:val="zh-CN" w:bidi="zh-CN"/>
    </w:rPr>
  </w:style>
  <w:style w:type="character" w:styleId="1043" w:customStyle="1">
    <w:name w:val="正文文本 2 Char1"/>
    <w:basedOn w:val="636"/>
    <w:uiPriority w:val="99"/>
    <w:qFormat/>
    <w:rPr>
      <w:rFonts w:ascii="宋体" w:hAnsi="宋体" w:cs="宋体"/>
      <w:sz w:val="22"/>
      <w:szCs w:val="22"/>
      <w:lang w:val="zh-CN" w:bidi="zh-CN"/>
    </w:rPr>
  </w:style>
  <w:style w:type="paragraph" w:styleId="1044" w:customStyle="1">
    <w:name w:val="目录文字"/>
    <w:basedOn w:val="626"/>
    <w:uiPriority w:val="0"/>
    <w:qFormat/>
    <w:pPr>
      <w:spacing w:line="480" w:lineRule="auto"/>
      <w:widowControl/>
    </w:pPr>
    <w:rPr>
      <w:rFonts w:ascii="宋体" w:hAnsi="宋体" w:eastAsia="宋体"/>
      <w:sz w:val="24"/>
      <w:szCs w:val="20"/>
      <w:lang w:eastAsia="zh-CN"/>
    </w:rPr>
  </w:style>
  <w:style w:type="paragraph" w:styleId="1045" w:customStyle="1">
    <w:name w:val="Char Char Char Char"/>
    <w:basedOn w:val="626"/>
    <w:uiPriority w:val="0"/>
    <w:qFormat/>
    <w:pPr>
      <w:jc w:val="both"/>
      <w:spacing w:line="360" w:lineRule="atLeast"/>
    </w:pPr>
    <w:rPr>
      <w:rFonts w:ascii="Tahoma" w:hAnsi="Tahoma" w:eastAsia="宋体"/>
      <w:sz w:val="24"/>
      <w:szCs w:val="20"/>
      <w:lang w:eastAsia="zh-CN"/>
    </w:rPr>
  </w:style>
  <w:style w:type="paragraph" w:styleId="1046" w:customStyle="1">
    <w:name w:val="p0"/>
    <w:basedOn w:val="626"/>
    <w:uiPriority w:val="99"/>
    <w:qFormat/>
    <w:pPr>
      <w:spacing w:before="100" w:beforeAutospacing="1" w:after="100" w:afterAutospacing="1"/>
      <w:widowControl/>
    </w:pPr>
    <w:rPr>
      <w:rFonts w:ascii="宋体" w:hAnsi="宋体" w:eastAsia="宋体" w:cs="宋体"/>
      <w:sz w:val="24"/>
      <w:szCs w:val="24"/>
      <w:lang w:eastAsia="zh-CN"/>
    </w:rPr>
  </w:style>
  <w:style w:type="paragraph" w:styleId="1047" w:customStyle="1">
    <w:name w:val="Char Char Char Char Char Char"/>
    <w:basedOn w:val="626"/>
    <w:uiPriority w:val="0"/>
    <w:qFormat/>
    <w:pPr>
      <w:spacing w:after="160" w:line="240" w:lineRule="exact"/>
      <w:widowControl/>
    </w:pPr>
    <w:rPr>
      <w:rFonts w:ascii="Arial" w:hAnsi="Arial" w:eastAsia="Times New Roman" w:cs="Verdana"/>
      <w:b/>
      <w:sz w:val="21"/>
      <w:szCs w:val="20"/>
    </w:rPr>
  </w:style>
  <w:style w:type="character" w:styleId="1048" w:customStyle="1">
    <w:name w:val="label11"/>
    <w:basedOn w:val="636"/>
    <w:uiPriority w:val="0"/>
    <w:qFormat/>
    <w:rPr>
      <w:rFonts w:ascii="Calibri" w:hAnsi="Calibri" w:eastAsia="宋体" w:cs="Times New Roman"/>
    </w:rPr>
  </w:style>
  <w:style w:type="character" w:styleId="1049" w:customStyle="1">
    <w:name w:val="rvts15"/>
    <w:uiPriority w:val="0"/>
    <w:qFormat/>
    <w:rPr>
      <w:rFonts w:hint="default" w:ascii="KNLe" w:hAnsi="KNLe"/>
      <w:color w:val="0000ff"/>
      <w:u w:val="single"/>
    </w:rPr>
  </w:style>
  <w:style w:type="character" w:styleId="1050" w:customStyle="1">
    <w:name w:val="明显引用 字符1"/>
    <w:basedOn w:val="636"/>
    <w:uiPriority w:val="30"/>
    <w:qFormat/>
    <w:rPr>
      <w:rFonts w:ascii="宋体" w:hAnsi="宋体" w:cs="宋体"/>
      <w:i/>
      <w:iCs/>
      <w:color w:val="4f81bd"/>
      <w:sz w:val="22"/>
      <w:szCs w:val="22"/>
      <w:lang w:val="zh-CN" w:bidi="zh-CN"/>
    </w:rPr>
  </w:style>
  <w:style w:type="character" w:styleId="1051" w:customStyle="1">
    <w:name w:val="label12"/>
    <w:basedOn w:val="636"/>
    <w:uiPriority w:val="0"/>
    <w:qFormat/>
    <w:rPr>
      <w:rFonts w:ascii="Calibri" w:hAnsi="Calibri" w:eastAsia="宋体" w:cs="Times New Roman"/>
    </w:rPr>
  </w:style>
  <w:style w:type="character" w:styleId="1052" w:customStyle="1">
    <w:name w:val="first-child"/>
    <w:basedOn w:val="636"/>
    <w:uiPriority w:val="0"/>
    <w:qFormat/>
    <w:rPr>
      <w:rFonts w:ascii="Calibri" w:hAnsi="Calibri" w:eastAsia="宋体" w:cs="Times New Roman"/>
    </w:rPr>
  </w:style>
  <w:style w:type="character" w:styleId="1053" w:customStyle="1">
    <w:name w:val="label10"/>
    <w:uiPriority w:val="0"/>
    <w:qFormat/>
    <w:rPr>
      <w:color w:val="1cc09f"/>
      <w:shd w:val="clear" w:color="auto" w:fill="ffffff"/>
    </w:rPr>
  </w:style>
  <w:style w:type="character" w:styleId="1054" w:customStyle="1">
    <w:name w:val="cdropright"/>
    <w:basedOn w:val="636"/>
    <w:uiPriority w:val="0"/>
    <w:qFormat/>
    <w:rPr>
      <w:rFonts w:ascii="Calibri" w:hAnsi="Calibri" w:eastAsia="宋体" w:cs="Times New Roman"/>
    </w:rPr>
  </w:style>
  <w:style w:type="character" w:styleId="1055" w:customStyle="1">
    <w:name w:val="1page sec3 Char2"/>
    <w:uiPriority w:val="0"/>
    <w:qFormat/>
    <w:rPr>
      <w:rFonts w:eastAsia="宋体"/>
      <w:sz w:val="18"/>
      <w:szCs w:val="18"/>
      <w:lang w:val="en-US" w:eastAsia="zh-CN" w:bidi="ar-SA"/>
    </w:rPr>
  </w:style>
  <w:style w:type="character" w:styleId="1056" w:customStyle="1">
    <w:name w:val="layui-this"/>
    <w:uiPriority w:val="0"/>
    <w:qFormat/>
    <w:rPr>
      <w:shd w:val="clear" w:color="auto" w:fill="ffffff"/>
    </w:rPr>
  </w:style>
  <w:style w:type="character" w:styleId="1057" w:customStyle="1">
    <w:name w:val="button"/>
    <w:basedOn w:val="636"/>
    <w:uiPriority w:val="0"/>
    <w:qFormat/>
    <w:rPr>
      <w:rFonts w:ascii="Calibri" w:hAnsi="Calibri" w:eastAsia="宋体" w:cs="Times New Roman"/>
    </w:rPr>
  </w:style>
  <w:style w:type="character" w:styleId="1058" w:customStyle="1">
    <w:name w:val="tmpztreemove_arrow"/>
    <w:basedOn w:val="636"/>
    <w:uiPriority w:val="0"/>
    <w:qFormat/>
    <w:rPr>
      <w:rFonts w:ascii="Calibri" w:hAnsi="Calibri" w:eastAsia="宋体" w:cs="Times New Roman"/>
    </w:rPr>
  </w:style>
  <w:style w:type="character" w:styleId="1059" w:customStyle="1">
    <w:name w:val="label9"/>
    <w:uiPriority w:val="0"/>
    <w:qFormat/>
    <w:rPr>
      <w:color w:val="1ab394"/>
      <w:shd w:val="clear" w:color="auto" w:fill="ffffff"/>
    </w:rPr>
  </w:style>
  <w:style w:type="character" w:styleId="1060" w:customStyle="1">
    <w:name w:val="引用 字符1"/>
    <w:basedOn w:val="636"/>
    <w:uiPriority w:val="29"/>
    <w:qFormat/>
    <w:rPr>
      <w:rFonts w:ascii="宋体" w:hAnsi="宋体" w:cs="宋体"/>
      <w:i/>
      <w:iCs/>
      <w:color w:val="404040"/>
      <w:sz w:val="22"/>
      <w:szCs w:val="22"/>
      <w:lang w:val="zh-CN" w:bidi="zh-CN"/>
    </w:rPr>
  </w:style>
  <w:style w:type="character" w:styleId="1061" w:customStyle="1">
    <w:name w:val="引用 Char2"/>
    <w:basedOn w:val="636"/>
    <w:uiPriority w:val="99"/>
    <w:qFormat/>
    <w:rPr>
      <w:rFonts w:ascii="宋体" w:hAnsi="宋体" w:cs="宋体"/>
      <w:i/>
      <w:iCs/>
      <w:color w:val="000000"/>
      <w:sz w:val="22"/>
      <w:szCs w:val="22"/>
      <w:lang w:val="zh-CN" w:bidi="zh-CN"/>
    </w:rPr>
  </w:style>
  <w:style w:type="character" w:styleId="1062" w:customStyle="1">
    <w:name w:val="cdropleft"/>
    <w:basedOn w:val="636"/>
    <w:uiPriority w:val="0"/>
    <w:qFormat/>
    <w:rPr>
      <w:rFonts w:ascii="Calibri" w:hAnsi="Calibri" w:eastAsia="宋体" w:cs="Times New Roman"/>
    </w:rPr>
  </w:style>
  <w:style w:type="paragraph" w:styleId="1063" w:customStyle="1">
    <w:name w:val="空半行"/>
    <w:basedOn w:val="626"/>
    <w:uiPriority w:val="0"/>
    <w:qFormat/>
    <w:pPr>
      <w:jc w:val="both"/>
      <w:spacing w:line="120" w:lineRule="exact"/>
    </w:pPr>
    <w:rPr>
      <w:rFonts w:ascii="Times New Roman" w:hAnsi="Times New Roman" w:eastAsia="仿宋_GB2312"/>
      <w:color w:val="ffffff"/>
      <w:sz w:val="30"/>
      <w:szCs w:val="20"/>
      <w:lang w:eastAsia="zh-CN"/>
    </w:rPr>
  </w:style>
  <w:style w:type="paragraph" w:styleId="1064"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065" w:customStyle="1">
    <w:name w:val="flNote"/>
    <w:basedOn w:val="626"/>
    <w:uiPriority w:val="0"/>
    <w:qFormat/>
    <w:pPr>
      <w:jc w:val="center"/>
      <w:spacing w:before="320" w:after="160" w:line="360" w:lineRule="atLeast"/>
    </w:pPr>
    <w:rPr>
      <w:rFonts w:ascii="Arial" w:hAnsi="Times New Roman" w:eastAsia="黑体"/>
      <w:sz w:val="30"/>
      <w:szCs w:val="20"/>
      <w:lang w:eastAsia="zh-CN"/>
    </w:rPr>
  </w:style>
  <w:style w:type="paragraph" w:styleId="1066" w:customStyle="1">
    <w:name w:val="投标文件二级标题"/>
    <w:basedOn w:val="628"/>
    <w:uiPriority w:val="0"/>
    <w:qFormat/>
    <w:pPr>
      <w:ind w:left="223"/>
      <w:jc w:val="both"/>
      <w:keepLines/>
      <w:keepNext/>
      <w:spacing w:before="480" w:after="120" w:line="400" w:lineRule="exact"/>
      <w:tabs>
        <w:tab w:val="left" w:pos="576" w:leader="none"/>
      </w:tabs>
    </w:pPr>
    <w:rPr>
      <w:rFonts w:ascii="Cambria" w:hAnsi="Cambria" w:eastAsia="宋体"/>
      <w:sz w:val="32"/>
      <w:szCs w:val="28"/>
      <w:lang w:val="zh-CN" w:eastAsia="zh-CN"/>
    </w:rPr>
  </w:style>
  <w:style w:type="paragraph" w:styleId="1067" w:customStyle="1">
    <w:name w:val="xl31"/>
    <w:basedOn w:val="626"/>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sz w:val="24"/>
      <w:szCs w:val="24"/>
      <w:lang w:eastAsia="zh-CN"/>
    </w:rPr>
  </w:style>
  <w:style w:type="paragraph" w:styleId="1068" w:customStyle="1">
    <w:name w:val="标题3_0"/>
    <w:basedOn w:val="899"/>
    <w:uiPriority w:val="0"/>
    <w:qFormat/>
    <w:pPr>
      <w:jc w:val="center"/>
      <w:outlineLvl w:val="2"/>
    </w:pPr>
    <w:rPr>
      <w:rFonts w:ascii="黑体" w:hAnsi="黑体" w:eastAsia="黑体"/>
      <w:b/>
      <w:sz w:val="32"/>
      <w:szCs w:val="32"/>
    </w:rPr>
  </w:style>
  <w:style w:type="paragraph" w:styleId="1069"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070" w:customStyle="1">
    <w:name w:val="Normal_0_2_0"/>
    <w:uiPriority w:val="0"/>
    <w:qFormat/>
    <w:pPr>
      <w:jc w:val="both"/>
      <w:widowControl w:val="off"/>
    </w:pPr>
    <w:rPr>
      <w:rFonts w:ascii="Calibri" w:hAnsi="Calibri" w:eastAsia="宋体" w:cs="Times New Roman"/>
      <w:lang w:val="en-US" w:eastAsia="zh-CN" w:bidi="ar-SA"/>
    </w:rPr>
  </w:style>
  <w:style w:type="paragraph" w:styleId="1071" w:customStyle="1">
    <w:name w:val="Normal_0_2"/>
    <w:uiPriority w:val="0"/>
    <w:qFormat/>
    <w:pPr>
      <w:jc w:val="both"/>
      <w:widowControl w:val="off"/>
    </w:pPr>
    <w:rPr>
      <w:rFonts w:ascii="Calibri" w:hAnsi="Calibri" w:eastAsia="宋体" w:cs="Times New Roman"/>
      <w:lang w:val="en-US" w:eastAsia="zh-CN" w:bidi="ar-SA"/>
    </w:rPr>
  </w:style>
  <w:style w:type="paragraph" w:styleId="1072" w:customStyle="1">
    <w:name w:val="Normal_4"/>
    <w:uiPriority w:val="0"/>
    <w:qFormat/>
    <w:pPr>
      <w:jc w:val="both"/>
      <w:widowControl w:val="off"/>
    </w:pPr>
    <w:rPr>
      <w:rFonts w:ascii="Times New Roman" w:hAnsi="Times New Roman" w:eastAsia="宋体" w:cs="Times New Roman"/>
      <w:lang w:val="en-US" w:eastAsia="zh-CN" w:bidi="ar-SA"/>
    </w:rPr>
  </w:style>
  <w:style w:type="paragraph" w:styleId="1073" w:customStyle="1">
    <w:name w:val="正文_3_0"/>
    <w:uiPriority w:val="99"/>
    <w:qFormat/>
    <w:pPr>
      <w:jc w:val="both"/>
      <w:widowControl w:val="off"/>
    </w:pPr>
    <w:rPr>
      <w:rFonts w:ascii="Calibri" w:hAnsi="Calibri" w:eastAsia="宋体" w:cs="Times New Roman"/>
      <w:lang w:val="en-US" w:eastAsia="zh-CN" w:bidi="ar-SA"/>
    </w:rPr>
  </w:style>
  <w:style w:type="paragraph" w:styleId="1074" w:customStyle="1">
    <w:name w:val="正文_5_1"/>
    <w:uiPriority w:val="0"/>
    <w:qFormat/>
    <w:pPr>
      <w:jc w:val="both"/>
      <w:widowControl w:val="off"/>
    </w:pPr>
    <w:rPr>
      <w:rFonts w:ascii="Calibri" w:hAnsi="Calibri" w:eastAsia="宋体" w:cs="Times New Roman"/>
      <w:sz w:val="21"/>
      <w:szCs w:val="22"/>
      <w:lang w:val="en-US" w:eastAsia="zh-CN" w:bidi="ar-SA"/>
    </w:rPr>
  </w:style>
  <w:style w:type="character" w:styleId="1075" w:customStyle="1">
    <w:name w:val="ca-10_0"/>
    <w:uiPriority w:val="0"/>
    <w:qFormat/>
    <w:rPr>
      <w:rFonts w:ascii="Calibri" w:hAnsi="Calibri" w:eastAsia="Times New Roman"/>
      <w:lang w:val="en-US" w:eastAsia="zh-CN" w:bidi="ar-SA"/>
    </w:rPr>
  </w:style>
  <w:style w:type="paragraph" w:styleId="1076" w:customStyle="1">
    <w:name w:val="pa-13_0"/>
    <w:basedOn w:val="896"/>
    <w:uiPriority w:val="0"/>
    <w:qFormat/>
    <w:pPr>
      <w:jc w:val="left"/>
      <w:spacing w:before="100" w:beforeAutospacing="1" w:after="100" w:afterAutospacing="1"/>
      <w:widowControl/>
    </w:pPr>
    <w:rPr>
      <w:rFonts w:ascii="宋体" w:hAnsi="宋体" w:eastAsia="Times New Roman"/>
      <w:sz w:val="24"/>
      <w:szCs w:val="24"/>
    </w:rPr>
  </w:style>
  <w:style w:type="character" w:styleId="1077" w:customStyle="1">
    <w:name w:val="ca-2_0"/>
    <w:uiPriority w:val="0"/>
    <w:qFormat/>
    <w:rPr>
      <w:rFonts w:ascii="Calibri" w:hAnsi="Calibri" w:eastAsia="Times New Roman"/>
      <w:lang w:val="en-US" w:eastAsia="zh-CN" w:bidi="ar-SA"/>
    </w:rPr>
  </w:style>
  <w:style w:type="paragraph" w:styleId="1078" w:customStyle="1">
    <w:name w:val="pa-15_1"/>
    <w:basedOn w:val="896"/>
    <w:uiPriority w:val="0"/>
    <w:qFormat/>
    <w:pPr>
      <w:jc w:val="left"/>
      <w:spacing w:before="100" w:beforeAutospacing="1" w:after="100" w:afterAutospacing="1"/>
      <w:widowControl/>
    </w:pPr>
    <w:rPr>
      <w:rFonts w:ascii="宋体" w:hAnsi="宋体" w:eastAsia="Times New Roman"/>
      <w:sz w:val="24"/>
      <w:szCs w:val="24"/>
    </w:rPr>
  </w:style>
  <w:style w:type="character" w:styleId="1079" w:customStyle="1">
    <w:name w:val="apple-converted-space_0"/>
    <w:uiPriority w:val="0"/>
    <w:qFormat/>
    <w:rPr>
      <w:rFonts w:ascii="Calibri" w:hAnsi="Calibri" w:eastAsia="Times New Roman"/>
      <w:lang w:val="en-US" w:eastAsia="zh-CN" w:bidi="ar-SA"/>
    </w:rPr>
  </w:style>
  <w:style w:type="paragraph" w:styleId="1080" w:customStyle="1">
    <w:name w:val="pa-16_0"/>
    <w:basedOn w:val="896"/>
    <w:uiPriority w:val="0"/>
    <w:qFormat/>
    <w:pPr>
      <w:jc w:val="left"/>
      <w:spacing w:before="100" w:beforeAutospacing="1" w:after="100" w:afterAutospacing="1"/>
      <w:widowControl/>
    </w:pPr>
    <w:rPr>
      <w:rFonts w:ascii="宋体" w:hAnsi="宋体" w:eastAsia="Times New Roman"/>
      <w:sz w:val="24"/>
      <w:szCs w:val="24"/>
    </w:rPr>
  </w:style>
  <w:style w:type="paragraph" w:styleId="1081" w:customStyle="1">
    <w:name w:val="xl77"/>
    <w:basedOn w:val="626"/>
    <w:uiPriority w:val="0"/>
    <w:qFormat/>
    <w:pPr>
      <w:jc w:val="center"/>
      <w:spacing w:before="100" w:beforeAutospacing="1" w:after="100" w:afterAutospacing="1"/>
      <w:widowControl/>
      <w:pBdr>
        <w:top w:val="single" w:color="000000" w:sz="8" w:space="0"/>
        <w:right w:val="single" w:color="000000" w:sz="4" w:space="0"/>
      </w:pBdr>
    </w:pPr>
    <w:rPr>
      <w:rFonts w:ascii="宋体" w:hAnsi="宋体" w:eastAsia="宋体" w:cs="宋体"/>
      <w:b/>
      <w:bCs/>
      <w:sz w:val="24"/>
      <w:szCs w:val="24"/>
      <w:lang w:eastAsia="zh-CN"/>
    </w:rPr>
  </w:style>
  <w:style w:type="paragraph" w:styleId="1082" w:customStyle="1">
    <w:name w:val="xl78"/>
    <w:basedOn w:val="62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4"/>
      <w:szCs w:val="24"/>
      <w:lang w:eastAsia="zh-CN"/>
    </w:rPr>
  </w:style>
  <w:style w:type="paragraph" w:styleId="1083" w:customStyle="1">
    <w:name w:val="xl79"/>
    <w:basedOn w:val="626"/>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cs="宋体"/>
      <w:b/>
      <w:bCs/>
      <w:sz w:val="24"/>
      <w:szCs w:val="24"/>
      <w:lang w:eastAsia="zh-CN"/>
    </w:rPr>
  </w:style>
  <w:style w:type="paragraph" w:styleId="1084" w:customStyle="1">
    <w:name w:val="xl80"/>
    <w:basedOn w:val="62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085" w:customStyle="1">
    <w:name w:val="xl81"/>
    <w:basedOn w:val="626"/>
    <w:uiPriority w:val="0"/>
    <w:qFormat/>
    <w:pPr>
      <w:spacing w:before="100" w:beforeAutospacing="1" w:after="100" w:afterAutospacing="1"/>
      <w:widowControl/>
    </w:pPr>
    <w:rPr>
      <w:rFonts w:ascii="宋体" w:hAnsi="宋体" w:eastAsia="宋体" w:cs="宋体"/>
      <w:sz w:val="24"/>
      <w:szCs w:val="24"/>
      <w:lang w:eastAsia="zh-CN"/>
    </w:rPr>
  </w:style>
  <w:style w:type="paragraph" w:styleId="1086" w:customStyle="1">
    <w:name w:val="xl82"/>
    <w:basedOn w:val="626"/>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s="宋体"/>
      <w:sz w:val="24"/>
      <w:szCs w:val="24"/>
      <w:lang w:eastAsia="zh-CN"/>
    </w:rPr>
  </w:style>
  <w:style w:type="paragraph" w:styleId="1087" w:customStyle="1">
    <w:name w:val="xl83"/>
    <w:basedOn w:val="6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088" w:customStyle="1">
    <w:name w:val="xl84"/>
    <w:basedOn w:val="626"/>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lang w:eastAsia="zh-CN"/>
    </w:rPr>
  </w:style>
  <w:style w:type="paragraph" w:styleId="1089" w:customStyle="1">
    <w:name w:val="xl85"/>
    <w:basedOn w:val="626"/>
    <w:uiPriority w:val="0"/>
    <w:qFormat/>
    <w:pPr>
      <w:jc w:val="center"/>
      <w:spacing w:before="100" w:beforeAutospacing="1" w:after="100" w:afterAutospacing="1"/>
      <w:widowControl/>
      <w:pBdr>
        <w:top w:val="single" w:color="000000" w:sz="4" w:space="0"/>
        <w:right w:val="single" w:color="000000" w:sz="4" w:space="0"/>
      </w:pBdr>
    </w:pPr>
    <w:rPr>
      <w:rFonts w:ascii="宋体" w:hAnsi="宋体" w:eastAsia="宋体" w:cs="宋体"/>
      <w:sz w:val="24"/>
      <w:szCs w:val="24"/>
      <w:lang w:eastAsia="zh-CN"/>
    </w:rPr>
  </w:style>
  <w:style w:type="paragraph" w:styleId="1090" w:customStyle="1">
    <w:name w:val="xl86"/>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91" w:customStyle="1">
    <w:name w:val="xl87"/>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92" w:customStyle="1">
    <w:name w:val="xl88"/>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93" w:customStyle="1">
    <w:name w:val="xl89"/>
    <w:basedOn w:val="6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lang w:eastAsia="zh-CN"/>
    </w:rPr>
  </w:style>
  <w:style w:type="paragraph" w:styleId="1094" w:customStyle="1">
    <w:name w:val="xl90"/>
    <w:basedOn w:val="626"/>
    <w:uiPriority w:val="0"/>
    <w:qFormat/>
    <w:pPr>
      <w:jc w:val="center"/>
      <w:spacing w:before="100" w:beforeAutospacing="1" w:after="100" w:afterAutospacing="1"/>
      <w:widowControl/>
      <w:pBdr>
        <w:top w:val="single" w:color="000000" w:sz="4" w:space="0"/>
        <w:left w:val="single" w:color="000000" w:sz="4" w:space="0"/>
        <w:bottom w:val="single" w:color="auto" w:sz="4" w:space="0"/>
      </w:pBdr>
    </w:pPr>
    <w:rPr>
      <w:rFonts w:ascii="宋体" w:hAnsi="宋体" w:eastAsia="宋体" w:cs="宋体"/>
      <w:sz w:val="24"/>
      <w:szCs w:val="24"/>
      <w:lang w:eastAsia="zh-CN"/>
    </w:rPr>
  </w:style>
  <w:style w:type="paragraph" w:styleId="1095" w:customStyle="1">
    <w:name w:val="xl91"/>
    <w:basedOn w:val="626"/>
    <w:uiPriority w:val="0"/>
    <w:qFormat/>
    <w:pPr>
      <w:jc w:val="center"/>
      <w:spacing w:before="100" w:beforeAutospacing="1" w:after="100" w:afterAutospacing="1"/>
      <w:widowControl/>
      <w:pBdr>
        <w:top w:val="single" w:color="000000" w:sz="4" w:space="0"/>
        <w:bottom w:val="single" w:color="auto" w:sz="4" w:space="0"/>
        <w:right w:val="single" w:color="000000" w:sz="4" w:space="0"/>
      </w:pBdr>
    </w:pPr>
    <w:rPr>
      <w:rFonts w:ascii="宋体" w:hAnsi="宋体" w:eastAsia="宋体" w:cs="宋体"/>
      <w:sz w:val="24"/>
      <w:szCs w:val="24"/>
      <w:lang w:eastAsia="zh-CN"/>
    </w:rPr>
  </w:style>
  <w:style w:type="paragraph" w:styleId="1096" w:customStyle="1">
    <w:name w:val="xl92"/>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097" w:customStyle="1">
    <w:name w:val="xl93"/>
    <w:basedOn w:val="6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18"/>
      <w:szCs w:val="18"/>
      <w:lang w:eastAsia="zh-CN"/>
    </w:rPr>
  </w:style>
  <w:style w:type="paragraph" w:styleId="1098" w:customStyle="1">
    <w:name w:val="xl94"/>
    <w:basedOn w:val="626"/>
    <w:uiPriority w:val="0"/>
    <w:qFormat/>
    <w:pPr>
      <w:jc w:val="center"/>
      <w:spacing w:before="100" w:beforeAutospacing="1" w:after="100" w:afterAutospacing="1"/>
      <w:widowControl/>
      <w:pBdr>
        <w:top w:val="single" w:color="000000" w:sz="8" w:space="0"/>
        <w:left w:val="single" w:color="000000" w:sz="4" w:space="0"/>
        <w:bottom w:val="single" w:color="000000" w:sz="4" w:space="0"/>
      </w:pBdr>
    </w:pPr>
    <w:rPr>
      <w:rFonts w:ascii="宋体" w:hAnsi="宋体" w:eastAsia="宋体" w:cs="宋体"/>
      <w:sz w:val="24"/>
      <w:szCs w:val="24"/>
      <w:lang w:eastAsia="zh-CN"/>
    </w:rPr>
  </w:style>
  <w:style w:type="paragraph" w:styleId="1099" w:customStyle="1">
    <w:name w:val="xl95"/>
    <w:basedOn w:val="626"/>
    <w:uiPriority w:val="0"/>
    <w:qFormat/>
    <w:pPr>
      <w:jc w:val="center"/>
      <w:spacing w:before="100" w:beforeAutospacing="1" w:after="100" w:afterAutospacing="1"/>
      <w:widowControl/>
      <w:pBdr>
        <w:top w:val="single" w:color="000000" w:sz="8" w:space="0"/>
        <w:bottom w:val="single" w:color="000000" w:sz="4" w:space="0"/>
        <w:right w:val="single" w:color="000000" w:sz="4" w:space="0"/>
      </w:pBdr>
    </w:pPr>
    <w:rPr>
      <w:rFonts w:ascii="宋体" w:hAnsi="宋体" w:eastAsia="宋体" w:cs="宋体"/>
      <w:sz w:val="24"/>
      <w:szCs w:val="24"/>
      <w:lang w:eastAsia="zh-CN"/>
    </w:rPr>
  </w:style>
  <w:style w:type="paragraph" w:styleId="1100" w:customStyle="1">
    <w:name w:val="xl96"/>
    <w:basedOn w:val="626"/>
    <w:uiPriority w:val="0"/>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eastAsia="宋体" w:cs="宋体"/>
      <w:b/>
      <w:bCs/>
      <w:sz w:val="18"/>
      <w:szCs w:val="18"/>
      <w:lang w:eastAsia="zh-CN"/>
    </w:rPr>
  </w:style>
  <w:style w:type="paragraph" w:styleId="1101" w:customStyle="1">
    <w:name w:val="xl97"/>
    <w:basedOn w:val="62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18"/>
      <w:szCs w:val="18"/>
      <w:lang w:eastAsia="zh-CN"/>
    </w:rPr>
  </w:style>
  <w:style w:type="paragraph" w:styleId="1102" w:customStyle="1">
    <w:name w:val="xl98"/>
    <w:basedOn w:val="626"/>
    <w:uiPriority w:val="0"/>
    <w:qFormat/>
    <w:pPr>
      <w:jc w:val="center"/>
      <w:spacing w:before="100" w:beforeAutospacing="1" w:after="100" w:afterAutospacing="1"/>
      <w:widowControl/>
      <w:pBdr>
        <w:top w:val="single" w:color="000000" w:sz="8" w:space="0"/>
        <w:left w:val="single" w:color="000000" w:sz="4" w:space="0"/>
        <w:right w:val="single" w:color="000000" w:sz="4" w:space="0"/>
      </w:pBdr>
    </w:pPr>
    <w:rPr>
      <w:rFonts w:ascii="宋体" w:hAnsi="宋体" w:eastAsia="宋体" w:cs="宋体"/>
      <w:b/>
      <w:bCs/>
      <w:sz w:val="24"/>
      <w:szCs w:val="24"/>
      <w:lang w:eastAsia="zh-CN"/>
    </w:rPr>
  </w:style>
  <w:style w:type="paragraph" w:styleId="1103" w:customStyle="1">
    <w:name w:val="xl99"/>
    <w:basedOn w:val="626"/>
    <w:uiPriority w:val="0"/>
    <w:qFormat/>
    <w:pPr>
      <w:jc w:val="center"/>
      <w:spacing w:before="100" w:beforeAutospacing="1" w:after="100" w:afterAutospacing="1"/>
      <w:widowControl/>
    </w:pPr>
    <w:rPr>
      <w:rFonts w:ascii="宋体" w:hAnsi="宋体" w:eastAsia="宋体" w:cs="宋体"/>
      <w:b/>
      <w:bCs/>
      <w:sz w:val="24"/>
      <w:szCs w:val="24"/>
      <w:lang w:eastAsia="zh-CN"/>
    </w:rPr>
  </w:style>
  <w:style w:type="paragraph" w:styleId="1104" w:customStyle="1">
    <w:name w:val="xl100"/>
    <w:basedOn w:val="626"/>
    <w:uiPriority w:val="0"/>
    <w:qFormat/>
    <w:pPr>
      <w:jc w:val="center"/>
      <w:spacing w:before="100" w:beforeAutospacing="1" w:after="100" w:afterAutospacing="1"/>
      <w:widowControl/>
      <w:pBdr>
        <w:left w:val="single" w:color="000000" w:sz="8" w:space="0"/>
      </w:pBdr>
    </w:pPr>
    <w:rPr>
      <w:rFonts w:ascii="宋体" w:hAnsi="宋体" w:eastAsia="宋体" w:cs="宋体"/>
      <w:b/>
      <w:bCs/>
      <w:sz w:val="18"/>
      <w:szCs w:val="18"/>
      <w:lang w:eastAsia="zh-CN"/>
    </w:rPr>
  </w:style>
  <w:style w:type="paragraph" w:styleId="1105" w:customStyle="1">
    <w:name w:val="xl101"/>
    <w:basedOn w:val="626"/>
    <w:uiPriority w:val="0"/>
    <w:qFormat/>
    <w:pPr>
      <w:jc w:val="center"/>
      <w:spacing w:before="100" w:beforeAutospacing="1" w:after="100" w:afterAutospacing="1"/>
      <w:widowControl/>
    </w:pPr>
    <w:rPr>
      <w:rFonts w:ascii="宋体" w:hAnsi="宋体" w:eastAsia="宋体" w:cs="宋体"/>
      <w:b/>
      <w:bCs/>
      <w:sz w:val="18"/>
      <w:szCs w:val="18"/>
      <w:lang w:eastAsia="zh-CN"/>
    </w:rPr>
  </w:style>
  <w:style w:type="paragraph" w:styleId="1106" w:customStyle="1">
    <w:name w:val="xl102"/>
    <w:basedOn w:val="626"/>
    <w:uiPriority w:val="0"/>
    <w:qFormat/>
    <w:pPr>
      <w:jc w:val="center"/>
      <w:spacing w:before="100" w:beforeAutospacing="1" w:after="100" w:afterAutospacing="1"/>
      <w:widowControl/>
      <w:pBdr>
        <w:right w:val="single" w:color="auto" w:sz="4" w:space="0"/>
      </w:pBdr>
    </w:pPr>
    <w:rPr>
      <w:rFonts w:ascii="宋体" w:hAnsi="宋体" w:eastAsia="宋体" w:cs="宋体"/>
      <w:b/>
      <w:bCs/>
      <w:sz w:val="18"/>
      <w:szCs w:val="18"/>
      <w:lang w:eastAsia="zh-CN"/>
    </w:rPr>
  </w:style>
  <w:style w:type="paragraph" w:styleId="1107" w:customStyle="1">
    <w:name w:val="xl63"/>
    <w:basedOn w:val="626"/>
    <w:uiPriority w:val="0"/>
    <w:qFormat/>
    <w:pPr>
      <w:spacing w:before="100" w:beforeAutospacing="1" w:after="100" w:afterAutospacing="1"/>
      <w:widowControl/>
    </w:pPr>
    <w:rPr>
      <w:rFonts w:ascii="宋体" w:hAnsi="宋体" w:eastAsia="宋体" w:cs="宋体"/>
      <w:sz w:val="24"/>
      <w:szCs w:val="24"/>
      <w:lang w:eastAsia="zh-CN"/>
    </w:rPr>
  </w:style>
  <w:style w:type="paragraph" w:styleId="1108" w:customStyle="1">
    <w:name w:val="xl64"/>
    <w:basedOn w:val="626"/>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109" w:customStyle="1">
    <w:name w:val="正文样式"/>
    <w:basedOn w:val="626"/>
    <w:uiPriority w:val="0"/>
    <w:qFormat/>
    <w:pPr>
      <w:ind w:firstLine="560"/>
      <w:jc w:val="both"/>
      <w:spacing w:line="360" w:lineRule="auto"/>
    </w:pPr>
    <w:rPr>
      <w:rFonts w:ascii="仿宋_GB2312" w:hAnsi="仿宋_GB2312" w:eastAsia="仿宋_GB2312" w:cs="仿宋_GB2312"/>
      <w:sz w:val="28"/>
      <w:szCs w:val="28"/>
      <w:lang w:val="en-US" w:bidi="ar-SA"/>
    </w:rPr>
  </w:style>
  <w:style w:type="paragraph" w:styleId="1110" w:customStyle="1">
    <w:name w:val="五号表格正文"/>
    <w:basedOn w:val="1111"/>
    <w:uiPriority w:val="0"/>
    <w:qFormat/>
    <w:pPr>
      <w:ind w:firstLine="0"/>
      <w:spacing w:line="240" w:lineRule="auto"/>
    </w:pPr>
    <w:rPr>
      <w:sz w:val="21"/>
    </w:rPr>
  </w:style>
  <w:style w:type="paragraph" w:styleId="1111" w:customStyle="1">
    <w:name w:val="正文小四缩进"/>
    <w:basedOn w:val="626"/>
    <w:uiPriority w:val="0"/>
    <w:qFormat/>
    <w:pPr>
      <w:ind w:firstLine="200"/>
      <w:jc w:val="left"/>
      <w:spacing w:after="0" w:line="300" w:lineRule="auto"/>
    </w:pPr>
    <w:rPr>
      <w:sz w:val="24"/>
    </w:rPr>
  </w:style>
  <w:style w:type="paragraph" w:styleId="1112" w:customStyle="1">
    <w:name w:val="(标书)正文 Char Char"/>
    <w:basedOn w:val="626"/>
    <w:uiPriority w:val="0"/>
    <w:qFormat/>
    <w:pPr>
      <w:ind w:firstLine="200"/>
    </w:pPr>
    <w:rPr>
      <w:rFonts w:ascii="宋体" w:hAnsi="宋体" w:cs="Times New Roman"/>
      <w:spacing w:val="10"/>
      <w:szCs w:val="24"/>
    </w:rPr>
  </w:style>
  <w:style w:type="paragraph" w:styleId="1113" w:customStyle="1">
    <w:name w:val="正文文本11"/>
    <w:basedOn w:val="626"/>
    <w:next w:val="626"/>
    <w:uiPriority w:val="0"/>
    <w:qFormat/>
    <w:rPr>
      <w:rFonts w:ascii="楷体_GB2312" w:hAnsi="Arial" w:eastAsia="楷体_GB2312" w:cs="Times New Roman"/>
      <w:sz w:val="28"/>
    </w:rPr>
  </w:style>
  <w:style w:type="paragraph" w:styleId="1114" w:customStyle="1">
    <w:name w:val="Table Text"/>
    <w:basedOn w:val="626"/>
    <w:uiPriority w:val="0"/>
    <w:semiHidden/>
    <w:qFormat/>
    <w:rPr>
      <w:rFonts w:ascii="宋体" w:hAnsi="宋体" w:eastAsia="宋体" w:cs="宋体"/>
    </w:rPr>
  </w:style>
  <w:style w:type="character" w:styleId="1115" w:customStyle="1">
    <w:name w:val="font01"/>
    <w:basedOn w:val="636"/>
    <w:uiPriority w:val="0"/>
    <w:qFormat/>
    <w:rPr>
      <w:rFonts w:hint="eastAsia" w:ascii="宋体" w:hAnsi="宋体" w:eastAsia="宋体" w:cs="宋体"/>
      <w:color w:val="000000"/>
      <w:sz w:val="22"/>
      <w:szCs w:val="22"/>
      <w:u w:val="none"/>
    </w:rPr>
  </w:style>
  <w:style w:type="character" w:styleId="1116" w:customStyle="1">
    <w:name w:val="font41"/>
    <w:basedOn w:val="636"/>
    <w:uiPriority w:val="0"/>
    <w:qFormat/>
    <w:rPr>
      <w:rFonts w:hint="eastAsia" w:ascii="宋体" w:hAnsi="宋体" w:eastAsia="宋体" w:cs="宋体"/>
      <w:color w:val="ff0000"/>
      <w:sz w:val="22"/>
      <w:szCs w:val="22"/>
      <w:u w:val="none"/>
    </w:rPr>
  </w:style>
  <w:style w:type="numbering" w:styleId="105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招标代</dc:creator>
  <cp:lastModifiedBy>李盼</cp:lastModifiedBy>
  <cp:revision>75</cp:revision>
  <dcterms:created xsi:type="dcterms:W3CDTF">2024-03-28T06:58:00Z</dcterms:created>
  <dcterms:modified xsi:type="dcterms:W3CDTF">2026-07-24T06:23:32Z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E79E74F9A1E846418BA0B470BE652DE2_13</vt:lpwstr>
  </property>
  <property fmtid="{D5CDD505-2E9C-101B-9397-08002B2CF9AE}" pid="4" name="KSOTemplateDocerSaveRecord">
    <vt:lpwstr>eyJoZGlkIjoiNmQ4MzQyZWVhMThiODFkZmVlZmEyYWI0MWFkN2M5MGEiLCJ1c2VySWQiOiIzMDI0MzIyNDMifQ==</vt:lpwstr>
  </property>
</Properties>
</file>