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240" w:after="240"/>
        <w:pBdr>
          <w:top w:val="none" w:color="000000" w:sz="4" w:space="0"/>
          <w:left w:val="none" w:color="000000" w:sz="4" w:space="0"/>
          <w:bottom w:val="none" w:color="000000" w:sz="4" w:space="0"/>
          <w:right w:val="none" w:color="000000" w:sz="4" w:space="0"/>
        </w:pBdr>
      </w:pPr>
      <w:r>
        <w:t xml:space="preserve"> </w:t>
      </w:r>
      <w:r/>
      <w:r>
        <w:rPr>
          <w:rFonts w:ascii="Times New Roman" w:hAnsi="Times New Roman" w:eastAsia="Times New Roman" w:cs="Times New Roman"/>
          <w:b/>
          <w:color w:val="000000"/>
          <w:sz w:val="8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8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招　标　文　件</w:t>
      </w:r>
      <w:r/>
    </w:p>
    <w:p>
      <w:pPr>
        <w:ind w:left="0" w:right="0" w:firstLine="0"/>
        <w:spacing w:before="240" w:after="240" w:line="5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spacing w:before="240" w:after="240" w:line="5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spacing w:before="240" w:after="240" w:line="5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spacing w:before="240" w:after="240" w:line="5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spacing w:before="240" w:after="240" w:line="5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rPr>
          <w:rFonts w:ascii="Times New Roman" w:hAnsi="Times New Roman" w:eastAsia="Times New Roman" w:cs="Times New Roman"/>
          <w:b/>
          <w:color w:val="000000"/>
          <w:sz w:val="32"/>
        </w:rPr>
        <w:t xml:space="preserve">                                                                                                                                                                                                                                                                </w:t>
      </w:r>
      <w:r>
        <w:rPr>
          <w:rFonts w:ascii="Times New Roman" w:hAnsi="Times New Roman" w:eastAsia="Times New Roman" w:cs="Times New Roman"/>
          <w:b/>
          <w:color w:val="000000"/>
          <w:sz w:val="32"/>
        </w:rPr>
        <w:t xml:space="preserve">                                                                                                                                                                                                                                                                </w:t>
      </w:r>
      <w:r>
        <w:rPr>
          <w:rFonts w:ascii="Times New Roman" w:hAnsi="Times New Roman" w:eastAsia="Times New Roman" w:cs="Times New Roman"/>
          <w:b/>
          <w:color w:val="000000"/>
          <w:sz w:val="32"/>
        </w:rPr>
        <w:t xml:space="preserve">                                                                                                                                                                                                                                                                </w:t>
      </w:r>
      <w:r>
        <w:rPr>
          <w:rFonts w:ascii="Times New Roman" w:hAnsi="Times New Roman" w:eastAsia="Times New Roman" w:cs="Times New Roman"/>
          <w:b/>
          <w:color w:val="000000"/>
          <w:sz w:val="32"/>
        </w:rPr>
        <w:t xml:space="preserve">                                                                                                                                                                                                                                                                </w:t>
      </w:r>
      <w:r>
        <w:rPr>
          <w:rFonts w:ascii="Times New Roman" w:hAnsi="Times New Roman" w:eastAsia="Times New Roman" w:cs="Times New Roman"/>
          <w:b/>
          <w:color w:val="000000"/>
          <w:sz w:val="32"/>
        </w:rPr>
        <w:t xml:space="preserve">                                                                                                                                                                                                                                                                </w:t>
      </w:r>
      <w:r>
        <w:rPr>
          <w:rFonts w:ascii="Times New Roman" w:hAnsi="Times New Roman" w:eastAsia="Times New Roman" w:cs="Times New Roman"/>
          <w:b/>
          <w:color w:val="000000"/>
          <w:sz w:val="32"/>
        </w:rPr>
        <w:t xml:space="preserve">                         </w:t>
      </w:r>
      <w:r/>
    </w:p>
    <w:p>
      <w:pPr>
        <w:ind w:left="3526" w:right="0" w:hanging="1606"/>
        <w:spacing w:before="0" w:after="0"/>
        <w:tabs>
          <w:tab w:val="left" w:pos="19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项目名称：泰兴经济开发区公共区域监测预警项目(雨水污水管道安全风险监测二期)</w:t>
      </w:r>
      <w:r/>
    </w:p>
    <w:p>
      <w:pPr>
        <w:ind w:left="0" w:right="0" w:firstLine="321"/>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1928"/>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 </w:t>
      </w:r>
      <w:r>
        <w:rPr>
          <w:rFonts w:ascii="Times New Roman" w:hAnsi="Times New Roman" w:eastAsia="Times New Roman" w:cs="Times New Roman"/>
          <w:b/>
          <w:color w:val="000000"/>
          <w:sz w:val="32"/>
        </w:rPr>
        <w:t xml:space="preserve">JSZC-321283-TZJX-G2026-0002                     </w:t>
      </w:r>
      <w:r/>
    </w:p>
    <w:p>
      <w:pPr>
        <w:ind w:left="0" w:right="0" w:firstLine="643"/>
        <w:jc w:val="center"/>
        <w:spacing w:before="240" w:after="240" w:line="5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643"/>
        <w:jc w:val="center"/>
        <w:spacing w:before="240" w:after="240" w:line="5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643"/>
        <w:jc w:val="center"/>
        <w:spacing w:before="240" w:after="240" w:line="5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643"/>
        <w:jc w:val="center"/>
        <w:spacing w:before="240" w:after="240" w:line="5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643"/>
        <w:jc w:val="center"/>
        <w:spacing w:before="240" w:after="240" w:line="5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643"/>
        <w:jc w:val="center"/>
        <w:spacing w:before="240" w:after="240" w:line="5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643"/>
        <w:jc w:val="center"/>
        <w:spacing w:before="240" w:after="240" w:line="5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b/>
          <w:color w:val="000000"/>
          <w:sz w:val="32"/>
        </w:rPr>
        <w:t xml:space="preserve">  采 购 人：江苏省泰兴经济开发区管理委员会</w:t>
      </w:r>
      <w:r/>
    </w:p>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b/>
          <w:color w:val="000000"/>
          <w:sz w:val="32"/>
        </w:rPr>
        <w:t xml:space="preserve">代理机构：泰州捷星建设项目管理有限公司</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二○二六年 六 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第一章   招标公告</w:t>
      </w:r>
      <w:r/>
    </w:p>
    <w:p>
      <w:pPr>
        <w:ind w:left="0" w:right="0" w:firstLine="0"/>
        <w:jc w:val="both"/>
        <w:spacing w:before="0" w:after="0" w:line="479"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560"/>
        <w:jc w:val="both"/>
        <w:spacing w:before="0" w:after="0" w:line="479"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泰兴经济开发区公共区域监测预警项目(雨水污水管道安全风险监测二期)</w:t>
      </w:r>
      <w:r>
        <w:rPr>
          <w:rFonts w:ascii="SimSun" w:hAnsi="SimSun" w:eastAsia="SimSun" w:cs="SimSun"/>
          <w:color w:val="000000"/>
          <w:sz w:val="24"/>
        </w:rPr>
        <w:t xml:space="preserve">招标项目的潜在投标人应在政府采购一体化平台“苏采云”获取招标文件，并于2026年</w:t>
      </w:r>
      <w:r>
        <w:rPr>
          <w:rFonts w:ascii="SimSun" w:hAnsi="SimSun" w:eastAsia="SimSun" w:cs="SimSun"/>
          <w:color w:val="000000"/>
          <w:sz w:val="24"/>
          <w:u w:val="single"/>
        </w:rPr>
        <w:t xml:space="preserve"> 7</w:t>
      </w:r>
      <w:r>
        <w:rPr>
          <w:rFonts w:ascii="SimSun" w:hAnsi="SimSun" w:eastAsia="SimSun" w:cs="SimSun"/>
          <w:color w:val="000000"/>
          <w:sz w:val="24"/>
        </w:rPr>
        <w:t xml:space="preserve">月</w:t>
      </w:r>
      <w:r>
        <w:rPr>
          <w:rFonts w:ascii="SimSun" w:hAnsi="SimSun" w:eastAsia="SimSun" w:cs="SimSun"/>
          <w:color w:val="000000"/>
          <w:sz w:val="24"/>
          <w:u w:val="single"/>
        </w:rPr>
        <w:t xml:space="preserve">   16</w:t>
      </w:r>
      <w:r>
        <w:rPr>
          <w:rFonts w:ascii="SimSun" w:hAnsi="SimSun" w:eastAsia="SimSun" w:cs="SimSun"/>
          <w:color w:val="000000"/>
          <w:sz w:val="24"/>
        </w:rPr>
        <w:t xml:space="preserve">日 14:30（北京时间）前递交投标文件。</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一、项目基本情况</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       </w:t>
      </w:r>
      <w:r/>
    </w:p>
    <w:p>
      <w:pPr>
        <w:ind w:left="0" w:right="0" w:firstLine="554"/>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项目名称：泰兴经济开发区公共区域监测预警项目(雨水污水管道安全风险监测二期)</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预算金额：1946700.00元；</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最高限价：1849365.00元；（超过最高限价的报价无效）。</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采购方式：公开招标。</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主要包括在公共区域新增部署智能阀井远程监测设备，新增部署河道水位监测设备，实现园区重点河道水位数据采集；优化提升一期监测平台，新增河道水位分析、路面内涝等风险分析模块，构建“气象预警+管道监测+河道水位”三位一体的监测体系；对园区河道水流、电力、地下管网等流向进行线路拓扑，实现对园区公共区域水、电、气等线路的可视化展示，提高园区安全风险监测预警和分析管理水平等内容。具体要求见招标文件第五章采购需求。</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w:t>
      </w:r>
      <w:r>
        <w:rPr>
          <w:rFonts w:ascii="Times New Roman" w:hAnsi="Times New Roman" w:eastAsia="Times New Roman" w:cs="Times New Roman"/>
          <w:color w:val="000000"/>
          <w:sz w:val="24"/>
        </w:rPr>
        <w:t xml:space="preserve">910</w:t>
      </w:r>
      <w:r>
        <w:rPr>
          <w:rFonts w:ascii="SimSun" w:hAnsi="SimSun" w:eastAsia="SimSun" w:cs="SimSun"/>
          <w:color w:val="000000"/>
          <w:sz w:val="24"/>
        </w:rPr>
        <w:t xml:space="preserve">天（其中设备系统安装调试</w:t>
      </w:r>
      <w:r>
        <w:rPr>
          <w:rFonts w:ascii="Times New Roman" w:hAnsi="Times New Roman" w:eastAsia="Times New Roman" w:cs="Times New Roman"/>
          <w:color w:val="000000"/>
          <w:sz w:val="24"/>
        </w:rPr>
        <w:t xml:space="preserve">180</w:t>
      </w:r>
      <w:r>
        <w:rPr>
          <w:rFonts w:ascii="SimSun" w:hAnsi="SimSun" w:eastAsia="SimSun" w:cs="SimSun"/>
          <w:color w:val="000000"/>
          <w:sz w:val="24"/>
        </w:rPr>
        <w:t xml:space="preserve">天，运营服务</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年）</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本项目（是/否）接受联合体投标：否。</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二、申请人的资格要求：</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（一）满足《中华人民共和国政府采购法》第二十二条规定。</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基本资格条件的承诺（根据供应商提供的承诺函，内容完整且具有法人及法定代表人的印章）</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（二）落实政府采购政策需满足的资格要求：本项目为专门面向中小企业的项目，供应商应为中小微企业或监狱企业或残疾人福利性单位。</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（三）本项目的特定资格要求：无</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三、获取招标文件</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时间：自招标文件公告发布之日起5个工作日 </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地点：“苏采云”政府采购一体化平台</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方式：线上获取</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售价：0.00元</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四、提交投标文件截止时间、开标时间和地点</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2026-</w:t>
      </w:r>
      <w:r>
        <w:rPr>
          <w:rFonts w:ascii="SimSun" w:hAnsi="SimSun" w:eastAsia="SimSun" w:cs="SimSun"/>
          <w:color w:val="000000"/>
          <w:sz w:val="24"/>
          <w:u w:val="single"/>
        </w:rPr>
        <w:t xml:space="preserve"> 7 </w:t>
      </w:r>
      <w:r>
        <w:rPr>
          <w:rFonts w:ascii="SimSun" w:hAnsi="SimSun" w:eastAsia="SimSun" w:cs="SimSun"/>
          <w:color w:val="000000"/>
          <w:sz w:val="24"/>
        </w:rPr>
        <w:t xml:space="preserve">-</w:t>
      </w:r>
      <w:r>
        <w:rPr>
          <w:rFonts w:ascii="SimSun" w:hAnsi="SimSun" w:eastAsia="SimSun" w:cs="SimSun"/>
          <w:color w:val="000000"/>
          <w:sz w:val="24"/>
          <w:u w:val="single"/>
        </w:rPr>
        <w:t xml:space="preserve"> 16 </w:t>
      </w:r>
      <w:r>
        <w:rPr>
          <w:rFonts w:ascii="SimSun" w:hAnsi="SimSun" w:eastAsia="SimSun" w:cs="SimSun"/>
          <w:color w:val="000000"/>
          <w:sz w:val="24"/>
        </w:rPr>
        <w:t xml:space="preserve">  14:30（北京时间）</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地点：“苏采云”政府采购一体化平台</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五、公告期限</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自本公告发布之日起5个工作日。</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六、其他补充事宜</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1.公告发布媒介：江苏政府采购网（www.ccgp-jiangsu.gov.cn）；泰州市公共资源交易网（http://zwfw.taizhou.gov.cn/ggzy/）。</w:t>
      </w:r>
      <w:r/>
    </w:p>
    <w:p>
      <w:pPr>
        <w:pStyle w:val="12"/>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注意事项：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①投标保证金：无。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w:t>
      </w:r>
      <w:r>
        <w:rPr>
          <w:rFonts w:ascii="SimSun" w:hAnsi="SimSun" w:eastAsia="SimSun" w:cs="SimSun"/>
          <w:b/>
          <w:color w:val="000000"/>
          <w:sz w:val="24"/>
        </w:rPr>
        <w:t xml:space="preserve">采购人不统一组织现场勘察，投标人可自行前往以上项目单位踏勘并承担一切安全责任和费用。无论投标人是否踏勘过现场，均被认为其在递交投标文件之前已踏勘过现场，对本项目的所有风险、义务内容已经全面了解，并在其投标文件中已充分考虑了各种因素。</w:t>
      </w:r>
      <w:r/>
    </w:p>
    <w:p>
      <w:pPr>
        <w:pStyle w:val="12"/>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3.注意事项：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潜在投标人登录“江苏省政府采购管理交易系统（苏采云）”须持经注册的CA证书。未注册、领取CA和办理电子签章的潜在投标人，请至泰州市高港区泰州大道188号（中国医药城会展交易中心W3馆西南角）公共资源交易大厅政务CA窗口办理，电话：0523-81568158。</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采用电子化投标，投标人应根据《江苏省政府采购管理交易系统（苏采云）供应商操作手册》（“泰州市政府采购网—下载中心”下载）规定，制作、上传电子投标文件（技术支持电话：0523-87633965、0523-86897512；客服QQ709339244、QQ：1810179072）。</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（3）有关本次招标的事项若存在变动或修改，敬请及时关注“江苏政府采购网”发布的更正公告。</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如潜在投标人未按上述要求操作，将自行承担所产生的风险。</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七、对本次招标提出询问，请按以下方式联系。</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称：江苏省泰兴经济开发区管理委员会 </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址：泰兴市滨江镇福泰路1号    </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联系方式：0523-87652119    </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称：泰州捷星建设项目管理有限公司</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址：泰兴市高新技术产业开发区人才科技广场</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联系方式：18352626658         </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项目联系人：江苏省泰兴经济开发区管理委员会    周鹏 </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话：0523-87652119   </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项目联系人：泰州捷星建设项目管理有限公司  李亮</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话：18352626658</w:t>
      </w:r>
      <w:r/>
    </w:p>
    <w:p>
      <w:pPr>
        <w:ind w:left="0" w:right="0" w:firstLine="0"/>
        <w:jc w:val="both"/>
        <w:spacing w:before="24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第二章 供应商须知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供应商须知前附表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14"/>
        <w:gridCol w:w="2175"/>
        <w:gridCol/>
        <w:gridCol w:w="5732"/>
      </w:tblGrid>
      <w:tr>
        <w:trPr>
          <w:trHeight w:val="39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1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条款号</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7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条 款 名 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3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编  列  内  容</w:t>
            </w:r>
            <w:r/>
          </w:p>
        </w:tc>
      </w:tr>
      <w:tr>
        <w:trPr>
          <w:trHeight w:val="15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2"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名称：江苏省泰兴经济开发区管理委员会</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地址：泰兴市滨江镇福泰路1号</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联系人：周鹏</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联系电话：0523-87652119</w:t>
            </w:r>
            <w:r/>
          </w:p>
        </w:tc>
      </w:tr>
      <w:tr>
        <w:trPr>
          <w:trHeight w:val="14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采购代理机构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2"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名称：泰州捷星建设项目管理有限公司</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地址：泰兴市高新技术产业开发区人才科技广场</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联系人：李亮</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联系电话：18352626658 </w:t>
            </w:r>
            <w:r/>
          </w:p>
        </w:tc>
      </w:tr>
      <w:tr>
        <w:trPr>
          <w:trHeight w:val="12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项目名称及项目编号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2"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项目名称：泰兴经济开发区公共区域监测预警项目(雨水污水管道安全风险监测二期)</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项目编号：JSZC-321283-TZJX-G2026-0002</w:t>
            </w:r>
            <w:r/>
          </w:p>
        </w:tc>
      </w:tr>
      <w:tr>
        <w:trPr>
          <w:trHeight w:val="1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付款方式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2"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合同签订后支付合同金额的30%，项目建设完成并验收合格后支付至合同金额的70%，验收合格一年后的对应日支付至合同金额的90%，验收合格两年后的对应日付清余款。</w:t>
            </w:r>
            <w:r/>
          </w:p>
        </w:tc>
      </w:tr>
      <w:tr>
        <w:trPr>
          <w:trHeight w:val="4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采购范围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2"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见第五章采购需求</w:t>
            </w:r>
            <w:r/>
          </w:p>
        </w:tc>
      </w:tr>
      <w:tr>
        <w:trPr>
          <w:trHeight w:val="4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2"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910天（其中设备系统安装调试180天，运营服务2年）</w:t>
            </w:r>
            <w:r/>
          </w:p>
        </w:tc>
      </w:tr>
      <w:tr>
        <w:trPr>
          <w:trHeight w:val="7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要求供应商具备的特定条件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2"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见招标公告“申请人的资格要求”</w:t>
            </w:r>
            <w:r/>
          </w:p>
        </w:tc>
      </w:tr>
      <w:tr>
        <w:trPr>
          <w:trHeight w:val="5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1.4.4</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是否接受联合体投标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详见招标公告</w:t>
            </w:r>
            <w:r/>
          </w:p>
        </w:tc>
      </w:tr>
      <w:tr>
        <w:trPr>
          <w:trHeight w:val="5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2"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投标人应仔细阅读招标文件第五章采购需求，结合自身的实际情况，如实编制。采购需求响应表须详细说明实际提供的货物、服务及其他采购需求中相关要求的响应情况</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构成招标文件的其他材料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2"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供应商要求澄清招标文件的截止时间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2"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2026年7月3日17时30分</w:t>
            </w:r>
            <w:r/>
          </w:p>
        </w:tc>
      </w:tr>
      <w:tr>
        <w:trPr>
          <w:trHeight w:val="4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投标文件的组成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2"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（1）开标一览表；</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（2）投标函；</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（3）中小企业声明函；</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（4）投标报价明细表及分析说明；</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（5）资格性审查和符合性评审文件；</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（6）采购需求响应表；</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（7）对照第三章评标办法，认为应列入投标文件的其他材料。</w:t>
            </w:r>
            <w:r/>
          </w:p>
        </w:tc>
      </w:tr>
      <w:tr>
        <w:trPr>
          <w:trHeight w:val="3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投标有效期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2"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90天</w:t>
            </w:r>
            <w:r/>
          </w:p>
        </w:tc>
      </w:tr>
      <w:tr>
        <w:trPr>
          <w:trHeight w:val="4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投标文件的份数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2"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电子投标文件壹份；</w:t>
            </w:r>
            <w:r/>
          </w:p>
        </w:tc>
      </w:tr>
      <w:tr>
        <w:trPr>
          <w:trHeight w:val="4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3.4.4</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投标文件的签署</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2"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函、投标人基本资格条件承诺函、中小企业声明函式”中要求签字盖章处须加盖投标人法人章并经法定代表人或经其授权的代表签字或盖章。授权代表签字或盖章时，须将《法定代表人授权书》及其附件编制在投标文件中。</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2.投标文件中的任何重要的插字、涂改和增删，修改处须有法定代表人签章或签字。</w:t>
            </w:r>
            <w:r/>
          </w:p>
        </w:tc>
      </w:tr>
      <w:tr>
        <w:trPr>
          <w:trHeight w:val="7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5.1.1</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开标时间和地点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2"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开标时间：同投标截止时间</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开标地点：“苏采云”系统“开标大厅”</w:t>
            </w:r>
            <w:r/>
          </w:p>
        </w:tc>
      </w:tr>
      <w:tr>
        <w:trPr>
          <w:trHeight w:val="10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5.1.2</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供应商参与开标要求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开标活动将在招标公告中规定的时间和地点进行。供应商应当按照《江苏省政府采购管理交易系统（苏采云）供应商操作手册》规定，参加开标活动。</w:t>
            </w:r>
            <w:r/>
          </w:p>
        </w:tc>
      </w:tr>
      <w:tr>
        <w:trPr>
          <w:trHeight w:val="4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6.1.1</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2"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评标委员会人数</w:t>
            </w:r>
            <w:r>
              <w:rPr>
                <w:rFonts w:ascii="SimSun" w:hAnsi="SimSun" w:eastAsia="SimSun" w:cs="SimSun"/>
                <w:color w:val="000000"/>
                <w:sz w:val="24"/>
                <w:u w:val="single"/>
              </w:rPr>
              <w:t xml:space="preserve"> 5 </w:t>
            </w:r>
            <w:r>
              <w:rPr>
                <w:rFonts w:ascii="SimSun" w:hAnsi="SimSun" w:eastAsia="SimSun" w:cs="SimSun"/>
                <w:color w:val="000000"/>
                <w:sz w:val="24"/>
              </w:rPr>
              <w:t xml:space="preserve">人。</w:t>
            </w:r>
            <w:r/>
          </w:p>
        </w:tc>
      </w:tr>
      <w:tr>
        <w:trPr>
          <w:trHeight w:val="6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7.2.1</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中标公告媒介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2"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江苏政府采购网（www.ccgp-jiangsu.gov.cn）；</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泰州市公共资源交易网（http://zwfw.taizhou.gov.cn/ggzy/）</w:t>
            </w:r>
            <w:r/>
          </w:p>
        </w:tc>
      </w:tr>
      <w:tr>
        <w:trPr>
          <w:trHeight w:val="4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8.1.1</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2"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履约保证金的形式：支票、汇票、本票或者金融机构、担保机构出具的保函、电子履约保函（保险）等法律法规允许的非现金形式</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履约保证金的金额：中标价×10%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履约保证金的提交时间：中标通知书签发后签订合同前</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注：电子履约保函（保险）的形式和缴纳方式执行“关于在全省政府采购领域推行电子履约保函(保险)的通知”（苏财购〔2023〕150号）。</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缴纳时间：在确定成中标人之后,签订采购合同前。</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退还时间：合同履约结束验收合格后无息退还。</w:t>
            </w:r>
            <w:r/>
          </w:p>
        </w:tc>
      </w:tr>
      <w:tr>
        <w:trPr>
          <w:trHeight w:val="7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8.2.1</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签订合同的</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2"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自中标通知书发出之日起</w:t>
            </w:r>
            <w:r>
              <w:rPr>
                <w:rFonts w:ascii="SimSun" w:hAnsi="SimSun" w:eastAsia="SimSun" w:cs="SimSun"/>
                <w:color w:val="000000"/>
                <w:sz w:val="24"/>
                <w:u w:val="single"/>
              </w:rPr>
              <w:t xml:space="preserve"> 30 </w:t>
            </w:r>
            <w:r>
              <w:rPr>
                <w:rFonts w:ascii="SimSun" w:hAnsi="SimSun" w:eastAsia="SimSun" w:cs="SimSun"/>
                <w:color w:val="000000"/>
                <w:sz w:val="24"/>
              </w:rPr>
              <w:t xml:space="preserve">天内</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0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需要补充的其他内容</w:t>
            </w:r>
            <w:r/>
          </w:p>
        </w:tc>
      </w:tr>
      <w:tr>
        <w:trPr>
          <w:trHeight w:val="6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质疑和投诉</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32"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按照《政府采购质疑和投诉办法》（财政部第94号令）处理</w:t>
            </w:r>
            <w:r/>
          </w:p>
        </w:tc>
      </w:tr>
      <w:tr>
        <w:trPr>
          <w:trHeight w:val="4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招标文件的解释</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2"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由采购人和招标代理机构共同负责解释</w:t>
            </w:r>
            <w:r/>
          </w:p>
        </w:tc>
      </w:tr>
      <w:tr>
        <w:trPr>
          <w:trHeight w:val="3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落实政府采购政策</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2" w:type="dxa"/>
            <w:vAlign w:val="top"/>
            <w:textDirection w:val="lrTb"/>
            <w:noWrap w:val="false"/>
          </w:tcPr>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本项目为专门面向中小企业的项目，供应商应为中小微企业或监狱企业或残疾人福利性单位。</w:t>
            </w:r>
            <w:r/>
          </w:p>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本项目采购标的所属行业为</w:t>
            </w:r>
            <w:r>
              <w:rPr>
                <w:rFonts w:ascii="SimSun" w:hAnsi="SimSun" w:eastAsia="SimSun" w:cs="SimSun"/>
                <w:color w:val="000000"/>
                <w:sz w:val="24"/>
                <w:u w:val="single"/>
              </w:rPr>
              <w:t xml:space="preserve">其他未列明行业</w:t>
            </w:r>
            <w:r>
              <w:rPr>
                <w:rFonts w:ascii="SimSun" w:hAnsi="SimSun" w:eastAsia="SimSun" w:cs="SimSun"/>
                <w:color w:val="000000"/>
                <w:sz w:val="24"/>
              </w:rPr>
              <w:t xml:space="preserve">。</w:t>
            </w:r>
            <w:r/>
          </w:p>
        </w:tc>
      </w:tr>
      <w:tr>
        <w:trPr>
          <w:trHeight w:val="4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2"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1.供应商应仔细阅读和充分理解招标文件的采购需求和合同主要条款，根据自身实际情况并综合考虑合同履行过程中的各类风险，理性报价。</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2.中标价格即为合同价格，在合同期内不予调增。</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3.异常的低价可能会导致投标无效。</w:t>
            </w:r>
            <w:r/>
          </w:p>
        </w:tc>
      </w:tr>
      <w:tr>
        <w:trPr>
          <w:trHeight w:val="4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9.5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服务费</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2"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本次采购代理费由中标人在领取中标通知书前支付，采购代理收费参照计价格</w:t>
            </w:r>
            <w:r>
              <w:rPr>
                <w:rFonts w:ascii="SimSun" w:hAnsi="SimSun" w:eastAsia="SimSun" w:cs="SimSun"/>
                <w:color w:val="000000"/>
                <w:spacing w:val="-4"/>
                <w:sz w:val="24"/>
              </w:rPr>
              <w:t xml:space="preserve">[2002]1980号</w:t>
            </w:r>
            <w:r>
              <w:rPr>
                <w:rFonts w:ascii="SimSun" w:hAnsi="SimSun" w:eastAsia="SimSun" w:cs="SimSun"/>
                <w:color w:val="000000"/>
                <w:sz w:val="24"/>
              </w:rPr>
              <w:t xml:space="preserve">收费标准的58%计取，暂定金额：13167.00元，最终按实际中标价结算，此项费用包含在响应报价中，并不单独立项，由中标单位在领取中标通知书前向采购代理机构付清。</w:t>
            </w:r>
            <w:r/>
          </w:p>
        </w:tc>
      </w:tr>
    </w:tbl>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1.总则</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 项目概况</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1.1.1根据《中华人民共和国政府采购法》、《中华人民共和国政府采购法实施条例》等有关法律、法规和规章的规定，本采购项目已具备采购条件，现对本项目进行公开招标。</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招标人：见供应商须知前附表。</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 采购代理机构：见供应商须知前附表。</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 项目名称及项目编号：见供应商须知前附表。</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1.2付款方式</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1.2.1付款方式：见供应商须知前附表。</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 采购范围与合同履行期限</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采购范围：见供应商须知前附表。</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合同履行期限：见供应商须知前附表。</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 供应商资格要求</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供应商参加政府采购活动应当具备下列条件：</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（1）具有独立承担民事责任的能力；</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（3）具有履行合同所必需的设备和专业技术能力；</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（4）有依法缴纳税收和社会保障资金的良好记录；</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（6）法律、行政法规规定的其他条件。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1.4.2根据采购项目特殊要求，要求供应商具备的特定条件：详见招标公告</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本项目落实政府采购政策需满足的资格要求：本项目为专门面向中小企业的项目，供应商应为中小微企业或监狱企业或残疾人福利性单位。</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参加报价的中小企业，应当按照《政府采购促进中小企业发展管理办法》（财库〔2020〕46号、苏财购﹝2022﹞45）的规定提供《企业声明函》（中小企业划型标准详见《工业和信息化部、国家统计局、国家发展和改革委员会、财政部关于印发中小企业划型标准规定的通知》工信部联企业〔2011〕300号）。如投标人填写是小、微型企业的，必须提供投标人《企业声明函》,格式见附件；如“未按要求填写和提供《企业声明函》的”，资格审查不通过。如果供应商违反承诺追究其相应法律责任。</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（2）根据《财政部 司法部关于政府采购支持监狱企业发展有关问题的通知》（财库〔2014〕68号）要求，监狱和戒毒企业视同小型、微型企业。监狱和戒毒企业应当提供由省级以上监狱管理局、戒毒管理局（含新疆生产建设兵团）出具的属于监狱企业的证明文件，如未按要求提供证明文件，资格审查不通过。</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根据《关于促进残疾人就业政府采购政策的通知》（财库〔2017〕141号）要求，残疾人福利性单位视同小型、微型企业。符合条件的残疾人福利性单位应当提供《企业声明函》，格式见附件；如“未按要求填写和提供《企业声明函》的”，资格审查不通过。如果供应商违反承诺追究其相应法律责任。</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（4）本项目所属行业为其他未列明行业。</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采购本国产品的支持政策</w:t>
      </w:r>
      <w:r/>
    </w:p>
    <w:p>
      <w:pPr>
        <w:numPr>
          <w:ilvl w:val="0"/>
          <w:numId w:val="1"/>
        </w:numPr>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（3）本项目政府采购活动中既有本国产品又有非本国产品参与竞争的，依法对本国产品给予价格评审优惠，对本国产品的报价给予20%的价格扣除，用扣除后的价格参与评审。</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（5）供应商需按照招标文件的要求提供《关于符合本国产品标准的声明函》（以下简称《声明函》），如不提供将不享受本国产品价格评审优惠。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1.4.3供应商不得存在下列情形之一：</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（l）与招标人或采购代理机构存在隶属关系或者其他利害关系；</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（2）为采购项目提供了整体设计、规范编制或者项目管理、监理、检测等服务；</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（3）单位负责人为同一人或者存在直接控股、管理关系的不同供应商，参加同一合同项下的政府采购活动。</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（4）以联合体形式参加政府采购活动的，联合体各方再单独参加或者与其他供应商另外组成联合体参加同一合同项下的政府采购活动。</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（5）法律、行政法规规定的其他条件。</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1.5费用承担</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无论采购结果如何，供应商为准备和参加投标活动发生的费用自理。</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1.6语言文字</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招投标文件使用的语言文字为中文。专用术语使用外文的，应附有中文注释。</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 计量单位</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所有计量均采用中华人民共和国法定计量单位。</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1.8偏离</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1.8.1偏离是指投标文件中的内容与招标文件中规定的技术参数、标准、服务要求等不一致的情形。优于招标文件规定的技术参数、标准、服务要求的为正偏离，反之为负偏离。</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1.8.2偏离的具体要求见供应商须知前附表。</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 招标文件</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 招标文件的组成</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本招标文件包括：</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（1）招标公告；</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（2）供应商须知；</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（3）评标办法；</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（4）合同条款及格式；</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（5）采购需求； </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（6）投标文件的编制要求及参考格式；</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（7）供应商须知前附表规定的构成招标文件的其他材料。</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2.1.2根据本章第2.2款和第2.3款对招标文件所作的澄清、修改，构成招标文件的组成部分。</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2.2 招标文件的澄清 </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仔细阅读和检查招标文件的全部内容。如发现缺页或附件不全，应及时向招标人或采购代理机构提出，以便补齐。如有疑问，应在供应商须知前附表规定的时间前，要求招标人或采购代理机构对招标文件予以澄清。</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招标文件的澄清将在投标截止时间15天前在原公告信息发布媒体公开发布，但不指明问题的来源。如果澄清发布的时间距投标截止时间不足15天，并且澄清内容影响投标文件编制的，将相应延长投标截止时间。</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2.3 招标文件的修改</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已发出的招标文件可以进行必要的修改，修改后的内容是招标文件的组成部分，并将在原公告信息发布媒体公开发布。如果修改招标文件的时间距投标截止时间不足15天，并且修改内容影响投标文件编制的，将相应延长投标截止时间。</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2.4招标文件的重新发布</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招标文件的澄清或修改涉及到申请人的资格条件、评标办法、采购需求等实质性内容时，将重新发布招标公告。</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 投标文件</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3.1投标文件的组成</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投标文件的组成：见供应商须知前附表。</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3.2投标报价</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3.2.1供应商应按招标文件规定的供货及服务要求、责任范围和合同条件，以人民币进行报价。</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3.2.2供应商在投标文件中只能有一个投标报价，且不得超过招标公告中载明的最高限价。任何包含价格调整要求和条件的投标报价均将视为无效报价。</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3.3投标有效期</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3.3.1在供应商须知前附表规定的投标有效期内，供应商不得要求撤销或修改其投标文件。</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3.3.2出现特殊情况需要延长投标有效期的，招标人将以书面形式通知供应商。供应商拒绝延长投标有效期的，其投标失效。</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3.4投标文件的编制</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3.4.1供应商可以按照第六章“投标文件的编制要求及参考格式”要求编制投标文件。需另行增加的相关内容和材料应编入投标文件相应章节，作为投标文件的组成部分。</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3.4.2供应商应对招标文件中的资格要求、合同履行期限、投标有效期、技术、服务标准和要求等实质性内容作出响应，并根据评审因素提供相应的证明材料。</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 投标文件的数量：见供应商须知前附表</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3.4.4投标文件的签署：见供应商须知前附表</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4.投标</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4.1投标文件的上传</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充分考虑网络及系统平台可能存在的非正常情况等各种风险因素，在招标文件规定的投标截止时间前，通过江苏省政府采购管理交易系统（苏采云），完成投标文件的上传。在招标文件规定的投标截止时间后，江苏省政府采购管理交易系统（苏采云）将不再接受投标文件的上传。</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4.2投标文件的修改与撤回</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4.2.1在投标截止时间前，供应商可以修改或撤回已递交的投标文件。具体操作方法见《江苏省政府采购管理交易系统（苏采云）供应商操作手册》。</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4.2.2修改的投标文件应按照本招标文件规定进行编制和重新上传。</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4.3投标文件的确认</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供应商可以通过江苏省政府采购管理交易系统（苏采云）多次上传投标文件，以招标文件规定的投标截止时间前，江苏省政府采购管理交易系统（苏采云）接受到的最后一份投标文件为准。</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 开标</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5.1 开标时间和地点</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5.1.1开标时间和地点：见供应商须知前附表。</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5.1.2开标活动在江苏政府采购“苏采云”系统“开标大厅”内公开进行，供应商应当按照《江苏省政府采购管理交易系统（苏采云）供应商操作手册》规定，参加开标活动。</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5.2 不见面开标程序</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（1）系统登录。供应商应在投标截止时间前登录开标大厅。</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（2）供应商解密投标文件。按照系统内提示，在规定的时间内完成投标文件的解密。</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（3）唱标。</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（4）开标记录确认。</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（5）开标结束。</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5.3特殊情况的处置</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5.3.1在投标截止时间后，开标系统出现下列情况之一时，项目未开标的，暂停开标活动；正在开标的，立即暂停开标，待系统恢复正常后再组织开标。</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（1）系统服务器发生故障，无法访问或无法使用系统； </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（2）系统的软件或数据库出现错误，不能进行正常操作； </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（3）系统发现有安全漏洞，有潜在的泄密危险； </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（4）其他无法保证招投标过程公平和信息安全的情形。</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5.3.2因供应商自身原因造成投标文件无法解密的，视为撤销投标文件。</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5.3.3供应商对开标过程和开标记录有疑义的，可向招标人或者采购代理机构提出。</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5.3.4供应商未在开标系统中确认开标结果的，视同认可开标结果。</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 评标</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6.1 评标委员会</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6.1.1评标由招标人依法组建的评标委员会负责。评标委员会由招标人代表，以及有关技术、经济等方面的专家组成。具体人数见供应商须知前附表。</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6.1.2评标委员会成员有下列情形之一的，应当回避：</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（1）参加采购活动前三年内，与供应商存在劳动关系，或者担任过供应商的董事、监事，或者是供应商的控股股东或实际控制人；</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（2）与供应商的法定代表人或者负责人有夫妻、直系血亲、三代以内旁系血亲或者近姻亲关系；</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（3）与供应商有其他可能影响政府采购活动公平、公正进行的关系；</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（4）法律、行政法规规定的其他条件。</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6.2 评标</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评标活动遵循公正、客观、审慎的原则。评标委员会严格按照第三章“评标办法”规定的评标方法、评标程序和评标标准进行独立评审。第三章“评标办法”没有规定的评标标准，不得作为评标依据。</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7.中标</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7.1确定中标人</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7.1.1自收到评标报告之日起5个工作日内，在评标报告确定的中标候选人名单中按顺序确定中标人。</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7.1.2排名第一的中标候选人出现下列情形之一的，除合格供应商的数量不符合法定的要求外，招标人将按照评标委员会提出的中标候选人名单排序依次确定其他中标候选人为中标人。</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（1）因不可抗力或者自身原因不能履行合同的；</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（2）经过财政部门处理投诉举报、监督检查，认定中标无效的；</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（3）拒绝与招标人签订合同的。</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7.2中标公告及中标通知书</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7.2.1自中标人确定之日起2个工作日内，在供应商须知前附表规定的媒介上公告中标结果，公告期限为1个工作日。</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7.2.2在公告中标结果的同时，向中标人发出中标通知书。中标通知书对招标人和中标人具有同等法律效力。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8.合同</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8.1 履约保证金</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8.1.1中标人应按供应商须知前附表规定的履约保证金的形式、金额和提交时间向招标人提交履约保证金。</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8.1.2中标人不能按本招标文件要求提交履约保证金的，视为放弃中标，给招标人造成损失的，中标人还应当予以赔偿。</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8.2签订合同</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招标人和中标人在供应商须知前附表规定的时间内，根据招标文件和中标人的投标文件订立书面合同。中标人无正当理由拒签合同的，招标人取消其中标资格；给招标人造成损失的，中标人还应当对予以赔偿。</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 需要补充的其他内容</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需要补充的其他内容：见供应商须知前附表。</w:t>
      </w:r>
      <w:r/>
    </w:p>
    <w:p>
      <w:pPr>
        <w:ind w:left="0" w:right="0" w:firstLine="0"/>
        <w:jc w:val="both"/>
        <w:spacing w:before="24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2" w:right="0" w:firstLine="643"/>
        <w:jc w:val="center"/>
        <w:spacing w:before="240" w:after="24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第三章 资格审查及评标办法</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6"/>
        <w:gridCol w:w="544"/>
        <w:gridCol w:w="15"/>
        <w:gridCol w:w="1112"/>
        <w:gridCol w:w="2984"/>
        <w:gridCol w:w="3584"/>
        <w:gridCol w:w="513"/>
      </w:tblGrid>
      <w:tr>
        <w:trPr>
          <w:trHeight w:val="484"/>
        </w:trPr>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条款号</w:t>
            </w:r>
            <w:r/>
          </w:p>
        </w:tc>
        <w:tc>
          <w:tcPr>
            <w:gridSpan w:val="3"/>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1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评审因素</w:t>
            </w:r>
            <w:r/>
          </w:p>
        </w:tc>
        <w:tc>
          <w:tcPr>
            <w:gridSpan w:val="2"/>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0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评审标准</w:t>
            </w:r>
            <w:r/>
          </w:p>
        </w:tc>
      </w:tr>
      <w:tr>
        <w:trPr>
          <w:trHeight w:val="630"/>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54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4"/>
                <w:sz w:val="24"/>
              </w:rPr>
              <w:t xml:space="preserve">1.2</w:t>
            </w:r>
            <w:r/>
          </w:p>
        </w:tc>
        <w:tc>
          <w:tcPr>
            <w:tcBorders>
              <w:top w:val="none" w:color="000000" w:sz="4" w:space="0"/>
              <w:left w:val="none" w:color="000000" w:sz="4" w:space="0"/>
              <w:bottom w:val="none" w:color="000000" w:sz="4" w:space="0"/>
              <w:right w:val="single" w:color="000000" w:sz="8" w:space="0"/>
            </w:tcBorders>
            <w:tcMar>
              <w:left w:w="0" w:type="dxa"/>
              <w:top w:w="0" w:type="dxa"/>
              <w:right w:w="0" w:type="dxa"/>
              <w:bottom w:w="0" w:type="dxa"/>
            </w:tcMar>
            <w:tcW w:w="54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资格审查</w:t>
            </w:r>
            <w:r/>
          </w:p>
        </w:tc>
        <w:tc>
          <w:tcPr>
            <w:gridSpan w:val="3"/>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1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基本资格条件的承诺</w:t>
            </w:r>
            <w:r/>
          </w:p>
        </w:tc>
        <w:tc>
          <w:tcPr>
            <w:gridSpan w:val="2"/>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0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根据供应商提供的承诺函，内容完整且具有法人及法定代表人的印章。（内容及格式参照第六章）</w:t>
            </w:r>
            <w:r/>
          </w:p>
        </w:tc>
      </w:tr>
      <w:tr>
        <w:trPr>
          <w:trHeight w:val="587"/>
        </w:trPr>
        <w:tc>
          <w:tcPr>
            <w:vMerge w:val="continue"/>
            <w:textDirection w:val="lrTb"/>
            <w:noWrap w:val="false"/>
          </w:tcPr>
          <w:p>
            <w:r/>
            <w:r/>
          </w:p>
        </w:tc>
        <w:tc>
          <w:tcPr>
            <w:vMerge w:val="continue"/>
            <w:textDirection w:val="lrTb"/>
            <w:noWrap w:val="false"/>
          </w:tcPr>
          <w:p>
            <w:r/>
            <w:r/>
          </w:p>
        </w:tc>
        <w:tc>
          <w:tcPr>
            <w:gridSpan w:val="3"/>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1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招标人根据本项目特点，要求投标人具备的条件</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0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详见公告。</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注：本项目专门面向中小企业,供应商应为中小微企业、监狱企业、残疾人福利性单位，并提供相应证明资料（证明资料要求见本采购文件“第二章 供应商须知1.4.2”）如未按要求填写和提供有效证明或相关内容表述不清的，视作不满足此资格要求。</w:t>
            </w:r>
            <w:r/>
          </w:p>
        </w:tc>
      </w:tr>
      <w:tr>
        <w:trPr>
          <w:trHeight w:val="308"/>
        </w:trPr>
        <w:tc>
          <w:tcPr>
            <w:gridSpan w:val="7"/>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2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4"/>
                <w:sz w:val="24"/>
              </w:rPr>
              <w:t xml:space="preserve">1.2项评审内容由采购人负责，投标文件不符合1.2项评审标准的，作无效标处理。</w:t>
            </w:r>
            <w:r/>
          </w:p>
        </w:tc>
      </w:tr>
      <w:tr>
        <w:trPr>
          <w:trHeight w:val="46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4"/>
                <w:sz w:val="24"/>
              </w:rPr>
              <w:t xml:space="preserve">2.2.2</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544"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符合性评审</w:t>
            </w:r>
            <w:r/>
          </w:p>
        </w:tc>
        <w:tc>
          <w:tcPr>
            <w:gridSpan w:val="3"/>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1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投标文件的签署</w:t>
            </w:r>
            <w:r/>
          </w:p>
        </w:tc>
        <w:tc>
          <w:tcPr>
            <w:gridSpan w:val="2"/>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0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符合第二章第3.4.4项规定</w:t>
            </w:r>
            <w:r/>
          </w:p>
        </w:tc>
      </w:tr>
      <w:tr>
        <w:trPr>
          <w:trHeight w:val="90"/>
        </w:trPr>
        <w:tc>
          <w:tcPr>
            <w:vMerge w:val="continue"/>
            <w:textDirection w:val="lrTb"/>
            <w:noWrap w:val="false"/>
          </w:tcPr>
          <w:p>
            <w:r/>
            <w:r/>
          </w:p>
        </w:tc>
        <w:tc>
          <w:tcPr>
            <w:vMerge w:val="continue"/>
            <w:textDirection w:val="lrTb"/>
            <w:noWrap w:val="false"/>
          </w:tcPr>
          <w:p>
            <w:r/>
            <w:r/>
          </w:p>
        </w:tc>
        <w:tc>
          <w:tcPr>
            <w:gridSpan w:val="3"/>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1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0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1"/>
                <w:sz w:val="24"/>
              </w:rPr>
              <w:t xml:space="preserve">有且只有一个有效报价；未超过最高限价；</w:t>
            </w:r>
            <w:r/>
          </w:p>
        </w:tc>
      </w:tr>
      <w:tr>
        <w:trPr>
          <w:trHeight w:val="460"/>
        </w:trPr>
        <w:tc>
          <w:tcPr>
            <w:vMerge w:val="continue"/>
            <w:textDirection w:val="lrTb"/>
            <w:noWrap w:val="false"/>
          </w:tcPr>
          <w:p>
            <w:r/>
            <w:r/>
          </w:p>
        </w:tc>
        <w:tc>
          <w:tcPr>
            <w:vMerge w:val="continue"/>
            <w:textDirection w:val="lrTb"/>
            <w:noWrap w:val="false"/>
          </w:tcPr>
          <w:p>
            <w:r/>
            <w:r/>
          </w:p>
        </w:tc>
        <w:tc>
          <w:tcPr>
            <w:gridSpan w:val="3"/>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1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合同履行期限（合同工期）</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0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符合第二章第1.3.2项规定</w:t>
            </w:r>
            <w:r/>
          </w:p>
        </w:tc>
      </w:tr>
      <w:tr>
        <w:trPr>
          <w:trHeight w:val="410"/>
        </w:trPr>
        <w:tc>
          <w:tcPr>
            <w:vMerge w:val="continue"/>
            <w:textDirection w:val="lrTb"/>
            <w:noWrap w:val="false"/>
          </w:tcPr>
          <w:p>
            <w:r/>
            <w:r/>
          </w:p>
        </w:tc>
        <w:tc>
          <w:tcPr>
            <w:vMerge w:val="continue"/>
            <w:textDirection w:val="lrTb"/>
            <w:noWrap w:val="false"/>
          </w:tcPr>
          <w:p>
            <w:r/>
            <w:r/>
          </w:p>
        </w:tc>
        <w:tc>
          <w:tcPr>
            <w:gridSpan w:val="3"/>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1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投标有效期</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0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符合第二章第3.3.1项规定</w:t>
            </w:r>
            <w:r/>
          </w:p>
        </w:tc>
      </w:tr>
      <w:tr>
        <w:trPr>
          <w:trHeight w:val="151"/>
        </w:trPr>
        <w:tc>
          <w:tcPr>
            <w:vMerge w:val="continue"/>
            <w:textDirection w:val="lrTb"/>
            <w:noWrap w:val="false"/>
          </w:tcPr>
          <w:p>
            <w:r/>
            <w:r/>
          </w:p>
        </w:tc>
        <w:tc>
          <w:tcPr>
            <w:vMerge w:val="continue"/>
            <w:textDirection w:val="lrTb"/>
            <w:noWrap w:val="false"/>
          </w:tcPr>
          <w:p>
            <w:r/>
            <w:r/>
          </w:p>
        </w:tc>
        <w:tc>
          <w:tcPr>
            <w:gridSpan w:val="3"/>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1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0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符合第二章“投标人须知”第1.8项规定</w:t>
            </w:r>
            <w:r/>
          </w:p>
        </w:tc>
      </w:tr>
      <w:tr>
        <w:trPr>
          <w:trHeight w:val="378"/>
        </w:trPr>
        <w:tc>
          <w:tcPr>
            <w:gridSpan w:val="7"/>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4"/>
                <w:sz w:val="24"/>
              </w:rPr>
              <w:t xml:space="preserve">2.2.2项评审内容由评标委员会负责，投标文件不符合2.2.2项评审标准的，作无效标处理。</w:t>
            </w:r>
            <w:r/>
          </w:p>
        </w:tc>
      </w:tr>
      <w:tr>
        <w:trPr>
          <w:trHeight w:val="276"/>
        </w:trPr>
        <w:tc>
          <w:tcPr>
            <w:gridSpan w:val="7"/>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2.3详细评审</w:t>
            </w:r>
            <w:r/>
          </w:p>
        </w:tc>
      </w:tr>
      <w:tr>
        <w:trPr>
          <w:trHeight w:val="400"/>
        </w:trPr>
        <w:tc>
          <w:tcPr>
            <w:gridSpan w:val="3"/>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评审因素</w:t>
            </w:r>
            <w:r/>
          </w:p>
        </w:tc>
        <w:tc>
          <w:tcPr>
            <w:gridSpan w:val="3"/>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6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评分内容</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5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分数</w:t>
            </w:r>
            <w:r/>
          </w:p>
        </w:tc>
      </w:tr>
      <w:tr>
        <w:trPr>
          <w:trHeight w:val="400"/>
        </w:trPr>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报价部分（20分）</w:t>
            </w:r>
            <w:r/>
          </w:p>
        </w:tc>
        <w:tc>
          <w:tcPr>
            <w:gridSpan w:val="3"/>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资格性审查和符合性审查合格且投标价格最低为评标基准价，其价格分为20分。其他投标人的价格分按照下列公式计算（小数点保留两位）：投标报价得分=（评标基准价／投标报价）×20分（保留两位小数）。</w:t>
            </w:r>
            <w:r/>
          </w:p>
          <w:p>
            <w:pPr>
              <w:ind w:left="0" w:right="0" w:firstLine="24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注：各供应商应慎重报价，不得恶意降价，评审委员会在评审过程中认为供应商报价过低，有可能影响产品质量或者不能诚信履约的，评审委员会将启动异常低价投标审查程序。具体异常低价的情形及相关内容按照财库</w:t>
            </w:r>
            <w:r>
              <w:rPr>
                <w:rFonts w:ascii="SimSun" w:hAnsi="SimSun" w:eastAsia="SimSun" w:cs="SimSun"/>
                <w:color w:val="ff0000"/>
                <w:sz w:val="24"/>
                <w:u w:val="none"/>
              </w:rPr>
              <w:t xml:space="preserve">[2026]2</w:t>
            </w:r>
            <w:r>
              <w:rPr>
                <w:rFonts w:ascii="SimSun" w:hAnsi="SimSun" w:eastAsia="SimSun" w:cs="SimSun"/>
                <w:color w:val="ff0000"/>
                <w:sz w:val="24"/>
              </w:rPr>
              <w:t xml:space="preserve">号文件规定执行。</w:t>
              <w:br/>
              <w:t xml:space="preserve">若投标报价出现财库[2026]2号文件第二条（一）第1条投标（响应）报价低于全部通过符合性审查供应商投标（响应）报价平均值50%的，即投标（响应）报价&lt;全部通过符合性审查供应商投标（响应）报价平均值×50%；第2条投标（响应）报价低于通过符合性审查的次低报价供应商投标（响应）报价50%的，即投标（响应）报价&lt;通过符合性审查的次低报价供应商投标（响应）报价×50%；第3条投标（响应）报价低于采购项目最高限价45%的，即投标（响应）报价&lt;采购项目最高限价×45%，第4条评审委员会基于专业判断，</w:t>
            </w:r>
            <w:r>
              <w:rPr>
                <w:rFonts w:ascii="SimSun" w:hAnsi="SimSun" w:eastAsia="SimSun" w:cs="SimSun"/>
                <w:color w:val="ff0000"/>
                <w:sz w:val="24"/>
              </w:rPr>
              <w:t xml:space="preserve">认为供应商报价过低，有可能影响产品质量或者不能诚信履约的其他情形。</w:t>
            </w:r>
            <w:r/>
          </w:p>
          <w:p>
            <w:pPr>
              <w:ind w:left="0" w:right="0" w:firstLine="24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如果投标供应商未提供书面说明、证明材料，或者提供的书面说明、证明材料不能证明其报价合理性的，评标委员会应对其作为无效投标处理。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r>
      <w:tr>
        <w:trPr>
          <w:trHeight w:val="526"/>
        </w:trPr>
        <w:tc>
          <w:tcPr>
            <w:gridSpan w:val="3"/>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105"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商务部分（20分）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企业业绩（9分）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56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供应商2023年1月以来（以验收合格时间为准）承担过类似系统监测项目业绩(</w:t>
            </w:r>
            <w:r>
              <w:rPr>
                <w:rFonts w:ascii="SimSun" w:hAnsi="SimSun" w:eastAsia="SimSun" w:cs="SimSun"/>
                <w:b/>
                <w:color w:val="000000"/>
                <w:sz w:val="24"/>
              </w:rPr>
              <w:t xml:space="preserve">包括但不限于雨污水管网监测或河道参数监测或燃气泄漏或管廊有毒有害易燃易爆气体泄漏监测等</w:t>
            </w:r>
            <w:r>
              <w:rPr>
                <w:rFonts w:ascii="SimSun" w:hAnsi="SimSun" w:eastAsia="SimSun" w:cs="SimSun"/>
                <w:color w:val="000000"/>
                <w:sz w:val="24"/>
              </w:rPr>
              <w:t xml:space="preserve">），有一个得3分，最高得9分。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rPr>
                <w:rFonts w:ascii="SimSun" w:hAnsi="SimSun" w:eastAsia="SimSun" w:cs="SimSun"/>
                <w:b/>
                <w:color w:val="000000"/>
                <w:sz w:val="24"/>
              </w:rPr>
              <w:t xml:space="preserve">投标人需提供合同复印材料、验收合格证明加盖投标人公章，否则不得分，合同内容无法体现相关服务内容，需提供证明材料，包括但不限于预算清单、业主证明材料等</w:t>
            </w:r>
            <w:r>
              <w:rPr>
                <w:rFonts w:ascii="SimSun" w:hAnsi="SimSun" w:eastAsia="SimSun" w:cs="SimSun"/>
                <w:color w:val="000000"/>
                <w:sz w:val="24"/>
              </w:rPr>
              <w:t xml:space="preserve">。</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5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r>
      <w:tr>
        <w:trPr>
          <w:trHeight w:val="400"/>
        </w:trPr>
        <w:tc>
          <w:tcPr>
            <w:gridSpan w:val="3"/>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1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企业实力（4分）</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56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1、供应商具有有效的ISO90001质量管理认证证书、ISO14001 环境管理体系认证证书、ISO45001 职业健康安全管理体系认证证书、ISO27001信息安全管理体系认证证书，每一项得1分，最高得4分；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注：证书均必须在有效期内并能够在国家认证认可监督管理委员会网址可查询且查询状态为有效。查询网址：http://cx.cnca.cn/CertECloud/index/index/page，并提供相应证书原件扫描件上传系统加盖电子签章，否则不得分。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r>
      <w:tr>
        <w:trPr>
          <w:trHeight w:val="400"/>
        </w:trPr>
        <w:tc>
          <w:tcPr>
            <w:gridSpan w:val="3"/>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人员配备（7分）</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568" w:type="dxa"/>
            <w:vAlign w:val="center"/>
            <w:textDirection w:val="lrTb"/>
            <w:noWrap w:val="false"/>
          </w:tcPr>
          <w:p>
            <w:pPr>
              <w:numPr>
                <w:ilvl w:val="0"/>
                <w:numId w:val="2"/>
              </w:numP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项目负责人具有信息系统项目管理师的得3分；</w:t>
            </w:r>
            <w:r/>
          </w:p>
          <w:p>
            <w:pPr>
              <w:numPr>
                <w:ilvl w:val="0"/>
                <w:numId w:val="2"/>
              </w:numP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项目组成员中（不含项目负责人）有1名软件设计师得2分；</w:t>
            </w:r>
            <w:r/>
          </w:p>
          <w:p>
            <w:pPr>
              <w:numPr>
                <w:ilvl w:val="0"/>
                <w:numId w:val="2"/>
              </w:numP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项目组成员中（不含项目负责人）有1名系统集成项目管理工程师得2分；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w:t>
            </w:r>
            <w:r>
              <w:rPr>
                <w:rFonts w:ascii="SimSun" w:hAnsi="SimSun" w:eastAsia="SimSun" w:cs="SimSun"/>
                <w:b/>
                <w:color w:val="000000"/>
                <w:sz w:val="24"/>
              </w:rPr>
              <w:t xml:space="preserve">投标人所提供相关证书均须由行业主管部门或其依法授权官方机构颁发；各类社会培训机构、行业民间社团、非官方第三方机构自行颁发的证书，均不视为有效资格。</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（2）以上人员不可兼任，提供相关证书原件扫描件及近三个月中任意一个月本单位为以上人员社保缴费的证明材料复印件并加盖公章，不提供或提供不全或模糊不清不予计分，否则不得分。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r>
      <w:tr>
        <w:trPr>
          <w:trHeight w:val="747"/>
        </w:trPr>
        <w:tc>
          <w:tcPr>
            <w:gridSpan w:val="3"/>
            <w:tcBorders>
              <w:top w:val="single" w:color="000000" w:sz="8" w:space="0"/>
              <w:left w:val="single" w:color="000000" w:sz="8" w:space="0"/>
              <w:bottom w:val="none" w:color="000000" w:sz="4" w:space="0"/>
              <w:right w:val="single" w:color="000000" w:sz="8" w:space="0"/>
            </w:tcBorders>
            <w:tcMar>
              <w:left w:w="0" w:type="dxa"/>
              <w:top w:w="0" w:type="dxa"/>
              <w:right w:w="0" w:type="dxa"/>
              <w:bottom w:w="0" w:type="dxa"/>
            </w:tcMar>
            <w:tcW w:w="110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技术部分（60分）</w:t>
            </w:r>
            <w:r/>
          </w:p>
        </w:tc>
        <w:tc>
          <w:tcPr>
            <w:tcBorders>
              <w:top w:val="none" w:color="000000" w:sz="4" w:space="0"/>
              <w:left w:val="none" w:color="000000" w:sz="4" w:space="0"/>
              <w:bottom w:val="none" w:color="000000" w:sz="4" w:space="0"/>
              <w:right w:val="single" w:color="000000" w:sz="8" w:space="0"/>
            </w:tcBorders>
            <w:tcMar>
              <w:left w:w="0" w:type="dxa"/>
              <w:top w:w="0" w:type="dxa"/>
              <w:right w:w="0" w:type="dxa"/>
              <w:bottom w:w="0" w:type="dxa"/>
            </w:tcMar>
            <w:tcW w:w="1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技术参数（24分）</w:t>
            </w:r>
            <w:r/>
          </w:p>
        </w:tc>
        <w:tc>
          <w:tcPr>
            <w:gridSpan w:val="2"/>
            <w:tcBorders>
              <w:top w:val="none" w:color="000000" w:sz="4" w:space="0"/>
              <w:left w:val="none" w:color="000000" w:sz="4" w:space="0"/>
              <w:bottom w:val="none" w:color="000000" w:sz="4" w:space="0"/>
              <w:right w:val="single" w:color="000000" w:sz="8" w:space="0"/>
            </w:tcBorders>
            <w:tcMar>
              <w:left w:w="0" w:type="dxa"/>
              <w:top w:w="0" w:type="dxa"/>
              <w:right w:w="0" w:type="dxa"/>
              <w:bottom w:w="0" w:type="dxa"/>
            </w:tcMar>
            <w:tcW w:w="65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投标人所投产品的技术参数与招标文件要求比较，完全响应招标文件要求的得24分。每有一项满足加“▲”技术参数得1.5分，最高得24分。</w:t>
              <w:br/>
              <w:t xml:space="preserve">设备参数中非加▲的参数</w:t>
            </w:r>
            <w:r>
              <w:rPr>
                <w:rFonts w:ascii="SimSun" w:hAnsi="SimSun" w:eastAsia="SimSun" w:cs="SimSun"/>
                <w:b/>
                <w:color w:val="000000"/>
                <w:sz w:val="24"/>
              </w:rPr>
              <w:t xml:space="preserve">不允许负偏离</w:t>
            </w:r>
            <w:r>
              <w:rPr>
                <w:rFonts w:ascii="SimSun" w:hAnsi="SimSun" w:eastAsia="SimSun" w:cs="SimSun"/>
                <w:color w:val="000000"/>
                <w:sz w:val="24"/>
              </w:rPr>
              <w:t xml:space="preserve">，所有其他标“▲”的技术参数均需提供相关证明材料并加盖投标人公章，如未按要求提供证明材料的，则不得分。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13"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24</w:t>
            </w:r>
            <w:r/>
          </w:p>
        </w:tc>
      </w:tr>
      <w:tr>
        <w:trPr>
          <w:trHeight w:val="747"/>
        </w:trPr>
        <w:tc>
          <w:tcPr>
            <w:gridSpan w:val="3"/>
            <w:vMerge w:val="continue"/>
            <w:textDirection w:val="lrTb"/>
            <w:noWrap w:val="false"/>
          </w:tcPr>
          <w:p>
            <w:r/>
            <w:r/>
          </w:p>
        </w:tc>
        <w:tc>
          <w:tcPr>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1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技术方案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（10分）</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656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投标提供项目的整体技术方案；方案应包括但不限于以下内容；项目建设内容、建设需求、项目需求分析、现场勘察、施工组织方案等；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1、针对上述要求，方案做到完全覆盖并能延展、拓展，内容全面、详实，图表详尽，非常有针对性和合理性、可操作性的，得10分；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2、方案仅做到完全覆盖，未能延展、拓展，内容全面、详实但针对性、合理性、可操作性一般的，得7分；</w:t>
              <w:br/>
              <w:t xml:space="preserve">3、方案内容不全面、不够详实具体，几乎无针对性、合理性、可操作性的，得4分；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4、未提供不得分。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13"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10</w:t>
            </w:r>
            <w:r/>
          </w:p>
        </w:tc>
      </w:tr>
      <w:tr>
        <w:trPr>
          <w:trHeight w:val="400"/>
        </w:trPr>
        <w:tc>
          <w:tcPr>
            <w:gridSpan w:val="3"/>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监测方案（</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分）</w:t>
            </w:r>
            <w:r/>
          </w:p>
        </w:tc>
        <w:tc>
          <w:tcPr>
            <w:gridSpan w:val="2"/>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56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投标提供项目的整体监测方案；方案应包括但不限于以下内容：软件平台功能模块架构、数据库与API接口规范、预警模型算法逻辑、信创系统适配等。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1、针对上述要求，方案做到完全覆盖并能延展、拓展，内容全面、详实，图表详尽，非常有针对性和合理性、可操作性的，得10分；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2、方案仅做到完全覆盖，未能延展、拓展，内容全面、详实但针对性、合理性、可操作性一般的，得7分；</w:t>
              <w:br/>
              <w:t xml:space="preserve">3、方案内容不全面、不够详实具体，几乎无针对性、合理性、可操作性的，得4分；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4、未提供不得分。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13"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r>
      <w:tr>
        <w:trPr>
          <w:trHeight w:val="3151"/>
        </w:trPr>
        <w:tc>
          <w:tcPr>
            <w:gridSpan w:val="3"/>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培训方案（</w:t>
            </w: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分）</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56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根据投标人提供项目培训方案（内容包括但不限于培训时间、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培训频次、培训方式、培训内容等方面进行评分）。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1、针对上述要求，方案做到完全覆盖并能延展、拓展，内容全面、详实，图表详尽，非常有针对性和合理性、可操作性的，得8分；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2、方案仅做到完全覆盖，未能延展、拓展，内容全面、详实但针对性、合理性、可操作性一般的，得5分；</w:t>
              <w:br/>
              <w:t xml:space="preserve">3、方案内容不全面、不够详实具体，几乎无针对性、合理性、可操作性的，得2分；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4、未提供不得分。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13"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r>
      <w:tr>
        <w:trPr>
          <w:trHeight w:val="400"/>
        </w:trPr>
        <w:tc>
          <w:tcPr>
            <w:gridSpan w:val="3"/>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售后服务方案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（8分）</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56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能够确保项目售后服务质量，提供可行可靠的售后服务方案。包括但不限于以下部分:售后服务团队、服务流程、服务方式、服务承诺、响应及解决时间、定期性检查方案等评委根据投标方案内容进行综合打分。</w:t>
              <w:br/>
              <w:t xml:space="preserve">1、针对上述要求，方案做到完全覆盖并能延展、拓展，内容全面、详实，图表详尽，非常有针对性和合理性、可操作性的，得8分；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2、方案仅做到完全覆盖，未能延展、拓展，内容全面、详实但针对性、合理性、可操作性一般的，得5分；</w:t>
              <w:br/>
              <w:t xml:space="preserve">3、方案内容不全面、不够详实具体，几乎无针对性、合理性、可操作性的，得2分；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未提供方案不得分。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13"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r>
      <w:tr>
        <w:trPr>
          <w:trHeight w:val="400"/>
        </w:trPr>
        <w:tc>
          <w:tcPr>
            <w:gridSpan w:val="6"/>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总分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100</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投标人提供资料必须全部真实，如有伪造，一经查实有造假行为，则需要接受相关监管部门的处罚。</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评委依据招标文件载明的方法进行评分，评分四舍五入精确到小数点后两位。</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1.资格审查</w:t>
      </w:r>
      <w:r/>
    </w:p>
    <w:p>
      <w:pPr>
        <w:ind w:left="0" w:right="0" w:firstLine="0"/>
        <w:jc w:val="both"/>
        <w:spacing w:before="24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1.1项目开标结束后，招标人对投标人的资格进行审查。</w:t>
      </w:r>
      <w:r/>
    </w:p>
    <w:p>
      <w:pPr>
        <w:ind w:left="0" w:right="0" w:firstLine="0"/>
        <w:jc w:val="both"/>
        <w:spacing w:before="24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1.2资格审查的内容和标准：见资格审查和评标办法前附表。</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2.评标</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2.1评标方法</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评标采用综合评分法，评标委员会对满足招标文件实质要求的投标文件，按照本章规定的程序和方法进行评审，并按总得分由高到低顺序推荐中标候选人。</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2.2初步评审</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2.2.1评标委员会对通过资格审查的投标人进行初步评审。</w:t>
      </w:r>
      <w:r/>
    </w:p>
    <w:p>
      <w:pPr>
        <w:ind w:left="0" w:right="0" w:firstLine="560"/>
        <w:jc w:val="both"/>
        <w:spacing w:before="24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2.2.2初步评审的内容为投标文件的符合性评审。符合性评审的内容及标准：见资格审查和评标办法前附表。</w:t>
      </w:r>
      <w:r/>
    </w:p>
    <w:p>
      <w:pPr>
        <w:ind w:left="0" w:right="0" w:firstLine="0"/>
        <w:jc w:val="both"/>
        <w:spacing w:before="24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2.3详细评审</w:t>
      </w:r>
      <w:r/>
    </w:p>
    <w:p>
      <w:pPr>
        <w:ind w:left="0" w:right="0" w:firstLine="560"/>
        <w:jc w:val="both"/>
        <w:spacing w:before="24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2.3.1评标委员会对通过初步评审的投标人进行详细评审。</w:t>
      </w:r>
      <w:r/>
    </w:p>
    <w:p>
      <w:pPr>
        <w:ind w:left="0" w:right="0" w:firstLine="560"/>
        <w:jc w:val="both"/>
        <w:spacing w:before="24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2.3.2详细评审的内容及标准：见资格审查和评标办法前附表。</w:t>
      </w:r>
      <w:r/>
    </w:p>
    <w:p>
      <w:pPr>
        <w:ind w:left="0" w:right="0" w:firstLine="560"/>
        <w:jc w:val="both"/>
        <w:spacing w:before="24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2.3.3因落实政府采购政策进行价格调整的，以调整后的价格计算评标基准价和投标报价。</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2.4评标报告</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2.4.1详细评审结束后，评标委员会负责编写评标报告。</w:t>
      </w:r>
      <w:r/>
    </w:p>
    <w:p>
      <w:pPr>
        <w:ind w:left="0" w:right="0" w:firstLine="560"/>
        <w:jc w:val="both"/>
        <w:spacing w:before="24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2.4.2采购代理机构自评审结束之日起2个工作日内将评标报告送交招标人。</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2.5澄清、说明或补正</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2.5.1评标委员会在评审过程中，可以要求投标人对投标文件中含义不明确、同类问题表述不一致或者有明显文字和计算错误的内容等作出必要的澄清、说明或者更正。</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2.5.2评标委员会要求投标人澄清、说明或者更正投标文件应当以书面形式作出。</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2.5.3投标人的澄清、说明或者更正应当由法定代表人或其授权代表签字或者加盖公章。由授权代表签字的，应当附法定代表人授权书。投标人的书面澄清材料作为投标文件的补充。</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2.5.4投标人的澄清、说明或者更正不得超出投标文件的范围或者改变投标文件的实质性内容。</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2.5.5评标委员会不得接受投标人主动提出的澄清、说明或补正。</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3.评标过程中特殊情况的处理规定</w:t>
      </w:r>
      <w:r/>
    </w:p>
    <w:p>
      <w:pPr>
        <w:ind w:left="0" w:right="0" w:firstLine="0"/>
        <w:jc w:val="both"/>
        <w:spacing w:before="24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3.1投标报价的修正</w:t>
      </w:r>
      <w:r/>
    </w:p>
    <w:p>
      <w:pPr>
        <w:ind w:left="0" w:right="0" w:firstLine="560"/>
        <w:jc w:val="both"/>
        <w:spacing w:before="24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投标文件报价出现前后不一致的，按照下列规定修正： </w:t>
      </w:r>
      <w:r/>
    </w:p>
    <w:p>
      <w:pPr>
        <w:ind w:left="0" w:right="0" w:firstLine="280"/>
        <w:jc w:val="both"/>
        <w:spacing w:before="24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（1）投标文件中开标一览表内容与投标文件中相应内容不一致的，以开标一览表为准； </w:t>
      </w:r>
      <w:r/>
    </w:p>
    <w:p>
      <w:pPr>
        <w:ind w:left="0" w:right="0" w:firstLine="280"/>
        <w:jc w:val="both"/>
        <w:spacing w:before="24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 </w:t>
      </w:r>
      <w:r/>
    </w:p>
    <w:p>
      <w:pPr>
        <w:ind w:left="0" w:right="0" w:firstLine="280"/>
        <w:jc w:val="both"/>
        <w:spacing w:before="24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 </w:t>
      </w:r>
      <w:r/>
    </w:p>
    <w:p>
      <w:pPr>
        <w:ind w:left="0" w:right="0" w:firstLine="280"/>
        <w:jc w:val="both"/>
        <w:spacing w:before="24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 </w:t>
      </w:r>
      <w:r/>
    </w:p>
    <w:p>
      <w:pPr>
        <w:ind w:left="0" w:right="0" w:firstLine="560"/>
        <w:jc w:val="both"/>
        <w:spacing w:before="24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同时出现两种以上不一致的，按照前款规定的顺序修正。修正后的报价按照本章第2.5条的规定经投标人确认后产生约束力，投标人不确认的，其投标无效。</w:t>
      </w:r>
      <w:r/>
    </w:p>
    <w:p>
      <w:pPr>
        <w:ind w:left="0" w:right="0" w:firstLine="0"/>
        <w:jc w:val="both"/>
        <w:spacing w:before="24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3.2评标委员会成员的更换</w:t>
      </w:r>
      <w:r/>
    </w:p>
    <w:p>
      <w:pPr>
        <w:ind w:left="0" w:right="0" w:firstLine="560"/>
        <w:jc w:val="both"/>
        <w:spacing w:before="24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3.2.1评标过程中，因评标委员会成员缺席、回避或者健康等特殊原因导致评标委员会组成不符合规定的，招标人将依法补足后继续评标。被更换的评标委员会成员所作出的评标意见无效。 </w:t>
      </w:r>
      <w:r/>
    </w:p>
    <w:p>
      <w:pPr>
        <w:ind w:left="0" w:right="0" w:firstLine="560"/>
        <w:jc w:val="both"/>
        <w:spacing w:before="24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3.2.2无法及时补足评标委员会成员的，招标人将停止评标活动，封存所有投标文件和开标、评标资料，依法重新组建评标委员会进行评标。原评标委员会所作出的评标意见无效。</w:t>
      </w:r>
      <w:r/>
    </w:p>
    <w:p>
      <w:pPr>
        <w:ind w:left="0" w:right="0" w:firstLine="0"/>
        <w:jc w:val="both"/>
        <w:spacing w:before="24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3.3异常低价的处理</w:t>
      </w:r>
      <w:r/>
    </w:p>
    <w:p>
      <w:pPr>
        <w:ind w:left="0" w:right="0" w:firstLine="560"/>
        <w:jc w:val="both"/>
        <w:spacing w:before="24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0" w:right="0" w:firstLine="0"/>
        <w:jc w:val="both"/>
        <w:spacing w:before="24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3.4争议解决</w:t>
      </w:r>
      <w:r/>
    </w:p>
    <w:p>
      <w:pPr>
        <w:ind w:left="0" w:right="0" w:firstLine="560"/>
        <w:jc w:val="both"/>
        <w:spacing w:before="24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评标委员会成员对需要共同认定的事项存在争议的，按照少数服从多数的原则作出结论。持不同意见的评标委员会成员须在评标报告上签署不同意见及理由。</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3.5评标终止</w:t>
      </w:r>
      <w:r/>
    </w:p>
    <w:p>
      <w:pPr>
        <w:ind w:left="0" w:right="0" w:firstLine="560"/>
        <w:jc w:val="both"/>
        <w:spacing w:before="24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发现招标文件存在歧义、重大缺陷导致评标工作无法进行，或者招标文件内容违反国家有关强制性规定的，应当停止评标工作，与招标人或者采购代理机构沟通并作书面记录。招标人确认后，终止评标活动。</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3.6修改评标结果</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评审组长负责汇总和核对各评标委员会成员的评审结果。在评标报告签署前，出现下列情形之一的，可以要求其当场修改评审结果：</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（1）分值汇总计算错误；</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（2）分项评分超出评分标准范围；</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（3）评标委员会成员对客观评审因素评分不一致；</w:t>
      </w:r>
      <w:r/>
    </w:p>
    <w:p>
      <w:pPr>
        <w:ind w:left="0" w:right="0" w:firstLine="560"/>
        <w:jc w:val="both"/>
        <w:spacing w:before="24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（4）经评标委员会认定评分畸高或畸低。</w:t>
      </w:r>
      <w:r/>
    </w:p>
    <w:p>
      <w:pPr>
        <w:ind w:left="0" w:right="0" w:firstLine="0"/>
        <w:jc w:val="both"/>
        <w:spacing w:before="24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3.7 投标人总分相同</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投标人总分相同时，投标报价低的排名优先；如投标报价也相同，由招标人抽签确定排序。</w:t>
      </w:r>
      <w:r/>
    </w:p>
    <w:p>
      <w:pPr>
        <w:ind w:left="0" w:right="0" w:firstLine="0"/>
        <w:jc w:val="both"/>
        <w:spacing w:before="24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3.8评标报告签署</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报告应当由评标委员会全体人员签字认可。评标委员会成员对评标报告有异议的，应当在报告上签署不同意见并说明理由，由评标委员会书面记录相关情况。评标委员会成员拒绝在报告上签字又不书面说明其不同意见和理由的，视为同意评标报告。</w:t>
      </w:r>
      <w:r/>
    </w:p>
    <w:p>
      <w:pPr>
        <w:ind w:left="0" w:right="0" w:firstLine="0"/>
        <w:jc w:val="both"/>
        <w:spacing w:before="24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4.判定无效投标的规定</w:t>
      </w:r>
      <w:r/>
    </w:p>
    <w:p>
      <w:pPr>
        <w:ind w:left="0" w:right="0" w:firstLine="0"/>
        <w:jc w:val="both"/>
        <w:spacing w:before="24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4.1开标过程中，有下列情形之一的，作无效投标处理。</w:t>
      </w:r>
      <w:r/>
    </w:p>
    <w:p>
      <w:pPr>
        <w:ind w:left="0" w:right="0" w:firstLine="560"/>
        <w:jc w:val="both"/>
        <w:spacing w:before="24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（1）投标文件无法解密；</w:t>
      </w:r>
      <w:r/>
    </w:p>
    <w:p>
      <w:pPr>
        <w:ind w:left="0" w:right="0" w:firstLine="560"/>
        <w:jc w:val="both"/>
        <w:spacing w:before="24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（2）投标文件未在规定的时间内解密成功。</w:t>
      </w:r>
      <w:r/>
    </w:p>
    <w:p>
      <w:pPr>
        <w:ind w:left="0" w:right="0" w:firstLine="0"/>
        <w:jc w:val="both"/>
        <w:spacing w:before="24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4.2资格审查过程中，</w:t>
      </w:r>
      <w:r>
        <w:rPr>
          <w:rFonts w:ascii="SimSun" w:hAnsi="SimSun" w:eastAsia="SimSun" w:cs="SimSun"/>
          <w:b/>
          <w:color w:val="000000"/>
          <w:spacing w:val="-14"/>
          <w:sz w:val="24"/>
        </w:rPr>
        <w:t xml:space="preserve">投标文件出现不符合1.2项评审标准之一的，作无效标处理。</w:t>
      </w:r>
      <w:r/>
    </w:p>
    <w:p>
      <w:pPr>
        <w:ind w:left="0" w:right="0" w:firstLine="0"/>
        <w:jc w:val="both"/>
        <w:spacing w:before="24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4"/>
          <w:sz w:val="24"/>
        </w:rPr>
        <w:t xml:space="preserve">4.3</w:t>
      </w:r>
      <w:r>
        <w:rPr>
          <w:rFonts w:ascii="SimSun" w:hAnsi="SimSun" w:eastAsia="SimSun" w:cs="SimSun"/>
          <w:b/>
          <w:color w:val="000000"/>
          <w:sz w:val="24"/>
        </w:rPr>
        <w:t xml:space="preserve">评标过程中，有下列情形之一的，作无效投标处理。</w:t>
      </w:r>
      <w:r/>
    </w:p>
    <w:p>
      <w:pPr>
        <w:ind w:left="0" w:right="0" w:firstLine="560"/>
        <w:jc w:val="both"/>
        <w:spacing w:before="24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（1）符合性评审时，投标文件出现不符合2.2.2项评审标准之一的；</w:t>
      </w:r>
      <w:r/>
    </w:p>
    <w:p>
      <w:pPr>
        <w:ind w:left="0" w:right="0" w:firstLine="560"/>
        <w:jc w:val="both"/>
        <w:spacing w:before="24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（2）投标人不确认评标委员会提出的投标报价修正意见的；</w:t>
      </w:r>
      <w:r/>
    </w:p>
    <w:p>
      <w:pPr>
        <w:ind w:left="0" w:right="0" w:firstLine="560"/>
        <w:jc w:val="both"/>
        <w:spacing w:before="24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（3）未按照评标委员会要求提供书面说明及相关证明材料证明其报价合理性的；</w:t>
      </w:r>
      <w:r/>
    </w:p>
    <w:p>
      <w:pPr>
        <w:ind w:left="0" w:right="0" w:firstLine="560"/>
        <w:jc w:val="both"/>
        <w:spacing w:before="24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（4）投标文件含有采购人不能接受的附加条件的。</w:t>
      </w:r>
      <w:r/>
    </w:p>
    <w:p>
      <w:pPr>
        <w:ind w:left="0" w:right="0" w:firstLine="0"/>
        <w:jc w:val="both"/>
        <w:spacing w:before="24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4.4法律、法规规定的其他投标无效情形。</w:t>
      </w:r>
      <w:r/>
    </w:p>
    <w:p>
      <w:pPr>
        <w:ind w:left="0" w:right="0" w:firstLine="0"/>
        <w:jc w:val="both"/>
        <w:spacing w:before="24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24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numPr>
          <w:ilvl w:val="0"/>
          <w:numId w:val="3"/>
        </w:numPr>
        <w:jc w:val="center"/>
        <w:spacing w:before="320" w:after="32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ffff00"/>
          <w:sz w:val="32"/>
        </w:rPr>
        <w:t xml:space="preserve">合同条款</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项目名称：项目编号：</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甲方（采购单位）：</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乙方（中标单位）：</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甲、乙双方根据</w:t>
      </w:r>
      <w:r>
        <w:rPr>
          <w:rFonts w:ascii="SimSun" w:hAnsi="SimSun" w:eastAsia="SimSun" w:cs="SimSun"/>
          <w:color w:val="000000"/>
          <w:sz w:val="24"/>
          <w:u w:val="single"/>
        </w:rPr>
        <w:t xml:space="preserve">泰兴经济开发区公共区域监测预警项目(雨水污水管道安全风险监测二期)</w:t>
      </w:r>
      <w:r>
        <w:rPr>
          <w:rFonts w:ascii="SimSun" w:hAnsi="SimSun" w:eastAsia="SimSun" w:cs="SimSun"/>
          <w:color w:val="000000"/>
          <w:sz w:val="24"/>
        </w:rPr>
        <w:t xml:space="preserve">项目公开招标的结果，签署本合同。</w:t>
      </w:r>
      <w:r/>
    </w:p>
    <w:p>
      <w:pPr>
        <w:ind w:left="0" w:right="0" w:firstLine="482"/>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一、合同内容</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标的名称：泰兴经济开发区公共区域监测预警项目(雨水污水管道安全风险监测二期)</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履行时间（期限）：910天（其中设备系统安装调试180天，运营服务2年）。</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1.3履行地点：</w:t>
      </w:r>
      <w:r/>
    </w:p>
    <w:p>
      <w:pPr>
        <w:ind w:left="0" w:right="0" w:firstLine="482"/>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二、合同金额</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本合同金额为（大写）： ____________圆（______元）人民币或其他币种。</w:t>
      </w:r>
      <w:r/>
    </w:p>
    <w:p>
      <w:pPr>
        <w:ind w:left="0" w:right="0" w:firstLine="482"/>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三、技术资料</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3.1乙方应按招标文件规定的时间向甲方提供服务（包含与服务相关的货物）的有关技术资料。</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没有甲方事先书面同意，乙方不得将由甲方提供的有关合同或任何合同条文、规格、计划或资料提供给与履行本合同无关的任何其他人。即使向履行本合同有关的人员提供，也应注意保密并限于履行合同的必需范围。</w:t>
      </w:r>
      <w:r/>
    </w:p>
    <w:p>
      <w:pPr>
        <w:ind w:left="0" w:right="0" w:firstLine="482"/>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四、知识产权</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（注：采购项目如涉及采购标的的知识产权归属、处理的，如订购、设计、定制开发的信息化建设项目等，应当约定知识产权的归属和处理方式）</w:t>
      </w:r>
      <w:r/>
    </w:p>
    <w:p>
      <w:pPr>
        <w:ind w:left="0" w:right="0" w:firstLine="482"/>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五、产权担保</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乙方保证所交付的服务（包含与服务相关的货物）的所有权完全属于乙方且无任何抵押、查封等产权瑕疵。</w:t>
      </w:r>
      <w:r/>
    </w:p>
    <w:p>
      <w:pPr>
        <w:ind w:left="0" w:right="0" w:firstLine="482"/>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六、履约保证金</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履约保证金收取：本合同签署时，乙方应向甲方缴纳履约保证金，履约保证金额度为</w:t>
      </w:r>
      <w:r>
        <w:rPr>
          <w:rFonts w:ascii="SimSun" w:hAnsi="SimSun" w:eastAsia="SimSun" w:cs="SimSun"/>
          <w:color w:val="000000"/>
          <w:sz w:val="24"/>
          <w:u w:val="single"/>
        </w:rPr>
        <w:t xml:space="preserve">合同金额的10%</w:t>
      </w:r>
      <w:r>
        <w:rPr>
          <w:rFonts w:ascii="SimSun" w:hAnsi="SimSun" w:eastAsia="SimSun" w:cs="SimSun"/>
          <w:color w:val="000000"/>
          <w:sz w:val="24"/>
        </w:rPr>
        <w:t xml:space="preserve">。甲方允许乙方自主选择以支票、汇票、保函等非现金形式缴纳或提交履约保证金。</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履约保证金退还方式：履约保证金按原缴纳渠道、原付款账户无息原路退还。</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 履约保证金退还时间：项目竣工验收合格、全部资料移交归档完毕后 30 个工作日内，采购单位按约定办理履约保证金退还手续。</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6.4 履约保证金不予退还情形：乙方无故中止、擅自终止合同或擅自退场的；项目质量、服务标准不符合合同约定，经整改仍达不到合格标准的；工期严重滞后，给采购人造成经济损失且拒不承担违约责任的；发生农民工欠薪、劳资纠纷、安全责任事故等不良事件，给采购人造成损失或不良影响的；乙方存在其他合同违约行为且拒不承担违约金及赔偿责任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七、合同转包或分包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7.1乙方不得将合同标的转包或分包给他人履行。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7.2乙方如有转包或分包行为，甲方有权解除合同，并没收全部履约保证金。</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八、合同款项支付</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合同签订后支付合同金额的30%，项目建设完成并验收合格后支付至合同金额的70%，验收合格一年后的对应日支付至合同金额的90%，验收合格两年后的对应日付清余款</w:t>
      </w:r>
      <w:r>
        <w:rPr>
          <w:rFonts w:ascii="Arial" w:hAnsi="Arial" w:eastAsia="Arial" w:cs="Arial"/>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九、税费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9.1本合同执行中相关的一切税费均由乙方负担。</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十、项目验收</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甲方依法组织履约验收工作。</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 对于实际使用人和甲方分离的项目，甲方邀请实际使用人参与验收。</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 如有必要，甲方邀请参加本项目的其他供应商或第三方专业机构及专家参与验收，相关意见将作为验收书的参考资料。</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left="0" w:right="0" w:firstLine="482"/>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十一、违约责任</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乙方逾期提供服务的，每逾期一日，乙方应按合同总额的千分之二向甲方支付违约金，但违约金总额不超过合同总额的20%。逾期超过约定日期15个工作日不能提供服务的，甲方有权解除本合同。乙方因逾期提供服务或因其他违约行为导致甲方解除合同的，乙方应向甲方支付合同总额20% 的违约金。该违约金不足以弥补甲方实际损失的，乙方还应就超出部分赔偿甲方损失，包括但不限于甲方重新采购所产生的费用、因工期延误导致的各项损失等。</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11.2乙方所提供服务的标准不符合合同规定及招标文件规定标准的，甲方有权拒绝接受服务，并可单方面解除合同。</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11.3 乙方违反本协议其他条款约定的，均视为违约，应按合同条款承担违约责任外，还应向甲方承担合同总额20%的违约金。</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十二、不可抗力事件处理</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在合同有效期内，任何一方因不可抗力事件导致不能履行合同，则合同履行期可延长，其延长期与不可抗力影响期相同。</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不可抗力事件发生后，应立即通知对方，并寄送有关权威机构出具的证明。</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 不可抗力事件延续120天以上，双方应通过友好协商，确定是否继续履行合同。</w:t>
      </w:r>
      <w:r/>
    </w:p>
    <w:p>
      <w:pPr>
        <w:ind w:left="0" w:right="0" w:firstLine="482"/>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十三、解决争议的方法</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13.1双方在签订、履行合同中所发生的一切争议，应通过友好协商解决。如协商不成，由甲方住所地人民法院管辖。</w:t>
      </w:r>
      <w:r/>
    </w:p>
    <w:p>
      <w:pPr>
        <w:ind w:left="0" w:right="0" w:firstLine="482"/>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十四、合同生效及其它</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合同经双方法定代表人或授权委托代表人签字并加盖单位公章后生效。</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14.2本合同未尽事宜，遵照《中华人民共和国民法典》《中华人民共和国政府采购法》有关条文执行。</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 本合同正本一式肆份，具有同等法律效力，甲方、乙方各执两份。</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30"/>
        </w:rPr>
        <w:t xml:space="preserve">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227"/>
        <w:gridCol w:w="254"/>
        <w:gridCol w:w="4228"/>
      </w:tblGrid>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27"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甲方（采购单位）：</w:t>
            </w:r>
            <w:r>
              <w:rPr>
                <w:rFonts w:ascii="SimSun" w:hAnsi="SimSun" w:eastAsia="SimSun" w:cs="SimSun"/>
                <w:color w:val="000000"/>
                <w:sz w:val="24"/>
                <w:u w:val="single"/>
              </w:rPr>
              <w:t xml:space="preserve">         </w:t>
            </w:r>
            <w:r>
              <w:rPr>
                <w:rFonts w:ascii="SimSun" w:hAnsi="SimSun" w:eastAsia="SimSun" w:cs="SimSun"/>
                <w:color w:val="000000"/>
                <w:sz w:val="24"/>
              </w:rPr>
              <w:t xml:space="preserve">（盖章）</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54"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28"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乙方（中标单位）：</w:t>
            </w:r>
            <w:r>
              <w:rPr>
                <w:rFonts w:ascii="SimSun" w:hAnsi="SimSun" w:eastAsia="SimSun" w:cs="SimSun"/>
                <w:color w:val="000000"/>
                <w:sz w:val="24"/>
                <w:u w:val="single"/>
              </w:rPr>
              <w:t xml:space="preserve">         </w:t>
            </w:r>
            <w:r>
              <w:rPr>
                <w:rFonts w:ascii="SimSun" w:hAnsi="SimSun" w:eastAsia="SimSun" w:cs="SimSun"/>
                <w:color w:val="000000"/>
                <w:sz w:val="24"/>
              </w:rPr>
              <w:t xml:space="preserve">（盖章）</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27"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54"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28"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27"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法定（授权）代表人：</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54"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28"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法定（授权）代表人：</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27" w:type="dxa"/>
            <w:vAlign w:val="top"/>
            <w:textDirection w:val="lrTb"/>
            <w:noWrap w:val="false"/>
          </w:tcPr>
          <w:p>
            <w:pPr>
              <w:ind w:left="0" w:right="0" w:firstLine="0"/>
              <w:jc w:val="right"/>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54"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28" w:type="dxa"/>
            <w:vAlign w:val="top"/>
            <w:textDirection w:val="lrTb"/>
            <w:noWrap w:val="false"/>
          </w:tcPr>
          <w:p>
            <w:pPr>
              <w:ind w:left="0" w:right="0" w:firstLine="0"/>
              <w:jc w:val="right"/>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w:t>
            </w:r>
            <w:r/>
          </w:p>
        </w:tc>
      </w:tr>
    </w:tbl>
    <w:p>
      <w:pPr>
        <w:ind w:left="0" w:right="0" w:firstLine="0"/>
        <w:jc w:val="both"/>
        <w:spacing w:before="24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numPr>
          <w:ilvl w:val="0"/>
          <w:numId w:val="4"/>
        </w:numPr>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采购需求</w:t>
      </w:r>
      <w:r/>
    </w:p>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一、项目名称</w:t>
      </w:r>
      <w:r/>
    </w:p>
    <w:p>
      <w:pPr>
        <w:ind w:left="0" w:right="0" w:firstLine="48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泰兴经济开发区公共区域监测预警（雨水污水管道安全风险监测二期）</w:t>
      </w:r>
      <w:r/>
    </w:p>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二、项目背景</w:t>
      </w:r>
      <w:r/>
    </w:p>
    <w:p>
      <w:pPr>
        <w:ind w:left="0" w:right="0" w:firstLine="48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泰兴经济开发区位于长三角地理中心，始建于1991年，是江苏省首批13家省级开发区之一，也是全国最早的专业性精细化工园区之一，本期项目是园区严格落实《化工园区安全风险排查治理导则》合规要求、聚焦当前公用工程运行痛点、快速提升公共设施安全管控能力的核心落地项目。当前园区产业持续扩容，雨污水管网承载压力加大、河道监测维度不足，部分路段存在内涝隐患；公共区域电力、园区工业供水、燃气设施分散独立监管，园区管廊管道隐患等风险预判与联动处置能力不足，已难以适配园区日常安全运营与应急管理需求，亟需通过本期项目建设补齐监管短</w:t>
      </w:r>
      <w:r>
        <w:rPr>
          <w:rFonts w:ascii="SimSun" w:hAnsi="SimSun" w:eastAsia="SimSun" w:cs="SimSun"/>
          <w:color w:val="000000"/>
          <w:sz w:val="24"/>
        </w:rPr>
        <w:t xml:space="preserve">板、实现一体化智能管控。建设内容上，本期重点新增新港路、滨江路等空白区域雨污水管网监测覆盖，补充河道关键参数监测维度，整合公共区域电力、燃气、供水监测资源并实现供给企业关联；同步完成平台功能模块深化设计，搭建灾害天气预判、内涝风险分析、河道水位监测预警、设施设备预测性运维核心模块，规范数据库存储、API接口对接与预警模型算法逻辑，完成信创系统适配与全流程数据流转设计，并按规范完成设备安装、作业管控、系统调试与验收。</w:t>
      </w:r>
      <w:r/>
    </w:p>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三、建设现状</w:t>
      </w:r>
      <w:r/>
    </w:p>
    <w:p>
      <w:pPr>
        <w:ind w:left="0" w:right="0" w:firstLine="48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园区于2024年建设并验收“雨水污水管道安全风险监测（一期）项目”，项目在园区公共区域完成核心风险点覆盖，部署智能阀井远程监测仪</w:t>
      </w:r>
      <w:r>
        <w:rPr>
          <w:rFonts w:ascii="Times New Roman" w:hAnsi="Times New Roman" w:eastAsia="Times New Roman" w:cs="Times New Roman"/>
          <w:color w:val="000000"/>
          <w:sz w:val="24"/>
        </w:rPr>
        <w:t xml:space="preserve">40</w:t>
      </w:r>
      <w:r>
        <w:rPr>
          <w:rFonts w:ascii="SimSun" w:hAnsi="SimSun" w:eastAsia="SimSun" w:cs="SimSun"/>
          <w:color w:val="000000"/>
          <w:sz w:val="24"/>
        </w:rPr>
        <w:t xml:space="preserve">套，集成激光式甲烷传感器、液位传感器等核心部件，实现对雨污水管道内甲烷浓度、温度、湿度、液位高度的实时采集；配套安装位移监测系统</w:t>
      </w:r>
      <w:r>
        <w:rPr>
          <w:rFonts w:ascii="Times New Roman" w:hAnsi="Times New Roman" w:eastAsia="Times New Roman" w:cs="Times New Roman"/>
          <w:color w:val="000000"/>
          <w:sz w:val="24"/>
        </w:rPr>
        <w:t xml:space="preserve">28</w:t>
      </w:r>
      <w:r>
        <w:rPr>
          <w:rFonts w:ascii="SimSun" w:hAnsi="SimSun" w:eastAsia="SimSun" w:cs="SimSun"/>
          <w:color w:val="000000"/>
          <w:sz w:val="24"/>
        </w:rPr>
        <w:t xml:space="preserve">套、沉降监测系统</w:t>
      </w:r>
      <w:r>
        <w:rPr>
          <w:rFonts w:ascii="Times New Roman" w:hAnsi="Times New Roman" w:eastAsia="Times New Roman" w:cs="Times New Roman"/>
          <w:color w:val="000000"/>
          <w:sz w:val="24"/>
        </w:rPr>
        <w:t xml:space="preserve">17</w:t>
      </w:r>
      <w:r>
        <w:rPr>
          <w:rFonts w:ascii="SimSun" w:hAnsi="SimSun" w:eastAsia="SimSun" w:cs="SimSun"/>
          <w:color w:val="000000"/>
          <w:sz w:val="24"/>
        </w:rPr>
        <w:t xml:space="preserve">套，实现管道三向位移及沉降数据的精准捕捉。项目平台依托</w:t>
      </w:r>
      <w:r>
        <w:rPr>
          <w:rFonts w:ascii="Times New Roman" w:hAnsi="Times New Roman" w:eastAsia="Times New Roman" w:cs="Times New Roman"/>
          <w:color w:val="000000"/>
          <w:sz w:val="24"/>
        </w:rPr>
        <w:t xml:space="preserve">GIS</w:t>
      </w:r>
      <w:r>
        <w:rPr>
          <w:rFonts w:ascii="SimSun" w:hAnsi="SimSun" w:eastAsia="SimSun" w:cs="SimSun"/>
          <w:color w:val="000000"/>
          <w:sz w:val="24"/>
        </w:rPr>
        <w:t xml:space="preserve">地图呈现设备实时位置，同步展示传感数据、测点状态及报警处理统计。</w:t>
      </w:r>
      <w:r/>
    </w:p>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四、主要风险问题</w:t>
      </w:r>
      <w:r/>
    </w:p>
    <w:p>
      <w:pPr>
        <w:ind w:left="0" w:right="0" w:firstLine="48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期仅覆盖园区公共区域重点阀井及有限管道，未实现全园区雨污水管道全覆盖，新港路、滨江路、通园路西侧、洋思港路等区域仍存在监测盲区，重点雨污水管道监测覆盖长度占比不足，无法全面防范全域性风险；未部署河道水位监测设施，缺乏对雨污水排水下游河道水位的实时掌握，无法联动分析管道排水与河道承载能力的匹配关系，难以预判管网倒灌风险；未涉及水流流量、流速等关键参数监测，无法准确评估管网排水能力;未关联园区供水、供电、供气管道线路关联企业，对断供故障等事件影响企业正常安全生产范围预知能力不足；对园区公共路灯供电故障、地下燃</w:t>
      </w:r>
      <w:r>
        <w:rPr>
          <w:rFonts w:ascii="SimSun" w:hAnsi="SimSun" w:eastAsia="SimSun" w:cs="SimSun"/>
          <w:color w:val="000000"/>
          <w:sz w:val="24"/>
        </w:rPr>
        <w:t xml:space="preserve">气管道泄漏、公共管廊有毒有害易燃易爆气体泄漏感知能力不足；缺乏趋势预测功能：平台仅能实现基础数据采集和异常告警，数据分析与挖掘能力薄弱，无法结合历史运行数据、气象数据对管道运行趋势进行预判，对灾害天气、水土流失塌陷等潜在风险的前瞻性防范不足。</w:t>
      </w:r>
      <w:r/>
    </w:p>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五、业务需求分析</w:t>
      </w:r>
      <w:r/>
    </w:p>
    <w:p>
      <w:pPr>
        <w:ind w:left="0" w:right="0" w:firstLine="48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用工程作为泰兴经济开发区安全运行的核心支撑，涵盖雨污水管网、河道、公共区域电力燃气管廊等关键基础设施，其运行稳定性直接关系到园区千亿级产业的安全发展、生态环境安全以及企业生产经营的连续性。按照上级部门要求和园区实际需要，拟对开发区公用工程加装监测报警装置，本次项目共需建设以下内容：一是扩充雨污水管网监测覆盖，消除新港路、滨江路等区域的监测盲区，提升重点雨污水管道监测覆盖率；二是新增河道关键参数监测，完善“管网-河道”协同防控体系；三是建设园区地下燃气泄漏、管廊有毒有害易燃易爆气体泄漏监测感知能力；四是整合</w:t>
      </w:r>
      <w:r>
        <w:rPr>
          <w:rFonts w:ascii="SimSun" w:hAnsi="SimSun" w:eastAsia="SimSun" w:cs="SimSun"/>
          <w:color w:val="000000"/>
          <w:sz w:val="24"/>
        </w:rPr>
        <w:t xml:space="preserve">公共区域供水供电燃气监测资源，建立水利电力燃气供给与企业的关联机制，实现一体化监测与联动处置；五是构建多维度联动预警能力，结合气象、历史数据等，提升风险预判精准性，为园区产业高质量发展筑牢安全保障。</w:t>
      </w:r>
      <w:r/>
    </w:p>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六、项目需求清单</w:t>
      </w:r>
      <w:r/>
    </w:p>
    <w:p>
      <w:pPr>
        <w:ind w:left="0" w:right="0" w:firstLine="9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章节核心内容为列明项目所需各类业务平台、硬件设备建设、安装调试服务及运维服务需求，确保设备选型适配园区场景、满足监测精度与信创适配要求，所有设备均需符合化工园区防爆、防腐、防水等特殊环境要求。本次项目建设的平台需与2024年建设并验收“雨水污水管道安全风险监测（一期）项目”平台内容及数据的全面互通及适配兼容，产生的相关费用需由本次项目建设单位全部承担。</w:t>
      </w:r>
      <w:r/>
    </w:p>
    <w:p>
      <w:pPr>
        <w:ind w:left="0" w:right="0" w:firstLine="48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（二）项目需求清单</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附表一：业务平台需求清单</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44"/>
        <w:gridCol w:w="790"/>
        <w:gridCol w:w="860"/>
        <w:gridCol w:w="3877"/>
        <w:gridCol w:w="600"/>
        <w:gridCol w:w="736"/>
      </w:tblGrid>
      <w:tr>
        <w:trPr>
          <w:trHeight w:val="2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模块名称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子模块</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主要技术参数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单位</w:t>
            </w:r>
            <w:r/>
          </w:p>
        </w:tc>
      </w:tr>
      <w:tr>
        <w:trPr>
          <w:trHeight w:val="2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系统总览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首页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平台首页，展示公用工程全域运行状态、核心指标、告警统计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运行态势看板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展示雨污内涝/供水管线/供电管线/燃气管道园区分布GIS图，监测点位GIS锚点，地下管线GIS展示（走向、埋深、管径、关联企业）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全域告警统计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按等级统计全平台告警，展示可视化图表（折线图、柱状图、热力图），支持钻取查询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r>
      <w:tr>
        <w:trPr>
          <w:trHeight w:val="6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设施地图标注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按设施类型（供水/供电/排水等）分类展示，支持状态染色（绿/黄/红/灰）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r>
      <w:tr>
        <w:trPr>
          <w:trHeight w:val="2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管网拓扑分析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展示供水管网/供电线路/燃气线路拓扑关系，支持上下游追溯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r>
      <w:tr>
        <w:trPr>
          <w:trHeight w:val="2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公用工程监测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首页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按排水/供水/供电/管廊/燃气分类展示设施运行状态与监测数据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r>
      <w:tr>
        <w:trPr>
          <w:trHeight w:val="2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排水系统监测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展示天气预警信息、雨污水井液位、下游河道水位、积水内涝情况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r>
      <w:tr>
        <w:trPr>
          <w:trHeight w:val="2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供水系统监测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展示供水管网园区分布图，一二次管线，关联下游企业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供电系统监测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展示公共区域配电箱电压、电流、漏电状态实时数据，展示断电/缺相/过载告警，支持查看影响范围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r>
      <w:tr>
        <w:trPr>
          <w:trHeight w:val="2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管廊系统监测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展示公共区域管廊在园区分布，并实时展示有毒有害气体、可燃易爆气体的数据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燃气管线监测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展示公共区域燃气管线园区分布，并实时展示园区关键点位燃气泄漏告警监测数据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r>
      <w:tr>
        <w:trPr>
          <w:trHeight w:val="2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告警管理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首页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全平台告警接收、派单、处置、闭环全流程管理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r>
      <w:tr>
        <w:trPr>
          <w:trHeight w:val="2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实时告警列表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展示未处置告警，支持按等级/类型/区域筛选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r>
      <w:tr>
        <w:trPr>
          <w:trHeight w:val="2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告警处置跟踪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跟踪告警处置进度，超时自动督办</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r>
      <w:tr>
        <w:trPr>
          <w:trHeight w:val="2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告警历史查询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查询历史告警记录，支持导出Excel报表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r>
      <w:tr>
        <w:trPr>
          <w:trHeight w:val="2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设备管理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首页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公用工程所有设施、传感器、采集器台账管理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r>
      <w:tr>
        <w:trPr>
          <w:trHeight w:val="2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设备台账维护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新增/编辑/删除设备信息（型号、位置、参数、责任人）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r>
      <w:tr>
        <w:trPr>
          <w:trHeight w:val="2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设备状态监控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展示设备在线/离线/故障状态，支持批量筛选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r>
      <w:tr>
        <w:trPr>
          <w:trHeight w:val="2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设备维保计划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制定设备维保计划，到期自动提醒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应急管理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首页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支持园区应急元素态势一屏统览，汇聚物资资源等关键数据，实时统计分析与可视化展示，辅助全局指挥决策和快速应急响应。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r>
      <w:tr>
        <w:trPr>
          <w:trHeight w:val="8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应急预案录入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支持新增预案录入,录入预案信息包括预案名称、预案等级、编制日期、预案附件预案类别、编制单位，可根据预案名称、预案类别、编制日期进行预案信息查询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应急预案发布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支持查询和删除园区已发布预案,查询结果包含预案名称、预案类别等信息,点击预案名称可查看预案基本信息、预案评审信息、预案发布信息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应急资源录入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支持新增物资应急资源信息录入，包括涉及人员信息，设备信息，物资信息等。可根据物资名称、物资类别等进行物资信息查询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r>
      <w:tr>
        <w:trPr>
          <w:trHeight w:val="2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应急资源调用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实现应急资源匹配预案进行资源资源标签选择调用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r>
      <w:tr>
        <w:trPr>
          <w:trHeight w:val="8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应急响应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支持按分级预警、联动处置的应急响应能力，当监测到供水、供电、排水、燃气、用电等异常告警时，自动启动对应应急流程。支持调取应急人员联系方式、责任区域等信息，根据预警等级推送处置预案。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r>
      <w:tr>
        <w:trPr>
          <w:trHeight w:val="6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系统管理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首页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平台用户、角色、权限、参数配置管理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r>
      <w:tr>
        <w:trPr>
          <w:trHeight w:val="2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用户角色管理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新增/编辑用户，分配角色与权限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r>
      <w:tr>
        <w:trPr>
          <w:trHeight w:val="2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系统日志查询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查询用户登入退出信息，操作日志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r>
      <w:tr>
        <w:trPr>
          <w:trHeight w:val="14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系统对接服务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气象部门系统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对接降雨量、降雨强度、暴雨预警、风力、气温数据；</w:t>
              <w:br/>
              <w:t xml:space="preserve">实现数据实时同步；</w:t>
              <w:br/>
              <w:t xml:space="preserve">1. 采用 HTTP/HTTPS 协议，调用气象部门开放 API；</w:t>
              <w:br/>
              <w:t xml:space="preserve">2. 数据格式转换为平台标准 JSON 格式；</w:t>
              <w:br/>
              <w:t xml:space="preserve">3. 建立对接日志，记录数据接收情况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r>
      <w:tr>
        <w:trPr>
          <w:trHeight w:val="11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水利部门系统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对接河道水位、流量、水利设施（泵站、节制闸）运行状态；</w:t>
              <w:br/>
              <w:t xml:space="preserve">1. 采用 WebService/MQTT 协议；</w:t>
              <w:br/>
              <w:t xml:space="preserve">2. 兼容水利部门数据格式；</w:t>
              <w:br/>
              <w:t xml:space="preserve">3. 对接数据加密传输</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r>
      <w:tr>
        <w:trPr>
          <w:trHeight w:val="11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园区雨水污水监测项目一期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对接园区雨水污水监测项目一期数据；</w:t>
              <w:br/>
              <w:t xml:space="preserve">1. 采用 WebService/MQTT 协议；</w:t>
              <w:br/>
              <w:t xml:space="preserve">2. 兼容数据格式；</w:t>
              <w:br/>
              <w:t xml:space="preserve">3. 对接数据加密传输</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r>
      <w:tr>
        <w:trPr>
          <w:trHeight w:val="17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园区智慧园区平台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对接平台监测数据、预警信息、设备状态；</w:t>
              <w:br/>
              <w:t xml:space="preserve">实现主题驾驶舱数据共享；</w:t>
              <w:br/>
              <w:t xml:space="preserve">开发权限同步接口，实现单点登录</w:t>
              <w:br/>
              <w:t xml:space="preserve">1. 采用内部数据库直连（视图权限）；</w:t>
              <w:br/>
              <w:t xml:space="preserve">2. 数据更新频率与平台同步；</w:t>
              <w:br/>
              <w:t xml:space="preserve">3. 兼容智慧运营中心平台数据格式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r>
    </w:tbl>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附表二：硬件设备需求清单</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98"/>
        <w:gridCol w:w="623"/>
        <w:gridCol w:w="864"/>
        <w:gridCol w:w="4574"/>
        <w:gridCol w:w="594"/>
        <w:gridCol w:w="593"/>
      </w:tblGrid>
      <w:tr>
        <w:trPr>
          <w:trHeight w:val="2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产品类别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产品名称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主要技术参数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单位</w:t>
            </w:r>
            <w:r/>
          </w:p>
        </w:tc>
      </w:tr>
      <w:tr>
        <w:trPr>
          <w:trHeight w:val="72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前端产品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智能井盖传感器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（1）.集成液位、甲烷、倾角、温度、水浸等监测指标；</w:t>
              <w:br/>
              <w:t xml:space="preserve">（2）.液位：超声波量程0.28～7.5m，精度±（1+H*0.3%）cm，波束角≤40°；</w:t>
              <w:br/>
              <w:t xml:space="preserve">（3）.甲烷：3～100%LEL（0.15%～5%），≥7000ppm；</w:t>
              <w:br/>
              <w:t xml:space="preserve">（4）.倾角：量程0～180°（±90°），精度±0.5°，分辨率0.01°；</w:t>
              <w:br/>
              <w:t xml:space="preserve">（5）.温度：无触点温度，量程-40～+125℃，精度±0.2℃；</w:t>
              <w:br/>
              <w:t xml:space="preserve">（6）.水浸：非接触式水浸，水浸即触发报警并上传至平台；</w:t>
              <w:br/>
              <w:t xml:space="preserve">（7）.通信：4G通信，可选5G、NB-IoT、LoRa通信；</w:t>
              <w:br/>
              <w:t xml:space="preserve">（8）.电源：≥19</w:t>
            </w:r>
            <w:r>
              <w:rPr>
                <w:rFonts w:ascii="SimSun" w:hAnsi="SimSun" w:eastAsia="SimSun" w:cs="SimSun"/>
                <w:color w:val="000000"/>
                <w:sz w:val="24"/>
              </w:rPr>
              <w:t xml:space="preserve">000mAH锂亚电池，续航≥3年；</w:t>
              <w:br/>
              <w:t xml:space="preserve">（9）.微处理器：≥32位，≥80MHz主频国产化微处理器；</w:t>
              <w:br/>
              <w:t xml:space="preserve">▲（10）.存储芯片：≥250万条数据，≥256MFlash国产存储芯片，数据黑匣子系统；（提供国家认可的第三方机构出具的具有CMA或CNAS标志的检测报告）</w:t>
              <w:br/>
              <w:t xml:space="preserve">▲（11）.加密：≥1颗国产化加密芯片；（提供国家认可的第三方机构出具的具有CMA或CNAS标志的检测报告）</w:t>
              <w:br/>
              <w:t xml:space="preserve">（12）.安全：动态会话密钥加密，传输链路级可信时间戳；</w:t>
              <w:br/>
              <w:t xml:space="preserve">▲（13）.防护：盐雾试验报告≥700小时，防护等级报告≥IP69；（提供国家认可的第</w:t>
            </w:r>
            <w:r>
              <w:rPr>
                <w:rFonts w:ascii="SimSun" w:hAnsi="SimSun" w:eastAsia="SimSun" w:cs="SimSun"/>
                <w:color w:val="000000"/>
                <w:sz w:val="24"/>
              </w:rPr>
              <w:t xml:space="preserve">三方机构出具的具有CMA或CNAS标志的检测报告）</w:t>
              <w:br/>
              <w:t xml:space="preserve">（14）.环境：环境试验报告≥高温80℃和低温≤-40℃，高空跌落试验报告≥2m；</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r>
      <w:tr>
        <w:trPr>
          <w:trHeight w:val="81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前端产品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水位雷达流量计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74" w:type="dxa"/>
            <w:vAlign w:val="center"/>
            <w:textDirection w:val="lrTb"/>
            <w:noWrap w:val="false"/>
          </w:tcPr>
          <w:p>
            <w:pPr>
              <w:numPr>
                <w:ilvl w:val="0"/>
                <w:numId w:val="5"/>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流速测量功能：设备有利用微波多普勒原理测量流速的功能；</w:t>
              <w:br/>
              <w:t xml:space="preserve">（2）测速范围：0.1～20m/s；</w:t>
              <w:br/>
              <w:t xml:space="preserve">▲（3）测速精度：＜±0.1m/s或≤±3%；（提供国家认可的第三方机构出具的具有CMA或CNAS标志的检测报告）</w:t>
              <w:br/>
              <w:t xml:space="preserve">（4）测速分辨率：≤0.001m/s；</w:t>
              <w:br/>
              <w:t xml:space="preserve">▲（5）水位精度等级：1级；（提供国家认可的第三方机构出具的具有CMA或CNAS标志的检测报告）</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（6）方向配置：可配置流速仪监测方向为正向、负向或双向；</w:t>
              <w:br/>
              <w:t xml:space="preserve">（7）测距范围：0.1～40m；</w:t>
              <w:br/>
              <w:t xml:space="preserve">（8）供电电压：设备供电电压在DC 10～16V可调；</w:t>
              <w:br/>
              <w:t xml:space="preserve">（9）功耗：12V供电时，正常工作平均电流：≤130mA，休眠时平均电流：≤6mA；</w:t>
              <w:br/>
              <w:t xml:space="preserve">▲（10）防护等级：≥IP68；（提供国家认可的第三方机构出具的具有CMA或CNAS标志的检测报告）</w:t>
              <w:br/>
              <w:t xml:space="preserve">（11）发射频率：24.000～24.250GHz；</w:t>
              <w:br/>
              <w:t xml:space="preserve">（12）启动稳定时间应：≤5s；</w:t>
              <w:br/>
              <w:t xml:space="preserve">（13）数据更新周期应可设置为：1s；</w:t>
              <w:br/>
              <w:t xml:space="preserve">▲（14）断面设置功能：可通讯设置断面类型及参数</w:t>
            </w:r>
            <w:r>
              <w:rPr>
                <w:rFonts w:ascii="SimSun" w:hAnsi="SimSun" w:eastAsia="SimSun" w:cs="SimSun"/>
                <w:color w:val="000000"/>
                <w:sz w:val="24"/>
              </w:rPr>
              <w:t xml:space="preserve">。姿态监控及校正：可读取流速仪俯仰角、横滚角信息，自动校正流速数据。配置功能：设备支持通讯输出频率、采集次数功能，可实时分析设备工作状态。（提供国家认可的第三方机构出具的具有CMA或CNAS标志的检测报告）</w:t>
              <w:br/>
              <w:t xml:space="preserve">（15）硬件接口；支持1路RS485接口；</w:t>
              <w:br/>
              <w:t xml:space="preserve">（16）通讯协议：MODBUS-RTU；</w:t>
              <w:br/>
              <w:t xml:space="preserve">（17）外壳材质：不锈钢材质；</w:t>
              <w:br/>
              <w:t xml:space="preserve">（18）工作温度：-30℃-80℃；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r>
      <w:tr>
        <w:trPr>
          <w:trHeight w:val="25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前端产品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数据采集仪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74" w:type="dxa"/>
            <w:vAlign w:val="center"/>
            <w:textDirection w:val="lrTb"/>
            <w:noWrap w:val="false"/>
          </w:tcPr>
          <w:p>
            <w:pPr>
              <w:numPr>
                <w:ilvl w:val="0"/>
                <w:numId w:val="6"/>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采集数据类型：模拟（电压、电流）、数字、开关量；</w:t>
              <w:br/>
              <w:t xml:space="preserve">（2）显示：图形点阵液晶≥128×64DOT，可显示中文、英文、阿拉伯数字等字符；</w:t>
              <w:br/>
              <w:t xml:space="preserve">▲（3）数据保护：需输入密码登录；（提供国家认可的第三方机构出具的具有CMA或CNAS标志的检测报告）</w:t>
              <w:br/>
              <w:t xml:space="preserve">▲（4）系统设置：具备多级界面设置功能，同时具备可设置系统时间、存储周期、数据导出、上传频率、波特率等；（提供国家认可的第三方机构出具的具有CMA或CNAS标志的检测报告）</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（5）按键：轻触薄膜按键；</w:t>
              <w:br/>
              <w:t xml:space="preserve">（6）数据储存：内置≥32M存储芯片，存储周期可设置；</w:t>
              <w:br/>
              <w:t xml:space="preserve">（7）数据接口：≥1路USB接口，可导出历史数据，可设置数据导出起始和结束时间；</w:t>
              <w:br/>
              <w:t xml:space="preserve">（8）通讯接口：≥4路UART接口；</w:t>
              <w:br/>
              <w:t xml:space="preserve">（9）传感器接口：标配≥16通道传感器采集通道，传感器通道可灵活配置；</w:t>
              <w:br/>
              <w:t xml:space="preserve">（11）电源接口：≥2个电源接口，直流12V接口、太阳能供电接口；</w:t>
              <w:br/>
              <w:t xml:space="preserve">（12）电源输出：≥1路电源输出（根据需求可以配置为+12VDC或+5VDC输出）。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r>
      <w:tr>
        <w:trPr>
          <w:trHeight w:val="58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前端产品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智能电力无线计量仪表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1、显示方式：LCD（字段式）</w:t>
              <w:br/>
              <w:t xml:space="preserve">2、电能计量：</w:t>
              <w:br/>
              <w:t xml:space="preserve">有功电能计量（正、反向），</w:t>
              <w:br/>
              <w:t xml:space="preserve">四象限无功电能，支持8套时段表、14个时区、14</w:t>
              <w:br/>
              <w:t xml:space="preserve">个日时段、8种复费率电能，</w:t>
              <w:br/>
              <w:t xml:space="preserve">支持上12月历史电能（包含各费率电能）</w:t>
              <w:br/>
              <w:t xml:space="preserve">3、电量测量：</w:t>
              <w:br/>
              <w:t xml:space="preserve">电压、电流、功率因数、频率、有功功率、无功功</w:t>
              <w:br/>
              <w:t xml:space="preserve">率、视在功率</w:t>
              <w:br/>
              <w:t xml:space="preserve">4、极值记录：</w:t>
              <w:br/>
              <w:t xml:space="preserve">支持上三月极值及发生时间（包括三相电压、电流、</w:t>
              <w:br/>
              <w:t xml:space="preserve">功率、合相功率的极大值和极小值）</w:t>
              <w:br/>
              <w:t xml:space="preserve">5、谐波功能：总谐波含量、分次谐波含量（2～31次）</w:t>
              <w:br/>
              <w:t xml:space="preserve">6、相序诊断：支持接线诊断，远程相序校正、电流极性调整</w:t>
              <w:br/>
              <w:t xml:space="preserve">7、脉冲输出：有功脉冲输出</w:t>
              <w:br/>
              <w:t xml:space="preserve">8、三</w:t>
            </w:r>
            <w:r>
              <w:rPr>
                <w:rFonts w:ascii="SimSun" w:hAnsi="SimSun" w:eastAsia="SimSun" w:cs="SimSun"/>
                <w:color w:val="000000"/>
                <w:sz w:val="24"/>
              </w:rPr>
              <w:t xml:space="preserve">相不平衡度：电压、电流不平衡度</w:t>
              <w:br/>
              <w:t xml:space="preserve">9、通讯：支持红外通讯RS485接口，470MHz无线传输，NB-IOT无线通讯，4G无线传输，Wifi无线传输，LoraWAN无线传输</w:t>
              <w:br/>
              <w:t xml:space="preserve">其中3套为备品备件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r>
      <w:tr>
        <w:trPr>
          <w:trHeight w:val="78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前端产品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气体监测仪-地下可燃气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供电方式：3.6V 电池供电；</w:t>
              <w:br/>
              <w:t xml:space="preserve">电池容量：不低于76Ah</w:t>
              <w:br/>
              <w:t xml:space="preserve">显示方式：显示屏</w:t>
              <w:br/>
              <w:t xml:space="preserve">显示屏显示内容：甲烷浓度、温度、电池电量、水浸状态、定位状态、振动、信号强度、系统时间等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▲具备远程数据加密功能（提供国家认可的第三方机构出具的具有CMA或CNAS标志的检测报告）</w:t>
              <w:br/>
              <w:t xml:space="preserve">检测对象：甲烷</w:t>
              <w:br/>
              <w:t xml:space="preserve">采样方式：泵吸式</w:t>
              <w:br/>
              <w:t xml:space="preserve">传感器类型：激光传感器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▲防爆类型：不低于 Exia ⅡB T4 Ga；（提供防爆合格证证明）</w:t>
              <w:br/>
              <w:t xml:space="preserve">检测范围:CH4:0-100%LEL:温度:-40-125℃ </w:t>
              <w:br/>
              <w:t xml:space="preserve">检测误差：  CH4：±5%F.S  温度：±2℃  </w:t>
              <w:br/>
              <w:t xml:space="preserve">数据传输:4G或NB-IOT ；</w:t>
              <w:br/>
              <w:t xml:space="preserve">响应时间≤30S</w:t>
              <w:br/>
              <w:t xml:space="preserve">▲基于防腐需求，设备外壳为非金属材质（提供国家认可的第三方机构出具的具有CMA或CNAS标志的检测报告）</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工作温度：-30～70℃；</w:t>
              <w:br/>
              <w:t xml:space="preserve">电池寿命:不低于3年；</w:t>
              <w:br/>
              <w:t xml:space="preserve">防护等级：IP68；</w:t>
              <w:br/>
              <w:t xml:space="preserve">▲具备位移及记录移动轨迹的防盗功能（提供国家认可的第三方机构出具的具有CMA或CNAS标志的检测报告）</w:t>
              <w:br/>
              <w:t xml:space="preserve">▲产品具备周边环境振动报警功能（提供国家认可的第三方机构出具的具有CMA或CNAS标志的检测报告）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r>
      <w:tr>
        <w:trPr>
          <w:trHeight w:val="60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前端产品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点型气体探测器-氯气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检测原理：电化学</w:t>
              <w:br/>
              <w:t xml:space="preserve">采样方式：自然扩散式；</w:t>
              <w:br/>
              <w:t xml:space="preserve">电源：DC24V±6V；</w:t>
              <w:br/>
              <w:t xml:space="preserve">功耗：≤2.5W</w:t>
              <w:br/>
              <w:t xml:space="preserve">输出信号：消防总线；</w:t>
              <w:br/>
              <w:t xml:space="preserve">显示方式：LED数码显示，中文菜单，方便操作；</w:t>
              <w:br/>
              <w:t xml:space="preserve">操作方式：红外遥控</w:t>
              <w:br/>
              <w:t xml:space="preserve">防护等级：IP67；</w:t>
              <w:br/>
              <w:t xml:space="preserve">▲防爆等级：Exd IIC T6 Gb/Ex tD A21 IP67 T80℃。（提供防爆合格证证明）</w:t>
              <w:br/>
              <w:t xml:space="preserve">检测范围：0~10ppm；</w:t>
              <w:br/>
              <w:t xml:space="preserve">检测精度：&lt;±3%F.S</w:t>
              <w:br/>
              <w:t xml:space="preserve">响应时间（t90）：＜15S</w:t>
              <w:br/>
              <w:t xml:space="preserve">声光报警：外接RS166防爆声光报警器</w:t>
              <w:br/>
              <w:t xml:space="preserve">材质：铝合金</w:t>
              <w:br/>
              <w:t xml:space="preserve">电气接口：NPT3/4。</w:t>
              <w:br/>
              <w:t xml:space="preserve">工作环境：温度(-40~+70)℃，湿度≤95</w:t>
            </w:r>
            <w:r>
              <w:rPr>
                <w:rFonts w:ascii="SimSun" w:hAnsi="SimSun" w:eastAsia="SimSun" w:cs="SimSun"/>
                <w:color w:val="000000"/>
                <w:sz w:val="24"/>
              </w:rPr>
              <w:t xml:space="preserve">%RH</w:t>
              <w:br/>
              <w:t xml:space="preserve">线路传输性能：≤1000m（探测器与控制器间)</w:t>
              <w:br/>
              <w:t xml:space="preserve">传感器使用寿命：2年（电化学传感器)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r>
      <w:tr>
        <w:trPr>
          <w:trHeight w:val="60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前端产品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点型气体探测器-燃爆气体</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检测原理：催化燃烧</w:t>
              <w:br/>
              <w:t xml:space="preserve">采样方式：自然扩散式；</w:t>
              <w:br/>
              <w:t xml:space="preserve">电源：DC24V±6V；</w:t>
              <w:br/>
              <w:t xml:space="preserve">功耗：≤2.5W</w:t>
              <w:br/>
              <w:t xml:space="preserve">输出信号：消防总线；</w:t>
              <w:br/>
              <w:t xml:space="preserve">显示方式：LED数码显示，中文菜单，方便操作；</w:t>
              <w:br/>
              <w:t xml:space="preserve">操作方式：红外遥控</w:t>
              <w:br/>
              <w:t xml:space="preserve">防护等级：IP67；</w:t>
              <w:br/>
              <w:t xml:space="preserve">▲防爆等级：Exd IIC T6 Gb/Ex tD A21 IP67 T80℃。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（提供防爆合格证证明）</w:t>
              <w:br/>
              <w:t xml:space="preserve">检测范围：0~100%LEL；</w:t>
              <w:br/>
              <w:t xml:space="preserve">检测精度：&lt;±3%F.S</w:t>
              <w:br/>
              <w:t xml:space="preserve">响应时间（t90）：＜15S</w:t>
              <w:br/>
              <w:t xml:space="preserve">声光报警：外接RS166防爆声光报警器</w:t>
              <w:br/>
              <w:t xml:space="preserve">材质：铝合金</w:t>
              <w:br/>
              <w:t xml:space="preserve">电气接口：NPT3/4。</w:t>
              <w:br/>
              <w:t xml:space="preserve">工作环境：温度(-40~+70)℃，湿度≤95%RH</w:t>
              <w:br/>
              <w:t xml:space="preserve">线路传输性能：≤1000m（探测器与控制器间)</w:t>
              <w:br/>
              <w:t xml:space="preserve">传感器使用寿命：3年（催化传感器)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r>
      <w:tr>
        <w:trPr>
          <w:trHeight w:val="4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前端产品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气体报警控制器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电源:主电源：AC 220V±33V 50Hz±5Hz；备用电源：DC 24V±3V</w:t>
              <w:br/>
              <w:t xml:space="preserve">功率:≤10W（不含外接探测器）</w:t>
              <w:br/>
              <w:t xml:space="preserve">输出供电电压:DC 24V±4V</w:t>
              <w:br/>
              <w:t xml:space="preserve">数字探测器通道:1 路消防总线输入，最多可挂接 16 个探测器</w:t>
              <w:br/>
              <w:t xml:space="preserve">数字上传通道:默认 1 路（RS485），支持控制器上传 MODBUS 协议</w:t>
              <w:br/>
              <w:t xml:space="preserve">（1.5mm²电缆 200m 内本机供电可连接最多 16 个探测器)</w:t>
              <w:br/>
              <w:t xml:space="preserve">继电器:2 路（无源），最高工作电压 AC220V</w:t>
              <w:br/>
              <w:t xml:space="preserve">继电器最大工作电流 :任何电压下，最大工作电路≤3A</w:t>
              <w:br/>
              <w:t xml:space="preserve">脉冲电磁阀驱动输出: 路 24V 脉冲电</w:t>
            </w:r>
            <w:r>
              <w:rPr>
                <w:rFonts w:ascii="SimSun" w:hAnsi="SimSun" w:eastAsia="SimSun" w:cs="SimSun"/>
                <w:color w:val="000000"/>
                <w:sz w:val="24"/>
              </w:rPr>
              <w:t xml:space="preserve">磁阀驱动输出（支持 DN50 及以下电磁阀）</w:t>
              <w:br/>
              <w:t xml:space="preserve">工作温度:0℃～40℃</w:t>
              <w:br/>
              <w:t xml:space="preserve">工作湿度:≤95%RH（非冷凝）</w:t>
              <w:br/>
              <w:t xml:space="preserve">防护等级:IP30</w:t>
              <w:br/>
              <w:t xml:space="preserve">显示方式:单色 LCD 和状态指示灯</w:t>
              <w:br/>
              <w:t xml:space="preserve">报警方式:声（距离 1 米处声压级在 65dB 以上、100dB 以下）、光报警</w:t>
              <w:br/>
              <w:t xml:space="preserve">产品重量:≤5kg</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r>
      <w:tr>
        <w:trPr>
          <w:trHeight w:val="3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后端产品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平台应用服务器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双路通用服务器</w:t>
              <w:br/>
              <w:t xml:space="preserve">技术规格：2U双路标准机架式服务器</w:t>
              <w:br/>
              <w:t xml:space="preserve">CPU：配置2颗C86架构处理器，单处理器物理核心数≥8核，主频≥3.0GHz，末级缓存容量≥16MB，线程数≥16线程，支持内存的最高速率≥3200MHz，通道数≥2，位宽≥64；</w:t>
              <w:br/>
              <w:t xml:space="preserve">内存：配置4根32GDDR4，8根内存插槽；</w:t>
              <w:br/>
              <w:t xml:space="preserve">硬盘：2块1.2T10KSAS硬盘（Raid1），前置最大可选支持12块3.5寸(兼容2.5寸)热插拔SATA/SAS硬盘，后置最大可选支持2块2.5寸热插拔SATA/SAS硬盘，内置最大可选支持2块2.5寸非热插拔SATASSD</w:t>
            </w:r>
            <w:r>
              <w:rPr>
                <w:rFonts w:ascii="SimSun" w:hAnsi="SimSun" w:eastAsia="SimSun" w:cs="SimSun"/>
                <w:color w:val="000000"/>
                <w:sz w:val="24"/>
              </w:rPr>
              <w:t xml:space="preserve">硬盘，板载最大可选支持1个SATAM.2硬盘</w:t>
              <w:br/>
              <w:t xml:space="preserve">阵列卡：配置SAS_HBA卡（支持RAID0/1/10）</w:t>
              <w:br/>
              <w:t xml:space="preserve">PCIE扩展：最大支持4个标准PCIE插槽；</w:t>
              <w:br/>
              <w:t xml:space="preserve">网口：标配板载2个千兆电口和2个PCIE万兆光口，支持选配10GbESFP+等多种网络接口</w:t>
              <w:br/>
              <w:t xml:space="preserve">其他接口：标配1个IPMIRJ-45管理接口，位于机箱后部；7个USB3.0接口4个位于机箱后部，2个位于机箱前部，1个位于机箱内部；2个VGA接口1个位于机箱前部，1个位于机箱后部；</w:t>
              <w:br/>
              <w:t xml:space="preserve">电源：配置550W（1+1）高效铂金CRPS冗余电源</w:t>
              <w:br/>
              <w:t xml:space="preserve">质保2年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r>
    </w:tbl>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附表三：安装调试服务及运维服务需求清单</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12"/>
        <w:gridCol w:w="662"/>
        <w:gridCol w:w="954"/>
        <w:gridCol w:w="4207"/>
        <w:gridCol w:w="616"/>
        <w:gridCol w:w="616"/>
      </w:tblGrid>
      <w:tr>
        <w:trPr>
          <w:trHeight w:val="2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模块名称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子模块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2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主要技术参数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单位</w:t>
            </w:r>
            <w:r/>
          </w:p>
        </w:tc>
      </w:tr>
      <w:tr>
        <w:trPr>
          <w:trHeight w:val="11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安装调式服务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雨污水管网设备安装调式服务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安装智能气体传感器、雷达流量计、液位监测仪；</w:t>
              <w:br/>
              <w:t xml:space="preserve">2. 布设线缆，安装固定支架、防爆接线盒；</w:t>
              <w:br/>
              <w:t xml:space="preserve">3. 连接设备与数据采集仪，做好防水密封；</w:t>
              <w:br/>
              <w:t xml:space="preserve">4. 开展设备通电调试，验证数据采集功能；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r>
      <w:tr>
        <w:trPr>
          <w:trHeight w:val="8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河道监测设备安装调式服务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安装河道水位监测系统、水流速监测仪；</w:t>
              <w:br/>
              <w:t xml:space="preserve">2. 取电系统（含支架、接线箱等）；</w:t>
              <w:br/>
              <w:t xml:space="preserve">3. 调试设备通信与数据传输功能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路面公用配电箱设备安装调式服务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安装配电箱智能电表远程采集终端；</w:t>
              <w:br/>
              <w:t xml:space="preserve">2. 调试设备通信与数据传输功能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地下可燃气监测设备安装调式服务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1、安装地下可燃气体监测仪（设备采用地埋式安装）</w:t>
              <w:br/>
              <w:t xml:space="preserve">2、调式设备通信和数据传输功能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r>
      <w:tr>
        <w:trPr>
          <w:trHeight w:val="14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公用管廊气体探测设备安装调式服务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1、安装公共管廊气体探测器；</w:t>
              <w:br/>
              <w:t xml:space="preserve">2、取电系统（含支架；防爆箱，线缆等耗材）</w:t>
              <w:br/>
              <w:t xml:space="preserve">3、传输系统（气报警控制器与气体探测器之间的有线传输系统，含镀锌管、线缆、支架等）</w:t>
              <w:br/>
              <w:t xml:space="preserve">4、调式设备通信和数据传输功能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r>
      <w:tr>
        <w:trPr>
          <w:trHeight w:val="2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本期建设项目运维服务（2年）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日常巡检及故障维修服务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1.定期巡检本期建设设备；</w:t>
              <w:br/>
              <w:t xml:space="preserve">2.检查设备外观（防腐、防水）、运行状态（指示灯、告警）；</w:t>
              <w:br/>
              <w:t xml:space="preserve">3.检查供电系统（电池电量、UPS状态）、通信链路；</w:t>
              <w:br/>
              <w:t xml:space="preserve">4.记录巡检日志，发现问题及时处理</w:t>
              <w:br/>
              <w:t xml:space="preserve">5. 接收设备故障告警（平台、电话）；</w:t>
              <w:br/>
              <w:t xml:space="preserve">6. 派单至运维人员，明确处置时限；</w:t>
              <w:br/>
              <w:t xml:space="preserve">7. 现场维修（更换传感器、修复通信、处理供电）；</w:t>
              <w:br/>
              <w:t xml:space="preserve">8. 测试修复效果，记录维修日志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r>
      <w:tr>
        <w:trPr>
          <w:trHeight w:val="11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数据及软件维护服务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定期备份监测数据（本地 + 异地）；</w:t>
              <w:br/>
              <w:t xml:space="preserve">2. 清理无效数据，优化数据库性能；</w:t>
              <w:br/>
              <w:t xml:space="preserve">3. 检查数据同步情况（与外部系统）；</w:t>
              <w:br/>
              <w:t xml:space="preserve">4、软件2年的免费维护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r>
      <w:tr>
        <w:trPr>
          <w:trHeight w:val="29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雨水污水管道安全风险监测一期项目运维服务（2年）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日常巡检及故障维修服务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1.定期巡检一期雨污水智能井盖监测仪、沉降位移监测设备；</w:t>
              <w:br/>
              <w:t xml:space="preserve">2.检查设备外观（防腐、防水）、运行状态（指示灯、告警）；</w:t>
              <w:br/>
              <w:t xml:space="preserve">3.检查供电系统（电池电量、UPS状态）、通信链路；</w:t>
              <w:br/>
              <w:t xml:space="preserve">4.记录巡检日志，发现问题及时处理</w:t>
              <w:br/>
              <w:t xml:space="preserve">5. 接收设备故障告警（平台、电话）；</w:t>
              <w:br/>
              <w:t xml:space="preserve">6. 派单至运维人员，明确处置时限；</w:t>
              <w:br/>
              <w:t xml:space="preserve">7. 现场维修（更换传感器、修复通信、处理供电）；</w:t>
              <w:br/>
              <w:t xml:space="preserve">8. 测试修复效果，记录维修日志</w:t>
              <w:br/>
              <w:t xml:space="preserve">9. 雨污水智能井盖检测仪电池维护及报废更换</w:t>
              <w:br/>
              <w:t xml:space="preserve">10.以项目中标期开始算时间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数据维护服务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定期备份监测数据（本地 + 异地）；</w:t>
              <w:br/>
              <w:t xml:space="preserve">2. 清理无效数据，优化数据库性能；</w:t>
              <w:br/>
              <w:t xml:space="preserve">3. 检查数据同步情况（与外部系统）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r>
    </w:tbl>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七、综合说明及其它要求：</w:t>
      </w:r>
      <w:r/>
    </w:p>
    <w:p>
      <w:pPr>
        <w:ind w:left="0" w:right="0" w:firstLine="48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1、投标人必须承诺招标文件中提出的全部技术规格与要求，如果其中某些条款不响应时，应在文件中逐条列出，未列出的视同响应。</w:t>
      </w:r>
      <w:r/>
    </w:p>
    <w:p>
      <w:pPr>
        <w:ind w:left="0" w:right="0" w:firstLine="48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报价包括但不限于为完成本项目全部服务、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及供应商企业利润和政策性文件规定及合同包含的所有风险、责任等各项应有费用，以及投标人认为应纳入的其他一切费用。</w:t>
      </w:r>
      <w:r/>
    </w:p>
    <w:p>
      <w:pPr>
        <w:ind w:left="0" w:right="0" w:firstLine="48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3、投标单位须为本项目配备的所有人员在项目服务期内出现的工伤及其他意外事故，均由投标单位自行负责，采购人不承担任何责任。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4、合同履行期限：910天（其中设备系统安装调试180天，运营服务2年）。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5、交货及安装地点：泰兴市滨江镇。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6、付款方式：合同签订后支付合同金额的30%，项目建设完成并验收合格后支付至合同金额的70%，验收合格一年后的对应日支付至合同金额的90%，验收合格两年后的对应日付清余款。</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7、安装、调试：在货物到达采购方指定地点后，中标人应在3天内派技术人员到达现场，提供安装、调试等服务，并协助采购方组织验收。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8、施工现场要求：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（1）中标人应遵守现场的一切规章制度，按照采购人要求文明施工，施工人员的安全由中标人负责，甲方免责；</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（2）施工现场的协调工作由中标人负责，采购人配合；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（3）中标人负责设备、安装设备（工具）等提供适当的保护、包装或覆盖等处理，负责保管、看护进场的设备及附配件直至验收合格，以免受损；</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（4）在安装、调试期间或保修过程中，中标人负责及时清理现场垃圾；</w:t>
      </w:r>
      <w:r/>
    </w:p>
    <w:p>
      <w:pPr>
        <w:ind w:left="0" w:right="0" w:firstLine="48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（5）在安装、调试期间或保修过程中，对现场原有成品造成的损坏，由中标人负责修复。</w:t>
      </w:r>
      <w:r/>
    </w:p>
    <w:p>
      <w:pPr>
        <w:ind w:left="0" w:right="0" w:firstLine="48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9、验收要求：</w:t>
      </w:r>
      <w:r/>
    </w:p>
    <w:p>
      <w:pPr>
        <w:ind w:left="0" w:right="0" w:firstLine="48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验收标准：中标人提供的货物必须符合我国最新颁布的与之相关的技术规范与标准，同时必须满足招标文件中所列规格、具体配置、技术条件及功能要求和中标人承诺的其它指标。中标人应向采购人提供详细的验收标准、验收手册。当对验收标准有争议时，可委托采购人中标人一致认可的国家相关权威检测中心进行检测，费用由中标人承担，只有在设备完全正常运转和采购人确认后，设备的安装工作才能认为已全部完成。</w:t>
      </w:r>
      <w:r/>
    </w:p>
    <w:p>
      <w:pPr>
        <w:ind w:left="0" w:right="0" w:firstLine="48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9.2验收时采购人将组织验收会议，邀请权威机构或专家参与验收会议，验收会议纪要作为验收的依据；</w:t>
      </w:r>
      <w:r/>
    </w:p>
    <w:p>
      <w:pPr>
        <w:ind w:left="0" w:right="0" w:firstLine="48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10、售后服务要求：</w:t>
      </w:r>
      <w:r/>
    </w:p>
    <w:p>
      <w:pPr>
        <w:ind w:left="0" w:right="0" w:firstLine="48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质保期：项目整体提供2年免费质保，自项目终验合格之日起计算；硬件设备（服务器、传感器、采集终端、线缆等）质保2年，软件系统质保2年。质保期内提供7×24小时远程技术支持、免费硬件更换、免费软件升级、免费数据维护服务。</w:t>
      </w:r>
      <w:r/>
    </w:p>
    <w:p>
      <w:pPr>
        <w:ind w:left="0" w:right="0" w:firstLine="48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10.2故障响应：质保期内系统、设备发生故障，1小时内响应、2小时远程排查、4小时现场处置、24小时闭环；重大故障（系统宕机、大面积离线、安全事件）30分钟响应、1小时到场、4小时恢复。</w:t>
      </w:r>
      <w:r/>
    </w:p>
    <w:p>
      <w:pPr>
        <w:ind w:left="0" w:right="0" w:firstLine="48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10.3免费升级：质保期内免费提供平台功能迭代、安全补丁、信创适配升级。</w:t>
      </w:r>
      <w:r/>
    </w:p>
    <w:p>
      <w:pPr>
        <w:ind w:left="0" w:right="0" w:firstLine="48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10.4备品备件：质保期内提供同型号备品备件，故障时即时更换、不影响运行。</w:t>
      </w:r>
      <w:r/>
    </w:p>
    <w:p>
      <w:pPr>
        <w:ind w:left="0" w:right="0" w:firstLine="48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10.5质保期满服务：质保期满后提供终身优惠维护，硬件更换仅收成本费，软件维护费不超过合同总额5%/年。</w:t>
      </w:r>
      <w:r/>
    </w:p>
    <w:p>
      <w:pPr>
        <w:ind w:left="0" w:right="0" w:firstLine="48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11、培训服务要求</w:t>
      </w:r>
      <w:r/>
    </w:p>
    <w:p>
      <w:pPr>
        <w:ind w:left="0" w:right="0" w:firstLine="48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11.1培训对象：园区管委会管理人员、指挥中心值守人员、运维技术人员、现场操作人员，全覆盖免费培训。</w:t>
      </w:r>
      <w:r/>
    </w:p>
    <w:p>
      <w:pPr>
        <w:ind w:left="0" w:right="0" w:firstLine="48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11.2培训形式：集中授课+现场实操+线上指导+视频教程；提供纸质培训手册、电子版手册、操作视频、FAQ文档。</w:t>
      </w:r>
      <w:r/>
    </w:p>
    <w:p>
      <w:pPr>
        <w:ind w:left="0" w:right="0" w:firstLine="48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11.3培训次数：项目验收前1次集中培训、试运行期间1次实操培训。</w:t>
      </w:r>
      <w:r/>
    </w:p>
    <w:p>
      <w:pPr>
        <w:ind w:left="0" w:right="0" w:firstLine="48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12、保密与数据安全要求</w:t>
      </w:r>
      <w:r/>
    </w:p>
    <w:p>
      <w:pPr>
        <w:ind w:left="0" w:right="0" w:firstLine="48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12.1保密义务：投标人及所有参与项目人员签订保密协议，对项目设计方案、图纸、参数、数据、企业信息、园区涉密内容永久保密，未经甲方书面同意，不得泄露、复制、传播、对外展示。</w:t>
      </w:r>
      <w:r/>
    </w:p>
    <w:p>
      <w:pPr>
        <w:ind w:left="0" w:right="0" w:firstLine="48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12.2数据归属：项目所有数据所有权归甲方，投标人仅拥有使用权，不得用于其他项目、商业推广、第三方共享。</w:t>
      </w:r>
      <w:r/>
    </w:p>
    <w:p>
      <w:pPr>
        <w:ind w:left="0" w:right="0" w:firstLine="48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12.3信创合规：系统、数据库、服务器、操作系统全部国产化信创适配，禁止使用境外涉密组件，数据不出境、不外流。</w:t>
      </w:r>
      <w:r/>
    </w:p>
    <w:p>
      <w:pPr>
        <w:ind w:left="0" w:right="0" w:firstLine="48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12.4违约追责：若发生数据泄露、涉密内容外泄、擅自传播，投标人承担全部法律责任、经济赔偿、合同违约处罚，甲方有权终止合同并追责。</w:t>
      </w:r>
      <w:r/>
    </w:p>
    <w:p>
      <w:pPr>
        <w:ind w:left="0" w:right="0" w:firstLine="48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48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1、供应商按照招标文件的要求提交投标文件，并对所提供的全部资料的真实性承担法律责任。</w:t>
      </w:r>
      <w:r/>
    </w:p>
    <w:p>
      <w:pPr>
        <w:ind w:left="0" w:right="0" w:firstLine="48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2、中标单位将根据招标文件、投标文件的相关约定，承担合同责任，履行合同义务。</w:t>
      </w:r>
      <w:r/>
    </w:p>
    <w:p>
      <w:pPr>
        <w:ind w:left="0" w:right="0" w:firstLine="48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应保证在本项目使用的任何产品（包括部分使用）时，不会产生因第三方提出侵犯其专利权、商标权或其他知识产权而引起的法律和经济纠纷，如因专利权、商标权或其他知识产权而引起法律和经济纠纷，由投标人承担所有相关责任。</w:t>
      </w:r>
      <w:r/>
    </w:p>
    <w:p>
      <w:pPr>
        <w:ind w:left="0" w:right="0" w:firstLine="482"/>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4、除标“▲”内容外，本章内容不允许负偏离，否则视为无效投标。</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pStyle w:val="12"/>
        <w:ind w:left="0" w:right="0" w:firstLine="0"/>
        <w:jc w:val="both"/>
        <w:spacing w:before="340" w:after="330" w:line="1056"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第六章 </w:t>
      </w:r>
      <w:r>
        <w:rPr>
          <w:rFonts w:ascii="SimHei" w:hAnsi="SimHei" w:eastAsia="SimHei" w:cs="SimHei"/>
          <w:b/>
          <w:color w:val="000000"/>
          <w:sz w:val="32"/>
        </w:rPr>
        <w:t xml:space="preserve">投标文件的编制要求及参考格式</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1.投标文件的组成</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见本招标文件第二章3.1条。</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2.投标文件的编制内容及编制要求</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2.1开标一览表</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投标人应按表中格式完整、清晰、正确填写；</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2.1.2开标一览表中的价格应与投标文件中投标报价明细表中的价格一致。</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2.1.3开标一览表格式见附件。</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2.2 投标函</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2.2.1投标人应按表中规定格式完整、清晰、正确填写；</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2.2.2投标函必须加盖投标人法人公章并经法定代表人签字或签章。</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2.3资格条件证明文件</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（1）供应商基本资格条件承诺函；</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（2）招标文件要求的其他资格条件证明材料。</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2.4采购需求响应表</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投标人应仔细阅读招标文件第五章采购需求，结合自身的实际情况，如实编制，格式自拟。</w:t>
      </w:r>
      <w:r>
        <w:rPr>
          <w:rFonts w:ascii="SimSun" w:hAnsi="SimSun" w:eastAsia="SimSun" w:cs="SimSun"/>
          <w:b/>
          <w:color w:val="000000"/>
          <w:sz w:val="24"/>
        </w:rPr>
        <w:t xml:space="preserve">采购需求响应表须详细说明实际提供的服务及其他采购需求中相关要求的响应情况。</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2.5投标人认为应列入投标文件的其他材料</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投标人应对照第三章评标办法中的评审因素，结合自身的实际情况，如实编制，格式自拟。</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3. 投标文件参考格式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3.1投标文件封面格式</w:t>
      </w:r>
      <w:r/>
    </w:p>
    <w:p>
      <w:pPr>
        <w:ind w:left="0" w:right="0" w:firstLine="48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投标文件</w:t>
      </w:r>
      <w:r/>
    </w:p>
    <w:p>
      <w:pPr>
        <w:ind w:left="0" w:right="0" w:firstLine="0"/>
        <w:jc w:val="both"/>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5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采购项目名称：</w:t>
      </w:r>
      <w:r/>
    </w:p>
    <w:p>
      <w:pPr>
        <w:ind w:left="0" w:right="0" w:firstLine="25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采购项目编号：</w:t>
      </w:r>
      <w:r/>
    </w:p>
    <w:p>
      <w:pPr>
        <w:ind w:left="0" w:right="0" w:firstLine="12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2520"/>
        <w:jc w:val="both"/>
        <w:spacing w:before="0" w:after="0" w:line="479" w:lineRule="atLeast"/>
        <w:tabs>
          <w:tab w:val="left" w:pos="27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投标人名称：</w:t>
      </w:r>
      <w:r>
        <w:rPr>
          <w:rFonts w:ascii="SimSun" w:hAnsi="SimSun" w:eastAsia="SimSun" w:cs="SimSun"/>
          <w:color w:val="000000"/>
          <w:sz w:val="28"/>
          <w:u w:val="single"/>
        </w:rPr>
        <w:t xml:space="preserve">  （盖公章）</w:t>
      </w:r>
      <w:r/>
    </w:p>
    <w:p>
      <w:pPr>
        <w:ind w:left="0" w:right="0" w:firstLine="2520"/>
        <w:jc w:val="both"/>
        <w:spacing w:before="0" w:after="0" w:line="479" w:lineRule="atLeast"/>
        <w:tabs>
          <w:tab w:val="left" w:pos="27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联系人：</w:t>
      </w:r>
      <w:r/>
    </w:p>
    <w:p>
      <w:pPr>
        <w:ind w:left="0" w:right="0" w:firstLine="2520"/>
        <w:jc w:val="both"/>
        <w:spacing w:before="0" w:after="0" w:line="479" w:lineRule="atLeast"/>
        <w:tabs>
          <w:tab w:val="left" w:pos="27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联系电话：</w:t>
      </w:r>
      <w:r/>
    </w:p>
    <w:p>
      <w:pPr>
        <w:ind w:left="0" w:right="0" w:firstLine="25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日期：______年____月____日</w:t>
      </w:r>
      <w:r/>
    </w:p>
    <w:p>
      <w:pPr>
        <w:ind w:left="0" w:right="0" w:firstLine="25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3.2 开标一览表</w:t>
      </w:r>
      <w:r/>
    </w:p>
    <w:p>
      <w:pPr>
        <w:pStyle w:val="12"/>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开标一览表</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ff0000"/>
          <w:sz w:val="28"/>
        </w:rPr>
        <w:t xml:space="preserve">按“江苏省政府采购管理交易系统（苏采云）”中格式填写。</w:t>
      </w:r>
      <w:r/>
    </w:p>
    <w:p>
      <w:pPr>
        <w:ind w:left="0" w:right="0" w:firstLine="25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32"/>
        </w:rPr>
        <w:t xml:space="preserve">3.3 投标函</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投</w:t>
      </w:r>
      <w:r>
        <w:rPr>
          <w:rFonts w:ascii="Times New Roman" w:hAnsi="Times New Roman" w:eastAsia="Times New Roman" w:cs="Times New Roman"/>
          <w:color w:val="000000"/>
          <w:sz w:val="44"/>
        </w:rPr>
        <w:t xml:space="preserve"> </w:t>
      </w:r>
      <w:r>
        <w:rPr>
          <w:rFonts w:ascii="SimSun" w:hAnsi="SimSun" w:eastAsia="SimSun" w:cs="SimSun"/>
          <w:color w:val="000000"/>
          <w:sz w:val="44"/>
        </w:rPr>
        <w:t xml:space="preserve">标</w:t>
      </w:r>
      <w:r>
        <w:rPr>
          <w:rFonts w:ascii="Times New Roman" w:hAnsi="Times New Roman" w:eastAsia="Times New Roman" w:cs="Times New Roman"/>
          <w:color w:val="000000"/>
          <w:sz w:val="44"/>
        </w:rPr>
        <w:t xml:space="preserve"> </w:t>
      </w:r>
      <w:r>
        <w:rPr>
          <w:rFonts w:ascii="SimSun" w:hAnsi="SimSun" w:eastAsia="SimSun" w:cs="SimSun"/>
          <w:color w:val="000000"/>
          <w:sz w:val="44"/>
        </w:rPr>
        <w:t xml:space="preserve">函</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(采购人名称)</w:t>
      </w:r>
      <w:r>
        <w:rPr>
          <w:rFonts w:ascii="SimSun" w:hAnsi="SimSun" w:eastAsia="SimSun" w:cs="SimSun"/>
          <w:color w:val="000000"/>
          <w:sz w:val="24"/>
        </w:rPr>
        <w:t xml:space="preserve">：</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w:t>
      </w:r>
      <w:r>
        <w:rPr>
          <w:rFonts w:ascii="SimSun" w:hAnsi="SimSun" w:eastAsia="SimSun" w:cs="SimSun"/>
          <w:color w:val="000000"/>
          <w:sz w:val="24"/>
          <w:u w:val="single"/>
        </w:rPr>
        <w:t xml:space="preserve">   （项目名称）    </w:t>
      </w:r>
      <w:r>
        <w:rPr>
          <w:rFonts w:ascii="SimSun" w:hAnsi="SimSun" w:eastAsia="SimSun" w:cs="SimSun"/>
          <w:color w:val="000000"/>
          <w:sz w:val="24"/>
        </w:rPr>
        <w:t xml:space="preserve">招标文件的所有条款要求，遵照《中华人民共和国政府采购法》、《中华人民共和国政府采购法实施条例》等有关规定，我方承诺如下：</w:t>
      </w:r>
      <w:r/>
    </w:p>
    <w:p>
      <w:pPr>
        <w:ind w:left="240" w:right="0" w:firstLine="319"/>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1、投标总价为（大写）：</w:t>
      </w:r>
      <w:r>
        <w:rPr>
          <w:rFonts w:ascii="SimSun" w:hAnsi="SimSun" w:eastAsia="SimSun" w:cs="SimSun"/>
          <w:color w:val="000000"/>
          <w:sz w:val="24"/>
          <w:u w:val="single"/>
        </w:rPr>
        <w:t xml:space="preserve">         </w:t>
      </w:r>
      <w:r>
        <w:rPr>
          <w:rFonts w:ascii="SimSun" w:hAnsi="SimSun" w:eastAsia="SimSun" w:cs="SimSun"/>
          <w:color w:val="000000"/>
          <w:sz w:val="24"/>
        </w:rPr>
        <w:t xml:space="preserve">。如我方中标，投标总价即为合同价，在履行合同约定的责任和义务的过程中不再要求调增。</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2、合同履行期限：</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3、投标有效期：</w:t>
      </w:r>
      <w:r>
        <w:rPr>
          <w:rFonts w:ascii="SimSun" w:hAnsi="SimSun" w:eastAsia="SimSun" w:cs="SimSun"/>
          <w:color w:val="000000"/>
          <w:sz w:val="24"/>
          <w:u w:val="single"/>
        </w:rPr>
        <w:t xml:space="preserve"> 90天 </w:t>
      </w:r>
      <w:r>
        <w:rPr>
          <w:rFonts w:ascii="SimSun" w:hAnsi="SimSun" w:eastAsia="SimSun" w:cs="SimSun"/>
          <w:color w:val="000000"/>
          <w:sz w:val="24"/>
        </w:rPr>
        <w:t xml:space="preserve">。在投标有效期内我方同意遵守本投标文件中的承诺且在此期限期满之前投标文件对我方具有法律约束力。</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4、我方已详细审查全部招标文件。我们完全理解并同意放弃对这方面有不明及误解的权力。</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我方投标文件中作出的所有承诺，在采购项目评审（评标）环节结束后，随时接受采购人、采购代理机构的检查验证，并自觉配合提供相关证明材料。经调查核实为虚假承诺的，同意视为“提供虚假材料谋取中标、成交”的违法行为，依照《政府采购法》等法律法规承担相应责任。</w:t>
      </w:r>
      <w:r/>
    </w:p>
    <w:p>
      <w:pPr>
        <w:ind w:left="0" w:right="0" w:firstLine="0"/>
        <w:jc w:val="both"/>
        <w:spacing w:before="24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560" w:firstLine="30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投标人名称(盖法人章)：</w:t>
      </w:r>
      <w:r/>
    </w:p>
    <w:p>
      <w:pPr>
        <w:ind w:left="0" w:right="0" w:firstLine="30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法定代表人或授权委托人（签字或盖章）：</w:t>
      </w:r>
      <w:r/>
    </w:p>
    <w:p>
      <w:pPr>
        <w:ind w:left="0" w:right="0" w:firstLine="30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投标分项报价表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83"/>
        <w:gridCol w:w="983"/>
        <w:gridCol w:w="983"/>
        <w:gridCol w:w="1123"/>
        <w:gridCol w:w="994"/>
        <w:gridCol w:w="832"/>
        <w:gridCol w:w="983"/>
        <w:gridCol w:w="983"/>
      </w:tblGrid>
      <w:tr>
        <w:trPr>
          <w:trHeight w:val="85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3" w:type="dxa"/>
            <w:vAlign w:val="center"/>
            <w:textDirection w:val="lrTb"/>
            <w:noWrap w:val="false"/>
          </w:tcPr>
          <w:p>
            <w:pPr>
              <w:ind w:left="0" w:right="0" w:firstLine="0"/>
              <w:jc w:val="center"/>
              <w:spacing w:before="20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货物或服务名称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3" w:type="dxa"/>
            <w:vAlign w:val="center"/>
            <w:textDirection w:val="lrTb"/>
            <w:noWrap w:val="false"/>
          </w:tcPr>
          <w:p>
            <w:pPr>
              <w:ind w:left="0" w:right="0" w:firstLine="0"/>
              <w:jc w:val="center"/>
              <w:spacing w:before="20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3" w:type="dxa"/>
            <w:vAlign w:val="center"/>
            <w:textDirection w:val="lrTb"/>
            <w:noWrap w:val="false"/>
          </w:tcPr>
          <w:p>
            <w:pPr>
              <w:ind w:left="0" w:right="0" w:firstLine="0"/>
              <w:jc w:val="center"/>
              <w:spacing w:before="20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品牌（货物须标注）</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4" w:type="dxa"/>
            <w:vAlign w:val="center"/>
            <w:textDirection w:val="lrTb"/>
            <w:noWrap w:val="false"/>
          </w:tcPr>
          <w:p>
            <w:pPr>
              <w:ind w:left="0" w:right="0" w:firstLine="0"/>
              <w:jc w:val="center"/>
              <w:spacing w:before="20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2" w:type="dxa"/>
            <w:vAlign w:val="center"/>
            <w:textDirection w:val="lrTb"/>
            <w:noWrap w:val="false"/>
          </w:tcPr>
          <w:p>
            <w:pPr>
              <w:ind w:left="0" w:right="0" w:firstLine="0"/>
              <w:jc w:val="center"/>
              <w:spacing w:before="20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3" w:type="dxa"/>
            <w:vAlign w:val="center"/>
            <w:textDirection w:val="lrTb"/>
            <w:noWrap w:val="false"/>
          </w:tcPr>
          <w:p>
            <w:pPr>
              <w:ind w:left="0" w:right="0" w:firstLine="0"/>
              <w:jc w:val="center"/>
              <w:spacing w:before="20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分项单价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3" w:type="dxa"/>
            <w:vAlign w:val="center"/>
            <w:textDirection w:val="lrTb"/>
            <w:noWrap w:val="false"/>
          </w:tcPr>
          <w:p>
            <w:pPr>
              <w:ind w:left="0" w:right="0" w:firstLine="0"/>
              <w:jc w:val="center"/>
              <w:spacing w:before="20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分项总价</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8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w:t>
            </w:r>
            <w:r/>
          </w:p>
        </w:tc>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2" w:type="dxa"/>
            <w:vAlign w:val="top"/>
            <w:textDirection w:val="lrTb"/>
            <w:noWrap w:val="false"/>
          </w:tcPr>
          <w:p>
            <w:pPr>
              <w:ind w:left="0" w:right="0" w:firstLine="0"/>
              <w:spacing w:before="20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金额大写 </w:t>
            </w:r>
            <w:r>
              <w:rPr>
                <w:rFonts w:ascii="SimSun" w:hAnsi="SimSun" w:eastAsia="SimSun" w:cs="SimSun"/>
                <w:color w:val="000000"/>
                <w:sz w:val="24"/>
                <w:u w:val="single"/>
              </w:rPr>
              <w:t xml:space="preserve">                    </w:t>
            </w:r>
            <w:r>
              <w:rPr>
                <w:rFonts w:ascii="SimSun" w:hAnsi="SimSun" w:eastAsia="SimSun" w:cs="SimSun"/>
                <w:color w:val="000000"/>
                <w:sz w:val="24"/>
              </w:rPr>
              <w:t xml:space="preserve"> （¥：              元）</w:t>
            </w:r>
            <w:r/>
          </w:p>
        </w:tc>
      </w:tr>
      <w:tr>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本采购包中提供的符合本国产品标准的产品成本之和占该采购包提供的全部产品成本之和的比例为</w:t>
            </w:r>
            <w:r>
              <w:rPr>
                <w:rFonts w:ascii="SimSun" w:hAnsi="SimSun" w:eastAsia="SimSun" w:cs="SimSun"/>
                <w:color w:val="000000"/>
                <w:sz w:val="21"/>
                <w:u w:val="single"/>
              </w:rPr>
              <w:t xml:space="preserve">     </w:t>
            </w:r>
            <w:r>
              <w:rPr>
                <w:rFonts w:ascii="SimSun" w:hAnsi="SimSun" w:eastAsia="SimSun" w:cs="SimSun"/>
                <w:color w:val="000000"/>
                <w:sz w:val="21"/>
              </w:rPr>
              <w:t xml:space="preserve">%。</w:t>
            </w:r>
            <w:r>
              <w:rPr>
                <w:rFonts w:ascii="SimSun" w:hAnsi="SimSun" w:eastAsia="SimSun" w:cs="SimSun"/>
                <w:b/>
                <w:color w:val="ff0000"/>
                <w:sz w:val="21"/>
              </w:rPr>
              <w:t xml:space="preserve">注：全部产品是指货物或服务采购项目或采购包中包含的全部货物、服务产品。</w:t>
            </w:r>
            <w:r/>
          </w:p>
        </w:tc>
      </w:tr>
    </w:tbl>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为固定单价合同，包括但不限于为完成本项目全部服务、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及供应商企业利润和政策性文件规定及合同包含的所有风险、责任等各项应有费用，以及投标人认为应纳入的其他一切费用。供应商应充分考虑本项目合同实施期间可能发生的费用，并承担由此而带来的风险。“投标总报价”数额为各“分</w:t>
      </w:r>
      <w:r>
        <w:rPr>
          <w:rFonts w:ascii="SimSun" w:hAnsi="SimSun" w:eastAsia="SimSun" w:cs="SimSun"/>
          <w:color w:val="000000"/>
          <w:sz w:val="24"/>
        </w:rPr>
        <w:t xml:space="preserve">项总价”之和。</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2.“投标分项报价表”中“投标总报价”数额应当与“开标一览表”中“投标总报价”数额一致。</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注：全部产品是指货物或服务采购项目或采购包中包含的全部货物、服务产品。</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4.投标人需认真填写本报价表，尤其注意规格型号的准确填写。</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5.项目经办人可以根据项目实际需要对表格结构进行调整。</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3.4供应商资格条件证明文件</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（1）供应商基本资格条件承诺函</w:t>
      </w:r>
      <w:r/>
    </w:p>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供应商基本资格条件承诺函</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一、按照《政府采购法》第二十二条规定的供应商基本资格条件，我公司郑重承诺如下：</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1.我公司具有</w:t>
      </w:r>
      <w:r>
        <w:rPr>
          <w:rFonts w:ascii="SimSun" w:hAnsi="SimSun" w:eastAsia="SimSun" w:cs="SimSun"/>
          <w:color w:val="000000"/>
          <w:sz w:val="24"/>
          <w:highlight w:val="white"/>
        </w:rPr>
        <w:t xml:space="preserve">良好的商业信誉和健全的财务制度；</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2.我公司具有履行合同所必须的设备和专业技术能力；</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3.我公司具有依法缴纳税收和社会保障资金的良好记录；</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4.我公司参加政府采购活动前三年内，在经营活动中没有重大违法记录；</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5.我公司未列入在信用中国网站（www.creditchina.gov.cn）“失信被执行人”、“重大税收违法案件当事人名单”中，也未列入中国政府采购网（www.ccgp.gov.cn）“政府采购严重违法失信行为记录名单”中</w:t>
      </w:r>
      <w:r>
        <w:rPr>
          <w:rFonts w:ascii="SimSun" w:hAnsi="SimSun" w:eastAsia="SimSun" w:cs="SimSun"/>
          <w:color w:val="000000"/>
          <w:sz w:val="24"/>
        </w:rPr>
        <w:t xml:space="preserve">。</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二、</w:t>
      </w:r>
      <w:r>
        <w:rPr>
          <w:rFonts w:ascii="SimSun" w:hAnsi="SimSun" w:eastAsia="SimSun" w:cs="SimSun"/>
          <w:color w:val="000000"/>
          <w:sz w:val="24"/>
        </w:rPr>
        <w:t xml:space="preserve">我公司承诺：在本次投标过程中，我公司不存在本项目招标文件第二章第1.4.3条所列情形之一。</w:t>
      </w:r>
      <w:r/>
    </w:p>
    <w:p>
      <w:pPr>
        <w:ind w:left="0" w:right="0" w:firstLine="39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9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投标人名称(盖法人章)：</w:t>
      </w:r>
      <w:r/>
    </w:p>
    <w:p>
      <w:pPr>
        <w:ind w:left="0" w:right="0" w:firstLine="39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法定代表人或授权委托人（签字或盖章）：</w:t>
      </w:r>
      <w:r/>
    </w:p>
    <w:p>
      <w:pPr>
        <w:ind w:left="0" w:right="0" w:firstLine="39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（2）招标文件要求的其他资格条件及证明材料</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1.具有有效的营业执照（附证书的复印件）；</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2.中小企业声明函（参考格式附后）。</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3.本国产品标准的声明函（参考格式附后）。</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附件：中小企业声明函（服务类项目）</w:t>
      </w:r>
      <w:r/>
    </w:p>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中小企业声明函</w:t>
      </w:r>
      <w:r/>
    </w:p>
    <w:p>
      <w:pPr>
        <w:ind w:left="0" w:right="0" w:firstLine="57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w:t>
      </w:r>
      <w:r>
        <w:rPr>
          <w:rFonts w:ascii="SimSun" w:hAnsi="SimSun" w:eastAsia="SimSun" w:cs="SimSun"/>
          <w:color w:val="000000"/>
          <w:sz w:val="24"/>
          <w:u w:val="single"/>
        </w:rPr>
        <w:t xml:space="preserve"> （单位名称）</w:t>
      </w:r>
      <w:r>
        <w:rPr>
          <w:rFonts w:ascii="SimSun" w:hAnsi="SimSun" w:eastAsia="SimSun" w:cs="SimSun"/>
          <w:color w:val="000000"/>
          <w:sz w:val="24"/>
        </w:rPr>
        <w:t xml:space="preserve">的</w:t>
      </w:r>
      <w:r>
        <w:rPr>
          <w:rFonts w:ascii="SimSun" w:hAnsi="SimSun" w:eastAsia="SimSun" w:cs="SimSun"/>
          <w:color w:val="000000"/>
          <w:sz w:val="24"/>
          <w:u w:val="single"/>
        </w:rPr>
        <w:t xml:space="preserve"> （标的名称）</w:t>
      </w:r>
      <w:r>
        <w:rPr>
          <w:rFonts w:ascii="SimSun" w:hAnsi="SimSun" w:eastAsia="SimSun" w:cs="SimSun"/>
          <w:color w:val="000000"/>
          <w:sz w:val="24"/>
        </w:rPr>
        <w:t xml:space="preserve">采购活动，提供的货物或服务全部由符合政策要求的小微企业提供。相关企业（含联合体中的中小企业、签订分包意向协议的中小企业）的具体情况如下：</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 （标的名称）</w:t>
      </w:r>
      <w:r>
        <w:rPr>
          <w:rFonts w:ascii="SimSun" w:hAnsi="SimSun" w:eastAsia="SimSun" w:cs="SimSun"/>
          <w:color w:val="000000"/>
          <w:sz w:val="24"/>
        </w:rPr>
        <w:t xml:space="preserve">，属于</w:t>
      </w:r>
      <w:r>
        <w:rPr>
          <w:rFonts w:ascii="SimSun" w:hAnsi="SimSun" w:eastAsia="SimSun" w:cs="SimSun"/>
          <w:color w:val="000000"/>
          <w:sz w:val="24"/>
          <w:u w:val="single"/>
        </w:rPr>
        <w:t xml:space="preserve">  （采购文件中明确的所属行业） </w:t>
      </w:r>
      <w:r>
        <w:rPr>
          <w:rFonts w:ascii="SimSun" w:hAnsi="SimSun" w:eastAsia="SimSun" w:cs="SimSun"/>
          <w:color w:val="000000"/>
          <w:sz w:val="24"/>
        </w:rPr>
        <w:t xml:space="preserve">；承建（承接）企业为</w:t>
      </w:r>
      <w:r>
        <w:rPr>
          <w:rFonts w:ascii="SimSun" w:hAnsi="SimSun" w:eastAsia="SimSun" w:cs="SimSun"/>
          <w:color w:val="000000"/>
          <w:sz w:val="24"/>
          <w:u w:val="single"/>
        </w:rPr>
        <w:t xml:space="preserve"> （企业名称）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 （中型企业、小型企业、微型企业）</w:t>
      </w:r>
      <w:r>
        <w:rPr>
          <w:rFonts w:ascii="SimSun" w:hAnsi="SimSun" w:eastAsia="SimSun" w:cs="SimSun"/>
          <w:color w:val="000000"/>
          <w:sz w:val="24"/>
        </w:rPr>
        <w:t xml:space="preserve">；</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（标的名称）</w:t>
      </w:r>
      <w:r>
        <w:rPr>
          <w:rFonts w:ascii="SimSun" w:hAnsi="SimSun" w:eastAsia="SimSun" w:cs="SimSun"/>
          <w:color w:val="000000"/>
          <w:sz w:val="24"/>
        </w:rPr>
        <w:t xml:space="preserve">，属于</w:t>
      </w:r>
      <w:r>
        <w:rPr>
          <w:rFonts w:ascii="SimSun" w:hAnsi="SimSun" w:eastAsia="SimSun" w:cs="SimSun"/>
          <w:color w:val="000000"/>
          <w:sz w:val="24"/>
          <w:u w:val="single"/>
        </w:rPr>
        <w:t xml:space="preserve">  （采购文件中明确的所属行业） </w:t>
      </w:r>
      <w:r>
        <w:rPr>
          <w:rFonts w:ascii="SimSun" w:hAnsi="SimSun" w:eastAsia="SimSun" w:cs="SimSun"/>
          <w:color w:val="000000"/>
          <w:sz w:val="24"/>
        </w:rPr>
        <w:t xml:space="preserve">；承建（承接）企业为</w:t>
      </w:r>
      <w:r>
        <w:rPr>
          <w:rFonts w:ascii="SimSun" w:hAnsi="SimSun" w:eastAsia="SimSun" w:cs="SimSun"/>
          <w:color w:val="000000"/>
          <w:sz w:val="24"/>
          <w:u w:val="single"/>
        </w:rPr>
        <w:t xml:space="preserve"> （企业名称）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 （中型企业、小型企业、微型企业）</w:t>
      </w:r>
      <w:r>
        <w:rPr>
          <w:rFonts w:ascii="SimSun" w:hAnsi="SimSun" w:eastAsia="SimSun" w:cs="SimSun"/>
          <w:color w:val="000000"/>
          <w:sz w:val="24"/>
        </w:rPr>
        <w:t xml:space="preserve">；</w:t>
      </w:r>
      <w:r/>
    </w:p>
    <w:p>
      <w:pPr>
        <w:ind w:left="930" w:right="0" w:firstLine="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57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47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企业名称（盖章）：</w:t>
      </w:r>
      <w:r/>
    </w:p>
    <w:p>
      <w:pPr>
        <w:ind w:left="0" w:right="0" w:firstLine="47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注：1、从业人员、营业收入填报上一年度数据，无上一年度数据的新成立企业可不填报。</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2、供应商如不提供此声明函，价格将不做相应扣除。</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3、供应商提供的声明函内容不实的，属于提供虚假材料谋取中标，依照《中华人民共和国政府采购法》等国家有关规定追究相应责任。</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监狱和戒毒企业（监狱企业）证明</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（注：符合条件的监狱企业请提供，不符合的不提供）</w:t>
      </w:r>
      <w:r/>
    </w:p>
    <w:p>
      <w:pPr>
        <w:ind w:left="0" w:right="0" w:firstLine="0"/>
        <w:spacing w:before="156"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提供由省级以上监狱管理局、戒毒管理局（含新疆生产建设兵团）出具的属于监狱企业的证明文件。</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残疾人福利性单位声明函</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（注：符合条件的残疾人福利性单位请提供本函，不符合的不提供本函）</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w:t>
      </w:r>
      <w:r>
        <w:rPr>
          <w:rFonts w:ascii="Times New Roman" w:hAnsi="Times New Roman" w:eastAsia="Times New Roman" w:cs="Times New Roman"/>
          <w:color w:val="000000"/>
          <w:sz w:val="24"/>
        </w:rPr>
        <w:t xml:space="preserve">2017</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141</w:t>
      </w:r>
      <w:r>
        <w:rPr>
          <w:rFonts w:ascii="SimSun" w:hAnsi="SimSun" w:eastAsia="SimSun" w:cs="SimSun"/>
          <w:color w:val="000000"/>
          <w:sz w:val="24"/>
        </w:rPr>
        <w:t xml:space="preserve">号）的规定，本单位为符合条件的残疾人福利性单位，且本单位参加</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单位的</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项目采购活动提供本单位制造的货物（由本单位承担工程</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提供服务），或者提供其他残疾人福利性单位制造的货物（不包括使用非残疾人福利性单位注册商标的货物）。</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6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单位名称（盖章）：</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6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15" w:after="15" w:line="48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 </w:t>
      </w:r>
      <w:r/>
    </w:p>
    <w:p>
      <w:pPr>
        <w:ind w:left="0" w:right="0" w:firstLine="0"/>
        <w:jc w:val="center"/>
        <w:spacing w:before="15" w:after="15" w:line="48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333333"/>
          <w:sz w:val="30"/>
          <w:highlight w:val="white"/>
        </w:rPr>
        <w:t xml:space="preserve">关于符合本国产品标准的声明函</w:t>
      </w:r>
      <w:r/>
    </w:p>
    <w:p>
      <w:pPr>
        <w:ind w:left="0" w:right="0" w:firstLine="420"/>
        <w:spacing w:before="15" w:after="15" w:line="48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w:t>
      </w:r>
      <w:r>
        <w:rPr>
          <w:rFonts w:ascii="SimSun" w:hAnsi="SimSun" w:eastAsia="SimSun" w:cs="SimSun"/>
          <w:color w:val="000000"/>
          <w:sz w:val="21"/>
          <w:highlight w:val="white"/>
          <w:u w:val="single"/>
        </w:rPr>
        <w:t xml:space="preserve">（产品名称1）</w:t>
      </w:r>
      <w:r>
        <w:rPr>
          <w:rFonts w:ascii="SimSun" w:hAnsi="SimSun" w:eastAsia="SimSun" w:cs="SimSun"/>
          <w:color w:val="000000"/>
          <w:sz w:val="21"/>
          <w:highlight w:val="white"/>
          <w:vertAlign w:val="superscript"/>
        </w:rPr>
        <w:t xml:space="preserve">1</w:t>
      </w:r>
      <w:r>
        <w:rPr>
          <w:rFonts w:ascii="SimSun" w:hAnsi="SimSun" w:eastAsia="SimSun" w:cs="SimSun"/>
          <w:color w:val="000000"/>
          <w:sz w:val="21"/>
          <w:highlight w:val="white"/>
        </w:rPr>
        <w:t xml:space="preserve">，生产厂为</w:t>
      </w:r>
      <w:r>
        <w:rPr>
          <w:rFonts w:ascii="SimSun" w:hAnsi="SimSun" w:eastAsia="SimSun" w:cs="SimSun"/>
          <w:color w:val="000000"/>
          <w:sz w:val="21"/>
          <w:highlight w:val="white"/>
          <w:u w:val="single"/>
        </w:rPr>
        <w:t xml:space="preserve">（厂名）</w:t>
      </w:r>
      <w:r>
        <w:rPr>
          <w:rFonts w:ascii="SimSun" w:hAnsi="SimSun" w:eastAsia="SimSun" w:cs="SimSun"/>
          <w:color w:val="000000"/>
          <w:sz w:val="21"/>
          <w:highlight w:val="white"/>
          <w:vertAlign w:val="superscript"/>
        </w:rPr>
        <w:t xml:space="preserve">2</w:t>
      </w:r>
      <w:r>
        <w:rPr>
          <w:rFonts w:ascii="SimSun" w:hAnsi="SimSun" w:eastAsia="SimSun" w:cs="SimSun"/>
          <w:color w:val="000000"/>
          <w:sz w:val="21"/>
          <w:highlight w:val="white"/>
        </w:rPr>
        <w:t xml:space="preserve">，厂址为</w:t>
      </w:r>
      <w:r>
        <w:rPr>
          <w:rFonts w:ascii="SimSun" w:hAnsi="SimSun" w:eastAsia="SimSun" w:cs="SimSun"/>
          <w:color w:val="000000"/>
          <w:sz w:val="21"/>
          <w:highlight w:val="white"/>
          <w:u w:val="single"/>
        </w:rPr>
        <w:t xml:space="preserve">（生产厂址）</w:t>
      </w:r>
      <w:r>
        <w:rPr>
          <w:rFonts w:ascii="SimSun" w:hAnsi="SimSun" w:eastAsia="SimSun" w:cs="SimSun"/>
          <w:color w:val="000000"/>
          <w:sz w:val="21"/>
          <w:highlight w:val="white"/>
        </w:rPr>
        <w:t xml:space="preserve">。</w:t>
      </w:r>
      <w:r>
        <w:rPr>
          <w:rFonts w:ascii="SimSun" w:hAnsi="SimSun" w:eastAsia="SimSun" w:cs="SimSun"/>
          <w:color w:val="000000"/>
          <w:sz w:val="21"/>
          <w:highlight w:val="white"/>
          <w:u w:val="single"/>
        </w:rPr>
        <w:t xml:space="preserve"> / </w:t>
      </w:r>
      <w:r>
        <w:rPr>
          <w:rFonts w:ascii="SimSun" w:hAnsi="SimSun" w:eastAsia="SimSun" w:cs="SimSun"/>
          <w:color w:val="000000"/>
          <w:sz w:val="21"/>
          <w:highlight w:val="white"/>
        </w:rPr>
        <w:t xml:space="preserve">的中国境内生产的组件成本占比≥</w:t>
      </w:r>
      <w:r>
        <w:rPr>
          <w:rFonts w:ascii="SimSun" w:hAnsi="SimSun" w:eastAsia="SimSun" w:cs="SimSun"/>
          <w:color w:val="000000"/>
          <w:sz w:val="21"/>
          <w:highlight w:val="white"/>
          <w:u w:val="single"/>
        </w:rPr>
        <w:t xml:space="preserve">  /  </w:t>
      </w:r>
      <w:r>
        <w:rPr>
          <w:rFonts w:ascii="SimSun" w:hAnsi="SimSun" w:eastAsia="SimSun" w:cs="SimSun"/>
          <w:color w:val="000000"/>
          <w:sz w:val="21"/>
          <w:highlight w:val="white"/>
          <w:vertAlign w:val="superscript"/>
        </w:rPr>
        <w:t xml:space="preserve">3</w:t>
      </w:r>
      <w:r>
        <w:rPr>
          <w:rFonts w:ascii="SimSun" w:hAnsi="SimSun" w:eastAsia="SimSun" w:cs="SimSun"/>
          <w:color w:val="000000"/>
          <w:sz w:val="21"/>
          <w:highlight w:val="white"/>
        </w:rPr>
        <w:t xml:space="preserve">。</w:t>
      </w:r>
      <w:r>
        <w:rPr>
          <w:rFonts w:ascii="SimSun" w:hAnsi="SimSun" w:eastAsia="SimSun" w:cs="SimSun"/>
          <w:color w:val="000000"/>
          <w:sz w:val="21"/>
          <w:highlight w:val="white"/>
          <w:u w:val="single"/>
        </w:rPr>
        <w:t xml:space="preserve">  /  </w:t>
      </w:r>
      <w:r>
        <w:rPr>
          <w:rFonts w:ascii="SimSun" w:hAnsi="SimSun" w:eastAsia="SimSun" w:cs="SimSun"/>
          <w:color w:val="000000"/>
          <w:sz w:val="21"/>
          <w:highlight w:val="white"/>
        </w:rPr>
        <w:t xml:space="preserve">的</w:t>
      </w:r>
      <w:r>
        <w:rPr>
          <w:rFonts w:ascii="SimSun" w:hAnsi="SimSun" w:eastAsia="SimSun" w:cs="SimSun"/>
          <w:color w:val="000000"/>
          <w:sz w:val="21"/>
          <w:highlight w:val="white"/>
          <w:u w:val="single"/>
        </w:rPr>
        <w:t xml:space="preserve">  /  </w:t>
      </w:r>
      <w:r>
        <w:rPr>
          <w:rFonts w:ascii="SimSun" w:hAnsi="SimSun" w:eastAsia="SimSun" w:cs="SimSun"/>
          <w:color w:val="000000"/>
          <w:sz w:val="21"/>
          <w:highlight w:val="white"/>
          <w:vertAlign w:val="superscript"/>
        </w:rPr>
        <w:t xml:space="preserve">4</w:t>
      </w:r>
      <w:r>
        <w:rPr>
          <w:rFonts w:ascii="SimSun" w:hAnsi="SimSun" w:eastAsia="SimSun" w:cs="SimSun"/>
          <w:color w:val="000000"/>
          <w:sz w:val="21"/>
          <w:highlight w:val="white"/>
        </w:rPr>
        <w:t xml:space="preserve">在中国境内生产。</w:t>
      </w:r>
      <w:r>
        <w:rPr>
          <w:rFonts w:ascii="SimSun" w:hAnsi="SimSun" w:eastAsia="SimSun" w:cs="SimSun"/>
          <w:color w:val="000000"/>
          <w:sz w:val="21"/>
          <w:highlight w:val="white"/>
          <w:u w:val="single"/>
        </w:rPr>
        <w:t xml:space="preserve">  /  </w:t>
      </w:r>
      <w:r>
        <w:rPr>
          <w:rFonts w:ascii="SimSun" w:hAnsi="SimSun" w:eastAsia="SimSun" w:cs="SimSun"/>
          <w:color w:val="000000"/>
          <w:sz w:val="21"/>
          <w:highlight w:val="white"/>
        </w:rPr>
        <w:t xml:space="preserve">的</w:t>
      </w:r>
      <w:r>
        <w:rPr>
          <w:rFonts w:ascii="SimSun" w:hAnsi="SimSun" w:eastAsia="SimSun" w:cs="SimSun"/>
          <w:color w:val="000000"/>
          <w:sz w:val="21"/>
          <w:highlight w:val="white"/>
          <w:u w:val="single"/>
        </w:rPr>
        <w:t xml:space="preserve">  /  </w:t>
      </w:r>
      <w:r>
        <w:rPr>
          <w:rFonts w:ascii="SimSun" w:hAnsi="SimSun" w:eastAsia="SimSun" w:cs="SimSun"/>
          <w:color w:val="000000"/>
          <w:sz w:val="21"/>
          <w:highlight w:val="white"/>
          <w:vertAlign w:val="superscript"/>
        </w:rPr>
        <w:t xml:space="preserve">5</w:t>
      </w:r>
      <w:r>
        <w:rPr>
          <w:rFonts w:ascii="SimSun" w:hAnsi="SimSun" w:eastAsia="SimSun" w:cs="SimSun"/>
          <w:color w:val="000000"/>
          <w:sz w:val="21"/>
          <w:highlight w:val="white"/>
        </w:rPr>
        <w:t xml:space="preserve">在中国境内完成。</w:t>
      </w:r>
      <w:r/>
    </w:p>
    <w:p>
      <w:pPr>
        <w:ind w:left="0" w:right="0"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w:t>
      </w:r>
      <w:r>
        <w:rPr>
          <w:rFonts w:ascii="SimSun" w:hAnsi="SimSun" w:eastAsia="SimSun" w:cs="SimSun"/>
          <w:color w:val="000000"/>
          <w:sz w:val="21"/>
          <w:highlight w:val="white"/>
          <w:u w:val="single"/>
        </w:rPr>
        <w:t xml:space="preserve">（产品名称2）</w:t>
      </w:r>
      <w:r>
        <w:rPr>
          <w:rFonts w:ascii="SimSun" w:hAnsi="SimSun" w:eastAsia="SimSun" w:cs="SimSun"/>
          <w:color w:val="000000"/>
          <w:sz w:val="21"/>
          <w:highlight w:val="white"/>
        </w:rPr>
        <w:t xml:space="preserve">，生产厂为</w:t>
      </w:r>
      <w:r>
        <w:rPr>
          <w:rFonts w:ascii="SimSun" w:hAnsi="SimSun" w:eastAsia="SimSun" w:cs="SimSun"/>
          <w:color w:val="000000"/>
          <w:sz w:val="21"/>
          <w:highlight w:val="white"/>
          <w:u w:val="single"/>
        </w:rPr>
        <w:t xml:space="preserve">（厂名）</w:t>
      </w:r>
      <w:r>
        <w:rPr>
          <w:rFonts w:ascii="SimSun" w:hAnsi="SimSun" w:eastAsia="SimSun" w:cs="SimSun"/>
          <w:color w:val="000000"/>
          <w:sz w:val="21"/>
          <w:highlight w:val="white"/>
        </w:rPr>
        <w:t xml:space="preserve">，厂址为</w:t>
      </w:r>
      <w:r>
        <w:rPr>
          <w:rFonts w:ascii="SimSun" w:hAnsi="SimSun" w:eastAsia="SimSun" w:cs="SimSun"/>
          <w:color w:val="000000"/>
          <w:sz w:val="21"/>
          <w:highlight w:val="white"/>
          <w:u w:val="single"/>
        </w:rPr>
        <w:t xml:space="preserve">（生产厂址）</w:t>
      </w:r>
      <w:r>
        <w:rPr>
          <w:rFonts w:ascii="SimSun" w:hAnsi="SimSun" w:eastAsia="SimSun" w:cs="SimSun"/>
          <w:color w:val="000000"/>
          <w:sz w:val="21"/>
          <w:highlight w:val="white"/>
        </w:rPr>
        <w:t xml:space="preserve">。</w:t>
      </w:r>
      <w:r>
        <w:rPr>
          <w:rFonts w:ascii="SimSun" w:hAnsi="SimSun" w:eastAsia="SimSun" w:cs="SimSun"/>
          <w:color w:val="000000"/>
          <w:sz w:val="21"/>
          <w:highlight w:val="white"/>
          <w:u w:val="single"/>
        </w:rPr>
        <w:t xml:space="preserve"> /  </w:t>
      </w:r>
      <w:r>
        <w:rPr>
          <w:rFonts w:ascii="SimSun" w:hAnsi="SimSun" w:eastAsia="SimSun" w:cs="SimSun"/>
          <w:color w:val="000000"/>
          <w:sz w:val="21"/>
          <w:highlight w:val="white"/>
        </w:rPr>
        <w:t xml:space="preserve">的中国境内生产的组件成本占比≥</w:t>
      </w:r>
      <w:r>
        <w:rPr>
          <w:rFonts w:ascii="SimSun" w:hAnsi="SimSun" w:eastAsia="SimSun" w:cs="SimSun"/>
          <w:color w:val="000000"/>
          <w:sz w:val="21"/>
          <w:highlight w:val="white"/>
          <w:u w:val="single"/>
        </w:rPr>
        <w:t xml:space="preserve">  /  </w:t>
      </w:r>
      <w:r>
        <w:rPr>
          <w:rFonts w:ascii="SimSun" w:hAnsi="SimSun" w:eastAsia="SimSun" w:cs="SimSun"/>
          <w:color w:val="000000"/>
          <w:sz w:val="21"/>
          <w:highlight w:val="white"/>
        </w:rPr>
        <w:t xml:space="preserve">。</w:t>
      </w:r>
      <w:r>
        <w:rPr>
          <w:rFonts w:ascii="SimSun" w:hAnsi="SimSun" w:eastAsia="SimSun" w:cs="SimSun"/>
          <w:color w:val="000000"/>
          <w:sz w:val="21"/>
          <w:highlight w:val="white"/>
          <w:u w:val="single"/>
        </w:rPr>
        <w:t xml:space="preserve">  /  </w:t>
      </w:r>
      <w:r>
        <w:rPr>
          <w:rFonts w:ascii="SimSun" w:hAnsi="SimSun" w:eastAsia="SimSun" w:cs="SimSun"/>
          <w:color w:val="000000"/>
          <w:sz w:val="21"/>
          <w:highlight w:val="white"/>
        </w:rPr>
        <w:t xml:space="preserve">的</w:t>
      </w:r>
      <w:r>
        <w:rPr>
          <w:rFonts w:ascii="SimSun" w:hAnsi="SimSun" w:eastAsia="SimSun" w:cs="SimSun"/>
          <w:color w:val="000000"/>
          <w:sz w:val="21"/>
          <w:highlight w:val="white"/>
          <w:u w:val="single"/>
        </w:rPr>
        <w:t xml:space="preserve">  /  </w:t>
      </w:r>
      <w:r>
        <w:rPr>
          <w:rFonts w:ascii="SimSun" w:hAnsi="SimSun" w:eastAsia="SimSun" w:cs="SimSun"/>
          <w:color w:val="000000"/>
          <w:sz w:val="21"/>
          <w:highlight w:val="white"/>
        </w:rPr>
        <w:t xml:space="preserve">在中国境内生产。</w:t>
      </w:r>
      <w:r>
        <w:rPr>
          <w:rFonts w:ascii="SimSun" w:hAnsi="SimSun" w:eastAsia="SimSun" w:cs="SimSun"/>
          <w:color w:val="000000"/>
          <w:sz w:val="21"/>
          <w:highlight w:val="white"/>
          <w:u w:val="single"/>
        </w:rPr>
        <w:t xml:space="preserve">  /  </w:t>
      </w:r>
      <w:r>
        <w:rPr>
          <w:rFonts w:ascii="SimSun" w:hAnsi="SimSun" w:eastAsia="SimSun" w:cs="SimSun"/>
          <w:color w:val="000000"/>
          <w:sz w:val="21"/>
          <w:highlight w:val="white"/>
        </w:rPr>
        <w:t xml:space="preserve">的</w:t>
      </w:r>
      <w:r>
        <w:rPr>
          <w:rFonts w:ascii="SimSun" w:hAnsi="SimSun" w:eastAsia="SimSun" w:cs="SimSun"/>
          <w:color w:val="000000"/>
          <w:sz w:val="21"/>
          <w:highlight w:val="white"/>
          <w:u w:val="single"/>
        </w:rPr>
        <w:t xml:space="preserve">  /  </w:t>
      </w:r>
      <w:r>
        <w:rPr>
          <w:rFonts w:ascii="SimSun" w:hAnsi="SimSun" w:eastAsia="SimSun" w:cs="SimSun"/>
          <w:color w:val="000000"/>
          <w:sz w:val="21"/>
          <w:highlight w:val="white"/>
        </w:rPr>
        <w:t xml:space="preserve">在中国境内完成。</w:t>
      </w:r>
      <w:r/>
    </w:p>
    <w:p>
      <w:pPr>
        <w:ind w:left="0" w:right="0"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w:t>
      </w:r>
      <w:r/>
    </w:p>
    <w:p>
      <w:pPr>
        <w:ind w:left="0" w:right="0"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本公司（单位）对上述声明内容的真实性负责。如有虚假，愿承担相应法律责任。</w:t>
      </w:r>
      <w:r/>
    </w:p>
    <w:p>
      <w:pPr>
        <w:ind w:left="0" w:right="0" w:firstLine="0"/>
        <w:spacing w:before="30" w:after="30" w:line="48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p>
    <w:p>
      <w:pPr>
        <w:ind w:left="0" w:right="0" w:firstLine="0"/>
        <w:jc w:val="right"/>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公司（单位）名称（加盖CA电子公章）：         </w:t>
      </w:r>
      <w:r/>
    </w:p>
    <w:p>
      <w:pPr>
        <w:ind w:left="0" w:right="0" w:firstLine="0"/>
        <w:jc w:val="center"/>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日期：      年   月   日         </w:t>
      </w:r>
      <w:r/>
    </w:p>
    <w:p>
      <w:pPr>
        <w:ind w:left="0" w:right="0" w:firstLine="0"/>
        <w:spacing w:before="30" w:after="30" w:line="48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p>
    <w:p>
      <w:pPr>
        <w:ind w:left="0" w:right="0" w:firstLine="0"/>
        <w:spacing w:before="30" w:after="30" w:line="48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p>
    <w:p>
      <w:pPr>
        <w:ind w:left="0" w:right="0" w:firstLine="0"/>
        <w:spacing w:before="30" w:after="30" w:line="48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_________________</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1.产品如有型号，请在“产品名称”栏一并填写。</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2.生产厂名与厂址应与生产厂营业执照载明的相关信息保持一致。</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3.该产品的中国境内生产的组件成本占比相关要求实施前，“规定比例”栏可不填，下同。</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4.该产品的关键组件要求实施前，“关键组件”栏可不填，下同。</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5.该产品的关键工序要求实施前，“关键工序”栏可不填，下同。</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6.《声明函》中标注“</w:t>
      </w:r>
      <w:r>
        <w:rPr>
          <w:rFonts w:ascii="SimSun" w:hAnsi="SimSun" w:eastAsia="SimSun" w:cs="SimSun"/>
          <w:color w:val="000000"/>
          <w:sz w:val="21"/>
          <w:highlight w:val="white"/>
          <w:u w:val="single"/>
        </w:rPr>
        <w:t xml:space="preserve">  /  </w:t>
      </w:r>
      <w:r>
        <w:rPr>
          <w:rFonts w:ascii="SimSun" w:hAnsi="SimSun" w:eastAsia="SimSun" w:cs="SimSun"/>
          <w:color w:val="000000"/>
          <w:sz w:val="21"/>
          <w:highlight w:val="white"/>
        </w:rPr>
        <w:t xml:space="preserve">”的地方无需填写。</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3.5设备配置清单表</w:t>
      </w:r>
      <w:r/>
    </w:p>
    <w:p>
      <w:pPr>
        <w:ind w:left="0" w:right="0" w:firstLine="0"/>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设备配置清单表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招标编号：</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60"/>
        <w:gridCol w:w="1445"/>
        <w:gridCol w:w="1445"/>
        <w:gridCol w:w="1445"/>
        <w:gridCol w:w="1445"/>
        <w:gridCol w:w="1205"/>
        <w:gridCol w:w="840"/>
      </w:tblGrid>
      <w:tr>
        <w:trPr>
          <w:trHeight w:val="4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品牌规格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生产厂家</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投标人（公章）：</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法定代表人或授权委托人：（签字或盖章）</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注：1、各投标人可参照上述格式自制《设备清单表》投标。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3.6技术条款响应及偏离表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59"/>
        <w:gridCol w:w="1267"/>
        <w:gridCol w:w="2392"/>
        <w:gridCol w:w="2720"/>
        <w:gridCol w:w="1417"/>
      </w:tblGrid>
      <w:tr>
        <w:trPr>
          <w:trHeight w:val="994"/>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2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23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27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投标文件响应情况</w:t>
            </w:r>
            <w:r/>
          </w:p>
        </w:tc>
        <w:tc>
          <w:tcPr>
            <w:tcBorders>
              <w:top w:val="single" w:color="000000" w:sz="12" w:space="0"/>
              <w:left w:val="single" w:color="000000" w:sz="8" w:space="0"/>
              <w:bottom w:val="single" w:color="000000" w:sz="8" w:space="0"/>
              <w:right w:val="single" w:color="000000" w:sz="12"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偏离说明</w:t>
            </w:r>
            <w:r/>
          </w:p>
        </w:tc>
      </w:tr>
      <w:tr>
        <w:trPr>
          <w:trHeight w:val="414"/>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95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7"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92"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20"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417" w:type="dxa"/>
            <w:vAlign w:val="top"/>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08"/>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95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7"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92"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20"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417" w:type="dxa"/>
            <w:vAlign w:val="top"/>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00"/>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95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7"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92"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20"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417" w:type="dxa"/>
            <w:vAlign w:val="top"/>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19"/>
        </w:trPr>
        <w:tc>
          <w:tcPr>
            <w:tcBorders>
              <w:top w:val="single" w:color="000000" w:sz="8" w:space="0"/>
              <w:left w:val="single" w:color="000000" w:sz="12" w:space="0"/>
              <w:bottom w:val="single" w:color="000000" w:sz="12" w:space="0"/>
              <w:right w:val="single" w:color="000000" w:sz="8" w:space="0"/>
            </w:tcBorders>
            <w:tcMar>
              <w:left w:w="108" w:type="dxa"/>
              <w:top w:w="0" w:type="dxa"/>
              <w:right w:w="108" w:type="dxa"/>
              <w:bottom w:w="0" w:type="dxa"/>
            </w:tcMar>
            <w:tcW w:w="959" w:type="dxa"/>
            <w:vAlign w:val="top"/>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1267"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2392"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2720"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12" w:space="0"/>
              <w:right w:val="single" w:color="000000" w:sz="12" w:space="0"/>
            </w:tcBorders>
            <w:tcMar>
              <w:left w:w="108" w:type="dxa"/>
              <w:top w:w="0" w:type="dxa"/>
              <w:right w:w="108" w:type="dxa"/>
              <w:bottom w:w="0" w:type="dxa"/>
            </w:tcMar>
            <w:tcW w:w="1417" w:type="dxa"/>
            <w:vAlign w:val="top"/>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1.投标人提交的投标文件应对技术条款逐条填列在偏离表中。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2.“偏离说明”一栏选择“正偏离”“无偏离”“负偏离”进行填写。正偏离的确认和无偏离、负偏离的是否响应招标文件，经三分之二评委认定。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3.响应人如果虚假响应，将承担被暂停参加采购人组织政府采购活动的风险。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4.供应商若提供其他增值服务，可以在表中自行据实填写。</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67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投标人名称（盖章）：</w:t>
      </w:r>
      <w:r/>
    </w:p>
    <w:p>
      <w:pPr>
        <w:ind w:left="0" w:right="0" w:firstLine="467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法人或授权委托人（签字或盖章）：</w:t>
      </w:r>
      <w:r/>
    </w:p>
    <w:p>
      <w:pPr>
        <w:ind w:left="0" w:right="0" w:firstLine="483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3.7采购需求响应表(格式自拟）</w:t>
      </w:r>
      <w:r/>
    </w:p>
    <w:p>
      <w:pPr>
        <w:ind w:left="0" w:right="0" w:firstLine="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3.8投标人认为应列入投标文件的其他材料</w:t>
      </w:r>
      <w:r/>
    </w:p>
    <w:p>
      <w:r/>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FangSong">
    <w:panose1 w:val="02010609060101010101"/>
  </w:font>
  <w:font w:name="SimHei">
    <w:panose1 w:val="02010609060101010101"/>
  </w:font>
  <w:font w:name="SimSun">
    <w:panose1 w:val="02010600030101010101"/>
  </w:font>
  <w:font w:name="Microsoft YaHei">
    <w:panose1 w:val="020B0503020204020204"/>
  </w:font>
  <w:font w:name="Times New Roman">
    <w:panose1 w:val="02020603050405020304"/>
  </w:font>
  <w:font w:name="KaiTi">
    <w:panose1 w:val="02010609060101010101"/>
  </w:font>
  <w:font w:name="Symbol">
    <w:panose1 w:val="05050102010706020507"/>
  </w:font>
  <w:font w:name="Wingdings">
    <w:panose1 w:val="05000000000000000000"/>
  </w:font>
  <w:font w:name="Courier New">
    <w:panose1 w:val="020703090202050204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tab"/>
      <w:lvlText w:val="第%1章"/>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decimal"/>
      <w:isLgl w:val="false"/>
      <w:suff w:val="tab"/>
      <w:lvlText w:val="第%1章"/>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9"/>
    <w:next w:val="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9"/>
    <w:next w:val="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9"/>
    <w:next w:val="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9"/>
    <w:next w:val="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9"/>
    <w:next w:val="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9"/>
    <w:next w:val="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9"/>
    <w:next w:val="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9"/>
    <w:next w:val="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9"/>
    <w:next w:val="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9"/>
    <w:next w:val="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9"/>
    <w:next w:val="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9"/>
    <w:next w:val="9"/>
    <w:link w:val="38"/>
    <w:uiPriority w:val="29"/>
    <w:qFormat/>
    <w:pPr>
      <w:ind w:left="720" w:right="720"/>
    </w:pPr>
    <w:rPr>
      <w:i/>
    </w:rPr>
  </w:style>
  <w:style w:type="character" w:styleId="38">
    <w:name w:val="Quote Char"/>
    <w:link w:val="37"/>
    <w:uiPriority w:val="29"/>
    <w:rPr>
      <w:i/>
    </w:rPr>
  </w:style>
  <w:style w:type="paragraph" w:styleId="39">
    <w:name w:val="Intense Quote"/>
    <w:basedOn w:val="9"/>
    <w:next w:val="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9"/>
    <w:next w:val="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9"/>
    <w:next w:val="9"/>
    <w:uiPriority w:val="39"/>
    <w:unhideWhenUsed/>
    <w:pPr>
      <w:ind w:left="0" w:right="0" w:firstLine="0"/>
      <w:spacing w:after="57"/>
    </w:pPr>
  </w:style>
  <w:style w:type="paragraph" w:styleId="181">
    <w:name w:val="toc 2"/>
    <w:basedOn w:val="9"/>
    <w:next w:val="9"/>
    <w:uiPriority w:val="39"/>
    <w:unhideWhenUsed/>
    <w:pPr>
      <w:ind w:left="283" w:right="0" w:firstLine="0"/>
      <w:spacing w:after="57"/>
    </w:pPr>
  </w:style>
  <w:style w:type="paragraph" w:styleId="182">
    <w:name w:val="toc 3"/>
    <w:basedOn w:val="9"/>
    <w:next w:val="9"/>
    <w:uiPriority w:val="39"/>
    <w:unhideWhenUsed/>
    <w:pPr>
      <w:ind w:left="567" w:right="0" w:firstLine="0"/>
      <w:spacing w:after="57"/>
    </w:pPr>
  </w:style>
  <w:style w:type="paragraph" w:styleId="183">
    <w:name w:val="toc 4"/>
    <w:basedOn w:val="9"/>
    <w:next w:val="9"/>
    <w:uiPriority w:val="39"/>
    <w:unhideWhenUsed/>
    <w:pPr>
      <w:ind w:left="850" w:right="0" w:firstLine="0"/>
      <w:spacing w:after="57"/>
    </w:pPr>
  </w:style>
  <w:style w:type="paragraph" w:styleId="184">
    <w:name w:val="toc 5"/>
    <w:basedOn w:val="9"/>
    <w:next w:val="9"/>
    <w:uiPriority w:val="39"/>
    <w:unhideWhenUsed/>
    <w:pPr>
      <w:ind w:left="1134" w:right="0" w:firstLine="0"/>
      <w:spacing w:after="57"/>
    </w:pPr>
  </w:style>
  <w:style w:type="paragraph" w:styleId="185">
    <w:name w:val="toc 6"/>
    <w:basedOn w:val="9"/>
    <w:next w:val="9"/>
    <w:uiPriority w:val="39"/>
    <w:unhideWhenUsed/>
    <w:pPr>
      <w:ind w:left="1417" w:right="0" w:firstLine="0"/>
      <w:spacing w:after="57"/>
    </w:pPr>
  </w:style>
  <w:style w:type="paragraph" w:styleId="186">
    <w:name w:val="toc 7"/>
    <w:basedOn w:val="9"/>
    <w:next w:val="9"/>
    <w:uiPriority w:val="39"/>
    <w:unhideWhenUsed/>
    <w:pPr>
      <w:ind w:left="1701" w:right="0" w:firstLine="0"/>
      <w:spacing w:after="57"/>
    </w:pPr>
  </w:style>
  <w:style w:type="paragraph" w:styleId="187">
    <w:name w:val="toc 8"/>
    <w:basedOn w:val="9"/>
    <w:next w:val="9"/>
    <w:uiPriority w:val="39"/>
    <w:unhideWhenUsed/>
    <w:pPr>
      <w:ind w:left="1984" w:right="0" w:firstLine="0"/>
      <w:spacing w:after="57"/>
    </w:pPr>
  </w:style>
  <w:style w:type="paragraph" w:styleId="188">
    <w:name w:val="toc 9"/>
    <w:basedOn w:val="9"/>
    <w:next w:val="9"/>
    <w:uiPriority w:val="39"/>
    <w:unhideWhenUsed/>
    <w:pPr>
      <w:ind w:left="2268" w:right="0" w:firstLine="0"/>
      <w:spacing w:after="57"/>
    </w:pPr>
  </w:style>
  <w:style w:type="paragraph" w:styleId="189">
    <w:name w:val="TOC Heading"/>
    <w:uiPriority w:val="39"/>
    <w:unhideWhenUsed/>
  </w:style>
  <w:style w:type="paragraph" w:styleId="190">
    <w:name w:val="table of figures"/>
    <w:basedOn w:val="9"/>
    <w:next w:val="9"/>
    <w:uiPriority w:val="99"/>
    <w:unhideWhenUsed/>
    <w:pPr>
      <w:spacing w:after="0" w:afterAutospacing="0"/>
    </w:pPr>
  </w:style>
  <w:style w:type="character" w:styleId="601" w:default="1">
    <w:name w:val="Default Paragraph Font"/>
    <w:uiPriority w:val="1"/>
    <w:semiHidden/>
    <w:unhideWhenUsed/>
  </w:style>
  <w:style w:type="numbering" w:styleId="602" w:default="1">
    <w:name w:val="No List"/>
    <w:uiPriority w:val="99"/>
    <w:semiHidden/>
    <w:unhideWhenUsed/>
  </w:style>
  <w:style w:type="paragraph" w:styleId="603" w:default="1">
    <w:name w:val="Normal"/>
    <w:qFormat/>
  </w:style>
  <w:style w:type="table" w:styleId="60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李亮</cp:lastModifiedBy>
  <cp:revision>1</cp:revision>
  <dcterms:created xsi:type="dcterms:W3CDTF">2026-06-23T11:58:20Z</dcterms:created>
  <dcterms:modified xsi:type="dcterms:W3CDTF">2026-06-24T06:09:19Z</dcterms:modified>
</cp:coreProperties>
</file>