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auto"/>
          <w:highlight w:val="none"/>
        </w:rPr>
      </w:pPr>
      <w:r/>
      <w:bookmarkStart w:id="0" w:name="_Toc13642114"/>
      <w:r/>
      <w:bookmarkStart w:id="1" w:name="_Toc142194265"/>
      <w:r>
        <w:rPr>
          <w:rFonts w:hint="eastAsia" w:ascii="宋体" w:hAnsi="宋体" w:cs="宋体"/>
          <w:b/>
          <w:color w:val="auto"/>
          <w:sz w:val="32"/>
          <w:highlight w:val="none"/>
        </w:rPr>
        <w:t xml:space="preserve">招标公告</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2" w:name="_Hlk45004396"/>
      <w:r>
        <w:rPr>
          <w:rFonts w:hint="eastAsia" w:ascii="宋体" w:hAnsi="宋体"/>
          <w:color w:val="auto"/>
          <w:sz w:val="24"/>
          <w:szCs w:val="24"/>
          <w:highlight w:val="none"/>
        </w:rPr>
        <w:t xml:space="preserve">项目概况</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椎间孔镜等设备</w:t>
      </w:r>
      <w:r>
        <w:rPr>
          <w:rFonts w:hint="eastAsia" w:ascii="宋体" w:hAnsi="宋体"/>
          <w:color w:val="auto"/>
          <w:sz w:val="24"/>
          <w:szCs w:val="24"/>
          <w:highlight w:val="none"/>
        </w:rPr>
        <w:t xml:space="preserve">招标项目的潜在投标人应在苏采云系统通过网上获取招标文件，并于</w:t>
      </w:r>
      <w:r>
        <w:rPr>
          <w:rFonts w:hint="eastAsia" w:ascii="宋体" w:hAnsi="宋体"/>
          <w:color w:val="auto"/>
          <w:sz w:val="24"/>
          <w:szCs w:val="24"/>
          <w:highlight w:val="none"/>
          <w:u w:val="single"/>
          <w:lang w:eastAsia="zh-CN"/>
        </w:rPr>
        <w:t xml:space="preserve">2026年7月2日9点30分</w:t>
      </w:r>
      <w:r>
        <w:rPr>
          <w:rFonts w:hint="eastAsia" w:ascii="宋体" w:hAnsi="宋体"/>
          <w:color w:val="auto"/>
          <w:sz w:val="24"/>
          <w:szCs w:val="24"/>
          <w:highlight w:val="none"/>
        </w:rPr>
        <w:t xml:space="preserve">（北京时间）前在系统中上传电子投标文件。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bookmarkEnd w:id="2"/>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JSZC-320500-SZWK-G2026-0153</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椎间孔镜等设备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3、采购预算及最高限价：</w:t>
      </w:r>
      <w:r/>
    </w:p>
    <w:tbl>
      <w:tblPr>
        <w:tblStyle w:val="679"/>
        <w:tblW w:w="86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3437"/>
        <w:gridCol w:w="2188"/>
        <w:gridCol w:w="2189"/>
      </w:tblGrid>
      <w:tr>
        <w:trPr>
          <w:jc w:val="center"/>
          <w:trHeight w:val="659"/>
        </w:trPr>
        <w:tc>
          <w:tcPr>
            <w:tcW w:w="793" w:type="dxa"/>
            <w:vAlign w:val="center"/>
            <w:textDirection w:val="lrTb"/>
            <w:noWrap w:val="false"/>
          </w:tcPr>
          <w:p>
            <w:pPr>
              <w:pStyle w:val="779"/>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437" w:type="dxa"/>
            <w:vAlign w:val="center"/>
            <w:textDirection w:val="lrTb"/>
            <w:noWrap w:val="false"/>
          </w:tcPr>
          <w:p>
            <w:pPr>
              <w:pStyle w:val="779"/>
              <w:ind w:left="420"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采购内容</w:t>
            </w:r>
            <w:r/>
          </w:p>
        </w:tc>
        <w:tc>
          <w:tcPr>
            <w:tcW w:w="2188" w:type="dxa"/>
            <w:vAlign w:val="center"/>
            <w:textDirection w:val="lrTb"/>
            <w:noWrap w:val="false"/>
          </w:tcPr>
          <w:p>
            <w:pPr>
              <w:pStyle w:val="779"/>
              <w:ind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预算金额（万元）</w:t>
            </w:r>
            <w:r/>
          </w:p>
        </w:tc>
        <w:tc>
          <w:tcPr>
            <w:tcW w:w="2189" w:type="dxa"/>
            <w:vAlign w:val="center"/>
            <w:textDirection w:val="lrTb"/>
            <w:noWrap w:val="false"/>
          </w:tcPr>
          <w:p>
            <w:pPr>
              <w:pStyle w:val="779"/>
              <w:ind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最高限价（万元）</w:t>
            </w:r>
            <w:r/>
          </w:p>
        </w:tc>
      </w:tr>
      <w:tr>
        <w:trPr>
          <w:jc w:val="center"/>
          <w:trHeight w:val="659"/>
        </w:trPr>
        <w:tc>
          <w:tcPr>
            <w:tcW w:w="793" w:type="dxa"/>
            <w:vAlign w:val="center"/>
            <w:textDirection w:val="lrTb"/>
            <w:noWrap w:val="false"/>
          </w:tcPr>
          <w:p>
            <w:pPr>
              <w:pStyle w:val="779"/>
              <w:ind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3437" w:type="dxa"/>
            <w:vAlign w:val="center"/>
            <w:textDirection w:val="lrTb"/>
            <w:noWrap w:val="false"/>
          </w:tcPr>
          <w:p>
            <w:pPr>
              <w:pStyle w:val="779"/>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椎间孔镜等设备</w:t>
            </w:r>
            <w:r/>
          </w:p>
        </w:tc>
        <w:tc>
          <w:tcPr>
            <w:tcW w:w="2188" w:type="dxa"/>
            <w:vAlign w:val="center"/>
            <w:textDirection w:val="lrTb"/>
            <w:noWrap w:val="false"/>
          </w:tcPr>
          <w:p>
            <w:pPr>
              <w:pStyle w:val="779"/>
              <w:ind w:firstLine="0"/>
              <w:jc w:val="center"/>
              <w:spacing w:line="320" w:lineRule="exact"/>
              <w:widowControl w:val="off"/>
              <w:tabs>
                <w:tab w:val="left" w:pos="5100" w:leader="none"/>
              </w:tabs>
              <w:rPr>
                <w:rFonts w:hint="default" w:ascii="宋体" w:hAnsi="宋体" w:eastAsia="宋体"/>
                <w:color w:val="auto"/>
                <w:sz w:val="24"/>
                <w:szCs w:val="24"/>
                <w:highlight w:val="none"/>
                <w:lang w:val="en-US"/>
              </w:rPr>
            </w:pPr>
            <w:r>
              <w:rPr>
                <w:rFonts w:hint="eastAsia" w:ascii="宋体" w:hAnsi="宋体"/>
                <w:color w:val="auto"/>
                <w:sz w:val="24"/>
                <w:szCs w:val="24"/>
                <w:highlight w:val="none"/>
                <w:lang w:val="en-US" w:eastAsia="zh-CN"/>
              </w:rPr>
              <w:t xml:space="preserve">118</w:t>
            </w:r>
            <w:r/>
          </w:p>
        </w:tc>
        <w:tc>
          <w:tcPr>
            <w:tcW w:w="2189" w:type="dxa"/>
            <w:vAlign w:val="center"/>
            <w:textDirection w:val="lrTb"/>
            <w:noWrap w:val="false"/>
          </w:tcPr>
          <w:p>
            <w:pPr>
              <w:pStyle w:val="779"/>
              <w:ind w:firstLine="0"/>
              <w:jc w:val="center"/>
              <w:spacing w:line="320" w:lineRule="exact"/>
              <w:widowControl w:val="off"/>
              <w:tabs>
                <w:tab w:val="left" w:pos="5100" w:leader="none"/>
              </w:tabs>
              <w:rPr>
                <w:rFonts w:hint="eastAsia" w:ascii="宋体" w:hAnsi="宋体" w:eastAsia="宋体"/>
                <w:color w:val="auto"/>
                <w:sz w:val="24"/>
                <w:szCs w:val="24"/>
                <w:highlight w:val="none"/>
              </w:rPr>
            </w:pPr>
            <w:r>
              <w:rPr>
                <w:rFonts w:hint="eastAsia" w:ascii="宋体" w:hAnsi="宋体"/>
                <w:color w:val="auto"/>
                <w:sz w:val="24"/>
                <w:szCs w:val="24"/>
                <w:highlight w:val="none"/>
                <w:lang w:eastAsia="zh-CN"/>
              </w:rPr>
              <w:t xml:space="preserve">70</w:t>
            </w:r>
            <w:r/>
          </w:p>
        </w:tc>
      </w:tr>
    </w:tbl>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4、采购需求的简要说明：</w:t>
      </w:r>
      <w:r>
        <w:rPr>
          <w:rFonts w:hint="eastAsia" w:ascii="宋体" w:hAnsi="宋体" w:cs="宋体"/>
          <w:color w:val="auto"/>
          <w:sz w:val="24"/>
          <w:szCs w:val="24"/>
          <w:highlight w:val="none"/>
          <w:lang w:val="en-US" w:eastAsia="zh-CN"/>
        </w:rPr>
        <w:t xml:space="preserve">包含内窥镜摄像系统、等离子手术设备、高频手术设备、手术动力设备等</w:t>
      </w:r>
      <w:r>
        <w:rPr>
          <w:rFonts w:hint="eastAsia" w:ascii="宋体" w:hAnsi="宋体" w:cs="宋体"/>
          <w:color w:val="auto"/>
          <w:sz w:val="24"/>
          <w:szCs w:val="24"/>
          <w:highlight w:val="none"/>
          <w:lang w:eastAsia="zh-CN"/>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color w:val="auto"/>
          <w:highlight w:val="none"/>
        </w:rPr>
      </w:pPr>
      <w:r>
        <w:rPr>
          <w:rFonts w:hint="eastAsia" w:ascii="宋体" w:hAnsi="宋体" w:cs="宋体"/>
          <w:color w:val="auto"/>
          <w:sz w:val="24"/>
          <w:szCs w:val="24"/>
          <w:highlight w:val="none"/>
        </w:rPr>
        <w:t xml:space="preserve">（1）交货期限：合同签订之日起</w:t>
      </w:r>
      <w:r>
        <w:rPr>
          <w:rFonts w:hint="eastAsia" w:ascii="宋体" w:hAnsi="宋体" w:cs="宋体"/>
          <w:color w:val="auto"/>
          <w:sz w:val="24"/>
          <w:szCs w:val="24"/>
          <w:highlight w:val="none"/>
          <w:lang w:val="en-US" w:eastAsia="zh-CN"/>
        </w:rPr>
        <w:t xml:space="preserve">90</w:t>
      </w:r>
      <w:r>
        <w:rPr>
          <w:rFonts w:hint="eastAsia" w:ascii="宋体" w:hAnsi="宋体" w:cs="宋体"/>
          <w:color w:val="auto"/>
          <w:sz w:val="24"/>
          <w:szCs w:val="24"/>
          <w:highlight w:val="none"/>
        </w:rPr>
        <w:t xml:space="preserve">天内完成交货并安装调试验收完毕。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免费质保期详见采购需求</w:t>
      </w:r>
      <w:r>
        <w:rPr>
          <w:rFonts w:hint="eastAsia" w:ascii="宋体" w:hAnsi="宋体" w:cs="宋体"/>
          <w:color w:val="auto"/>
          <w:sz w:val="24"/>
          <w:szCs w:val="24"/>
          <w:highlight w:val="none"/>
          <w:lang w:val="zh-CN"/>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（3）验收标准：采购方根据国家和行业标准及招投标文件内容进行验收。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6、本项目不接受联合体投标。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7、本项目</w:t>
      </w:r>
      <w:r>
        <w:rPr>
          <w:rFonts w:hint="eastAsia" w:ascii="宋体" w:hAnsi="宋体" w:cs="宋体"/>
          <w:color w:val="auto"/>
          <w:sz w:val="24"/>
          <w:szCs w:val="24"/>
          <w:highlight w:val="none"/>
          <w:lang w:val="en-US" w:eastAsia="zh-CN"/>
        </w:rPr>
        <w:t xml:space="preserve">不</w:t>
      </w:r>
      <w:r>
        <w:rPr>
          <w:rFonts w:hint="eastAsia" w:ascii="宋体" w:hAnsi="宋体" w:cs="宋体"/>
          <w:color w:val="auto"/>
          <w:sz w:val="24"/>
          <w:szCs w:val="24"/>
          <w:highlight w:val="none"/>
        </w:rPr>
        <w:t xml:space="preserve">接受进口产品投标。</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、本项目非专门面向中小企业采购，所属行业为工业。</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二、申请人的资格要求：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2.落实政府采购政策需满足的资格要求：无</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本项目的特定资格要求：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1、获取时间：自招标公告发布之日起五个工作日</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四、上传投标文件截止时间、开标时间和地点</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1、上传投标文件截止时间：</w:t>
      </w:r>
      <w:r>
        <w:rPr>
          <w:rFonts w:hint="eastAsia" w:ascii="宋体" w:hAnsi="宋体"/>
          <w:color w:val="auto"/>
          <w:sz w:val="24"/>
          <w:szCs w:val="24"/>
          <w:highlight w:val="none"/>
          <w:lang w:eastAsia="zh-CN"/>
        </w:rPr>
        <w:t xml:space="preserve">2026年7月2日9点30分</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olor w:val="auto"/>
          <w:sz w:val="24"/>
          <w:szCs w:val="24"/>
          <w:highlight w:val="none"/>
          <w:lang w:eastAsia="zh-CN"/>
        </w:rPr>
        <w:t xml:space="preserve">2026年7月2日9点30分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、投标保证金：本项目无需缴纳投标保证金。</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、苏州市财政局政府采购管理处监督电话：0512-68616651。</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、政府采购履约资金扶持政策：中标供应商可凭政府采购合同办理融资贷款，详情请见江苏政府采购网“政采贷”专栏。</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七、对本次招标提出询问，请按以下方式联系。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苏州市立医院</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王俊文</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0512-62362603</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地址：苏州市干将西路1296号深业姑苏中心17层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联系方式：0512-69165625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项目联系人：陈璐佳、李晶晶</w:t>
      </w:r>
      <w:r/>
    </w:p>
    <w:p>
      <w:pPr>
        <w:pStyle w:val="769"/>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电话：0512-69165615</w:t>
      </w:r>
      <w:r/>
    </w:p>
    <w:p>
      <w:pPr>
        <w:pStyle w:val="769"/>
        <w:ind w:right="-625" w:firstLine="4560"/>
        <w:jc w:val="righ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苏州市卫康招投标咨询服务有限公司</w:t>
      </w:r>
      <w:r/>
    </w:p>
    <w:p>
      <w:pPr>
        <w:rPr>
          <w:rFonts w:ascii="宋体" w:hAnsi="宋体"/>
          <w:color w:val="auto"/>
          <w:sz w:val="24"/>
          <w:szCs w:val="24"/>
          <w:highlight w:val="none"/>
        </w:rPr>
      </w:pPr>
      <w:r>
        <w:rPr>
          <w:rFonts w:ascii="宋体" w:hAnsi="宋体"/>
          <w:color w:val="auto"/>
          <w:sz w:val="24"/>
          <w:szCs w:val="24"/>
          <w:highlight w:val="none"/>
        </w:rPr>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br w:type="page" w:clear="all"/>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highlight w:val="none"/>
        </w:rPr>
      </w:pPr>
      <w:r>
        <w:rPr>
          <w:rFonts w:ascii="宋体" w:hAnsi="宋体"/>
          <w:color w:val="auto"/>
          <w:highlight w:val="none"/>
        </w:rPr>
      </w:r>
      <w:r/>
    </w:p>
    <w:p>
      <w:pPr>
        <w:jc w:val="center"/>
        <w:spacing w:line="480" w:lineRule="auto"/>
        <w:rPr>
          <w:rFonts w:ascii="宋体" w:hAnsi="宋体"/>
          <w:color w:val="auto"/>
          <w:sz w:val="30"/>
          <w:highlight w:val="none"/>
        </w:rPr>
      </w:pPr>
      <w:r>
        <w:rPr>
          <w:rFonts w:ascii="宋体" w:hAnsi="宋体"/>
          <w:color w:val="auto"/>
          <w:sz w:val="30"/>
          <w:highlight w:val="none"/>
        </w:rPr>
      </w:r>
      <w:r/>
    </w:p>
    <w:p>
      <w:pPr>
        <w:ind w:firstLine="1800"/>
        <w:spacing w:line="480" w:lineRule="auto"/>
        <w:rPr>
          <w:rFonts w:hint="eastAsia" w:ascii="宋体" w:hAnsi="宋体" w:eastAsia="宋体"/>
          <w:color w:val="auto"/>
          <w:sz w:val="30"/>
          <w:szCs w:val="30"/>
          <w:highlight w:val="none"/>
        </w:rPr>
      </w:pP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JSZC-320500-SZWK-G2026-0153</w:t>
      </w:r>
      <w:r/>
    </w:p>
    <w:p>
      <w:pPr>
        <w:ind w:firstLine="1800"/>
        <w:spacing w:line="480" w:lineRule="auto"/>
        <w:rPr>
          <w:rFonts w:hint="eastAsia"/>
          <w:color w:val="auto"/>
          <w:sz w:val="30"/>
          <w:szCs w:val="30"/>
          <w:highlight w:val="none"/>
        </w:rPr>
      </w:pPr>
      <w:r>
        <w:rPr>
          <w:rFonts w:hint="eastAsia"/>
          <w:color w:val="auto"/>
          <w:sz w:val="30"/>
          <w:szCs w:val="30"/>
          <w:highlight w:val="none"/>
        </w:rPr>
        <w:t xml:space="preserve">采购项目：</w:t>
      </w:r>
      <w:r>
        <w:rPr>
          <w:rFonts w:hint="eastAsia"/>
          <w:color w:val="auto"/>
          <w:sz w:val="30"/>
          <w:szCs w:val="30"/>
          <w:highlight w:val="none"/>
          <w:lang w:eastAsia="zh-CN"/>
        </w:rPr>
        <w:t xml:space="preserve">椎间孔镜等设备</w:t>
      </w:r>
      <w:r/>
    </w:p>
    <w:p>
      <w:pPr>
        <w:ind w:firstLine="1800"/>
        <w:spacing w:line="480" w:lineRule="auto"/>
        <w:rPr>
          <w:rFonts w:hint="eastAsia" w:ascii="宋体" w:hAnsi="宋体" w:eastAsia="宋体" w:cs="宋体"/>
          <w:color w:val="auto"/>
          <w:sz w:val="30"/>
          <w:szCs w:val="30"/>
          <w:highlight w:val="none"/>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lang w:eastAsia="zh-CN"/>
        </w:rPr>
        <w:t xml:space="preserve">苏州市立医院</w:t>
      </w:r>
      <w:r/>
    </w:p>
    <w:p>
      <w:pPr>
        <w:ind w:right="-159"/>
        <w:spacing w:line="480" w:lineRule="auto"/>
        <w:rPr>
          <w:rFonts w:ascii="宋体" w:hAnsi="宋体"/>
          <w:color w:val="auto"/>
          <w:sz w:val="30"/>
          <w:szCs w:val="24"/>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1654810</wp:posOffset>
                </wp:positionH>
                <wp:positionV relativeFrom="paragraph">
                  <wp:posOffset>330835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0.3pt;mso-position-horizontal:absolute;mso-position-vertical-relative:text;margin-top:26.0pt;mso-position-vertical:absolute;width:170.5pt;height:80.0pt;mso-wrap-distance-left:0.0pt;mso-wrap-distance-top:0.0pt;mso-wrap-distance-right:0.0pt;mso-wrap-distance-bottom:0.0pt;" stroked="f">
                <v:path textboxrect="0,0,0,0"/>
                <w10:wrap type="square"/>
                <v:imagedata r:id="rId12" o:title=""/>
              </v:shape>
            </w:pict>
          </mc:Fallback>
        </mc:AlternateContent>
      </w:r>
      <w:r/>
    </w:p>
    <w:p>
      <w:pPr>
        <w:ind w:firstLine="600"/>
        <w:rPr>
          <w:rFonts w:ascii="宋体" w:hAnsi="宋体"/>
          <w:color w:val="auto"/>
          <w:sz w:val="30"/>
          <w:highlight w:val="none"/>
        </w:rPr>
      </w:pPr>
      <w:r>
        <w:rPr>
          <w:rFonts w:ascii="宋体" w:hAnsi="宋体"/>
          <w:color w:val="auto"/>
          <w:sz w:val="30"/>
          <w:highlight w:val="none"/>
        </w:rPr>
      </w:r>
      <w:r/>
    </w:p>
    <w:p>
      <w:pPr>
        <w:ind w:firstLine="422"/>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szCs w:val="30"/>
          <w:highlight w:val="none"/>
        </w:rPr>
      </w:pPr>
      <w:r>
        <w:rPr>
          <w:rFonts w:ascii="宋体" w:hAnsi="宋体"/>
          <w:color w:val="auto"/>
          <w:sz w:val="30"/>
          <w:szCs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ascii="宋体" w:hAnsi="宋体"/>
          <w:color w:val="auto"/>
          <w:sz w:val="30"/>
          <w:szCs w:val="30"/>
          <w:highlight w:val="none"/>
        </w:rPr>
      </w:pPr>
      <w:r>
        <w:rPr>
          <w:rFonts w:hint="eastAsia" w:ascii="宋体" w:hAnsi="宋体"/>
          <w:color w:val="auto"/>
          <w:sz w:val="30"/>
          <w:highlight w:val="none"/>
        </w:rPr>
        <w:t xml:space="preserve">苏州市卫康招投标咨询服务有限公司</w:t>
      </w:r>
      <w:r/>
    </w:p>
    <w:p>
      <w:pPr>
        <w:jc w:val="center"/>
        <w:spacing w:line="300" w:lineRule="auto"/>
        <w:rPr>
          <w:rFonts w:hint="eastAsia" w:ascii="宋体" w:hAnsi="宋体"/>
          <w:color w:val="auto"/>
          <w:sz w:val="30"/>
          <w:highlight w:val="none"/>
        </w:rPr>
      </w:pPr>
      <w:r>
        <w:rPr>
          <w:rFonts w:hint="eastAsia" w:ascii="宋体" w:hAnsi="宋体"/>
          <w:color w:val="auto"/>
          <w:sz w:val="30"/>
          <w:highlight w:val="none"/>
        </w:rPr>
      </w:r>
      <w:r/>
    </w:p>
    <w:p>
      <w:pPr>
        <w:jc w:val="center"/>
        <w:spacing w:line="300" w:lineRule="auto"/>
        <w:rPr>
          <w:rFonts w:ascii="宋体" w:hAnsi="宋体"/>
          <w:b/>
          <w:bCs/>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六</w:t>
      </w:r>
      <w:r>
        <w:rPr>
          <w:rFonts w:hint="eastAsia" w:ascii="宋体" w:hAnsi="宋体"/>
          <w:color w:val="auto"/>
          <w:sz w:val="30"/>
          <w:highlight w:val="none"/>
          <w:lang w:val="en-US" w:eastAsia="zh-CN"/>
        </w:rPr>
      </w:r>
      <w:r>
        <w:rPr>
          <w:rFonts w:hint="eastAsia" w:ascii="宋体" w:hAnsi="宋体"/>
          <w:color w:val="auto"/>
          <w:sz w:val="30"/>
          <w:highlight w:val="none"/>
        </w:rPr>
        <w:t xml:space="preserve">月</w:t>
      </w:r>
      <w:r/>
    </w:p>
    <w:p>
      <w:pPr>
        <w:jc w:val="center"/>
        <w:rPr>
          <w:b/>
          <w:bCs/>
          <w:color w:val="auto"/>
          <w:spacing w:val="20"/>
          <w:sz w:val="30"/>
          <w:szCs w:val="20"/>
          <w:highlight w:val="none"/>
        </w:rPr>
      </w:pPr>
      <w:r>
        <w:rPr>
          <w:color w:val="auto"/>
          <w:highlight w:val="none"/>
        </w:rPr>
        <w:br w:type="page" w:clear="all"/>
      </w:r>
      <w:r>
        <w:rPr>
          <w:rFonts w:hint="eastAsia"/>
          <w:b/>
          <w:bCs/>
          <w:color w:val="auto"/>
          <w:spacing w:val="20"/>
          <w:sz w:val="30"/>
          <w:szCs w:val="20"/>
          <w:highlight w:val="none"/>
        </w:rPr>
        <w:t xml:space="preserve">前 附 表</w:t>
      </w:r>
      <w:r/>
    </w:p>
    <w:p>
      <w:pPr>
        <w:ind w:right="-159" w:firstLine="420"/>
        <w:rPr>
          <w:rFonts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679"/>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W w:w="791" w:type="dxa"/>
            <w:vAlign w:val="center"/>
            <w:textDirection w:val="lrTb"/>
            <w:noWrap/>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项号</w:t>
            </w:r>
            <w:r/>
          </w:p>
        </w:tc>
        <w:tc>
          <w:tcPr>
            <w:tcW w:w="1620" w:type="dxa"/>
            <w:vAlign w:val="top"/>
            <w:textDirection w:val="lrTb"/>
            <w:noWrap/>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名称</w:t>
            </w:r>
            <w:r/>
          </w:p>
        </w:tc>
        <w:tc>
          <w:tcPr>
            <w:tcW w:w="6694" w:type="dxa"/>
            <w:vAlign w:val="center"/>
            <w:textDirection w:val="lrTb"/>
            <w:noWrap/>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内      容</w:t>
            </w:r>
            <w:r/>
          </w:p>
        </w:tc>
      </w:tr>
      <w:tr>
        <w:trPr>
          <w:jc w:val="center"/>
        </w:trPr>
        <w:tc>
          <w:tcPr>
            <w:tcW w:w="791" w:type="dxa"/>
            <w:vAlign w:val="center"/>
            <w:textDirection w:val="lrTb"/>
            <w:noWrap/>
          </w:tcPr>
          <w:p>
            <w:pPr>
              <w:jc w:val="center"/>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1</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采购编号</w:t>
            </w:r>
            <w:r/>
          </w:p>
        </w:tc>
        <w:tc>
          <w:tcPr>
            <w:tcW w:w="6694" w:type="dxa"/>
            <w:vAlign w:val="center"/>
            <w:textDirection w:val="lrTb"/>
            <w:noWrap/>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JSZC-320500-SZWK-G2026-0153</w:t>
            </w:r>
            <w:r/>
          </w:p>
        </w:tc>
      </w:tr>
      <w:tr>
        <w:trPr>
          <w:jc w:val="center"/>
        </w:trPr>
        <w:tc>
          <w:tcPr>
            <w:tcW w:w="791" w:type="dxa"/>
            <w:vAlign w:val="center"/>
            <w:textDirection w:val="lrTb"/>
            <w:noWrap/>
          </w:tcPr>
          <w:p>
            <w:pPr>
              <w:jc w:val="center"/>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采购内容</w:t>
            </w:r>
            <w:r/>
          </w:p>
        </w:tc>
        <w:tc>
          <w:tcPr>
            <w:tcW w:w="6694" w:type="dxa"/>
            <w:vAlign w:val="center"/>
            <w:textDirection w:val="lrTb"/>
            <w:noWrap/>
          </w:tcPr>
          <w:p>
            <w:pPr>
              <w:pStyle w:val="769"/>
              <w:ind w:left="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椎间孔镜等设备</w:t>
            </w:r>
            <w:r/>
          </w:p>
        </w:tc>
      </w:tr>
      <w:tr>
        <w:trPr>
          <w:jc w:val="center"/>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3</w:t>
            </w:r>
            <w:r/>
          </w:p>
        </w:tc>
        <w:tc>
          <w:tcPr>
            <w:tcW w:w="1620" w:type="dxa"/>
            <w:vAlign w:val="center"/>
            <w:textDirection w:val="lrTb"/>
            <w:noWrap/>
          </w:tcPr>
          <w:p>
            <w:pPr>
              <w:jc w:val="center"/>
              <w:spacing w:line="400" w:lineRule="exact"/>
              <w:tabs>
                <w:tab w:val="left" w:pos="3600" w:leader="none"/>
              </w:tabs>
              <w:rPr>
                <w:rFonts w:ascii="宋体" w:hAnsi="宋体"/>
                <w:color w:val="auto"/>
                <w:szCs w:val="21"/>
                <w:highlight w:val="none"/>
              </w:rPr>
            </w:pPr>
            <w:r>
              <w:rPr>
                <w:rFonts w:hint="eastAsia" w:ascii="宋体" w:hAnsi="宋体"/>
                <w:color w:val="auto"/>
                <w:szCs w:val="21"/>
                <w:highlight w:val="none"/>
                <w:lang w:val="zh-CN"/>
              </w:rPr>
              <w:t xml:space="preserve">采购人</w:t>
            </w:r>
            <w:r/>
          </w:p>
        </w:tc>
        <w:tc>
          <w:tcPr>
            <w:tcW w:w="6694" w:type="dxa"/>
            <w:vAlign w:val="center"/>
            <w:textDirection w:val="lrTb"/>
            <w:noWrap/>
          </w:tcPr>
          <w:p>
            <w:pPr>
              <w:pStyle w:val="769"/>
              <w:ind w:left="0"/>
              <w:spacing w:line="360" w:lineRule="exact"/>
              <w:rPr>
                <w:rFonts w:hint="eastAsia" w:ascii="宋体" w:hAnsi="宋体" w:eastAsia="宋体"/>
                <w:color w:val="auto"/>
                <w:sz w:val="21"/>
                <w:szCs w:val="21"/>
                <w:highlight w:val="none"/>
              </w:rPr>
              <w:outlineLvl w:val="0"/>
            </w:pPr>
            <w:r>
              <w:rPr>
                <w:rFonts w:hint="eastAsia" w:ascii="宋体" w:hAnsi="宋体" w:eastAsia="宋体"/>
                <w:color w:val="auto"/>
                <w:sz w:val="21"/>
                <w:szCs w:val="21"/>
                <w:highlight w:val="none"/>
                <w:lang w:eastAsia="zh-CN"/>
              </w:rPr>
              <w:t xml:space="preserve">苏州市立医院</w:t>
            </w:r>
            <w:r/>
          </w:p>
          <w:p>
            <w:pPr>
              <w:spacing w:line="360" w:lineRule="exact"/>
              <w:tabs>
                <w:tab w:val="left" w:pos="3600" w:leader="none"/>
              </w:tabs>
              <w:rPr>
                <w:rFonts w:hint="eastAsia" w:ascii="宋体" w:hAnsi="宋体" w:eastAsia="宋体"/>
                <w:color w:val="auto"/>
                <w:szCs w:val="21"/>
                <w:highlight w:val="none"/>
              </w:rPr>
            </w:pPr>
            <w:r>
              <w:rPr>
                <w:rFonts w:hint="eastAsia" w:ascii="宋体" w:hAnsi="宋体"/>
                <w:color w:val="auto"/>
                <w:szCs w:val="21"/>
                <w:highlight w:val="none"/>
              </w:rPr>
              <w:t xml:space="preserve">联系人：</w:t>
            </w:r>
            <w:r>
              <w:rPr>
                <w:rFonts w:hint="eastAsia" w:ascii="宋体" w:hAnsi="宋体"/>
                <w:color w:val="auto"/>
                <w:szCs w:val="21"/>
                <w:highlight w:val="none"/>
                <w:lang w:eastAsia="zh-CN"/>
              </w:rPr>
              <w:t xml:space="preserve">王俊文</w:t>
            </w:r>
            <w:r>
              <w:rPr>
                <w:rFonts w:hint="eastAsia" w:ascii="宋体" w:hAnsi="宋体"/>
                <w:color w:val="auto"/>
                <w:szCs w:val="21"/>
                <w:highlight w:val="none"/>
              </w:rPr>
              <w:t xml:space="preserve">            联系电话：</w:t>
            </w:r>
            <w:r>
              <w:rPr>
                <w:rFonts w:hint="eastAsia" w:ascii="宋体" w:hAnsi="宋体"/>
                <w:color w:val="auto"/>
                <w:szCs w:val="21"/>
                <w:highlight w:val="none"/>
                <w:lang w:eastAsia="zh-CN"/>
              </w:rPr>
              <w:t xml:space="preserve">0512-62362603</w:t>
            </w:r>
            <w:r/>
          </w:p>
        </w:tc>
      </w:tr>
      <w:tr>
        <w:trPr>
          <w:jc w:val="center"/>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4</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采购代理机构</w:t>
            </w:r>
            <w:r/>
          </w:p>
        </w:tc>
        <w:tc>
          <w:tcPr>
            <w:tcW w:w="6694" w:type="dxa"/>
            <w:vAlign w:val="bottom"/>
            <w:textDirection w:val="lrTb"/>
            <w:noWrap/>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邮编：</w:t>
            </w:r>
            <w:r>
              <w:rPr>
                <w:rFonts w:hint="eastAsia" w:ascii="宋体" w:hAnsi="宋体"/>
                <w:color w:val="auto"/>
                <w:szCs w:val="21"/>
                <w:highlight w:val="none"/>
              </w:rPr>
              <w:t xml:space="preserve">215000</w:t>
            </w:r>
            <w:r/>
          </w:p>
          <w:p>
            <w:pPr>
              <w:spacing w:line="400" w:lineRule="exact"/>
              <w:rPr>
                <w:rFonts w:hint="eastAsia" w:ascii="宋体" w:hAnsi="宋体" w:eastAsia="宋体"/>
                <w:color w:val="auto"/>
                <w:szCs w:val="21"/>
                <w:highlight w:val="none"/>
              </w:rPr>
            </w:pPr>
            <w:r>
              <w:rPr>
                <w:rFonts w:hint="eastAsia" w:ascii="宋体" w:hAnsi="宋体"/>
                <w:bCs/>
                <w:color w:val="auto"/>
                <w:szCs w:val="21"/>
                <w:highlight w:val="none"/>
                <w:lang w:val="zh-CN"/>
              </w:rPr>
              <w:t xml:space="preserve">联系人：</w:t>
            </w:r>
            <w:r>
              <w:rPr>
                <w:rFonts w:hint="eastAsia" w:ascii="宋体" w:hAnsi="宋体"/>
                <w:color w:val="auto"/>
                <w:szCs w:val="21"/>
                <w:highlight w:val="none"/>
              </w:rPr>
              <w:t xml:space="preserve">陈璐佳、李晶晶</w:t>
            </w:r>
            <w:r/>
          </w:p>
          <w:p>
            <w:pPr>
              <w:spacing w:line="400" w:lineRule="exact"/>
              <w:rPr>
                <w:rFonts w:ascii="宋体" w:hAnsi="宋体"/>
                <w:color w:val="auto"/>
                <w:szCs w:val="21"/>
                <w:highlight w:val="none"/>
              </w:rPr>
            </w:pPr>
            <w:r>
              <w:rPr>
                <w:rFonts w:hint="eastAsia" w:ascii="宋体" w:hAnsi="宋体"/>
                <w:bCs/>
                <w:color w:val="auto"/>
                <w:szCs w:val="21"/>
                <w:highlight w:val="none"/>
                <w:lang w:val="zh-CN"/>
              </w:rPr>
              <w:t xml:space="preserve">联系电话：0512-69165615，传真：0512-65153553</w:t>
            </w:r>
            <w:r/>
          </w:p>
        </w:tc>
      </w:tr>
      <w:tr>
        <w:trPr>
          <w:jc w:val="center"/>
          <w:trHeight w:val="323"/>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5</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投标有效期</w:t>
            </w:r>
            <w:r/>
          </w:p>
        </w:tc>
        <w:tc>
          <w:tcPr>
            <w:tcW w:w="6694" w:type="dxa"/>
            <w:vAlign w:val="center"/>
            <w:textDirection w:val="lrTb"/>
            <w:noWrap/>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九十天（日历日） </w:t>
            </w:r>
            <w:r/>
          </w:p>
        </w:tc>
      </w:tr>
      <w:tr>
        <w:trPr>
          <w:jc w:val="center"/>
          <w:trHeight w:val="424"/>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6</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投标保证金</w:t>
            </w:r>
            <w:r/>
          </w:p>
        </w:tc>
        <w:tc>
          <w:tcPr>
            <w:tcW w:w="6694" w:type="dxa"/>
            <w:vAlign w:val="bottom"/>
            <w:textDirection w:val="lrTb"/>
            <w:noWrap/>
          </w:tcPr>
          <w:p>
            <w:pPr>
              <w:spacing w:line="360" w:lineRule="exact"/>
              <w:rPr>
                <w:rFonts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503"/>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7</w:t>
            </w:r>
            <w:r/>
          </w:p>
        </w:tc>
        <w:tc>
          <w:tcPr>
            <w:tcW w:w="1620" w:type="dxa"/>
            <w:vAlign w:val="center"/>
            <w:textDirection w:val="lrTb"/>
            <w:noWrap/>
          </w:tcPr>
          <w:p>
            <w:pPr>
              <w:pStyle w:val="769"/>
              <w:jc w:val="center"/>
              <w:spacing w:line="440" w:lineRule="exact"/>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网上获取截止时间</w:t>
            </w:r>
            <w:r/>
          </w:p>
        </w:tc>
        <w:tc>
          <w:tcPr>
            <w:tcW w:w="6694" w:type="dxa"/>
            <w:vAlign w:val="center"/>
            <w:textDirection w:val="lrTb"/>
            <w:noWrap/>
          </w:tcPr>
          <w:p>
            <w:pPr>
              <w:spacing w:line="400" w:lineRule="exact"/>
              <w:rPr>
                <w:rFonts w:ascii="宋体" w:hAnsi="宋体"/>
                <w:bCs/>
                <w:color w:val="auto"/>
                <w:szCs w:val="21"/>
                <w:highlight w:val="none"/>
              </w:rPr>
            </w:pPr>
            <w:r>
              <w:rPr>
                <w:rFonts w:hint="eastAsia" w:ascii="宋体" w:hAnsi="宋体"/>
                <w:color w:val="auto"/>
                <w:szCs w:val="21"/>
                <w:highlight w:val="none"/>
                <w:lang w:val="zh-CN"/>
              </w:rPr>
              <w:t xml:space="preserve">自招标公告发布之日起五个工作日</w:t>
            </w:r>
            <w:r/>
          </w:p>
        </w:tc>
      </w:tr>
      <w:tr>
        <w:trPr>
          <w:jc w:val="center"/>
          <w:trHeight w:val="480"/>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8</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W w:w="6694" w:type="dxa"/>
            <w:vAlign w:val="center"/>
            <w:textDirection w:val="lrTb"/>
            <w:noWrap/>
          </w:tcPr>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供应商应充分考虑网络环境、网络带宽等风险因素，如因供应商自身原因造成的电子投标文件上传不成功由供应商自行承担全部责任。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9</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W w:w="6694" w:type="dxa"/>
            <w:vAlign w:val="center"/>
            <w:textDirection w:val="lrTb"/>
            <w:noWrap/>
          </w:tcPr>
          <w:p>
            <w:pPr>
              <w:spacing w:line="400" w:lineRule="exact"/>
              <w:rPr>
                <w:rFonts w:hint="eastAsia" w:ascii="宋体" w:hAnsi="宋体" w:eastAsia="宋体"/>
                <w:color w:val="auto"/>
                <w:szCs w:val="21"/>
                <w:highlight w:val="none"/>
              </w:rPr>
            </w:pPr>
            <w:r>
              <w:rPr>
                <w:rFonts w:hint="eastAsia" w:ascii="宋体" w:hAnsi="宋体"/>
                <w:color w:val="auto"/>
                <w:szCs w:val="21"/>
                <w:highlight w:val="none"/>
                <w:lang w:eastAsia="zh-CN"/>
              </w:rPr>
              <w:t xml:space="preserve">2026年7月2日9点30分</w:t>
            </w:r>
            <w:r/>
          </w:p>
        </w:tc>
      </w:tr>
      <w:tr>
        <w:trPr>
          <w:jc w:val="center"/>
          <w:trHeight w:val="489"/>
        </w:trPr>
        <w:tc>
          <w:tcPr>
            <w:tcW w:w="791"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W w:w="6694" w:type="dxa"/>
            <w:vAlign w:val="center"/>
            <w:textDirection w:val="lrTb"/>
            <w:noWrap/>
          </w:tcPr>
          <w:p>
            <w:pPr>
              <w:spacing w:line="400" w:lineRule="exact"/>
              <w:rPr>
                <w:rFonts w:hint="eastAsia" w:ascii="宋体" w:hAnsi="宋体" w:eastAsia="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lang w:eastAsia="zh-CN"/>
              </w:rPr>
              <w:t xml:space="preserve">2026年7月2日9点30分</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ascii="宋体" w:hAnsi="宋体"/>
                <w:color w:val="auto"/>
                <w:szCs w:val="21"/>
                <w:highlight w:val="non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tc>
      </w:tr>
      <w:tr>
        <w:trPr>
          <w:jc w:val="center"/>
          <w:trHeight w:val="3035"/>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11</w:t>
            </w:r>
            <w:r/>
          </w:p>
        </w:tc>
        <w:tc>
          <w:tcPr>
            <w:tcW w:w="1620"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中标服务费</w:t>
            </w:r>
            <w:r/>
          </w:p>
        </w:tc>
        <w:tc>
          <w:tcPr>
            <w:tcW w:w="6694" w:type="dxa"/>
            <w:vAlign w:val="center"/>
            <w:textDirection w:val="lrTb"/>
            <w:noWrap/>
          </w:tcPr>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本项目申报预算时已经包含中标服务费，因此服务费由中标单位支付，在领取中标通知书时中标人向招标代理机构一次性付清。按照预算金额的如下比例进行计算：即100万元以内1.5%、100～500万元以1.1%，差额定率累进法计算并支付中标服务费。</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账号：1102020209000295112</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开户银行：中国工商银行股份有限公司苏州道前支行</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请各供应商在投标报价时综合考虑</w:t>
            </w:r>
            <w:r/>
          </w:p>
        </w:tc>
      </w:tr>
      <w:tr>
        <w:trPr>
          <w:jc w:val="center"/>
          <w:trHeight w:val="349"/>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12</w:t>
            </w:r>
            <w:r/>
          </w:p>
        </w:tc>
        <w:tc>
          <w:tcPr>
            <w:tcW w:w="1620" w:type="dxa"/>
            <w:vAlign w:val="center"/>
            <w:textDirection w:val="lrTb"/>
            <w:noWrap/>
          </w:tcPr>
          <w:p>
            <w:pPr>
              <w:jc w:val="center"/>
              <w:spacing w:line="400" w:lineRule="exact"/>
              <w:rPr>
                <w:rFonts w:ascii="宋体" w:hAnsi="宋体"/>
                <w:color w:val="auto"/>
                <w:szCs w:val="21"/>
                <w:highlight w:val="none"/>
              </w:rPr>
            </w:pPr>
            <w:r>
              <w:rPr>
                <w:rFonts w:ascii="宋体" w:hAnsi="宋体"/>
                <w:b/>
                <w:color w:val="auto"/>
                <w:szCs w:val="21"/>
                <w:highlight w:val="none"/>
                <w:lang w:val="zh-CN"/>
              </w:rPr>
              <w:t xml:space="preserve">导致废标因素</w:t>
            </w:r>
            <w:r/>
          </w:p>
        </w:tc>
        <w:tc>
          <w:tcPr>
            <w:tcW w:w="6694" w:type="dxa"/>
            <w:vAlign w:val="center"/>
            <w:textDirection w:val="lrTb"/>
            <w:noWrap/>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ascii="宋体" w:hAnsi="宋体"/>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13</w:t>
            </w:r>
            <w:r/>
          </w:p>
        </w:tc>
        <w:tc>
          <w:tcPr>
            <w:tcW w:w="1620" w:type="dxa"/>
            <w:vAlign w:val="center"/>
            <w:textDirection w:val="lrTb"/>
            <w:noWrap/>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导致无效标因素</w:t>
            </w:r>
            <w:r/>
          </w:p>
        </w:tc>
        <w:tc>
          <w:tcPr>
            <w:tcW w:w="6694" w:type="dxa"/>
            <w:vAlign w:val="center"/>
            <w:textDirection w:val="lrTb"/>
            <w:noWrap/>
          </w:tcPr>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ascii="宋体" w:hAnsi="宋体"/>
          <w:color w:val="auto"/>
          <w:szCs w:val="21"/>
          <w:highlight w:val="none"/>
        </w:rPr>
      </w:pPr>
      <w:r>
        <w:rPr>
          <w:rFonts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r/>
    </w:p>
    <w:p>
      <w:pPr>
        <w:jc w:val="center"/>
        <w:rPr>
          <w:rFonts w:ascii="宋体" w:hAnsi="宋体"/>
          <w:color w:val="auto"/>
          <w:sz w:val="52"/>
          <w:highlight w:val="none"/>
        </w:rPr>
      </w:pPr>
      <w:r>
        <w:rPr>
          <w:rFonts w:ascii="宋体" w:hAnsi="宋体"/>
          <w:color w:val="auto"/>
          <w:sz w:val="52"/>
          <w:highlight w:val="none"/>
        </w:rPr>
      </w:r>
      <w:r/>
    </w:p>
    <w:p>
      <w:pPr>
        <w:jc w:val="center"/>
        <w:rPr>
          <w:rFonts w:ascii="宋体" w:hAnsi="宋体"/>
          <w:color w:val="auto"/>
          <w:sz w:val="52"/>
          <w:highlight w:val="none"/>
        </w:rPr>
      </w:pPr>
      <w:r>
        <w:rPr>
          <w:rFonts w:hint="eastAsia" w:ascii="宋体" w:hAnsi="宋体"/>
          <w:color w:val="auto"/>
          <w:sz w:val="52"/>
          <w:highlight w:val="none"/>
        </w:rPr>
        <w:t xml:space="preserve">目     录</w:t>
      </w:r>
      <w:r/>
    </w:p>
    <w:p>
      <w:pPr>
        <w:pStyle w:val="714"/>
        <w:ind w:firstLine="0"/>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jc w:val="center"/>
        <w:rPr>
          <w:rFonts w:ascii="宋体" w:hAnsi="宋体"/>
          <w:color w:val="auto"/>
          <w:sz w:val="52"/>
          <w:highlight w:val="none"/>
        </w:rPr>
      </w:pPr>
      <w:r>
        <w:rPr>
          <w:rFonts w:ascii="宋体" w:hAnsi="宋体"/>
          <w:color w:val="auto"/>
          <w:sz w:val="52"/>
          <w:highlight w:val="none"/>
        </w:rPr>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第一章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投标邀请函</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二</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投标人须知</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三</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投标文件格式</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四</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采购</w:t>
      </w:r>
      <w:r>
        <w:rPr>
          <w:rFonts w:ascii="宋体" w:hAnsi="宋体"/>
          <w:color w:val="auto"/>
          <w:sz w:val="36"/>
          <w:szCs w:val="36"/>
          <w:highlight w:val="none"/>
        </w:rPr>
        <w:t xml:space="preserve">书</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五</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合同一般条款</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六</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合同主要条款</w:t>
      </w:r>
      <w:r/>
    </w:p>
    <w:p>
      <w:pPr>
        <w:jc w:val="left"/>
        <w:spacing w:line="360" w:lineRule="auto"/>
        <w:rPr>
          <w:rFonts w:ascii="宋体" w:hAnsi="宋体"/>
          <w:color w:val="auto"/>
          <w:sz w:val="52"/>
          <w:highlight w:val="none"/>
        </w:rPr>
      </w:pPr>
      <w:r>
        <w:rPr>
          <w:rFonts w:hint="eastAsia" w:ascii="宋体" w:hAnsi="宋体"/>
          <w:color w:val="auto"/>
          <w:sz w:val="36"/>
          <w:szCs w:val="36"/>
          <w:highlight w:val="none"/>
        </w:rPr>
        <w:t xml:space="preserve">第七章  评标方法、评分标准</w:t>
      </w:r>
      <w:r/>
    </w:p>
    <w:p>
      <w:pPr>
        <w:jc w:val="center"/>
        <w:spacing w:line="360" w:lineRule="auto"/>
        <w:rPr>
          <w:color w:val="auto"/>
          <w:szCs w:val="21"/>
          <w:highlight w:val="none"/>
        </w:rPr>
      </w:pPr>
      <w:r>
        <w:rPr>
          <w:rFonts w:ascii="宋体" w:hAnsi="宋体"/>
          <w:color w:val="auto"/>
          <w:sz w:val="52"/>
          <w:highlight w:val="none"/>
        </w:rPr>
        <w:br w:type="page" w:clear="all"/>
      </w:r>
      <w:r>
        <w:rPr>
          <w:rFonts w:hint="eastAsia"/>
          <w:b/>
          <w:bCs/>
          <w:color w:val="auto"/>
          <w:sz w:val="32"/>
          <w:szCs w:val="20"/>
          <w:highlight w:val="none"/>
        </w:rPr>
        <w:t xml:space="preserve">第一章 投标邀请函</w:t>
      </w:r>
      <w:r/>
    </w:p>
    <w:p>
      <w:pPr>
        <w:ind w:firstLine="360"/>
        <w:spacing w:before="240" w:after="240" w:line="400" w:lineRule="exact"/>
        <w:rPr>
          <w:rFonts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苏州市卫康招投标咨询服务有限公司受苏州市立医院委托，对其椎间孔镜等设备进行国内公开招标采购，欢迎符合招标公告投标资格条件的各公司前来报名参加投标。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1、采购编号：JSZC-320500-SZWK-G2026-0153</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2、采购项目名称：椎间孔镜等设备</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3、采购预算及最高限价：</w:t>
      </w:r>
      <w:r/>
    </w:p>
    <w:tbl>
      <w:tblPr>
        <w:tblStyle w:val="679"/>
        <w:tblW w:w="89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3775"/>
        <w:gridCol w:w="2013"/>
        <w:gridCol w:w="1982"/>
      </w:tblGrid>
      <w:tr>
        <w:trPr>
          <w:jc w:val="center"/>
          <w:trHeight w:val="630"/>
        </w:trPr>
        <w:tc>
          <w:tcPr>
            <w:tcW w:w="1208" w:type="dxa"/>
            <w:vAlign w:val="center"/>
            <w:textDirection w:val="lrTb"/>
            <w:noWrap w:val="false"/>
          </w:tcPr>
          <w:p>
            <w:pPr>
              <w:pStyle w:val="779"/>
              <w:ind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序号</w:t>
            </w:r>
            <w:r/>
          </w:p>
        </w:tc>
        <w:tc>
          <w:tcPr>
            <w:tcW w:w="3775" w:type="dxa"/>
            <w:vAlign w:val="center"/>
            <w:textDirection w:val="lrTb"/>
            <w:noWrap w:val="false"/>
          </w:tcPr>
          <w:p>
            <w:pPr>
              <w:pStyle w:val="779"/>
              <w:ind w:left="420"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采购内容</w:t>
            </w:r>
            <w:r/>
          </w:p>
        </w:tc>
        <w:tc>
          <w:tcPr>
            <w:tcW w:w="2013" w:type="dxa"/>
            <w:vAlign w:val="center"/>
            <w:textDirection w:val="lrTb"/>
            <w:noWrap w:val="false"/>
          </w:tcPr>
          <w:p>
            <w:pPr>
              <w:pStyle w:val="779"/>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预算金额（万元）</w:t>
            </w:r>
            <w:r/>
          </w:p>
        </w:tc>
        <w:tc>
          <w:tcPr>
            <w:tcW w:w="1982" w:type="dxa"/>
            <w:vAlign w:val="center"/>
            <w:textDirection w:val="lrTb"/>
            <w:noWrap w:val="false"/>
          </w:tcPr>
          <w:p>
            <w:pPr>
              <w:pStyle w:val="779"/>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最高限价（万元）</w:t>
            </w:r>
            <w:r/>
          </w:p>
        </w:tc>
      </w:tr>
      <w:tr>
        <w:trPr>
          <w:jc w:val="center"/>
          <w:trHeight w:val="630"/>
        </w:trPr>
        <w:tc>
          <w:tcPr>
            <w:tcW w:w="1208" w:type="dxa"/>
            <w:vAlign w:val="center"/>
            <w:textDirection w:val="lrTb"/>
            <w:noWrap w:val="false"/>
          </w:tcPr>
          <w:p>
            <w:pPr>
              <w:pStyle w:val="779"/>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W w:w="3775" w:type="dxa"/>
            <w:vAlign w:val="center"/>
            <w:textDirection w:val="lrTb"/>
            <w:noWrap w:val="false"/>
          </w:tcPr>
          <w:p>
            <w:pPr>
              <w:pStyle w:val="779"/>
              <w:ind w:left="420"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椎间孔镜等设备</w:t>
            </w:r>
            <w:r/>
          </w:p>
        </w:tc>
        <w:tc>
          <w:tcPr>
            <w:tcW w:w="2013" w:type="dxa"/>
            <w:vAlign w:val="center"/>
            <w:textDirection w:val="lrTb"/>
            <w:noWrap w:val="false"/>
          </w:tcPr>
          <w:p>
            <w:pPr>
              <w:pStyle w:val="779"/>
              <w:ind w:firstLine="0"/>
              <w:jc w:val="center"/>
              <w:spacing w:line="320" w:lineRule="exact"/>
              <w:widowControl w:val="off"/>
              <w:tabs>
                <w:tab w:val="left" w:pos="5100" w:leader="none"/>
              </w:tabs>
              <w:rPr>
                <w:rFonts w:hint="default" w:ascii="宋体" w:hAnsi="宋体" w:eastAsia="宋体"/>
                <w:color w:val="auto"/>
                <w:sz w:val="21"/>
                <w:szCs w:val="21"/>
                <w:highlight w:val="none"/>
                <w:lang w:val="en-US"/>
              </w:rPr>
            </w:pPr>
            <w:r>
              <w:rPr>
                <w:rFonts w:hint="eastAsia" w:ascii="宋体" w:hAnsi="宋体"/>
                <w:color w:val="auto"/>
                <w:sz w:val="21"/>
                <w:szCs w:val="21"/>
                <w:highlight w:val="none"/>
                <w:lang w:val="en-US" w:eastAsia="zh-CN"/>
              </w:rPr>
              <w:t xml:space="preserve">118</w:t>
            </w:r>
            <w:r/>
          </w:p>
        </w:tc>
        <w:tc>
          <w:tcPr>
            <w:tcW w:w="1982" w:type="dxa"/>
            <w:vAlign w:val="center"/>
            <w:textDirection w:val="lrTb"/>
            <w:noWrap w:val="false"/>
          </w:tcPr>
          <w:p>
            <w:pPr>
              <w:pStyle w:val="779"/>
              <w:ind w:firstLine="0"/>
              <w:jc w:val="center"/>
              <w:spacing w:line="320" w:lineRule="exact"/>
              <w:widowControl w:val="off"/>
              <w:tabs>
                <w:tab w:val="left" w:pos="5100" w:leader="none"/>
              </w:tabs>
              <w:rPr>
                <w:rFonts w:hint="eastAsia" w:ascii="宋体" w:hAnsi="宋体" w:eastAsia="宋体"/>
                <w:color w:val="auto"/>
                <w:sz w:val="21"/>
                <w:szCs w:val="21"/>
                <w:highlight w:val="none"/>
              </w:rPr>
            </w:pPr>
            <w:r>
              <w:rPr>
                <w:rFonts w:hint="eastAsia" w:ascii="宋体" w:hAnsi="宋体"/>
                <w:color w:val="auto"/>
                <w:sz w:val="21"/>
                <w:szCs w:val="21"/>
                <w:highlight w:val="none"/>
                <w:lang w:eastAsia="zh-CN"/>
              </w:rPr>
              <w:t xml:space="preserve">70</w:t>
            </w:r>
            <w:r/>
          </w:p>
        </w:tc>
      </w:tr>
    </w:tbl>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4、采购内容：详见采购文件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5、网上获取截止时间：自招标公告发布之日起五个工作日</w:t>
      </w:r>
      <w:r/>
    </w:p>
    <w:p>
      <w:pPr>
        <w:ind w:right="-159" w:firstLine="420"/>
        <w:spacing w:line="400" w:lineRule="exact"/>
        <w:rPr>
          <w:rFonts w:hint="eastAsia" w:ascii="宋体" w:hAnsi="宋体" w:eastAsia="宋体"/>
          <w:color w:val="auto"/>
          <w:szCs w:val="21"/>
          <w:highlight w:val="none"/>
        </w:rPr>
      </w:pPr>
      <w:r>
        <w:rPr>
          <w:rFonts w:hint="eastAsia" w:ascii="宋体" w:hAnsi="宋体"/>
          <w:color w:val="auto"/>
          <w:szCs w:val="21"/>
          <w:highlight w:val="none"/>
        </w:rPr>
        <w:t xml:space="preserve">6、上传投标文件截止时间：</w:t>
      </w:r>
      <w:r>
        <w:rPr>
          <w:rFonts w:hint="eastAsia" w:ascii="宋体" w:hAnsi="宋体"/>
          <w:color w:val="auto"/>
          <w:szCs w:val="21"/>
          <w:highlight w:val="none"/>
          <w:lang w:eastAsia="zh-CN"/>
        </w:rPr>
        <w:t xml:space="preserve">2026年7月2日9点30分</w:t>
      </w:r>
      <w:r/>
    </w:p>
    <w:p>
      <w:pPr>
        <w:ind w:right="-159" w:firstLine="420"/>
        <w:spacing w:line="400" w:lineRule="exact"/>
        <w:rPr>
          <w:rFonts w:hint="eastAsia" w:ascii="宋体" w:hAnsi="宋体" w:eastAsia="宋体"/>
          <w:color w:val="auto"/>
          <w:szCs w:val="21"/>
          <w:highlight w:val="none"/>
        </w:rPr>
      </w:pPr>
      <w:r>
        <w:rPr>
          <w:rFonts w:hint="eastAsia" w:ascii="宋体" w:hAnsi="宋体"/>
          <w:color w:val="auto"/>
          <w:szCs w:val="21"/>
          <w:highlight w:val="none"/>
        </w:rPr>
        <w:t xml:space="preserve">7、开标时间：</w:t>
      </w:r>
      <w:r>
        <w:rPr>
          <w:rFonts w:hint="eastAsia" w:ascii="宋体" w:hAnsi="宋体"/>
          <w:color w:val="auto"/>
          <w:szCs w:val="21"/>
          <w:highlight w:val="none"/>
          <w:lang w:eastAsia="zh-CN"/>
        </w:rPr>
        <w:t xml:space="preserve">2026年7月2日9点30分</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9</w:t>
      </w:r>
      <w:r>
        <w:rPr>
          <w:rFonts w:hint="eastAsia" w:ascii="宋体" w:hAnsi="宋体"/>
          <w:color w:val="auto"/>
          <w:szCs w:val="21"/>
          <w:highlight w:val="none"/>
          <w:lang w:val="zh-CN"/>
        </w:rPr>
        <w:t xml:space="preserve">、采购项目联系人及联系方式：</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（1）采购人：苏州市立医院</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联系人：王俊文             联系电话：0512-62362603</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（2）采购代理机构：苏州市卫康招投标咨询服务有限公司</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联系人：陈璐佳、李晶晶      联系电话：0512-69165615</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邮政编码： 215000</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69"/>
        <w:ind w:firstLine="420"/>
        <w:jc w:val="right"/>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苏州市卫康招投标咨询服务有限公司</w:t>
      </w:r>
      <w:r/>
    </w:p>
    <w:p>
      <w:pPr>
        <w:jc w:val="center"/>
        <w:rPr>
          <w:rFonts w:ascii="宋体" w:hAnsi="宋体"/>
          <w:b/>
          <w:bCs/>
          <w:color w:val="auto"/>
          <w:sz w:val="32"/>
          <w:highlight w:val="none"/>
        </w:rPr>
      </w:pPr>
      <w:r>
        <w:rPr>
          <w:rFonts w:hint="eastAsia" w:ascii="宋体" w:hAnsi="宋体"/>
          <w:b/>
          <w:bCs/>
          <w:color w:val="auto"/>
          <w:spacing w:val="20"/>
          <w:sz w:val="30"/>
          <w:highlight w:val="none"/>
        </w:rPr>
        <w:br w:type="page" w:clear="all"/>
      </w:r>
      <w:bookmarkStart w:id="3" w:name="_Hlk99527734"/>
      <w:r>
        <w:rPr>
          <w:rFonts w:hint="eastAsia" w:ascii="宋体" w:hAnsi="宋体"/>
          <w:b/>
          <w:bCs/>
          <w:color w:val="auto"/>
          <w:sz w:val="32"/>
          <w:highlight w:val="none"/>
        </w:rPr>
        <w:t xml:space="preserve">第二章 投标人须知</w:t>
      </w:r>
      <w:r/>
    </w:p>
    <w:p>
      <w:pPr>
        <w:rPr>
          <w:rFonts w:ascii="宋体" w:hAnsi="宋体"/>
          <w:b/>
          <w:bCs/>
          <w:color w:val="auto"/>
          <w:sz w:val="24"/>
          <w:highlight w:val="none"/>
        </w:rPr>
      </w:pPr>
      <w:r>
        <w:rPr>
          <w:rFonts w:ascii="宋体" w:hAnsi="宋体"/>
          <w:b/>
          <w:bCs/>
          <w:color w:val="auto"/>
          <w:sz w:val="24"/>
          <w:highlight w:val="none"/>
        </w:rPr>
      </w:r>
      <w:r/>
    </w:p>
    <w:p>
      <w:pPr>
        <w:ind w:firstLine="422"/>
        <w:spacing w:line="440" w:lineRule="exact"/>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440" w:lineRule="exact"/>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440" w:lineRule="exact"/>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2.5中标人（乙方）：合同中规定的向采购方提交货物和服务的法人或其他组织和自然人。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w:t>
      </w:r>
      <w:r>
        <w:rPr>
          <w:rFonts w:hint="eastAsia" w:ascii="宋体" w:hAnsi="宋体"/>
          <w:color w:val="auto"/>
          <w:szCs w:val="21"/>
          <w:highlight w:val="none"/>
          <w:lang w:val="zh-CN"/>
        </w:rPr>
        <w:t xml:space="preserve">及其他有关</w:t>
      </w:r>
      <w:r>
        <w:rPr>
          <w:rFonts w:ascii="宋体" w:hAnsi="宋体"/>
          <w:color w:val="auto"/>
          <w:szCs w:val="21"/>
          <w:highlight w:val="none"/>
          <w:lang w:val="zh-CN"/>
        </w:rPr>
        <w:t xml:space="preserve">技术资料和材料。</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w:t>
      </w:r>
      <w:r>
        <w:rPr>
          <w:rFonts w:hint="eastAsia" w:ascii="宋体" w:hAnsi="宋体"/>
          <w:color w:val="auto"/>
          <w:szCs w:val="21"/>
          <w:highlight w:val="none"/>
          <w:lang w:val="zh-CN"/>
        </w:rPr>
        <w:t xml:space="preserve">其他义务</w:t>
      </w:r>
      <w:r>
        <w:rPr>
          <w:rFonts w:ascii="宋体" w:hAnsi="宋体"/>
          <w:color w:val="auto"/>
          <w:szCs w:val="21"/>
          <w:highlight w:val="none"/>
          <w:lang w:val="zh-CN"/>
        </w:rPr>
        <w:t xml:space="preserve">。</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0"/>
        <w:spacing w:line="440" w:lineRule="exact"/>
        <w:rPr>
          <w:rFonts w:ascii="宋体" w:hAnsi="宋体"/>
          <w:bCs/>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二、投标人（供应商）</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3、供应商资格要求：</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3.1具有独立承担民事责任的能力；</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3.2具有良好的商业信誉和健全的财务会计制度；</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3.3具有履行合同所必需的设备和专业技术能力；</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3.4有依法缴纳税收和社会保障资金的良好记录；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3.5参加政府采购活动前三年内，在经营活动中没有重大违法记录；</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3.6法律、行政法规规定的其他条件。</w:t>
      </w:r>
      <w:r/>
    </w:p>
    <w:p>
      <w:pPr>
        <w:ind w:firstLine="422"/>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3.2供应商应当具备的特定资格要求：</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rPr>
      </w:pPr>
      <w:r>
        <w:rPr>
          <w:rFonts w:ascii="宋体" w:hAnsi="宋体"/>
          <w:b/>
          <w:color w:val="auto"/>
          <w:szCs w:val="21"/>
          <w:highlight w:val="none"/>
          <w:lang w:val="zh-CN"/>
        </w:rPr>
        <w:t xml:space="preserve">10、质疑</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确认单与质疑函一起递交。</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10.3未依照采购公告要求实行</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10.5接受质疑函的方式：当场送达或邮寄方式。</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spacing w:line="440" w:lineRule="exact"/>
        <w:rPr>
          <w:rFonts w:ascii="宋体" w:hAnsi="宋体"/>
          <w:color w:val="auto"/>
          <w:szCs w:val="21"/>
          <w:highlight w:val="none"/>
        </w:rPr>
      </w:pPr>
      <w:r>
        <w:rPr>
          <w:rFonts w:ascii="宋体" w:hAnsi="宋体"/>
          <w:color w:val="auto"/>
          <w:szCs w:val="21"/>
          <w:highlight w:val="none"/>
        </w:rPr>
        <w:t xml:space="preserve">10.7</w:t>
      </w:r>
      <w:r>
        <w:rPr>
          <w:rFonts w:ascii="宋体" w:hAnsi="宋体"/>
          <w:color w:val="auto"/>
          <w:szCs w:val="21"/>
          <w:highlight w:val="none"/>
          <w:lang w:val="zh-CN"/>
        </w:rPr>
        <w:t xml:space="preserve">收件人</w:t>
      </w:r>
      <w:r>
        <w:rPr>
          <w:rFonts w:ascii="宋体" w:hAnsi="宋体"/>
          <w:color w:val="auto"/>
          <w:szCs w:val="21"/>
          <w:highlight w:val="none"/>
        </w:rPr>
        <w:t xml:space="preserve">：</w:t>
      </w:r>
      <w:r>
        <w:rPr>
          <w:rFonts w:hint="eastAsia" w:ascii="宋体" w:hAnsi="宋体"/>
          <w:color w:val="auto"/>
          <w:szCs w:val="21"/>
          <w:highlight w:val="none"/>
        </w:rPr>
        <w:t xml:space="preserve">季女士（前台）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10.8联系电话：0512-69165625</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13.1</w:t>
      </w:r>
      <w:r>
        <w:rPr>
          <w:rFonts w:hint="eastAsia" w:ascii="Calibri" w:hAnsi="Calibri" w:cs="宋体"/>
          <w:b/>
          <w:bCs/>
          <w:color w:val="auto"/>
          <w:szCs w:val="21"/>
          <w:highlight w:val="none"/>
        </w:rPr>
        <w:t xml:space="preserve">封面</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13.2</w:t>
      </w:r>
      <w:r>
        <w:rPr>
          <w:rFonts w:hint="eastAsia" w:ascii="Calibri" w:hAnsi="Calibri" w:cs="宋体"/>
          <w:b/>
          <w:bCs/>
          <w:color w:val="auto"/>
          <w:szCs w:val="21"/>
          <w:highlight w:val="none"/>
        </w:rPr>
        <w:t xml:space="preserve">开标一览表</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lang w:val="en-US" w:eastAsia="zh-CN"/>
        </w:rPr>
        <w:t xml:space="preserve">3</w:t>
      </w:r>
      <w:r>
        <w:rPr>
          <w:rFonts w:hint="eastAsia" w:ascii="Calibri" w:hAnsi="Calibri" w:cs="宋体"/>
          <w:b/>
          <w:bCs/>
          <w:color w:val="auto"/>
          <w:szCs w:val="21"/>
          <w:highlight w:val="none"/>
        </w:rPr>
        <w:t xml:space="preserve">资格审查响应文件</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1</w:t>
      </w:r>
      <w:r>
        <w:rPr>
          <w:rFonts w:hint="eastAsia" w:ascii="Calibri" w:hAnsi="Calibri" w:cs="宋体"/>
          <w:color w:val="auto"/>
          <w:szCs w:val="21"/>
          <w:highlight w:val="none"/>
        </w:rPr>
        <w:t xml:space="preserve">）投标函、关于资格条件的声明函（格式见第三章）；</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2</w:t>
      </w:r>
      <w:r>
        <w:rPr>
          <w:rFonts w:hint="eastAsia" w:ascii="Calibri" w:hAnsi="Calibri" w:cs="宋体"/>
          <w:color w:val="auto"/>
          <w:szCs w:val="21"/>
          <w:highlight w:val="none"/>
        </w:rPr>
        <w:t xml:space="preserve">）投标人情况表（格式见第三章）；</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3</w:t>
      </w:r>
      <w:r>
        <w:rPr>
          <w:rFonts w:hint="eastAsia" w:ascii="Calibri" w:hAnsi="Calibri" w:cs="宋体"/>
          <w:color w:val="auto"/>
          <w:szCs w:val="21"/>
          <w:highlight w:val="none"/>
        </w:rPr>
        <w:t xml:space="preserve">）合格供应商的资格条件</w:t>
      </w:r>
      <w:r/>
    </w:p>
    <w:p>
      <w:pPr>
        <w:ind w:firstLine="420"/>
        <w:spacing w:line="400" w:lineRule="exact"/>
        <w:rPr>
          <w:color w:val="auto"/>
          <w:szCs w:val="21"/>
          <w:highlight w:val="none"/>
        </w:rPr>
      </w:pPr>
      <w:r>
        <w:rPr>
          <w:rFonts w:ascii="Calibri" w:hAnsi="Calibri"/>
          <w:color w:val="auto"/>
          <w:szCs w:val="21"/>
          <w:highlight w:val="none"/>
        </w:rPr>
        <w:t xml:space="preserve">3.1</w:t>
      </w:r>
      <w:r>
        <w:rPr>
          <w:rFonts w:hint="eastAsia" w:ascii="Calibri" w:hAnsi="Calibri" w:cs="宋体"/>
          <w:color w:val="auto"/>
          <w:szCs w:val="21"/>
          <w:highlight w:val="none"/>
        </w:rPr>
        <w:t xml:space="preserve">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ascii="Calibri" w:hAnsi="Calibri"/>
          <w:color w:val="auto"/>
          <w:szCs w:val="21"/>
          <w:highlight w:val="none"/>
        </w:rPr>
        <w:t xml:space="preserve">3.2</w:t>
      </w:r>
      <w:r>
        <w:rPr>
          <w:rFonts w:hint="eastAsia" w:ascii="Calibri" w:hAnsi="Calibri" w:cs="宋体"/>
          <w:color w:val="auto"/>
          <w:szCs w:val="21"/>
          <w:highlight w:val="none"/>
        </w:rPr>
        <w:t xml:space="preserve">良好的商业信誉和健全的财务会计制度证明的相关材料（包括但不限于最近一期经审计的财务报告复印件或银行出具的资信证明原件的扫描件）；</w:t>
      </w:r>
      <w:r/>
    </w:p>
    <w:p>
      <w:pPr>
        <w:ind w:firstLine="420"/>
        <w:spacing w:line="400" w:lineRule="exact"/>
        <w:rPr>
          <w:color w:val="auto"/>
          <w:szCs w:val="21"/>
          <w:highlight w:val="none"/>
        </w:rPr>
      </w:pPr>
      <w:r>
        <w:rPr>
          <w:rFonts w:ascii="Calibri" w:hAnsi="Calibri"/>
          <w:color w:val="auto"/>
          <w:szCs w:val="21"/>
          <w:highlight w:val="none"/>
        </w:rPr>
        <w:t xml:space="preserve">3.3</w:t>
      </w:r>
      <w:r>
        <w:rPr>
          <w:rFonts w:hint="eastAsia" w:ascii="Calibri" w:hAnsi="Calibri" w:cs="宋体"/>
          <w:color w:val="auto"/>
          <w:szCs w:val="21"/>
          <w:highlight w:val="none"/>
        </w:rPr>
        <w:t xml:space="preserve">有依法缴纳税收和社会保障资金的良好记录的相关材料；</w:t>
      </w:r>
      <w:r/>
    </w:p>
    <w:p>
      <w:pPr>
        <w:ind w:firstLine="420"/>
        <w:spacing w:line="400" w:lineRule="exact"/>
        <w:rPr>
          <w:color w:val="auto"/>
          <w:szCs w:val="21"/>
          <w:highlight w:val="none"/>
        </w:rPr>
      </w:pPr>
      <w:r>
        <w:rPr>
          <w:rFonts w:ascii="Calibri" w:hAnsi="Calibri"/>
          <w:color w:val="auto"/>
          <w:szCs w:val="21"/>
          <w:highlight w:val="none"/>
        </w:rPr>
        <w:t xml:space="preserve">3.4</w:t>
      </w:r>
      <w:r>
        <w:rPr>
          <w:rFonts w:hint="eastAsia" w:ascii="Calibri" w:hAnsi="Calibri" w:cs="宋体"/>
          <w:color w:val="auto"/>
          <w:szCs w:val="21"/>
          <w:highlight w:val="none"/>
        </w:rPr>
        <w:t xml:space="preserve">具备履行合同所必需的设备和专业技术能力的证明材料（例如完成本项目所使用的设备的购置合同或发票、本项目服务人员情况介绍和用工合同等证明材料）；</w:t>
      </w:r>
      <w:r/>
    </w:p>
    <w:p>
      <w:pPr>
        <w:ind w:firstLine="420"/>
        <w:spacing w:line="400" w:lineRule="exact"/>
        <w:rPr>
          <w:rFonts w:hint="eastAsia" w:ascii="Calibri" w:hAnsi="Calibri" w:cs="宋体"/>
          <w:color w:val="auto"/>
          <w:szCs w:val="21"/>
          <w:highlight w:val="none"/>
        </w:rPr>
      </w:pPr>
      <w:r>
        <w:rPr>
          <w:rFonts w:ascii="Calibri" w:hAnsi="Calibri"/>
          <w:color w:val="auto"/>
          <w:szCs w:val="21"/>
          <w:highlight w:val="none"/>
        </w:rPr>
        <w:t xml:space="preserve">3.5</w:t>
      </w:r>
      <w:r>
        <w:rPr>
          <w:rFonts w:hint="eastAsia" w:ascii="Calibri" w:hAnsi="Calibri" w:cs="宋体"/>
          <w:color w:val="auto"/>
          <w:szCs w:val="21"/>
          <w:highlight w:val="none"/>
        </w:rPr>
        <w:t xml:space="preserve">参加政府采购活动前</w:t>
      </w:r>
      <w:r>
        <w:rPr>
          <w:rFonts w:ascii="Calibri" w:hAnsi="Calibri"/>
          <w:color w:val="auto"/>
          <w:szCs w:val="21"/>
          <w:highlight w:val="none"/>
        </w:rPr>
        <w:t xml:space="preserve">3</w:t>
      </w:r>
      <w:r>
        <w:rPr>
          <w:rFonts w:hint="eastAsia" w:ascii="Calibri" w:hAnsi="Calibri" w:cs="宋体"/>
          <w:color w:val="auto"/>
          <w:szCs w:val="21"/>
          <w:highlight w:val="none"/>
        </w:rPr>
        <w:t xml:space="preserve">年内在经营活动中没有重大违法记录的书面声明加盖公章；</w:t>
      </w:r>
      <w:r/>
    </w:p>
    <w:p>
      <w:pPr>
        <w:ind w:right="-161" w:firstLine="420"/>
        <w:spacing w:line="400" w:lineRule="exact"/>
        <w:rPr>
          <w:rFonts w:hint="eastAsia" w:ascii="Calibri" w:hAnsi="Calibri" w:cs="宋体"/>
          <w:color w:val="auto"/>
          <w:szCs w:val="21"/>
          <w:highlight w:val="none"/>
        </w:rPr>
      </w:pPr>
      <w:r>
        <w:rPr>
          <w:rFonts w:hint="eastAsia" w:ascii="Calibri" w:hAnsi="Calibri" w:cs="宋体"/>
          <w:color w:val="auto"/>
          <w:szCs w:val="21"/>
          <w:highlight w:val="none"/>
        </w:rPr>
        <w:t xml:space="preserve">3.6若投标人为所投产品生产商的，须提供所投产品相对应的生产及经营资格证明（若在住所或者生产地址销售的，则无须具有所投产品相对应的经营资格证明）；若投标人为所投产品经销商的，须提供所投产品相对应的医疗经营资格证明。</w:t>
      </w:r>
      <w:r/>
    </w:p>
    <w:p>
      <w:pPr>
        <w:ind w:right="-161" w:firstLine="420"/>
        <w:spacing w:line="400" w:lineRule="exact"/>
        <w:rPr>
          <w:rFonts w:hint="eastAsia" w:ascii="Calibri" w:hAnsi="Calibri" w:eastAsia="宋体" w:cs="宋体"/>
          <w:color w:val="auto"/>
          <w:szCs w:val="21"/>
          <w:highlight w:val="none"/>
        </w:rPr>
      </w:pPr>
      <w:r>
        <w:rPr>
          <w:rFonts w:hint="eastAsia" w:ascii="Calibri" w:hAnsi="Calibri" w:cs="宋体"/>
          <w:color w:val="auto"/>
          <w:szCs w:val="21"/>
          <w:highlight w:val="none"/>
        </w:rPr>
        <w:t xml:space="preserve">3.7提供所投产品医疗器械注册证复印件。</w:t>
      </w:r>
      <w:r>
        <w:rPr>
          <w:rFonts w:hint="eastAsia" w:ascii="Calibri" w:hAnsi="Calibri" w:cs="宋体"/>
          <w:color w:val="auto"/>
          <w:szCs w:val="21"/>
          <w:highlight w:val="none"/>
          <w:lang w:eastAsia="zh-CN"/>
        </w:rPr>
        <w:t xml:space="preserve">。</w:t>
      </w:r>
      <w:r/>
    </w:p>
    <w:p>
      <w:pPr>
        <w:ind w:right="-161" w:firstLine="420"/>
        <w:spacing w:line="400" w:lineRule="exact"/>
        <w:rPr>
          <w:rFonts w:hint="eastAsia" w:ascii="Calibri" w:hAnsi="Calibri" w:cs="宋体"/>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lang w:val="en-US" w:eastAsia="zh-CN"/>
        </w:rPr>
        <w:t xml:space="preserve">4</w:t>
      </w:r>
      <w:r>
        <w:rPr>
          <w:rFonts w:hint="eastAsia" w:ascii="Calibri" w:hAnsi="Calibri" w:cs="宋体"/>
          <w:b/>
          <w:bCs/>
          <w:color w:val="auto"/>
          <w:szCs w:val="21"/>
          <w:highlight w:val="none"/>
        </w:rPr>
        <w:t xml:space="preserve">符合性审查响应文件</w:t>
      </w:r>
      <w:r/>
    </w:p>
    <w:p>
      <w:pPr>
        <w:ind w:right="-161" w:firstLine="422"/>
        <w:spacing w:line="400" w:lineRule="exact"/>
        <w:rPr>
          <w:b w:val="0"/>
          <w:bCs w:val="0"/>
          <w:color w:val="auto"/>
          <w:szCs w:val="21"/>
          <w:highlight w:val="none"/>
        </w:rPr>
      </w:pPr>
      <w:r>
        <w:rPr>
          <w:rFonts w:ascii="Calibri" w:hAnsi="Calibri"/>
          <w:b w:val="0"/>
          <w:bCs w:val="0"/>
          <w:color w:val="auto"/>
          <w:szCs w:val="21"/>
          <w:highlight w:val="none"/>
        </w:rPr>
        <w:t xml:space="preserve">13.</w:t>
      </w:r>
      <w:r>
        <w:rPr>
          <w:rFonts w:hint="eastAsia" w:ascii="Calibri" w:hAnsi="Calibri"/>
          <w:b w:val="0"/>
          <w:bCs w:val="0"/>
          <w:color w:val="auto"/>
          <w:szCs w:val="21"/>
          <w:highlight w:val="none"/>
          <w:lang w:val="en-US" w:eastAsia="zh-CN"/>
        </w:rPr>
        <w:t xml:space="preserve">4.1</w:t>
      </w:r>
      <w:r>
        <w:rPr>
          <w:rFonts w:ascii="Calibri" w:hAnsi="Calibri"/>
          <w:b w:val="0"/>
          <w:bCs w:val="0"/>
          <w:color w:val="auto"/>
          <w:szCs w:val="21"/>
          <w:highlight w:val="none"/>
        </w:rPr>
        <w:t xml:space="preserve">投标报价明细表</w:t>
      </w:r>
      <w:r/>
    </w:p>
    <w:p>
      <w:pPr>
        <w:ind w:right="-161" w:firstLine="420"/>
        <w:spacing w:line="400" w:lineRule="exact"/>
        <w:rPr>
          <w:rFonts w:ascii="Calibri" w:hAnsi="Calibri"/>
          <w:color w:val="auto"/>
          <w:szCs w:val="21"/>
          <w:highlight w:val="none"/>
        </w:rPr>
      </w:pPr>
      <w:r>
        <w:rPr>
          <w:rFonts w:ascii="Calibri" w:hAnsi="Calibri"/>
          <w:color w:val="auto"/>
          <w:szCs w:val="21"/>
          <w:highlight w:val="none"/>
        </w:rPr>
        <w:t xml:space="preserve">13.</w:t>
      </w:r>
      <w:r>
        <w:rPr>
          <w:rFonts w:hint="eastAsia" w:ascii="Calibri" w:hAnsi="Calibri"/>
          <w:color w:val="auto"/>
          <w:szCs w:val="21"/>
          <w:highlight w:val="none"/>
          <w:lang w:val="en-US" w:eastAsia="zh-CN"/>
        </w:rPr>
        <w:t xml:space="preserve">4</w:t>
      </w:r>
      <w:r>
        <w:rPr>
          <w:rFonts w:ascii="Calibri" w:hAnsi="Calibri"/>
          <w:color w:val="auto"/>
          <w:szCs w:val="21"/>
          <w:highlight w:val="none"/>
        </w:rPr>
        <w:t xml:space="preserve">.</w:t>
      </w:r>
      <w:r>
        <w:rPr>
          <w:rFonts w:hint="eastAsia" w:ascii="Calibri" w:hAnsi="Calibri"/>
          <w:color w:val="auto"/>
          <w:szCs w:val="21"/>
          <w:highlight w:val="none"/>
          <w:lang w:val="en-US" w:eastAsia="zh-CN"/>
        </w:rPr>
        <w:t xml:space="preserve">2</w:t>
      </w:r>
      <w:r>
        <w:rPr>
          <w:rFonts w:hint="eastAsia" w:ascii="Calibri" w:hAnsi="Calibri"/>
          <w:color w:val="auto"/>
          <w:szCs w:val="21"/>
          <w:highlight w:val="none"/>
        </w:rPr>
        <w:t xml:space="preserve">商务条款偏离表；</w:t>
      </w:r>
      <w:r/>
    </w:p>
    <w:p>
      <w:pPr>
        <w:ind w:right="-161" w:firstLine="420"/>
        <w:spacing w:line="400" w:lineRule="exact"/>
        <w:rPr>
          <w:rFonts w:ascii="Calibri" w:hAnsi="Calibri"/>
          <w:color w:val="auto"/>
          <w:szCs w:val="21"/>
          <w:highlight w:val="none"/>
        </w:rPr>
      </w:pPr>
      <w:r>
        <w:rPr>
          <w:rFonts w:hint="eastAsia" w:ascii="Calibri" w:hAnsi="Calibri"/>
          <w:color w:val="auto"/>
          <w:szCs w:val="21"/>
          <w:highlight w:val="none"/>
          <w:lang w:bidi="ar"/>
        </w:rPr>
        <w:t xml:space="preserve">13.</w:t>
      </w:r>
      <w:r>
        <w:rPr>
          <w:rFonts w:hint="eastAsia" w:ascii="Calibri" w:hAnsi="Calibri"/>
          <w:color w:val="auto"/>
          <w:szCs w:val="21"/>
          <w:highlight w:val="none"/>
          <w:lang w:val="en-US" w:eastAsia="zh-CN" w:bidi="ar"/>
        </w:rPr>
        <w:t xml:space="preserve">4</w:t>
      </w:r>
      <w:r>
        <w:rPr>
          <w:rFonts w:hint="eastAsia" w:ascii="Calibri" w:hAnsi="Calibri"/>
          <w:color w:val="auto"/>
          <w:szCs w:val="21"/>
          <w:highlight w:val="none"/>
          <w:lang w:bidi="ar"/>
        </w:rPr>
        <w:t xml:space="preserve">.</w:t>
      </w:r>
      <w:r>
        <w:rPr>
          <w:rFonts w:hint="eastAsia" w:ascii="Calibri" w:hAnsi="Calibri"/>
          <w:color w:val="auto"/>
          <w:szCs w:val="21"/>
          <w:highlight w:val="none"/>
          <w:lang w:val="en-US" w:eastAsia="zh-CN" w:bidi="ar"/>
        </w:rPr>
        <w:t xml:space="preserve">3</w:t>
      </w:r>
      <w:r>
        <w:rPr>
          <w:rFonts w:hint="eastAsia" w:ascii="Calibri" w:hAnsi="Calibri"/>
          <w:color w:val="auto"/>
          <w:szCs w:val="21"/>
          <w:highlight w:val="none"/>
          <w:lang w:bidi="ar"/>
        </w:rPr>
        <w:t xml:space="preserve">其他投标材料；</w:t>
      </w:r>
      <w:r/>
    </w:p>
    <w:p>
      <w:pPr>
        <w:ind w:right="-161" w:firstLine="420"/>
        <w:spacing w:line="400" w:lineRule="exact"/>
        <w:rPr>
          <w:rFonts w:hint="eastAsia" w:ascii="Calibri" w:hAnsi="Calibri" w:cs="宋体"/>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lang w:val="en-US" w:eastAsia="zh-CN"/>
        </w:rPr>
        <w:t xml:space="preserve">5</w:t>
      </w:r>
      <w:r>
        <w:rPr>
          <w:rFonts w:hint="eastAsia" w:ascii="Calibri" w:hAnsi="Calibri" w:cs="宋体"/>
          <w:b/>
          <w:bCs/>
          <w:color w:val="auto"/>
          <w:szCs w:val="21"/>
          <w:highlight w:val="none"/>
        </w:rPr>
        <w:t xml:space="preserve">综合评审响应文件</w:t>
      </w:r>
      <w:r/>
    </w:p>
    <w:p>
      <w:pPr>
        <w:ind w:right="-161" w:firstLine="420"/>
        <w:spacing w:line="400" w:lineRule="exact"/>
        <w:rPr>
          <w:rFonts w:ascii="Calibri" w:hAnsi="Calibri" w:cs="宋体"/>
          <w:b/>
          <w:bCs/>
          <w:color w:val="auto"/>
          <w:szCs w:val="21"/>
          <w:highlight w:val="none"/>
        </w:rPr>
      </w:pPr>
      <w:r>
        <w:rPr>
          <w:rFonts w:hint="eastAsia" w:ascii="Calibri" w:hAnsi="Calibri" w:cs="宋体"/>
          <w:color w:val="auto"/>
          <w:szCs w:val="21"/>
          <w:highlight w:val="none"/>
        </w:rPr>
        <w:t xml:space="preserve">13.</w:t>
      </w:r>
      <w:r>
        <w:rPr>
          <w:rFonts w:hint="eastAsia" w:ascii="Calibri" w:hAnsi="Calibri" w:cs="宋体"/>
          <w:color w:val="auto"/>
          <w:szCs w:val="21"/>
          <w:highlight w:val="none"/>
          <w:lang w:val="en-US" w:eastAsia="zh-CN"/>
        </w:rPr>
        <w:t xml:space="preserve">5</w:t>
      </w:r>
      <w:r>
        <w:rPr>
          <w:rFonts w:hint="eastAsia" w:ascii="Calibri" w:hAnsi="Calibri" w:cs="宋体"/>
          <w:color w:val="auto"/>
          <w:szCs w:val="21"/>
          <w:highlight w:val="none"/>
        </w:rPr>
        <w:t xml:space="preserve">.1</w:t>
      </w:r>
      <w:r>
        <w:rPr>
          <w:rFonts w:hint="eastAsia" w:ascii="Calibri" w:hAnsi="Calibri"/>
          <w:color w:val="auto"/>
          <w:szCs w:val="21"/>
          <w:highlight w:val="none"/>
        </w:rPr>
        <w:t xml:space="preserve">投标货物（材料）技术对照表；</w:t>
      </w:r>
      <w:r/>
    </w:p>
    <w:p>
      <w:pPr>
        <w:ind w:right="-161" w:firstLine="420"/>
        <w:spacing w:line="400" w:lineRule="exact"/>
        <w:rPr>
          <w:color w:val="auto"/>
          <w:szCs w:val="21"/>
          <w:highlight w:val="none"/>
        </w:rPr>
      </w:pPr>
      <w:r>
        <w:rPr>
          <w:rFonts w:ascii="Calibri" w:hAnsi="Calibri"/>
          <w:color w:val="auto"/>
          <w:szCs w:val="21"/>
          <w:highlight w:val="none"/>
        </w:rPr>
        <w:t xml:space="preserve">13.</w:t>
      </w:r>
      <w:r>
        <w:rPr>
          <w:rFonts w:hint="eastAsia" w:ascii="Calibri" w:hAnsi="Calibri"/>
          <w:color w:val="auto"/>
          <w:szCs w:val="21"/>
          <w:highlight w:val="none"/>
          <w:lang w:val="en-US" w:eastAsia="zh-CN"/>
        </w:rPr>
        <w:t xml:space="preserve">5</w:t>
      </w:r>
      <w:r>
        <w:rPr>
          <w:rFonts w:ascii="Calibri" w:hAnsi="Calibri"/>
          <w:color w:val="auto"/>
          <w:szCs w:val="21"/>
          <w:highlight w:val="none"/>
        </w:rPr>
        <w:t xml:space="preserve">.</w:t>
      </w:r>
      <w:r>
        <w:rPr>
          <w:rFonts w:hint="eastAsia" w:ascii="Calibri" w:hAnsi="Calibri"/>
          <w:color w:val="auto"/>
          <w:szCs w:val="21"/>
          <w:highlight w:val="none"/>
        </w:rPr>
        <w:t xml:space="preserve">2</w:t>
      </w:r>
      <w:r>
        <w:rPr>
          <w:rFonts w:hint="eastAsia" w:ascii="Calibri" w:hAnsi="Calibri" w:cs="宋体"/>
          <w:color w:val="auto"/>
          <w:szCs w:val="21"/>
          <w:highlight w:val="none"/>
        </w:rPr>
        <w:t xml:space="preserve">与本次采购相关和评分标准中要求提供的其他证明材料；</w:t>
      </w:r>
      <w:r/>
    </w:p>
    <w:p>
      <w:pPr>
        <w:ind w:right="-161" w:firstLine="420"/>
        <w:spacing w:line="400" w:lineRule="exact"/>
        <w:rPr>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lang w:val="en-US" w:eastAsia="zh-CN"/>
        </w:rPr>
        <w:t xml:space="preserve">6</w:t>
      </w:r>
      <w:r>
        <w:rPr>
          <w:rFonts w:hint="eastAsia" w:ascii="Calibri" w:hAnsi="Calibri" w:cs="宋体"/>
          <w:b/>
          <w:bCs/>
          <w:color w:val="auto"/>
          <w:szCs w:val="21"/>
          <w:highlight w:val="none"/>
        </w:rPr>
        <w:t xml:space="preserve">企业报价折扣证明</w:t>
      </w:r>
      <w:r/>
    </w:p>
    <w:p>
      <w:pPr>
        <w:ind w:right="-161" w:firstLine="420"/>
        <w:spacing w:line="400" w:lineRule="exact"/>
        <w:rPr>
          <w:rFonts w:hint="eastAsia" w:ascii="宋体" w:hAnsi="宋体"/>
          <w:color w:val="auto"/>
          <w:szCs w:val="21"/>
          <w:highlight w:val="none"/>
        </w:rPr>
      </w:pPr>
      <w:r>
        <w:rPr>
          <w:rFonts w:hint="eastAsia"/>
          <w:color w:val="auto"/>
          <w:szCs w:val="21"/>
          <w:highlight w:val="none"/>
        </w:rPr>
        <w:t xml:space="preserve">本项目非专门面向中小企业采购。如投标产品生产厂家属于小微企业，提供《中小企业声明函》或提供《残疾人福利性单位声明函》或提供由省级以上监狱管理局、戒毒管理局（含新疆生产建设兵团）出具的属于监狱企业的证明文件。</w:t>
      </w:r>
      <w:r/>
    </w:p>
    <w:p>
      <w:pPr>
        <w:ind w:right="-161" w:firstLine="420"/>
        <w:spacing w:line="400" w:lineRule="exact"/>
        <w:rPr>
          <w:color w:val="auto"/>
          <w:highlight w:val="none"/>
        </w:rPr>
      </w:pPr>
      <w:r>
        <w:rPr>
          <w:rFonts w:hint="eastAsia"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7</w:t>
      </w:r>
      <w:r>
        <w:rPr>
          <w:rFonts w:hint="eastAsia"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hint="eastAsia"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6</w:t>
      </w:r>
      <w:r>
        <w:rPr>
          <w:rFonts w:hint="eastAsia" w:ascii="宋体" w:hAnsi="宋体"/>
          <w:color w:val="auto"/>
          <w:szCs w:val="21"/>
          <w:highlight w:val="none"/>
          <w:lang w:val="zh-CN"/>
        </w:rPr>
        <w:t xml:space="preserve">款规定的内容共同组成。</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5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14.6.6最低的投标报价或最高的折扣比例是中标的重要条件，但不是中标的唯一条件。</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4"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4"/>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投标人应充分考虑网络环境、网络带宽等风险因素，如因投标人自身原因造成的电子投标文件上传不成功的按照无效投标处理。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.3投标人在开标过程中涉及的投标文件解密、开标结果确认等工作，应按照《操作手册》规定执行。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.3接到评标委员会澄清、说明和补正要求的投标人如未按规定作出澄清、说明和补正，其风险由投标人自行承担。</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将在</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信用中国</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网站</w:t>
      </w:r>
      <w:r>
        <w:rPr>
          <w:rFonts w:hint="eastAsia" w:ascii="宋体" w:hAnsi="宋体"/>
          <w:bCs/>
          <w:color w:val="auto"/>
          <w:szCs w:val="21"/>
          <w:highlight w:val="none"/>
        </w:rPr>
        <w:t xml:space="preserve">（www.creditchina.gov.cn）</w:t>
      </w:r>
      <w:r>
        <w:rPr>
          <w:rFonts w:hint="eastAsia" w:ascii="宋体" w:hAnsi="宋体"/>
          <w:bCs/>
          <w:color w:val="auto"/>
          <w:szCs w:val="21"/>
          <w:highlight w:val="none"/>
          <w:lang w:val="zh-CN"/>
        </w:rPr>
        <w:t xml:space="preserve">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查询结果留存并归档。</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23.6</w:t>
      </w:r>
      <w:r>
        <w:rPr>
          <w:rFonts w:hint="eastAsia" w:ascii="宋体" w:hAnsi="宋体" w:cs="宋体"/>
          <w:b/>
          <w:color w:val="auto"/>
          <w:szCs w:val="21"/>
          <w:highlight w:val="none"/>
        </w:rPr>
        <w:t xml:space="preserve">异常低价审查</w:t>
      </w:r>
      <w:r/>
    </w:p>
    <w:p>
      <w:pPr>
        <w:ind w:firstLine="420"/>
        <w:spacing w:line="40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（一）出现下列情形之一的，评审委员会应当启动异常低价投标审查程序：</w:t>
      </w:r>
      <w:r/>
    </w:p>
    <w:p>
      <w:pPr>
        <w:ind w:firstLine="420"/>
        <w:spacing w:line="40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1.投标（响应）报价低于全部通过符合性审查供应商投标（响应）报价平均值</w:t>
      </w:r>
      <w:r>
        <w:rPr>
          <w:rFonts w:hint="eastAsia" w:ascii="宋体" w:hAnsi="宋体" w:cs="Times New Roman"/>
          <w:b/>
          <w:bCs/>
          <w:color w:val="auto"/>
          <w:szCs w:val="21"/>
          <w:highlight w:val="none"/>
          <w:lang w:val="en-US" w:eastAsia="zh-CN"/>
        </w:rPr>
        <w:t xml:space="preserve">65</w:t>
      </w:r>
      <w:r>
        <w:rPr>
          <w:rFonts w:hint="eastAsia" w:ascii="宋体" w:hAnsi="宋体" w:eastAsia="宋体" w:cs="Times New Roman"/>
          <w:b/>
          <w:bCs/>
          <w:color w:val="auto"/>
          <w:szCs w:val="21"/>
          <w:highlight w:val="none"/>
          <w:lang w:val="zh-CN"/>
        </w:rPr>
        <w:t xml:space="preserve">%的，即投标（响应）报价&lt;全部通过符合性审查供应商投标（响应）报价平均值×</w:t>
      </w:r>
      <w:r>
        <w:rPr>
          <w:rFonts w:hint="eastAsia" w:ascii="宋体" w:hAnsi="宋体" w:cs="Times New Roman"/>
          <w:b/>
          <w:bCs/>
          <w:color w:val="auto"/>
          <w:szCs w:val="21"/>
          <w:highlight w:val="none"/>
          <w:lang w:val="en-US" w:eastAsia="zh-CN"/>
        </w:rPr>
        <w:t xml:space="preserve">65</w:t>
      </w:r>
      <w:r>
        <w:rPr>
          <w:rFonts w:hint="eastAsia" w:ascii="宋体" w:hAnsi="宋体" w:eastAsia="宋体" w:cs="Times New Roman"/>
          <w:b/>
          <w:bCs/>
          <w:color w:val="auto"/>
          <w:szCs w:val="21"/>
          <w:highlight w:val="none"/>
          <w:lang w:val="zh-CN"/>
        </w:rPr>
        <w:t xml:space="preserve">%；</w:t>
      </w:r>
      <w:r/>
    </w:p>
    <w:p>
      <w:pPr>
        <w:ind w:firstLine="420"/>
        <w:spacing w:line="40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2.投标（响应）报价低于通过符合性审查的次低报价供应商投标（响应）报价</w:t>
      </w:r>
      <w:r>
        <w:rPr>
          <w:rFonts w:hint="eastAsia" w:ascii="宋体" w:hAnsi="宋体" w:cs="Times New Roman"/>
          <w:b/>
          <w:bCs/>
          <w:color w:val="auto"/>
          <w:szCs w:val="21"/>
          <w:highlight w:val="none"/>
          <w:lang w:val="en-US" w:eastAsia="zh-CN"/>
        </w:rPr>
        <w:t xml:space="preserve">65</w:t>
      </w:r>
      <w:r>
        <w:rPr>
          <w:rFonts w:hint="eastAsia" w:ascii="宋体" w:hAnsi="宋体" w:eastAsia="宋体" w:cs="Times New Roman"/>
          <w:b/>
          <w:bCs/>
          <w:color w:val="auto"/>
          <w:szCs w:val="21"/>
          <w:highlight w:val="none"/>
          <w:lang w:val="zh-CN"/>
        </w:rPr>
        <w:t xml:space="preserve">%的，即投标（响应）报价&lt;通过符合性审查的次低报价供应商投标（响应）报价×</w:t>
      </w:r>
      <w:r>
        <w:rPr>
          <w:rFonts w:hint="eastAsia" w:ascii="宋体" w:hAnsi="宋体" w:cs="Times New Roman"/>
          <w:b/>
          <w:bCs/>
          <w:color w:val="auto"/>
          <w:szCs w:val="21"/>
          <w:highlight w:val="none"/>
          <w:lang w:val="en-US" w:eastAsia="zh-CN"/>
        </w:rPr>
        <w:t xml:space="preserve">65</w:t>
      </w:r>
      <w:r>
        <w:rPr>
          <w:rFonts w:hint="eastAsia" w:ascii="宋体" w:hAnsi="宋体" w:eastAsia="宋体" w:cs="Times New Roman"/>
          <w:b/>
          <w:bCs/>
          <w:color w:val="auto"/>
          <w:szCs w:val="21"/>
          <w:highlight w:val="none"/>
          <w:lang w:val="zh-CN"/>
        </w:rPr>
        <w:t xml:space="preserve">%；</w:t>
      </w:r>
      <w:r/>
    </w:p>
    <w:p>
      <w:pPr>
        <w:ind w:firstLine="420"/>
        <w:spacing w:line="40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3.投标（响应）报价低于采购项目最高限价</w:t>
      </w:r>
      <w:r>
        <w:rPr>
          <w:rFonts w:hint="eastAsia" w:ascii="宋体" w:hAnsi="宋体" w:cs="Times New Roman"/>
          <w:b/>
          <w:bCs/>
          <w:color w:val="auto"/>
          <w:szCs w:val="21"/>
          <w:highlight w:val="none"/>
          <w:lang w:val="en-US" w:eastAsia="zh-CN"/>
        </w:rPr>
        <w:t xml:space="preserve">65</w:t>
      </w:r>
      <w:r>
        <w:rPr>
          <w:rFonts w:hint="eastAsia" w:ascii="宋体" w:hAnsi="宋体" w:eastAsia="宋体" w:cs="Times New Roman"/>
          <w:b/>
          <w:bCs/>
          <w:color w:val="auto"/>
          <w:szCs w:val="21"/>
          <w:highlight w:val="none"/>
          <w:lang w:val="zh-CN"/>
        </w:rPr>
        <w:t xml:space="preserve">%的，即投标（响应）报价&lt;采购项目最高限价×</w:t>
      </w:r>
      <w:r>
        <w:rPr>
          <w:rFonts w:hint="eastAsia" w:ascii="宋体" w:hAnsi="宋体" w:cs="Times New Roman"/>
          <w:b/>
          <w:bCs/>
          <w:color w:val="auto"/>
          <w:szCs w:val="21"/>
          <w:highlight w:val="none"/>
          <w:lang w:val="en-US" w:eastAsia="zh-CN"/>
        </w:rPr>
        <w:t xml:space="preserve">65</w:t>
      </w:r>
      <w:r>
        <w:rPr>
          <w:rFonts w:hint="eastAsia" w:ascii="宋体" w:hAnsi="宋体" w:eastAsia="宋体" w:cs="Times New Roman"/>
          <w:b/>
          <w:bCs/>
          <w:color w:val="auto"/>
          <w:szCs w:val="21"/>
          <w:highlight w:val="none"/>
          <w:lang w:val="zh-CN"/>
        </w:rPr>
        <w:t xml:space="preserve">%；</w:t>
      </w:r>
      <w:r/>
    </w:p>
    <w:p>
      <w:pPr>
        <w:ind w:firstLine="420"/>
        <w:spacing w:line="40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4.评审委员会基于专业判断，认为供应商报价过低，有可能影响产品质量或者不能诚信履约的其他情形。</w:t>
      </w:r>
      <w:r/>
    </w:p>
    <w:p>
      <w:pPr>
        <w:ind w:firstLine="420"/>
        <w:spacing w:line="40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bookmarkStart w:id="18" w:name="_GoBack"/>
      <w:r/>
      <w:bookmarkEnd w:id="18"/>
      <w:r/>
      <w:r/>
    </w:p>
    <w:p>
      <w:pPr>
        <w:ind w:firstLine="420"/>
        <w:spacing w:line="400" w:lineRule="exact"/>
        <w:rPr>
          <w:rFonts w:hint="eastAsia" w:ascii="宋体" w:hAnsi="宋体" w:eastAsia="宋体" w:cs="Times New Roman"/>
          <w:b/>
          <w:bCs/>
          <w:color w:val="auto"/>
          <w:szCs w:val="21"/>
          <w:highlight w:val="none"/>
          <w:lang w:val="zh-CN"/>
        </w:rPr>
      </w:pPr>
      <w:r>
        <w:rPr>
          <w:rFonts w:hint="eastAsia" w:ascii="宋体" w:hAnsi="宋体" w:eastAsia="宋体" w:cs="Times New Roman"/>
          <w:b/>
          <w:bCs/>
          <w:color w:val="auto"/>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hAnsi="宋体"/>
          <w:b w:val="0"/>
          <w:bCs/>
          <w:color w:val="auto"/>
          <w:sz w:val="21"/>
          <w:szCs w:val="21"/>
          <w:highlight w:val="none"/>
          <w:lang w:val="zh-CN"/>
        </w:rPr>
      </w:pPr>
      <w:r>
        <w:rPr>
          <w:rFonts w:hint="eastAsia" w:hAnsi="宋体"/>
          <w:b w:val="0"/>
          <w:bCs/>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hAnsi="宋体"/>
          <w:b w:val="0"/>
          <w:bCs/>
          <w:color w:val="auto"/>
          <w:sz w:val="21"/>
          <w:szCs w:val="21"/>
          <w:highlight w:val="none"/>
          <w:lang w:val="zh-CN"/>
        </w:rPr>
      </w:pPr>
      <w:r>
        <w:rPr>
          <w:rFonts w:hint="eastAsia" w:hAnsi="宋体"/>
          <w:b w:val="0"/>
          <w:bCs/>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投标人在开、评标全过程中应保持通信畅通，及时登录苏采云系统查阅、答复相关信息，并安排专人与代理机构及评标委员会联系。</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24.1评标委员会（以下简称评标委员会）成员依法组建；</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24.2评标委员会将对符合资格的投标人的电子投标文件进行符合性审查，以确定其是否满足采购文件的实质性要求。</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24.3评标委员会组织负责具体的评标事务，并独立履行以下职责：</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24.3.1审查、评价电子投标文件是否符合采购文件的商务、技术等实质性要求；</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24.3.2要求投标人对电子投标文件有关事项作出澄清或者说明；</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24.3.3对电子投标文件进行比较和评价；</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24.3.4签署评标报告、推荐中标候选人并根据采购方委托从中确定中标人；</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24.3.5向采购人、采购代理机构或者有关部门报告评标中发现的违法行为。</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24.4评标委员会成员应当履行下列义务：</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24.4.1遵纪守法，客观、公正、廉洁地履行职责；</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24.4.2按照采购文件规定的评标办法和评标标准进行评标，对评审意见承担个人责任；</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24.4.3对评标过程和结果，以及投标人的商业秘密保密；</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24.4.4参与评标报告的起草；</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24.4.5配合招标采购人答复投标人提出的质疑；</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24.4.6配合有关部门的投诉处理工作。</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w:t>
      </w:r>
      <w:r>
        <w:rPr>
          <w:rFonts w:hint="eastAsia" w:ascii="宋体" w:hAnsi="宋体"/>
          <w:b/>
          <w:color w:val="auto"/>
          <w:szCs w:val="21"/>
          <w:highlight w:val="none"/>
        </w:rPr>
        <w:t xml:space="preserve">如</w:t>
      </w:r>
      <w:r>
        <w:rPr>
          <w:rFonts w:hint="eastAsia" w:ascii="宋体" w:hAnsi="宋体"/>
          <w:b/>
          <w:color w:val="auto"/>
          <w:szCs w:val="21"/>
          <w:highlight w:val="non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ascii="宋体" w:hAnsi="宋体"/>
          <w:b/>
          <w:color w:val="auto"/>
          <w:szCs w:val="21"/>
          <w:highlight w:val="none"/>
        </w:rPr>
      </w:pPr>
      <w:r>
        <w:rPr>
          <w:rFonts w:ascii="宋体" w:hAnsi="宋体"/>
          <w:b/>
          <w:color w:val="auto"/>
          <w:szCs w:val="21"/>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Cs w:val="21"/>
          <w:highlight w:val="none"/>
          <w:lang w:val="zh-CN"/>
        </w:rPr>
        <w:t xml:space="preserve">作出</w:t>
      </w:r>
      <w:r>
        <w:rPr>
          <w:rFonts w:ascii="宋体" w:hAnsi="宋体"/>
          <w:color w:val="auto"/>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30.1</w:t>
      </w:r>
      <w:r>
        <w:rPr>
          <w:rFonts w:hint="eastAsia" w:ascii="宋体" w:hAnsi="宋体"/>
          <w:color w:val="auto"/>
          <w:szCs w:val="21"/>
          <w:highlight w:val="none"/>
          <w:lang w:val="zh-CN"/>
        </w:rPr>
        <w:t xml:space="preserve">确定</w:t>
      </w:r>
      <w:r>
        <w:rPr>
          <w:rFonts w:ascii="宋体" w:hAnsi="宋体"/>
          <w:color w:val="auto"/>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无</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3"/>
      <w:r/>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5" w:name="_Hlk99527780"/>
      <w:r/>
      <w:bookmarkStart w:id="6" w:name="_Hlk110604834"/>
      <w:r>
        <w:rPr>
          <w:rFonts w:hint="eastAsia" w:ascii="宋体" w:hAnsi="宋体"/>
          <w:b/>
          <w:bCs/>
          <w:color w:val="auto"/>
          <w:sz w:val="32"/>
          <w:highlight w:val="none"/>
        </w:rPr>
        <w:t xml:space="preserve">第三章 电子投标文件格式</w:t>
      </w:r>
      <w:r/>
    </w:p>
    <w:p>
      <w:pPr>
        <w:rPr>
          <w:rFonts w:ascii="宋体" w:hAnsi="宋体"/>
          <w:b/>
          <w:bCs/>
          <w:color w:val="auto"/>
          <w:sz w:val="32"/>
          <w:highlight w:val="none"/>
        </w:rPr>
      </w:pPr>
      <w:r>
        <w:rPr>
          <w:rFonts w:ascii="宋体" w:hAnsi="宋体"/>
          <w:b/>
          <w:bCs/>
          <w:color w:val="auto"/>
          <w:sz w:val="32"/>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color w:val="auto"/>
          <w:sz w:val="24"/>
          <w:highlight w:val="none"/>
        </w:rPr>
      </w:pPr>
      <w:r>
        <w:rPr>
          <w:rFonts w:ascii="宋体" w:hAnsi="宋体"/>
          <w:b/>
          <w:bCs/>
          <w:color w:val="auto"/>
          <w:sz w:val="24"/>
          <w:highlight w:val="none"/>
        </w:rPr>
      </w:r>
      <w:r/>
    </w:p>
    <w:p>
      <w:pPr>
        <w:jc w:val="both"/>
        <w:spacing w:line="360" w:lineRule="auto"/>
        <w:widowControl w:val="off"/>
        <w:rPr>
          <w:rFonts w:ascii="宋体" w:hAnsi="宋体"/>
          <w:bCs/>
          <w:color w:val="auto"/>
          <w:sz w:val="21"/>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w:t>
      </w:r>
      <w:r>
        <w:rPr>
          <w:rFonts w:hint="eastAsia" w:ascii="宋体" w:hAnsi="宋体"/>
          <w:b/>
          <w:bCs/>
          <w:color w:val="auto"/>
          <w:sz w:val="21"/>
          <w:szCs w:val="21"/>
          <w:highlight w:val="none"/>
        </w:rPr>
        <w:t xml:space="preserve">法人授权委托书</w:t>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w:t>
      </w:r>
      <w:r>
        <w:rPr>
          <w:rFonts w:ascii="Times New Roman" w:hAnsi="Times New Roman"/>
          <w:b/>
          <w:bCs/>
          <w:color w:val="auto"/>
          <w:sz w:val="24"/>
          <w:szCs w:val="24"/>
          <w:highlight w:val="none"/>
        </w:rPr>
        <w:t xml:space="preserve">授权委托书</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w:t>
      </w:r>
      <w:r>
        <w:rPr>
          <w:rFonts w:ascii="宋体" w:hAnsi="宋体"/>
          <w:bCs/>
          <w:color w:val="auto"/>
          <w:sz w:val="21"/>
          <w:szCs w:val="21"/>
          <w:highlight w:val="none"/>
        </w:rPr>
        <w:t xml:space="preserve">名称）授权</w:t>
      </w:r>
      <w:bookmarkStart w:id="7" w:name="sys_STR"/>
      <w:r/>
      <w:bookmarkEnd w:id="7"/>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(被授权人的姓名)（</w:t>
      </w:r>
      <w:r>
        <w:rPr>
          <w:rFonts w:hint="eastAsia" w:ascii="宋体" w:hAnsi="宋体"/>
          <w:bCs/>
          <w:color w:val="auto"/>
          <w:sz w:val="21"/>
          <w:szCs w:val="21"/>
          <w:highlight w:val="none"/>
        </w:rPr>
        <w:t xml:space="preserve">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项目采购活动的合法代理人，以本单位名义全权处理一切与该项目采购有关的事务</w:t>
      </w:r>
      <w:r>
        <w:rPr>
          <w:rFonts w:hint="eastAsia" w:ascii="宋体" w:hAnsi="宋体"/>
          <w:bCs/>
          <w:color w:val="auto"/>
          <w:sz w:val="21"/>
          <w:szCs w:val="21"/>
          <w:highlight w:val="none"/>
        </w:rPr>
        <w:t xml:space="preserve">，其代表本单位处理相关事项所产生的一切责任由本单位承担。</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 xml:space="preserve">起生效，特此声明。</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被授权人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被授权人</w:t>
      </w: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授权单位名称：（加盖公章）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color w:val="auto"/>
          <w:highlight w:val="none"/>
        </w:rPr>
      </w:pPr>
      <w:r>
        <w:rPr>
          <w:rFonts w:hint="eastAsia"/>
          <w:color w:val="auto"/>
          <w:highlight w:val="none"/>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2、法定代表人身份证明书</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姓名</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担任</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供应商名称</w:t>
      </w:r>
      <w:r>
        <w:rPr>
          <w:rFonts w:ascii="宋体" w:hAnsi="宋体"/>
          <w:bCs/>
          <w:color w:val="auto"/>
          <w:sz w:val="21"/>
          <w:szCs w:val="21"/>
          <w:highlight w:val="none"/>
        </w:rPr>
        <w:t xml:space="preserve">)</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（职位 ），是我单位的法定代表人</w:t>
      </w:r>
      <w:r>
        <w:rPr>
          <w:rFonts w:ascii="宋体" w:hAnsi="宋体"/>
          <w:bCs/>
          <w:color w:val="auto"/>
          <w:sz w:val="21"/>
          <w:szCs w:val="21"/>
          <w:highlight w:val="none"/>
        </w:rPr>
        <w:t xml:space="preserve">。 </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特此</w:t>
      </w:r>
      <w:r>
        <w:rPr>
          <w:rFonts w:hint="eastAsia" w:ascii="宋体" w:hAnsi="宋体"/>
          <w:bCs/>
          <w:color w:val="auto"/>
          <w:sz w:val="21"/>
          <w:szCs w:val="21"/>
          <w:highlight w:val="none"/>
        </w:rPr>
        <w:t xml:space="preserve">证</w:t>
      </w:r>
      <w:r>
        <w:rPr>
          <w:rFonts w:ascii="宋体" w:hAnsi="宋体"/>
          <w:bCs/>
          <w:color w:val="auto"/>
          <w:sz w:val="21"/>
          <w:szCs w:val="21"/>
          <w:highlight w:val="none"/>
        </w:rPr>
        <w:t xml:space="preserve">明。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en-US" w:eastAsia="zh-CN"/>
        </w:rPr>
        <w:t xml:space="preserve">注：</w:t>
      </w:r>
      <w:r>
        <w:rPr>
          <w:rFonts w:hint="eastAsia" w:ascii="宋体" w:hAnsi="宋体"/>
          <w:bCs/>
          <w:color w:val="auto"/>
          <w:sz w:val="21"/>
          <w:szCs w:val="21"/>
          <w:highlight w:val="none"/>
        </w:rPr>
        <w:t xml:space="preserve">被授权人非法定代表人的，应提供授权委托书</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法人及被授权人的身份证复印件；</w:t>
      </w:r>
      <w:r/>
    </w:p>
    <w:p>
      <w:pPr>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被授权人是法定代表人的，提供法定代表人身份</w:t>
      </w:r>
      <w:r>
        <w:rPr>
          <w:rFonts w:hint="eastAsia" w:ascii="宋体" w:hAnsi="宋体"/>
          <w:bCs/>
          <w:color w:val="auto"/>
          <w:sz w:val="21"/>
          <w:szCs w:val="21"/>
          <w:highlight w:val="none"/>
          <w:lang w:val="en-US" w:eastAsia="zh-CN"/>
        </w:rPr>
        <w:t xml:space="preserve">证明书和身份证复印件</w:t>
      </w:r>
      <w:r>
        <w:rPr>
          <w:rFonts w:hint="eastAsia" w:ascii="宋体" w:hAnsi="宋体"/>
          <w:bCs/>
          <w:color w:val="auto"/>
          <w:sz w:val="21"/>
          <w:szCs w:val="21"/>
          <w:highlight w:val="none"/>
        </w:rPr>
        <w:t xml:space="preserve">。</w:t>
      </w:r>
      <w:r/>
    </w:p>
    <w:p>
      <w:pPr>
        <w:ind w:firstLine="425"/>
        <w:jc w:val="cente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pStyle w:val="708"/>
        <w:spacing w:line="420" w:lineRule="exact"/>
        <w:rPr>
          <w:rFonts w:ascii="宋体" w:hAnsi="宋体"/>
          <w:color w:val="auto"/>
          <w:sz w:val="21"/>
          <w:szCs w:val="21"/>
          <w:highlight w:val="none"/>
        </w:rPr>
      </w:pPr>
      <w:r>
        <w:rPr>
          <w:rFonts w:hint="eastAsia" w:ascii="宋体" w:hAnsi="宋体"/>
          <w:bCs w:val="0"/>
          <w:color w:val="auto"/>
          <w:sz w:val="21"/>
          <w:szCs w:val="21"/>
          <w:highlight w:val="none"/>
          <w:lang w:val="zh-CN"/>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745"/>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投标函</w:t>
      </w:r>
      <w:r/>
    </w:p>
    <w:p>
      <w:pPr>
        <w:pStyle w:val="745"/>
        <w:spacing w:line="360" w:lineRule="exact"/>
        <w:rPr>
          <w:rFonts w:hAnsi="宋体"/>
          <w:bCs/>
          <w:color w:val="auto"/>
          <w:sz w:val="21"/>
          <w:szCs w:val="21"/>
          <w:highlight w:val="none"/>
        </w:rPr>
      </w:pPr>
      <w:r>
        <w:rPr>
          <w:rFonts w:hAnsi="宋体"/>
          <w:bCs/>
          <w:color w:val="auto"/>
          <w:sz w:val="21"/>
          <w:szCs w:val="21"/>
          <w:highlight w:val="none"/>
        </w:rPr>
      </w:r>
      <w:r/>
    </w:p>
    <w:p>
      <w:pPr>
        <w:pStyle w:val="745"/>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745"/>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我方收到贵公司号采购文件，经仔细阅读和研究，我方决定参加投标。并向贵公司承诺：</w:t>
      </w:r>
      <w:r/>
    </w:p>
    <w:p>
      <w:pPr>
        <w:pStyle w:val="745"/>
        <w:ind w:firstLine="420"/>
        <w:spacing w:line="360" w:lineRule="exact"/>
        <w:rPr>
          <w:rFonts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的服务的报价包括完成本项工作所需的一切应有费用。</w:t>
      </w:r>
      <w:r/>
    </w:p>
    <w:p>
      <w:pPr>
        <w:pStyle w:val="745"/>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45"/>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745"/>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745"/>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745"/>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745"/>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745"/>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8、如果我方中标，我方愿意按采购文件规定支付中标服务费，如未按规定缴纳中标服务费，采购代理机构有权保留诉讼的权利；</w:t>
      </w:r>
      <w:r/>
    </w:p>
    <w:p>
      <w:pPr>
        <w:pStyle w:val="745"/>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745"/>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联 系 人：_____________________                </w:t>
      </w:r>
      <w:r/>
    </w:p>
    <w:p>
      <w:pPr>
        <w:pStyle w:val="745"/>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联系手机：_____________________</w:t>
      </w:r>
      <w:r/>
    </w:p>
    <w:p>
      <w:pPr>
        <w:pStyle w:val="745"/>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地    址：_____________________</w:t>
      </w:r>
      <w:r/>
    </w:p>
    <w:p>
      <w:pPr>
        <w:pStyle w:val="745"/>
        <w:ind w:firstLine="425"/>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开户银行：</w:t>
      </w:r>
      <w:r/>
    </w:p>
    <w:p>
      <w:pPr>
        <w:pStyle w:val="745"/>
        <w:ind w:firstLine="425"/>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银行账号：</w:t>
      </w:r>
      <w:r/>
    </w:p>
    <w:p>
      <w:pPr>
        <w:pStyle w:val="745"/>
        <w:ind w:firstLine="425"/>
        <w:spacing w:line="360" w:lineRule="exact"/>
        <w:rPr>
          <w:rFonts w:hAnsi="宋体" w:eastAsia="宋体"/>
          <w:bCs/>
          <w:color w:val="auto"/>
          <w:sz w:val="21"/>
          <w:szCs w:val="21"/>
          <w:highlight w:val="none"/>
        </w:rPr>
      </w:pPr>
      <w:r>
        <w:rPr>
          <w:rFonts w:hAnsi="宋体" w:eastAsia="宋体"/>
          <w:bCs/>
          <w:color w:val="auto"/>
          <w:sz w:val="21"/>
          <w:szCs w:val="21"/>
          <w:highlight w:val="none"/>
        </w:rPr>
      </w:r>
      <w:r/>
    </w:p>
    <w:p>
      <w:pPr>
        <w:pStyle w:val="745"/>
        <w:ind w:firstLine="425"/>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ascii="宋体" w:hAnsi="宋体"/>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pStyle w:val="745"/>
        <w:jc w:val="center"/>
        <w:spacing w:line="360" w:lineRule="auto"/>
        <w:rPr>
          <w:rFonts w:hAnsi="宋体" w:eastAsia="宋体"/>
          <w:b/>
          <w:bCs/>
          <w:color w:val="auto"/>
          <w:sz w:val="36"/>
          <w:szCs w:val="36"/>
          <w:highlight w:val="none"/>
        </w:rPr>
      </w:pPr>
      <w:r>
        <w:rPr>
          <w:rFonts w:hint="eastAsia" w:hAnsi="宋体" w:eastAsia="宋体"/>
          <w:b/>
          <w:bCs/>
          <w:color w:val="auto"/>
          <w:sz w:val="36"/>
          <w:szCs w:val="36"/>
          <w:highlight w:val="none"/>
        </w:rPr>
        <w:t xml:space="preserve">开标一览表</w:t>
      </w:r>
      <w:r/>
    </w:p>
    <w:p>
      <w:pPr>
        <w:jc w:val="center"/>
        <w:spacing w:line="300" w:lineRule="auto"/>
        <w:rPr>
          <w:rFonts w:ascii="宋体" w:hAnsi="宋体"/>
          <w:color w:val="auto"/>
          <w:spacing w:val="20"/>
          <w:szCs w:val="21"/>
          <w:highlight w:val="none"/>
        </w:rPr>
      </w:pPr>
      <w:r>
        <w:rPr>
          <w:rFonts w:hint="eastAsia" w:ascii="宋体" w:hAnsi="宋体"/>
          <w:color w:val="auto"/>
          <w:spacing w:val="20"/>
          <w:szCs w:val="21"/>
          <w:highlight w:val="none"/>
        </w:rPr>
        <w:t xml:space="preserve">（格式）</w:t>
      </w:r>
      <w:r/>
    </w:p>
    <w:p>
      <w:pPr>
        <w:spacing w:line="360" w:lineRule="auto"/>
        <w:rPr>
          <w:rFonts w:hint="eastAsia" w:ascii="宋体" w:hAnsi="宋体" w:eastAsia="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JSZC-320500-SZWK-G2026-0153</w:t>
      </w:r>
      <w:r/>
    </w:p>
    <w:tbl>
      <w:tblPr>
        <w:tblStyle w:val="6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序号</w:t>
            </w:r>
            <w:r/>
          </w:p>
        </w:tc>
        <w:tc>
          <w:tcPr>
            <w:gridSpan w:val="2"/>
            <w:tcW w:w="2523" w:type="dxa"/>
            <w:vAlign w:val="center"/>
            <w:textDirection w:val="lrTb"/>
            <w:noWrap/>
          </w:tcPr>
          <w:p>
            <w:pPr>
              <w:jc w:val="center"/>
              <w:spacing w:line="360" w:lineRule="exact"/>
              <w:rPr>
                <w:color w:val="auto"/>
                <w:szCs w:val="21"/>
                <w:highlight w:val="none"/>
              </w:rPr>
            </w:pPr>
            <w:r>
              <w:rPr>
                <w:rFonts w:hint="eastAsia"/>
                <w:color w:val="auto"/>
                <w:szCs w:val="21"/>
                <w:highlight w:val="none"/>
                <w:lang w:val="zh-CN"/>
              </w:rPr>
              <w:t xml:space="preserve">项目</w:t>
            </w:r>
            <w:r>
              <w:rPr>
                <w:color w:val="auto"/>
                <w:szCs w:val="21"/>
                <w:highlight w:val="none"/>
                <w:lang w:val="zh-CN"/>
              </w:rPr>
              <w:t xml:space="preserve">名称</w:t>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报价（元）</w:t>
            </w:r>
            <w:r/>
          </w:p>
        </w:tc>
        <w:tc>
          <w:tcPr>
            <w:tcW w:w="890"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备注</w:t>
            </w:r>
            <w:r/>
          </w:p>
        </w:tc>
      </w:tr>
      <w:tr>
        <w:trPr>
          <w:gridAfter w:val="1"/>
          <w:jc w:val="center"/>
          <w:trHeight w:val="1317"/>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1</w:t>
            </w:r>
            <w:r/>
          </w:p>
        </w:tc>
        <w:tc>
          <w:tcPr>
            <w:gridSpan w:val="2"/>
            <w:tcW w:w="2523" w:type="dxa"/>
            <w:vAlign w:val="center"/>
            <w:textDirection w:val="lrTb"/>
            <w:noWrap/>
          </w:tcPr>
          <w:p>
            <w:pPr>
              <w:jc w:val="center"/>
              <w:spacing w:line="360" w:lineRule="exact"/>
              <w:rPr>
                <w:color w:val="auto"/>
                <w:szCs w:val="21"/>
                <w:highlight w:val="none"/>
              </w:rPr>
            </w:pPr>
            <w:r>
              <w:rPr>
                <w:color w:val="auto"/>
                <w:szCs w:val="21"/>
                <w:highlight w:val="none"/>
              </w:rPr>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rPr>
            </w:r>
            <w:r/>
          </w:p>
        </w:tc>
        <w:tc>
          <w:tcPr>
            <w:tcW w:w="890" w:type="dxa"/>
            <w:vAlign w:val="center"/>
            <w:textDirection w:val="lrTb"/>
            <w:noWrap/>
          </w:tcPr>
          <w:p>
            <w:pPr>
              <w:jc w:val="center"/>
              <w:spacing w:line="360" w:lineRule="exact"/>
              <w:rPr>
                <w:color w:val="auto"/>
                <w:szCs w:val="21"/>
                <w:highlight w:val="none"/>
              </w:rPr>
            </w:pPr>
            <w:r>
              <w:rPr>
                <w:color w:val="auto"/>
                <w:szCs w:val="21"/>
                <w:highlight w:val="none"/>
              </w:rPr>
            </w:r>
            <w:r/>
          </w:p>
        </w:tc>
      </w:tr>
      <w:tr>
        <w:trPr>
          <w:jc w:val="center"/>
          <w:trHeight w:val="454"/>
        </w:trPr>
        <w:tc>
          <w:tcPr>
            <w:gridSpan w:val="2"/>
            <w:tcW w:w="2216"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投标总报价：</w:t>
            </w:r>
            <w:r/>
          </w:p>
        </w:tc>
        <w:tc>
          <w:tcPr>
            <w:gridSpan w:val="4"/>
            <w:tcW w:w="6251" w:type="dxa"/>
            <w:vAlign w:val="top"/>
            <w:textDirection w:val="lrTb"/>
            <w:noWrap/>
          </w:tcPr>
          <w:p>
            <w:pPr>
              <w:spacing w:line="360" w:lineRule="exact"/>
              <w:rPr>
                <w:color w:val="auto"/>
                <w:szCs w:val="21"/>
                <w:highlight w:val="none"/>
              </w:rPr>
            </w:pPr>
            <w:r>
              <w:rPr>
                <w:color w:val="auto"/>
                <w:szCs w:val="21"/>
                <w:highlight w:val="none"/>
                <w:lang w:val="zh-CN"/>
              </w:rPr>
              <w:t xml:space="preserve">（小写）：</w:t>
            </w:r>
            <w:r/>
          </w:p>
          <w:p>
            <w:pPr>
              <w:spacing w:line="360" w:lineRule="exact"/>
              <w:rPr>
                <w:color w:val="auto"/>
                <w:szCs w:val="21"/>
                <w:highlight w:val="none"/>
              </w:rPr>
            </w:pPr>
            <w:r>
              <w:rPr>
                <w:color w:val="auto"/>
                <w:szCs w:val="21"/>
                <w:highlight w:val="none"/>
                <w:lang w:val="zh-CN"/>
              </w:rPr>
              <w:t xml:space="preserve">（大写）：</w:t>
            </w:r>
            <w:r/>
          </w:p>
        </w:tc>
      </w:tr>
    </w:tbl>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ind w:firstLine="21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年月日</w:t>
      </w:r>
      <w:r/>
    </w:p>
    <w:p>
      <w:pPr>
        <w:rPr>
          <w:rFonts w:ascii="宋体" w:hAnsi="宋体"/>
          <w:b/>
          <w:bCs/>
          <w:color w:val="auto"/>
          <w:szCs w:val="21"/>
          <w:highlight w:val="none"/>
        </w:rPr>
      </w:pPr>
      <w:r>
        <w:rPr>
          <w:rFonts w:ascii="宋体" w:hAnsi="宋体"/>
          <w:b/>
          <w:bCs/>
          <w:color w:val="auto"/>
          <w:szCs w:val="21"/>
          <w:highlight w:val="none"/>
        </w:rPr>
      </w:r>
      <w:r/>
    </w:p>
    <w:p>
      <w:pPr>
        <w:rPr>
          <w:rFonts w:ascii="宋体" w:hAnsi="宋体"/>
          <w:b/>
          <w:bCs/>
          <w:color w:val="auto"/>
          <w:szCs w:val="21"/>
          <w:highlight w:val="none"/>
        </w:rPr>
      </w:pPr>
      <w:r>
        <w:rPr>
          <w:rFonts w:ascii="宋体" w:hAnsi="宋体"/>
          <w:b/>
          <w:bCs/>
          <w:color w:val="auto"/>
          <w:szCs w:val="21"/>
          <w:highlight w:val="none"/>
        </w:rPr>
      </w:r>
      <w:r/>
    </w:p>
    <w:p>
      <w:pPr>
        <w:spacing w:line="400" w:lineRule="exact"/>
        <w:rPr>
          <w:rFonts w:ascii="宋体" w:hAnsi="宋体"/>
          <w:b/>
          <w:color w:val="auto"/>
          <w:highlight w:val="none"/>
        </w:rPr>
      </w:pPr>
      <w:r>
        <w:rPr>
          <w:rFonts w:ascii="宋体" w:hAnsi="宋体"/>
          <w:b/>
          <w:color w:val="auto"/>
          <w:highlight w:val="none"/>
        </w:rPr>
      </w:r>
      <w:r/>
    </w:p>
    <w:p>
      <w:pPr>
        <w:spacing w:line="400" w:lineRule="exact"/>
        <w:rPr>
          <w:b/>
          <w:bCs/>
          <w:color w:val="auto"/>
          <w:szCs w:val="21"/>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b/>
          <w:bCs/>
          <w:color w:val="auto"/>
          <w:szCs w:val="21"/>
          <w:highlight w:val="none"/>
          <w:lang w:val="zh-CN"/>
        </w:rPr>
        <w:t xml:space="preserve">4</w:t>
      </w:r>
      <w:r>
        <w:rPr>
          <w:rFonts w:hint="eastAsia"/>
          <w:b/>
          <w:bCs/>
          <w:color w:val="auto"/>
          <w:szCs w:val="21"/>
          <w:highlight w:val="none"/>
          <w:lang w:val="zh-CN"/>
        </w:rPr>
        <w:t xml:space="preserve">、</w:t>
      </w:r>
      <w:r>
        <w:rPr>
          <w:rFonts w:hint="eastAsia"/>
          <w:b/>
          <w:bCs/>
          <w:color w:val="auto"/>
          <w:szCs w:val="21"/>
          <w:highlight w:val="none"/>
        </w:rPr>
        <w:t xml:space="preserve">投标报价明细</w:t>
      </w:r>
      <w:r>
        <w:rPr>
          <w:rFonts w:hint="eastAsia"/>
          <w:b/>
          <w:bCs/>
          <w:color w:val="auto"/>
          <w:szCs w:val="21"/>
          <w:highlight w:val="none"/>
          <w:lang w:val="zh-CN"/>
        </w:rPr>
        <w:t xml:space="preserve">表</w:t>
      </w:r>
      <w:r/>
    </w:p>
    <w:p>
      <w:pPr>
        <w:jc w:val="center"/>
        <w:spacing w:line="400" w:lineRule="exact"/>
        <w:rPr>
          <w:rFonts w:ascii="宋体" w:hAnsi="宋体"/>
          <w:b/>
          <w:color w:val="auto"/>
          <w:sz w:val="32"/>
          <w:szCs w:val="32"/>
          <w:highlight w:val="none"/>
        </w:rPr>
      </w:pPr>
      <w:r>
        <w:rPr>
          <w:rFonts w:ascii="宋体" w:hAnsi="宋体"/>
          <w:b/>
          <w:color w:val="auto"/>
          <w:sz w:val="32"/>
          <w:szCs w:val="32"/>
          <w:highlight w:val="none"/>
        </w:rPr>
      </w:r>
      <w:r/>
    </w:p>
    <w:p>
      <w:pPr>
        <w:jc w:val="center"/>
        <w:spacing w:line="400" w:lineRule="exact"/>
        <w:rPr>
          <w:rFonts w:ascii="宋体" w:hAnsi="宋体"/>
          <w:b/>
          <w:color w:val="auto"/>
          <w:sz w:val="32"/>
          <w:szCs w:val="32"/>
          <w:highlight w:val="none"/>
        </w:rPr>
      </w:pPr>
      <w:r>
        <w:rPr>
          <w:rFonts w:hint="eastAsia" w:ascii="宋体" w:hAnsi="宋体"/>
          <w:b/>
          <w:color w:val="auto"/>
          <w:sz w:val="32"/>
          <w:szCs w:val="32"/>
          <w:highlight w:val="none"/>
        </w:rPr>
        <w:t xml:space="preserve">投标报价明细表</w:t>
      </w:r>
      <w:r/>
    </w:p>
    <w:p>
      <w:pPr>
        <w:spacing w:line="360" w:lineRule="auto"/>
        <w:rPr>
          <w:bCs/>
          <w:color w:val="auto"/>
          <w:szCs w:val="21"/>
          <w:highlight w:val="none"/>
        </w:rPr>
      </w:pPr>
      <w:r>
        <w:rPr>
          <w:rFonts w:hAnsi="宋体"/>
          <w:bCs/>
          <w:color w:val="auto"/>
          <w:szCs w:val="21"/>
          <w:highlight w:val="none"/>
        </w:rPr>
        <w:t xml:space="preserve">采购编号：</w:t>
      </w:r>
      <w:r/>
    </w:p>
    <w:tbl>
      <w:tblPr>
        <w:tblStyle w:val="679"/>
        <w:tblW w:w="864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tblGrid>
      <w:tr>
        <w:trPr>
          <w:jc w:val="center"/>
          <w:trHeight w:val="704"/>
        </w:trPr>
        <w:tc>
          <w:tcPr>
            <w:tcW w:w="718" w:type="dxa"/>
            <w:vAlign w:val="center"/>
            <w:textDirection w:val="lrTb"/>
            <w:noWrap/>
          </w:tcPr>
          <w:p>
            <w:pPr>
              <w:jc w:val="center"/>
              <w:rPr>
                <w:bCs/>
                <w:color w:val="auto"/>
                <w:szCs w:val="21"/>
                <w:highlight w:val="none"/>
              </w:rPr>
            </w:pPr>
            <w:r>
              <w:rPr>
                <w:rFonts w:hAnsi="宋体"/>
                <w:bCs/>
                <w:color w:val="auto"/>
                <w:szCs w:val="21"/>
                <w:highlight w:val="none"/>
              </w:rPr>
              <w:t xml:space="preserve">序号</w:t>
            </w:r>
            <w:r/>
          </w:p>
        </w:tc>
        <w:tc>
          <w:tcPr>
            <w:tcW w:w="1441" w:type="dxa"/>
            <w:vAlign w:val="center"/>
            <w:textDirection w:val="lrTb"/>
            <w:noWrap/>
          </w:tcPr>
          <w:p>
            <w:pPr>
              <w:jc w:val="center"/>
              <w:rPr>
                <w:bCs/>
                <w:color w:val="auto"/>
                <w:szCs w:val="21"/>
                <w:highlight w:val="none"/>
              </w:rPr>
            </w:pPr>
            <w:r>
              <w:rPr>
                <w:rFonts w:hAnsi="宋体"/>
                <w:bCs/>
                <w:color w:val="auto"/>
                <w:szCs w:val="21"/>
                <w:highlight w:val="none"/>
              </w:rPr>
              <w:t xml:space="preserve">标的物名称</w:t>
            </w:r>
            <w:r/>
          </w:p>
        </w:tc>
        <w:tc>
          <w:tcPr>
            <w:tcW w:w="1381" w:type="dxa"/>
            <w:vAlign w:val="center"/>
            <w:textDirection w:val="lrTb"/>
            <w:noWrap/>
          </w:tcPr>
          <w:p>
            <w:pPr>
              <w:jc w:val="center"/>
              <w:rPr>
                <w:bCs/>
                <w:color w:val="auto"/>
                <w:szCs w:val="21"/>
                <w:highlight w:val="none"/>
              </w:rPr>
            </w:pPr>
            <w:r>
              <w:rPr>
                <w:rFonts w:hAnsi="宋体"/>
                <w:bCs/>
                <w:color w:val="auto"/>
                <w:szCs w:val="21"/>
                <w:highlight w:val="none"/>
              </w:rPr>
              <w:t xml:space="preserve">品牌、规格</w:t>
            </w:r>
            <w:r/>
          </w:p>
        </w:tc>
        <w:tc>
          <w:tcPr>
            <w:tcW w:w="1276" w:type="dxa"/>
            <w:vAlign w:val="center"/>
            <w:textDirection w:val="lrTb"/>
            <w:noWrap/>
          </w:tcPr>
          <w:p>
            <w:pPr>
              <w:jc w:val="center"/>
              <w:rPr>
                <w:bCs/>
                <w:color w:val="auto"/>
                <w:szCs w:val="21"/>
                <w:highlight w:val="none"/>
              </w:rPr>
            </w:pPr>
            <w:r>
              <w:rPr>
                <w:rFonts w:hAnsi="宋体"/>
                <w:bCs/>
                <w:color w:val="auto"/>
                <w:szCs w:val="21"/>
                <w:highlight w:val="none"/>
              </w:rPr>
              <w:t xml:space="preserve">生产厂家</w:t>
            </w:r>
            <w:r/>
          </w:p>
        </w:tc>
        <w:tc>
          <w:tcPr>
            <w:gridSpan w:val="2"/>
            <w:tcW w:w="734" w:type="dxa"/>
            <w:vAlign w:val="center"/>
            <w:textDirection w:val="lrTb"/>
            <w:noWrap/>
          </w:tcPr>
          <w:p>
            <w:pPr>
              <w:jc w:val="center"/>
              <w:rPr>
                <w:bCs/>
                <w:color w:val="auto"/>
                <w:szCs w:val="21"/>
                <w:highlight w:val="none"/>
              </w:rPr>
            </w:pPr>
            <w:r>
              <w:rPr>
                <w:rFonts w:hAnsi="宋体"/>
                <w:bCs/>
                <w:color w:val="auto"/>
                <w:szCs w:val="21"/>
                <w:highlight w:val="none"/>
              </w:rPr>
              <w:t xml:space="preserve">单位</w:t>
            </w:r>
            <w:r/>
          </w:p>
        </w:tc>
        <w:tc>
          <w:tcPr>
            <w:tcW w:w="734" w:type="dxa"/>
            <w:vAlign w:val="center"/>
            <w:textDirection w:val="lrTb"/>
            <w:noWrap/>
          </w:tcPr>
          <w:p>
            <w:pPr>
              <w:jc w:val="center"/>
              <w:rPr>
                <w:bCs/>
                <w:color w:val="auto"/>
                <w:szCs w:val="21"/>
                <w:highlight w:val="none"/>
              </w:rPr>
            </w:pPr>
            <w:r>
              <w:rPr>
                <w:rFonts w:hAnsi="宋体"/>
                <w:bCs/>
                <w:color w:val="auto"/>
                <w:szCs w:val="21"/>
                <w:highlight w:val="none"/>
              </w:rPr>
              <w:t xml:space="preserve">数量</w:t>
            </w:r>
            <w:r/>
          </w:p>
        </w:tc>
        <w:tc>
          <w:tcPr>
            <w:tcW w:w="734" w:type="dxa"/>
            <w:vAlign w:val="center"/>
            <w:textDirection w:val="lrTb"/>
            <w:noWrap/>
          </w:tcPr>
          <w:p>
            <w:pPr>
              <w:jc w:val="center"/>
              <w:rPr>
                <w:bCs/>
                <w:color w:val="auto"/>
                <w:szCs w:val="21"/>
                <w:highlight w:val="none"/>
              </w:rPr>
            </w:pPr>
            <w:r>
              <w:rPr>
                <w:rFonts w:hAnsi="宋体"/>
                <w:bCs/>
                <w:color w:val="auto"/>
                <w:szCs w:val="21"/>
                <w:highlight w:val="none"/>
              </w:rPr>
              <w:t xml:space="preserve">单价</w:t>
            </w:r>
            <w:r/>
          </w:p>
        </w:tc>
        <w:tc>
          <w:tcPr>
            <w:tcW w:w="726" w:type="dxa"/>
            <w:vAlign w:val="center"/>
            <w:textDirection w:val="lrTb"/>
            <w:noWrap/>
          </w:tcPr>
          <w:p>
            <w:pPr>
              <w:jc w:val="center"/>
              <w:rPr>
                <w:bCs/>
                <w:color w:val="auto"/>
                <w:szCs w:val="21"/>
                <w:highlight w:val="none"/>
              </w:rPr>
            </w:pPr>
            <w:r>
              <w:rPr>
                <w:rFonts w:hAnsi="宋体"/>
                <w:bCs/>
                <w:color w:val="auto"/>
                <w:szCs w:val="21"/>
                <w:highlight w:val="none"/>
              </w:rPr>
              <w:t xml:space="preserve">总价</w:t>
            </w:r>
            <w:r/>
          </w:p>
        </w:tc>
        <w:tc>
          <w:tcPr>
            <w:tcW w:w="898" w:type="dxa"/>
            <w:vAlign w:val="center"/>
            <w:textDirection w:val="lrTb"/>
            <w:noWrap/>
          </w:tcPr>
          <w:p>
            <w:pPr>
              <w:jc w:val="center"/>
              <w:rPr>
                <w:bCs/>
                <w:color w:val="auto"/>
                <w:szCs w:val="21"/>
                <w:highlight w:val="none"/>
              </w:rPr>
            </w:pPr>
            <w:r>
              <w:rPr>
                <w:rFonts w:hAnsi="宋体"/>
                <w:bCs/>
                <w:color w:val="auto"/>
                <w:szCs w:val="21"/>
                <w:highlight w:val="none"/>
              </w:rPr>
              <w:t xml:space="preserve">备注</w:t>
            </w:r>
            <w:r/>
          </w:p>
        </w:tc>
      </w:tr>
      <w:tr>
        <w:trPr>
          <w:jc w:val="center"/>
          <w:trHeight w:val="597"/>
        </w:trPr>
        <w:tc>
          <w:tcPr>
            <w:tcW w:w="718" w:type="dxa"/>
            <w:vAlign w:val="center"/>
            <w:textDirection w:val="lrTb"/>
            <w:noWrap/>
          </w:tcPr>
          <w:p>
            <w:pPr>
              <w:jc w:val="center"/>
              <w:rPr>
                <w:bCs/>
                <w:color w:val="auto"/>
                <w:szCs w:val="21"/>
                <w:highlight w:val="none"/>
              </w:rPr>
            </w:pPr>
            <w:r>
              <w:rPr>
                <w:bCs/>
                <w:color w:val="auto"/>
                <w:szCs w:val="21"/>
                <w:highlight w:val="none"/>
              </w:rPr>
            </w:r>
            <w:r/>
          </w:p>
        </w:tc>
        <w:tc>
          <w:tcPr>
            <w:tcW w:w="1441" w:type="dxa"/>
            <w:vAlign w:val="center"/>
            <w:textDirection w:val="lrTb"/>
            <w:noWrap/>
          </w:tcPr>
          <w:p>
            <w:pPr>
              <w:jc w:val="center"/>
              <w:rPr>
                <w:bCs/>
                <w:color w:val="auto"/>
                <w:szCs w:val="21"/>
                <w:highlight w:val="none"/>
              </w:rPr>
            </w:pPr>
            <w:r>
              <w:rPr>
                <w:bCs/>
                <w:color w:val="auto"/>
                <w:szCs w:val="21"/>
                <w:highlight w:val="none"/>
              </w:rPr>
            </w:r>
            <w:r/>
          </w:p>
        </w:tc>
        <w:tc>
          <w:tcPr>
            <w:tcW w:w="1381" w:type="dxa"/>
            <w:vAlign w:val="center"/>
            <w:textDirection w:val="lrTb"/>
            <w:noWrap/>
          </w:tcPr>
          <w:p>
            <w:pPr>
              <w:jc w:val="center"/>
              <w:rPr>
                <w:bCs/>
                <w:color w:val="auto"/>
                <w:szCs w:val="21"/>
                <w:highlight w:val="none"/>
              </w:rPr>
            </w:pPr>
            <w:r>
              <w:rPr>
                <w:bCs/>
                <w:color w:val="auto"/>
                <w:szCs w:val="21"/>
                <w:highlight w:val="none"/>
              </w:rPr>
            </w:r>
            <w:r/>
          </w:p>
        </w:tc>
        <w:tc>
          <w:tcPr>
            <w:tcW w:w="1276" w:type="dxa"/>
            <w:vAlign w:val="center"/>
            <w:textDirection w:val="lrTb"/>
            <w:noWrap/>
          </w:tcPr>
          <w:p>
            <w:pPr>
              <w:jc w:val="center"/>
              <w:rPr>
                <w:bCs/>
                <w:color w:val="auto"/>
                <w:szCs w:val="21"/>
                <w:highlight w:val="none"/>
              </w:rPr>
            </w:pPr>
            <w:r>
              <w:rPr>
                <w:bCs/>
                <w:color w:val="auto"/>
                <w:szCs w:val="21"/>
                <w:highlight w:val="none"/>
              </w:rPr>
            </w:r>
            <w:r/>
          </w:p>
        </w:tc>
        <w:tc>
          <w:tcPr>
            <w:tcW w:w="725" w:type="dxa"/>
            <w:vAlign w:val="center"/>
            <w:textDirection w:val="lrTb"/>
            <w:noWrap/>
          </w:tcPr>
          <w:p>
            <w:pPr>
              <w:jc w:val="center"/>
              <w:rPr>
                <w:bCs/>
                <w:color w:val="auto"/>
                <w:szCs w:val="21"/>
                <w:highlight w:val="none"/>
              </w:rPr>
            </w:pPr>
            <w:r>
              <w:rPr>
                <w:bCs/>
                <w:color w:val="auto"/>
                <w:szCs w:val="21"/>
                <w:highlight w:val="none"/>
              </w:rPr>
            </w:r>
            <w:r/>
          </w:p>
        </w:tc>
        <w:tc>
          <w:tcPr>
            <w:gridSpan w:val="2"/>
            <w:tcW w:w="743" w:type="dxa"/>
            <w:vAlign w:val="center"/>
            <w:textDirection w:val="lrTb"/>
            <w:noWrap/>
          </w:tcPr>
          <w:p>
            <w:pPr>
              <w:jc w:val="center"/>
              <w:rPr>
                <w:bCs/>
                <w:color w:val="auto"/>
                <w:szCs w:val="21"/>
                <w:highlight w:val="none"/>
              </w:rPr>
            </w:pPr>
            <w:r>
              <w:rPr>
                <w:bCs/>
                <w:color w:val="auto"/>
                <w:szCs w:val="21"/>
                <w:highlight w:val="none"/>
              </w:rPr>
            </w:r>
            <w:r/>
          </w:p>
        </w:tc>
        <w:tc>
          <w:tcPr>
            <w:tcW w:w="734" w:type="dxa"/>
            <w:vAlign w:val="center"/>
            <w:textDirection w:val="lrTb"/>
            <w:noWrap/>
          </w:tcPr>
          <w:p>
            <w:pPr>
              <w:jc w:val="center"/>
              <w:rPr>
                <w:bCs/>
                <w:color w:val="auto"/>
                <w:szCs w:val="21"/>
                <w:highlight w:val="none"/>
              </w:rPr>
            </w:pPr>
            <w:r>
              <w:rPr>
                <w:bCs/>
                <w:color w:val="auto"/>
                <w:szCs w:val="21"/>
                <w:highlight w:val="none"/>
              </w:rPr>
            </w:r>
            <w:r/>
          </w:p>
        </w:tc>
        <w:tc>
          <w:tcPr>
            <w:tcW w:w="726" w:type="dxa"/>
            <w:vAlign w:val="center"/>
            <w:textDirection w:val="lrTb"/>
            <w:noWrap/>
          </w:tcPr>
          <w:p>
            <w:pPr>
              <w:jc w:val="center"/>
              <w:rPr>
                <w:bCs/>
                <w:color w:val="auto"/>
                <w:szCs w:val="21"/>
                <w:highlight w:val="none"/>
              </w:rPr>
            </w:pPr>
            <w:r>
              <w:rPr>
                <w:bCs/>
                <w:color w:val="auto"/>
                <w:szCs w:val="21"/>
                <w:highlight w:val="none"/>
              </w:rPr>
            </w:r>
            <w:r/>
          </w:p>
        </w:tc>
        <w:tc>
          <w:tcPr>
            <w:tcW w:w="898" w:type="dxa"/>
            <w:vAlign w:val="center"/>
            <w:textDirection w:val="lrTb"/>
            <w:noWrap/>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tcPr>
          <w:p>
            <w:pPr>
              <w:jc w:val="center"/>
              <w:rPr>
                <w:bCs/>
                <w:color w:val="auto"/>
                <w:szCs w:val="21"/>
                <w:highlight w:val="none"/>
              </w:rPr>
            </w:pPr>
            <w:r>
              <w:rPr>
                <w:bCs/>
                <w:color w:val="auto"/>
                <w:szCs w:val="21"/>
                <w:highlight w:val="none"/>
              </w:rPr>
            </w:r>
            <w:r/>
          </w:p>
        </w:tc>
        <w:tc>
          <w:tcPr>
            <w:tcW w:w="1441" w:type="dxa"/>
            <w:vAlign w:val="center"/>
            <w:textDirection w:val="lrTb"/>
            <w:noWrap/>
          </w:tcPr>
          <w:p>
            <w:pPr>
              <w:jc w:val="center"/>
              <w:rPr>
                <w:bCs/>
                <w:color w:val="auto"/>
                <w:szCs w:val="21"/>
                <w:highlight w:val="none"/>
              </w:rPr>
            </w:pPr>
            <w:r>
              <w:rPr>
                <w:bCs/>
                <w:color w:val="auto"/>
                <w:szCs w:val="21"/>
                <w:highlight w:val="none"/>
              </w:rPr>
            </w:r>
            <w:r/>
          </w:p>
        </w:tc>
        <w:tc>
          <w:tcPr>
            <w:tcW w:w="1381" w:type="dxa"/>
            <w:vAlign w:val="center"/>
            <w:textDirection w:val="lrTb"/>
            <w:noWrap/>
          </w:tcPr>
          <w:p>
            <w:pPr>
              <w:jc w:val="center"/>
              <w:rPr>
                <w:bCs/>
                <w:color w:val="auto"/>
                <w:szCs w:val="21"/>
                <w:highlight w:val="none"/>
              </w:rPr>
            </w:pPr>
            <w:r>
              <w:rPr>
                <w:bCs/>
                <w:color w:val="auto"/>
                <w:szCs w:val="21"/>
                <w:highlight w:val="none"/>
              </w:rPr>
            </w:r>
            <w:r/>
          </w:p>
        </w:tc>
        <w:tc>
          <w:tcPr>
            <w:tcW w:w="1276" w:type="dxa"/>
            <w:vAlign w:val="center"/>
            <w:textDirection w:val="lrTb"/>
            <w:noWrap/>
          </w:tcPr>
          <w:p>
            <w:pPr>
              <w:jc w:val="center"/>
              <w:rPr>
                <w:bCs/>
                <w:color w:val="auto"/>
                <w:szCs w:val="21"/>
                <w:highlight w:val="none"/>
              </w:rPr>
            </w:pPr>
            <w:r>
              <w:rPr>
                <w:bCs/>
                <w:color w:val="auto"/>
                <w:szCs w:val="21"/>
                <w:highlight w:val="none"/>
              </w:rPr>
            </w:r>
            <w:r/>
          </w:p>
        </w:tc>
        <w:tc>
          <w:tcPr>
            <w:tcW w:w="725" w:type="dxa"/>
            <w:vAlign w:val="center"/>
            <w:textDirection w:val="lrTb"/>
            <w:noWrap/>
          </w:tcPr>
          <w:p>
            <w:pPr>
              <w:jc w:val="center"/>
              <w:rPr>
                <w:bCs/>
                <w:color w:val="auto"/>
                <w:szCs w:val="21"/>
                <w:highlight w:val="none"/>
              </w:rPr>
            </w:pPr>
            <w:r>
              <w:rPr>
                <w:bCs/>
                <w:color w:val="auto"/>
                <w:szCs w:val="21"/>
                <w:highlight w:val="none"/>
              </w:rPr>
            </w:r>
            <w:r/>
          </w:p>
        </w:tc>
        <w:tc>
          <w:tcPr>
            <w:gridSpan w:val="2"/>
            <w:tcW w:w="743" w:type="dxa"/>
            <w:vAlign w:val="center"/>
            <w:textDirection w:val="lrTb"/>
            <w:noWrap/>
          </w:tcPr>
          <w:p>
            <w:pPr>
              <w:jc w:val="center"/>
              <w:rPr>
                <w:bCs/>
                <w:color w:val="auto"/>
                <w:szCs w:val="21"/>
                <w:highlight w:val="none"/>
              </w:rPr>
            </w:pPr>
            <w:r>
              <w:rPr>
                <w:bCs/>
                <w:color w:val="auto"/>
                <w:szCs w:val="21"/>
                <w:highlight w:val="none"/>
              </w:rPr>
            </w:r>
            <w:r/>
          </w:p>
        </w:tc>
        <w:tc>
          <w:tcPr>
            <w:tcW w:w="734" w:type="dxa"/>
            <w:vAlign w:val="center"/>
            <w:textDirection w:val="lrTb"/>
            <w:noWrap/>
          </w:tcPr>
          <w:p>
            <w:pPr>
              <w:jc w:val="center"/>
              <w:rPr>
                <w:bCs/>
                <w:color w:val="auto"/>
                <w:szCs w:val="21"/>
                <w:highlight w:val="none"/>
              </w:rPr>
            </w:pPr>
            <w:r>
              <w:rPr>
                <w:bCs/>
                <w:color w:val="auto"/>
                <w:szCs w:val="21"/>
                <w:highlight w:val="none"/>
              </w:rPr>
            </w:r>
            <w:r/>
          </w:p>
        </w:tc>
        <w:tc>
          <w:tcPr>
            <w:tcW w:w="726" w:type="dxa"/>
            <w:vAlign w:val="center"/>
            <w:textDirection w:val="lrTb"/>
            <w:noWrap/>
          </w:tcPr>
          <w:p>
            <w:pPr>
              <w:jc w:val="center"/>
              <w:rPr>
                <w:bCs/>
                <w:color w:val="auto"/>
                <w:szCs w:val="21"/>
                <w:highlight w:val="none"/>
              </w:rPr>
            </w:pPr>
            <w:r>
              <w:rPr>
                <w:bCs/>
                <w:color w:val="auto"/>
                <w:szCs w:val="21"/>
                <w:highlight w:val="none"/>
              </w:rPr>
            </w:r>
            <w:r/>
          </w:p>
        </w:tc>
        <w:tc>
          <w:tcPr>
            <w:tcW w:w="898" w:type="dxa"/>
            <w:vAlign w:val="center"/>
            <w:textDirection w:val="lrTb"/>
            <w:noWrap/>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tcPr>
          <w:p>
            <w:pPr>
              <w:jc w:val="center"/>
              <w:rPr>
                <w:bCs/>
                <w:color w:val="auto"/>
                <w:szCs w:val="21"/>
                <w:highlight w:val="none"/>
              </w:rPr>
            </w:pPr>
            <w:r>
              <w:rPr>
                <w:bCs/>
                <w:color w:val="auto"/>
                <w:szCs w:val="21"/>
                <w:highlight w:val="none"/>
              </w:rPr>
            </w:r>
            <w:r/>
          </w:p>
        </w:tc>
        <w:tc>
          <w:tcPr>
            <w:tcW w:w="1441" w:type="dxa"/>
            <w:vAlign w:val="center"/>
            <w:textDirection w:val="lrTb"/>
            <w:noWrap/>
          </w:tcPr>
          <w:p>
            <w:pPr>
              <w:jc w:val="center"/>
              <w:rPr>
                <w:bCs/>
                <w:color w:val="auto"/>
                <w:szCs w:val="21"/>
                <w:highlight w:val="none"/>
              </w:rPr>
            </w:pPr>
            <w:r>
              <w:rPr>
                <w:bCs/>
                <w:color w:val="auto"/>
                <w:szCs w:val="21"/>
                <w:highlight w:val="none"/>
              </w:rPr>
            </w:r>
            <w:r/>
          </w:p>
        </w:tc>
        <w:tc>
          <w:tcPr>
            <w:tcW w:w="1381" w:type="dxa"/>
            <w:vAlign w:val="center"/>
            <w:textDirection w:val="lrTb"/>
            <w:noWrap/>
          </w:tcPr>
          <w:p>
            <w:pPr>
              <w:jc w:val="center"/>
              <w:rPr>
                <w:bCs/>
                <w:color w:val="auto"/>
                <w:szCs w:val="21"/>
                <w:highlight w:val="none"/>
              </w:rPr>
            </w:pPr>
            <w:r>
              <w:rPr>
                <w:bCs/>
                <w:color w:val="auto"/>
                <w:szCs w:val="21"/>
                <w:highlight w:val="none"/>
              </w:rPr>
            </w:r>
            <w:r/>
          </w:p>
        </w:tc>
        <w:tc>
          <w:tcPr>
            <w:tcW w:w="1276" w:type="dxa"/>
            <w:vAlign w:val="center"/>
            <w:textDirection w:val="lrTb"/>
            <w:noWrap/>
          </w:tcPr>
          <w:p>
            <w:pPr>
              <w:jc w:val="center"/>
              <w:rPr>
                <w:bCs/>
                <w:color w:val="auto"/>
                <w:szCs w:val="21"/>
                <w:highlight w:val="none"/>
              </w:rPr>
            </w:pPr>
            <w:r>
              <w:rPr>
                <w:bCs/>
                <w:color w:val="auto"/>
                <w:szCs w:val="21"/>
                <w:highlight w:val="none"/>
              </w:rPr>
            </w:r>
            <w:r/>
          </w:p>
        </w:tc>
        <w:tc>
          <w:tcPr>
            <w:tcW w:w="725" w:type="dxa"/>
            <w:vAlign w:val="center"/>
            <w:textDirection w:val="lrTb"/>
            <w:noWrap/>
          </w:tcPr>
          <w:p>
            <w:pPr>
              <w:jc w:val="center"/>
              <w:rPr>
                <w:bCs/>
                <w:color w:val="auto"/>
                <w:szCs w:val="21"/>
                <w:highlight w:val="none"/>
              </w:rPr>
            </w:pPr>
            <w:r>
              <w:rPr>
                <w:bCs/>
                <w:color w:val="auto"/>
                <w:szCs w:val="21"/>
                <w:highlight w:val="none"/>
              </w:rPr>
            </w:r>
            <w:r/>
          </w:p>
        </w:tc>
        <w:tc>
          <w:tcPr>
            <w:gridSpan w:val="2"/>
            <w:tcW w:w="743" w:type="dxa"/>
            <w:vAlign w:val="center"/>
            <w:textDirection w:val="lrTb"/>
            <w:noWrap/>
          </w:tcPr>
          <w:p>
            <w:pPr>
              <w:jc w:val="center"/>
              <w:rPr>
                <w:bCs/>
                <w:color w:val="auto"/>
                <w:szCs w:val="21"/>
                <w:highlight w:val="none"/>
              </w:rPr>
            </w:pPr>
            <w:r>
              <w:rPr>
                <w:bCs/>
                <w:color w:val="auto"/>
                <w:szCs w:val="21"/>
                <w:highlight w:val="none"/>
              </w:rPr>
            </w:r>
            <w:r/>
          </w:p>
        </w:tc>
        <w:tc>
          <w:tcPr>
            <w:tcW w:w="734" w:type="dxa"/>
            <w:vAlign w:val="center"/>
            <w:textDirection w:val="lrTb"/>
            <w:noWrap/>
          </w:tcPr>
          <w:p>
            <w:pPr>
              <w:jc w:val="center"/>
              <w:rPr>
                <w:bCs/>
                <w:color w:val="auto"/>
                <w:szCs w:val="21"/>
                <w:highlight w:val="none"/>
              </w:rPr>
            </w:pPr>
            <w:r>
              <w:rPr>
                <w:bCs/>
                <w:color w:val="auto"/>
                <w:szCs w:val="21"/>
                <w:highlight w:val="none"/>
              </w:rPr>
            </w:r>
            <w:r/>
          </w:p>
        </w:tc>
        <w:tc>
          <w:tcPr>
            <w:tcW w:w="726" w:type="dxa"/>
            <w:vAlign w:val="center"/>
            <w:textDirection w:val="lrTb"/>
            <w:noWrap/>
          </w:tcPr>
          <w:p>
            <w:pPr>
              <w:jc w:val="center"/>
              <w:rPr>
                <w:bCs/>
                <w:color w:val="auto"/>
                <w:szCs w:val="21"/>
                <w:highlight w:val="none"/>
              </w:rPr>
            </w:pPr>
            <w:r>
              <w:rPr>
                <w:bCs/>
                <w:color w:val="auto"/>
                <w:szCs w:val="21"/>
                <w:highlight w:val="none"/>
              </w:rPr>
            </w:r>
            <w:r/>
          </w:p>
        </w:tc>
        <w:tc>
          <w:tcPr>
            <w:tcW w:w="898" w:type="dxa"/>
            <w:vAlign w:val="center"/>
            <w:textDirection w:val="lrTb"/>
            <w:noWrap/>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tcPr>
          <w:p>
            <w:pPr>
              <w:jc w:val="center"/>
              <w:rPr>
                <w:bCs/>
                <w:color w:val="auto"/>
                <w:szCs w:val="21"/>
                <w:highlight w:val="none"/>
              </w:rPr>
            </w:pPr>
            <w:r>
              <w:rPr>
                <w:bCs/>
                <w:color w:val="auto"/>
                <w:szCs w:val="21"/>
                <w:highlight w:val="none"/>
              </w:rPr>
            </w:r>
            <w:r/>
          </w:p>
        </w:tc>
        <w:tc>
          <w:tcPr>
            <w:tcW w:w="1441" w:type="dxa"/>
            <w:vAlign w:val="center"/>
            <w:textDirection w:val="lrTb"/>
            <w:noWrap/>
          </w:tcPr>
          <w:p>
            <w:pPr>
              <w:jc w:val="center"/>
              <w:rPr>
                <w:bCs/>
                <w:color w:val="auto"/>
                <w:szCs w:val="21"/>
                <w:highlight w:val="none"/>
              </w:rPr>
            </w:pPr>
            <w:r>
              <w:rPr>
                <w:bCs/>
                <w:color w:val="auto"/>
                <w:szCs w:val="21"/>
                <w:highlight w:val="none"/>
              </w:rPr>
            </w:r>
            <w:r/>
          </w:p>
        </w:tc>
        <w:tc>
          <w:tcPr>
            <w:tcW w:w="1381" w:type="dxa"/>
            <w:vAlign w:val="center"/>
            <w:textDirection w:val="lrTb"/>
            <w:noWrap/>
          </w:tcPr>
          <w:p>
            <w:pPr>
              <w:jc w:val="center"/>
              <w:rPr>
                <w:bCs/>
                <w:color w:val="auto"/>
                <w:szCs w:val="21"/>
                <w:highlight w:val="none"/>
              </w:rPr>
            </w:pPr>
            <w:r>
              <w:rPr>
                <w:bCs/>
                <w:color w:val="auto"/>
                <w:szCs w:val="21"/>
                <w:highlight w:val="none"/>
              </w:rPr>
            </w:r>
            <w:r/>
          </w:p>
        </w:tc>
        <w:tc>
          <w:tcPr>
            <w:tcW w:w="1276" w:type="dxa"/>
            <w:vAlign w:val="center"/>
            <w:textDirection w:val="lrTb"/>
            <w:noWrap/>
          </w:tcPr>
          <w:p>
            <w:pPr>
              <w:jc w:val="center"/>
              <w:rPr>
                <w:bCs/>
                <w:color w:val="auto"/>
                <w:szCs w:val="21"/>
                <w:highlight w:val="none"/>
              </w:rPr>
            </w:pPr>
            <w:r>
              <w:rPr>
                <w:bCs/>
                <w:color w:val="auto"/>
                <w:szCs w:val="21"/>
                <w:highlight w:val="none"/>
              </w:rPr>
            </w:r>
            <w:r/>
          </w:p>
        </w:tc>
        <w:tc>
          <w:tcPr>
            <w:tcW w:w="725" w:type="dxa"/>
            <w:vAlign w:val="center"/>
            <w:textDirection w:val="lrTb"/>
            <w:noWrap/>
          </w:tcPr>
          <w:p>
            <w:pPr>
              <w:jc w:val="center"/>
              <w:rPr>
                <w:bCs/>
                <w:color w:val="auto"/>
                <w:szCs w:val="21"/>
                <w:highlight w:val="none"/>
              </w:rPr>
            </w:pPr>
            <w:r>
              <w:rPr>
                <w:bCs/>
                <w:color w:val="auto"/>
                <w:szCs w:val="21"/>
                <w:highlight w:val="none"/>
              </w:rPr>
            </w:r>
            <w:r/>
          </w:p>
        </w:tc>
        <w:tc>
          <w:tcPr>
            <w:gridSpan w:val="2"/>
            <w:tcW w:w="743" w:type="dxa"/>
            <w:vAlign w:val="center"/>
            <w:textDirection w:val="lrTb"/>
            <w:noWrap/>
          </w:tcPr>
          <w:p>
            <w:pPr>
              <w:jc w:val="center"/>
              <w:rPr>
                <w:bCs/>
                <w:color w:val="auto"/>
                <w:szCs w:val="21"/>
                <w:highlight w:val="none"/>
              </w:rPr>
            </w:pPr>
            <w:r>
              <w:rPr>
                <w:bCs/>
                <w:color w:val="auto"/>
                <w:szCs w:val="21"/>
                <w:highlight w:val="none"/>
              </w:rPr>
            </w:r>
            <w:r/>
          </w:p>
        </w:tc>
        <w:tc>
          <w:tcPr>
            <w:tcW w:w="734" w:type="dxa"/>
            <w:vAlign w:val="center"/>
            <w:textDirection w:val="lrTb"/>
            <w:noWrap/>
          </w:tcPr>
          <w:p>
            <w:pPr>
              <w:jc w:val="center"/>
              <w:rPr>
                <w:bCs/>
                <w:color w:val="auto"/>
                <w:szCs w:val="21"/>
                <w:highlight w:val="none"/>
              </w:rPr>
            </w:pPr>
            <w:r>
              <w:rPr>
                <w:bCs/>
                <w:color w:val="auto"/>
                <w:szCs w:val="21"/>
                <w:highlight w:val="none"/>
              </w:rPr>
            </w:r>
            <w:r/>
          </w:p>
        </w:tc>
        <w:tc>
          <w:tcPr>
            <w:tcW w:w="726" w:type="dxa"/>
            <w:vAlign w:val="center"/>
            <w:textDirection w:val="lrTb"/>
            <w:noWrap/>
          </w:tcPr>
          <w:p>
            <w:pPr>
              <w:jc w:val="center"/>
              <w:rPr>
                <w:bCs/>
                <w:color w:val="auto"/>
                <w:szCs w:val="21"/>
                <w:highlight w:val="none"/>
              </w:rPr>
            </w:pPr>
            <w:r>
              <w:rPr>
                <w:bCs/>
                <w:color w:val="auto"/>
                <w:szCs w:val="21"/>
                <w:highlight w:val="none"/>
              </w:rPr>
            </w:r>
            <w:r/>
          </w:p>
        </w:tc>
        <w:tc>
          <w:tcPr>
            <w:tcW w:w="898" w:type="dxa"/>
            <w:vAlign w:val="center"/>
            <w:textDirection w:val="lrTb"/>
            <w:noWrap/>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tcPr>
          <w:p>
            <w:pPr>
              <w:jc w:val="center"/>
              <w:rPr>
                <w:bCs/>
                <w:color w:val="auto"/>
                <w:szCs w:val="21"/>
                <w:highlight w:val="none"/>
              </w:rPr>
            </w:pPr>
            <w:r>
              <w:rPr>
                <w:bCs/>
                <w:color w:val="auto"/>
                <w:szCs w:val="21"/>
                <w:highlight w:val="none"/>
              </w:rPr>
            </w:r>
            <w:r/>
          </w:p>
        </w:tc>
        <w:tc>
          <w:tcPr>
            <w:tcW w:w="1441" w:type="dxa"/>
            <w:vAlign w:val="center"/>
            <w:textDirection w:val="lrTb"/>
            <w:noWrap/>
          </w:tcPr>
          <w:p>
            <w:pPr>
              <w:jc w:val="center"/>
              <w:rPr>
                <w:bCs/>
                <w:color w:val="auto"/>
                <w:szCs w:val="21"/>
                <w:highlight w:val="none"/>
              </w:rPr>
            </w:pPr>
            <w:r>
              <w:rPr>
                <w:bCs/>
                <w:color w:val="auto"/>
                <w:szCs w:val="21"/>
                <w:highlight w:val="none"/>
              </w:rPr>
            </w:r>
            <w:r/>
          </w:p>
        </w:tc>
        <w:tc>
          <w:tcPr>
            <w:tcW w:w="1381" w:type="dxa"/>
            <w:vAlign w:val="center"/>
            <w:textDirection w:val="lrTb"/>
            <w:noWrap/>
          </w:tcPr>
          <w:p>
            <w:pPr>
              <w:jc w:val="center"/>
              <w:rPr>
                <w:bCs/>
                <w:color w:val="auto"/>
                <w:szCs w:val="21"/>
                <w:highlight w:val="none"/>
              </w:rPr>
            </w:pPr>
            <w:r>
              <w:rPr>
                <w:bCs/>
                <w:color w:val="auto"/>
                <w:szCs w:val="21"/>
                <w:highlight w:val="none"/>
              </w:rPr>
            </w:r>
            <w:r/>
          </w:p>
        </w:tc>
        <w:tc>
          <w:tcPr>
            <w:tcW w:w="1276" w:type="dxa"/>
            <w:vAlign w:val="center"/>
            <w:textDirection w:val="lrTb"/>
            <w:noWrap/>
          </w:tcPr>
          <w:p>
            <w:pPr>
              <w:jc w:val="center"/>
              <w:rPr>
                <w:bCs/>
                <w:color w:val="auto"/>
                <w:szCs w:val="21"/>
                <w:highlight w:val="none"/>
              </w:rPr>
            </w:pPr>
            <w:r>
              <w:rPr>
                <w:bCs/>
                <w:color w:val="auto"/>
                <w:szCs w:val="21"/>
                <w:highlight w:val="none"/>
              </w:rPr>
            </w:r>
            <w:r/>
          </w:p>
        </w:tc>
        <w:tc>
          <w:tcPr>
            <w:tcW w:w="725" w:type="dxa"/>
            <w:vAlign w:val="center"/>
            <w:textDirection w:val="lrTb"/>
            <w:noWrap/>
          </w:tcPr>
          <w:p>
            <w:pPr>
              <w:jc w:val="center"/>
              <w:rPr>
                <w:bCs/>
                <w:color w:val="auto"/>
                <w:szCs w:val="21"/>
                <w:highlight w:val="none"/>
              </w:rPr>
            </w:pPr>
            <w:r>
              <w:rPr>
                <w:bCs/>
                <w:color w:val="auto"/>
                <w:szCs w:val="21"/>
                <w:highlight w:val="none"/>
              </w:rPr>
            </w:r>
            <w:r/>
          </w:p>
        </w:tc>
        <w:tc>
          <w:tcPr>
            <w:gridSpan w:val="2"/>
            <w:tcW w:w="743" w:type="dxa"/>
            <w:vAlign w:val="center"/>
            <w:textDirection w:val="lrTb"/>
            <w:noWrap/>
          </w:tcPr>
          <w:p>
            <w:pPr>
              <w:jc w:val="center"/>
              <w:rPr>
                <w:bCs/>
                <w:color w:val="auto"/>
                <w:szCs w:val="21"/>
                <w:highlight w:val="none"/>
              </w:rPr>
            </w:pPr>
            <w:r>
              <w:rPr>
                <w:bCs/>
                <w:color w:val="auto"/>
                <w:szCs w:val="21"/>
                <w:highlight w:val="none"/>
              </w:rPr>
            </w:r>
            <w:r/>
          </w:p>
        </w:tc>
        <w:tc>
          <w:tcPr>
            <w:tcW w:w="734" w:type="dxa"/>
            <w:vAlign w:val="center"/>
            <w:textDirection w:val="lrTb"/>
            <w:noWrap/>
          </w:tcPr>
          <w:p>
            <w:pPr>
              <w:jc w:val="center"/>
              <w:rPr>
                <w:bCs/>
                <w:color w:val="auto"/>
                <w:szCs w:val="21"/>
                <w:highlight w:val="none"/>
              </w:rPr>
            </w:pPr>
            <w:r>
              <w:rPr>
                <w:bCs/>
                <w:color w:val="auto"/>
                <w:szCs w:val="21"/>
                <w:highlight w:val="none"/>
              </w:rPr>
            </w:r>
            <w:r/>
          </w:p>
        </w:tc>
        <w:tc>
          <w:tcPr>
            <w:tcW w:w="726" w:type="dxa"/>
            <w:vAlign w:val="center"/>
            <w:textDirection w:val="lrTb"/>
            <w:noWrap/>
          </w:tcPr>
          <w:p>
            <w:pPr>
              <w:jc w:val="center"/>
              <w:rPr>
                <w:bCs/>
                <w:color w:val="auto"/>
                <w:szCs w:val="21"/>
                <w:highlight w:val="none"/>
              </w:rPr>
            </w:pPr>
            <w:r>
              <w:rPr>
                <w:bCs/>
                <w:color w:val="auto"/>
                <w:szCs w:val="21"/>
                <w:highlight w:val="none"/>
              </w:rPr>
            </w:r>
            <w:r/>
          </w:p>
        </w:tc>
        <w:tc>
          <w:tcPr>
            <w:tcW w:w="898" w:type="dxa"/>
            <w:vAlign w:val="center"/>
            <w:textDirection w:val="lrTb"/>
            <w:noWrap/>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tcPr>
          <w:p>
            <w:pPr>
              <w:jc w:val="center"/>
              <w:rPr>
                <w:bCs/>
                <w:color w:val="auto"/>
                <w:szCs w:val="21"/>
                <w:highlight w:val="none"/>
              </w:rPr>
            </w:pPr>
            <w:r>
              <w:rPr>
                <w:bCs/>
                <w:color w:val="auto"/>
                <w:szCs w:val="21"/>
                <w:highlight w:val="none"/>
              </w:rPr>
            </w:r>
            <w:r/>
          </w:p>
        </w:tc>
        <w:tc>
          <w:tcPr>
            <w:tcW w:w="1441" w:type="dxa"/>
            <w:vAlign w:val="center"/>
            <w:textDirection w:val="lrTb"/>
            <w:noWrap/>
          </w:tcPr>
          <w:p>
            <w:pPr>
              <w:jc w:val="center"/>
              <w:rPr>
                <w:bCs/>
                <w:color w:val="auto"/>
                <w:szCs w:val="21"/>
                <w:highlight w:val="none"/>
              </w:rPr>
            </w:pPr>
            <w:r>
              <w:rPr>
                <w:bCs/>
                <w:color w:val="auto"/>
                <w:szCs w:val="21"/>
                <w:highlight w:val="none"/>
              </w:rPr>
            </w:r>
            <w:r/>
          </w:p>
        </w:tc>
        <w:tc>
          <w:tcPr>
            <w:tcW w:w="1381" w:type="dxa"/>
            <w:vAlign w:val="center"/>
            <w:textDirection w:val="lrTb"/>
            <w:noWrap/>
          </w:tcPr>
          <w:p>
            <w:pPr>
              <w:jc w:val="center"/>
              <w:rPr>
                <w:bCs/>
                <w:color w:val="auto"/>
                <w:szCs w:val="21"/>
                <w:highlight w:val="none"/>
              </w:rPr>
            </w:pPr>
            <w:r>
              <w:rPr>
                <w:bCs/>
                <w:color w:val="auto"/>
                <w:szCs w:val="21"/>
                <w:highlight w:val="none"/>
              </w:rPr>
            </w:r>
            <w:r/>
          </w:p>
        </w:tc>
        <w:tc>
          <w:tcPr>
            <w:tcW w:w="1276" w:type="dxa"/>
            <w:vAlign w:val="center"/>
            <w:textDirection w:val="lrTb"/>
            <w:noWrap/>
          </w:tcPr>
          <w:p>
            <w:pPr>
              <w:jc w:val="center"/>
              <w:rPr>
                <w:bCs/>
                <w:color w:val="auto"/>
                <w:szCs w:val="21"/>
                <w:highlight w:val="none"/>
              </w:rPr>
            </w:pPr>
            <w:r>
              <w:rPr>
                <w:bCs/>
                <w:color w:val="auto"/>
                <w:szCs w:val="21"/>
                <w:highlight w:val="none"/>
              </w:rPr>
            </w:r>
            <w:r/>
          </w:p>
        </w:tc>
        <w:tc>
          <w:tcPr>
            <w:tcW w:w="725" w:type="dxa"/>
            <w:vAlign w:val="center"/>
            <w:textDirection w:val="lrTb"/>
            <w:noWrap/>
          </w:tcPr>
          <w:p>
            <w:pPr>
              <w:jc w:val="center"/>
              <w:rPr>
                <w:bCs/>
                <w:color w:val="auto"/>
                <w:szCs w:val="21"/>
                <w:highlight w:val="none"/>
              </w:rPr>
            </w:pPr>
            <w:r>
              <w:rPr>
                <w:bCs/>
                <w:color w:val="auto"/>
                <w:szCs w:val="21"/>
                <w:highlight w:val="none"/>
              </w:rPr>
            </w:r>
            <w:r/>
          </w:p>
        </w:tc>
        <w:tc>
          <w:tcPr>
            <w:gridSpan w:val="2"/>
            <w:tcW w:w="743" w:type="dxa"/>
            <w:vAlign w:val="center"/>
            <w:textDirection w:val="lrTb"/>
            <w:noWrap/>
          </w:tcPr>
          <w:p>
            <w:pPr>
              <w:jc w:val="center"/>
              <w:rPr>
                <w:bCs/>
                <w:color w:val="auto"/>
                <w:szCs w:val="21"/>
                <w:highlight w:val="none"/>
              </w:rPr>
            </w:pPr>
            <w:r>
              <w:rPr>
                <w:bCs/>
                <w:color w:val="auto"/>
                <w:szCs w:val="21"/>
                <w:highlight w:val="none"/>
              </w:rPr>
            </w:r>
            <w:r/>
          </w:p>
        </w:tc>
        <w:tc>
          <w:tcPr>
            <w:tcW w:w="734" w:type="dxa"/>
            <w:vAlign w:val="center"/>
            <w:textDirection w:val="lrTb"/>
            <w:noWrap/>
          </w:tcPr>
          <w:p>
            <w:pPr>
              <w:jc w:val="center"/>
              <w:rPr>
                <w:bCs/>
                <w:color w:val="auto"/>
                <w:szCs w:val="21"/>
                <w:highlight w:val="none"/>
              </w:rPr>
            </w:pPr>
            <w:r>
              <w:rPr>
                <w:bCs/>
                <w:color w:val="auto"/>
                <w:szCs w:val="21"/>
                <w:highlight w:val="none"/>
              </w:rPr>
            </w:r>
            <w:r/>
          </w:p>
        </w:tc>
        <w:tc>
          <w:tcPr>
            <w:tcW w:w="726" w:type="dxa"/>
            <w:vAlign w:val="center"/>
            <w:textDirection w:val="lrTb"/>
            <w:noWrap/>
          </w:tcPr>
          <w:p>
            <w:pPr>
              <w:jc w:val="center"/>
              <w:rPr>
                <w:bCs/>
                <w:color w:val="auto"/>
                <w:szCs w:val="21"/>
                <w:highlight w:val="none"/>
              </w:rPr>
            </w:pPr>
            <w:r>
              <w:rPr>
                <w:bCs/>
                <w:color w:val="auto"/>
                <w:szCs w:val="21"/>
                <w:highlight w:val="none"/>
              </w:rPr>
            </w:r>
            <w:r/>
          </w:p>
        </w:tc>
        <w:tc>
          <w:tcPr>
            <w:tcW w:w="898" w:type="dxa"/>
            <w:vAlign w:val="center"/>
            <w:textDirection w:val="lrTb"/>
            <w:noWrap/>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tcPr>
          <w:p>
            <w:pPr>
              <w:jc w:val="center"/>
              <w:rPr>
                <w:bCs/>
                <w:color w:val="auto"/>
                <w:szCs w:val="21"/>
                <w:highlight w:val="none"/>
              </w:rPr>
            </w:pPr>
            <w:r>
              <w:rPr>
                <w:bCs/>
                <w:color w:val="auto"/>
                <w:szCs w:val="21"/>
                <w:highlight w:val="none"/>
              </w:rPr>
            </w:r>
            <w:r/>
          </w:p>
        </w:tc>
        <w:tc>
          <w:tcPr>
            <w:tcW w:w="1441" w:type="dxa"/>
            <w:vAlign w:val="center"/>
            <w:textDirection w:val="lrTb"/>
            <w:noWrap/>
          </w:tcPr>
          <w:p>
            <w:pPr>
              <w:jc w:val="center"/>
              <w:rPr>
                <w:bCs/>
                <w:color w:val="auto"/>
                <w:szCs w:val="21"/>
                <w:highlight w:val="none"/>
              </w:rPr>
            </w:pPr>
            <w:r>
              <w:rPr>
                <w:bCs/>
                <w:color w:val="auto"/>
                <w:szCs w:val="21"/>
                <w:highlight w:val="none"/>
              </w:rPr>
            </w:r>
            <w:r/>
          </w:p>
        </w:tc>
        <w:tc>
          <w:tcPr>
            <w:tcW w:w="1381" w:type="dxa"/>
            <w:vAlign w:val="center"/>
            <w:textDirection w:val="lrTb"/>
            <w:noWrap/>
          </w:tcPr>
          <w:p>
            <w:pPr>
              <w:jc w:val="center"/>
              <w:rPr>
                <w:bCs/>
                <w:color w:val="auto"/>
                <w:szCs w:val="21"/>
                <w:highlight w:val="none"/>
              </w:rPr>
            </w:pPr>
            <w:r>
              <w:rPr>
                <w:bCs/>
                <w:color w:val="auto"/>
                <w:szCs w:val="21"/>
                <w:highlight w:val="none"/>
              </w:rPr>
            </w:r>
            <w:r/>
          </w:p>
        </w:tc>
        <w:tc>
          <w:tcPr>
            <w:tcW w:w="1276" w:type="dxa"/>
            <w:vAlign w:val="center"/>
            <w:textDirection w:val="lrTb"/>
            <w:noWrap/>
          </w:tcPr>
          <w:p>
            <w:pPr>
              <w:jc w:val="center"/>
              <w:rPr>
                <w:bCs/>
                <w:color w:val="auto"/>
                <w:szCs w:val="21"/>
                <w:highlight w:val="none"/>
              </w:rPr>
            </w:pPr>
            <w:r>
              <w:rPr>
                <w:bCs/>
                <w:color w:val="auto"/>
                <w:szCs w:val="21"/>
                <w:highlight w:val="none"/>
              </w:rPr>
            </w:r>
            <w:r/>
          </w:p>
        </w:tc>
        <w:tc>
          <w:tcPr>
            <w:tcW w:w="725" w:type="dxa"/>
            <w:vAlign w:val="center"/>
            <w:textDirection w:val="lrTb"/>
            <w:noWrap/>
          </w:tcPr>
          <w:p>
            <w:pPr>
              <w:jc w:val="center"/>
              <w:rPr>
                <w:bCs/>
                <w:color w:val="auto"/>
                <w:szCs w:val="21"/>
                <w:highlight w:val="none"/>
              </w:rPr>
            </w:pPr>
            <w:r>
              <w:rPr>
                <w:bCs/>
                <w:color w:val="auto"/>
                <w:szCs w:val="21"/>
                <w:highlight w:val="none"/>
              </w:rPr>
            </w:r>
            <w:r/>
          </w:p>
        </w:tc>
        <w:tc>
          <w:tcPr>
            <w:gridSpan w:val="2"/>
            <w:tcW w:w="743" w:type="dxa"/>
            <w:vAlign w:val="center"/>
            <w:textDirection w:val="lrTb"/>
            <w:noWrap/>
          </w:tcPr>
          <w:p>
            <w:pPr>
              <w:jc w:val="center"/>
              <w:rPr>
                <w:bCs/>
                <w:color w:val="auto"/>
                <w:szCs w:val="21"/>
                <w:highlight w:val="none"/>
              </w:rPr>
            </w:pPr>
            <w:r>
              <w:rPr>
                <w:bCs/>
                <w:color w:val="auto"/>
                <w:szCs w:val="21"/>
                <w:highlight w:val="none"/>
              </w:rPr>
            </w:r>
            <w:r/>
          </w:p>
        </w:tc>
        <w:tc>
          <w:tcPr>
            <w:tcW w:w="734" w:type="dxa"/>
            <w:vAlign w:val="center"/>
            <w:textDirection w:val="lrTb"/>
            <w:noWrap/>
          </w:tcPr>
          <w:p>
            <w:pPr>
              <w:jc w:val="center"/>
              <w:rPr>
                <w:bCs/>
                <w:color w:val="auto"/>
                <w:szCs w:val="21"/>
                <w:highlight w:val="none"/>
              </w:rPr>
            </w:pPr>
            <w:r>
              <w:rPr>
                <w:bCs/>
                <w:color w:val="auto"/>
                <w:szCs w:val="21"/>
                <w:highlight w:val="none"/>
              </w:rPr>
            </w:r>
            <w:r/>
          </w:p>
        </w:tc>
        <w:tc>
          <w:tcPr>
            <w:tcW w:w="726" w:type="dxa"/>
            <w:vAlign w:val="center"/>
            <w:textDirection w:val="lrTb"/>
            <w:noWrap/>
          </w:tcPr>
          <w:p>
            <w:pPr>
              <w:jc w:val="center"/>
              <w:rPr>
                <w:bCs/>
                <w:color w:val="auto"/>
                <w:szCs w:val="21"/>
                <w:highlight w:val="none"/>
              </w:rPr>
            </w:pPr>
            <w:r>
              <w:rPr>
                <w:bCs/>
                <w:color w:val="auto"/>
                <w:szCs w:val="21"/>
                <w:highlight w:val="none"/>
              </w:rPr>
            </w:r>
            <w:r/>
          </w:p>
        </w:tc>
        <w:tc>
          <w:tcPr>
            <w:tcW w:w="898" w:type="dxa"/>
            <w:vAlign w:val="center"/>
            <w:textDirection w:val="lrTb"/>
            <w:noWrap/>
          </w:tcPr>
          <w:p>
            <w:pPr>
              <w:jc w:val="center"/>
              <w:rPr>
                <w:bCs/>
                <w:color w:val="auto"/>
                <w:szCs w:val="21"/>
                <w:highlight w:val="none"/>
              </w:rPr>
            </w:pPr>
            <w:r>
              <w:rPr>
                <w:bCs/>
                <w:color w:val="auto"/>
                <w:szCs w:val="21"/>
                <w:highlight w:val="none"/>
              </w:rPr>
            </w:r>
            <w:r/>
          </w:p>
        </w:tc>
      </w:tr>
      <w:tr>
        <w:trPr>
          <w:jc w:val="center"/>
          <w:trHeight w:val="698"/>
        </w:trPr>
        <w:tc>
          <w:tcPr>
            <w:gridSpan w:val="2"/>
            <w:tcW w:w="2159" w:type="dxa"/>
            <w:vAlign w:val="center"/>
            <w:textDirection w:val="lrTb"/>
            <w:noWrap/>
          </w:tcPr>
          <w:p>
            <w:pPr>
              <w:rPr>
                <w:bCs/>
                <w:color w:val="auto"/>
                <w:szCs w:val="21"/>
                <w:highlight w:val="none"/>
              </w:rPr>
            </w:pPr>
            <w:r>
              <w:rPr>
                <w:rFonts w:hAnsi="宋体"/>
                <w:bCs/>
                <w:color w:val="auto"/>
                <w:szCs w:val="21"/>
                <w:highlight w:val="none"/>
              </w:rPr>
              <w:t xml:space="preserve">投标总报价：</w:t>
            </w:r>
            <w:r/>
          </w:p>
        </w:tc>
        <w:tc>
          <w:tcPr>
            <w:gridSpan w:val="8"/>
            <w:tcW w:w="6487" w:type="dxa"/>
            <w:vAlign w:val="center"/>
            <w:textDirection w:val="lrTb"/>
            <w:noWrap/>
          </w:tcPr>
          <w:p>
            <w:pPr>
              <w:rPr>
                <w:bCs/>
                <w:color w:val="auto"/>
                <w:szCs w:val="21"/>
                <w:highlight w:val="none"/>
              </w:rPr>
            </w:pPr>
            <w:r>
              <w:rPr>
                <w:rFonts w:hAnsi="宋体"/>
                <w:bCs/>
                <w:color w:val="auto"/>
                <w:szCs w:val="21"/>
                <w:highlight w:val="none"/>
              </w:rPr>
              <w:t xml:space="preserve">大写：元</w:t>
            </w:r>
            <w:r/>
          </w:p>
        </w:tc>
      </w:tr>
      <w:tr>
        <w:trPr>
          <w:jc w:val="center"/>
          <w:trHeight w:val="698"/>
        </w:trPr>
        <w:tc>
          <w:tcPr>
            <w:gridSpan w:val="10"/>
            <w:tcW w:w="8646" w:type="dxa"/>
            <w:vAlign w:val="center"/>
            <w:textDirection w:val="lrTb"/>
            <w:noWrap/>
          </w:tcPr>
          <w:p>
            <w:pPr>
              <w:rPr>
                <w:rFonts w:hAnsi="宋体"/>
                <w:bCs/>
                <w:color w:val="auto"/>
                <w:szCs w:val="21"/>
                <w:highlight w:val="none"/>
              </w:rPr>
            </w:pPr>
            <w:r>
              <w:rPr>
                <w:rFonts w:hAnsi="宋体"/>
                <w:bCs/>
                <w:color w:val="auto"/>
                <w:szCs w:val="21"/>
                <w:highlight w:val="none"/>
              </w:rPr>
              <w:t xml:space="preserve">交货期限：</w:t>
            </w:r>
            <w:r/>
          </w:p>
          <w:p>
            <w:pPr>
              <w:rPr>
                <w:color w:val="auto"/>
                <w:highlight w:val="none"/>
              </w:rPr>
            </w:pPr>
            <w:r>
              <w:rPr>
                <w:rFonts w:hint="eastAsia" w:hAnsi="宋体"/>
                <w:bCs/>
                <w:color w:val="auto"/>
                <w:szCs w:val="21"/>
                <w:highlight w:val="none"/>
              </w:rPr>
              <w:t xml:space="preserve">验收期限：</w:t>
            </w:r>
            <w:r/>
          </w:p>
        </w:tc>
      </w:tr>
    </w:tbl>
    <w:p>
      <w:pPr>
        <w:rPr>
          <w:color w:val="auto"/>
          <w:szCs w:val="21"/>
          <w:highlight w:val="none"/>
        </w:rPr>
      </w:pPr>
      <w:r>
        <w:rPr>
          <w:color w:val="auto"/>
          <w:szCs w:val="21"/>
          <w:highlight w:val="none"/>
        </w:rPr>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法定代表人或代理人：（签字或盖章）</w:t>
      </w:r>
      <w:r/>
    </w:p>
    <w:p>
      <w:pPr>
        <w:ind w:firstLine="210"/>
        <w:spacing w:line="360" w:lineRule="auto"/>
        <w:rPr>
          <w:color w:val="auto"/>
          <w:szCs w:val="21"/>
          <w:highlight w:val="none"/>
        </w:rPr>
      </w:pPr>
      <w:r>
        <w:rPr>
          <w:color w:val="auto"/>
          <w:szCs w:val="21"/>
          <w:highlight w:val="none"/>
          <w:lang w:val="zh-CN"/>
        </w:rPr>
        <w:t xml:space="preserve">日期：年月日</w:t>
      </w:r>
      <w:r/>
    </w:p>
    <w:p>
      <w:pPr>
        <w:pStyle w:val="1036"/>
        <w:spacing w:line="360" w:lineRule="auto"/>
        <w:rPr>
          <w:rFonts w:ascii="Times New Roman" w:hAnsi="Times New Roman" w:eastAsia="宋体"/>
          <w:bCs/>
          <w:color w:val="auto"/>
          <w:sz w:val="21"/>
          <w:szCs w:val="21"/>
          <w:highlight w:val="none"/>
        </w:rPr>
      </w:pPr>
      <w:r>
        <w:rPr>
          <w:b/>
          <w:color w:val="auto"/>
          <w:sz w:val="32"/>
          <w:szCs w:val="32"/>
          <w:highlight w:val="none"/>
        </w:rPr>
        <w:br w:type="page" w:clear="all"/>
      </w:r>
      <w:r>
        <w:rPr>
          <w:rFonts w:ascii="Times New Roman" w:hAnsi="Times New Roman" w:eastAsia="宋体"/>
          <w:b/>
          <w:bCs/>
          <w:color w:val="auto"/>
          <w:sz w:val="21"/>
          <w:szCs w:val="21"/>
          <w:highlight w:val="none"/>
          <w:lang w:val="en-US"/>
        </w:rPr>
        <w:t xml:space="preserve">格式5、投标</w:t>
      </w:r>
      <w:r>
        <w:rPr>
          <w:rFonts w:hint="eastAsia" w:ascii="Times New Roman" w:hAnsi="Times New Roman" w:eastAsia="宋体"/>
          <w:b/>
          <w:bCs/>
          <w:color w:val="auto"/>
          <w:sz w:val="21"/>
          <w:szCs w:val="21"/>
          <w:highlight w:val="none"/>
          <w:lang w:val="en-US"/>
        </w:rPr>
        <w:t xml:space="preserve">产品</w:t>
      </w:r>
      <w:r>
        <w:rPr>
          <w:rFonts w:ascii="Times New Roman" w:hAnsi="Times New Roman" w:eastAsia="宋体"/>
          <w:b/>
          <w:bCs/>
          <w:color w:val="auto"/>
          <w:sz w:val="21"/>
          <w:szCs w:val="21"/>
          <w:highlight w:val="none"/>
          <w:lang w:val="en-US"/>
        </w:rPr>
        <w:t xml:space="preserve">技术</w:t>
      </w:r>
      <w:r>
        <w:rPr>
          <w:rFonts w:hint="eastAsia" w:ascii="Times New Roman" w:hAnsi="Times New Roman" w:eastAsia="宋体"/>
          <w:b/>
          <w:bCs/>
          <w:color w:val="auto"/>
          <w:sz w:val="21"/>
          <w:szCs w:val="21"/>
          <w:highlight w:val="none"/>
          <w:lang w:val="en-US"/>
        </w:rPr>
        <w:t xml:space="preserve">偏离</w:t>
      </w:r>
      <w:r>
        <w:rPr>
          <w:rFonts w:ascii="Times New Roman" w:hAnsi="Times New Roman" w:eastAsia="宋体"/>
          <w:b/>
          <w:bCs/>
          <w:color w:val="auto"/>
          <w:sz w:val="21"/>
          <w:szCs w:val="21"/>
          <w:highlight w:val="none"/>
          <w:lang w:val="en-US"/>
        </w:rPr>
        <w:t xml:space="preserve">对照表</w:t>
      </w:r>
      <w:r/>
    </w:p>
    <w:p>
      <w:pPr>
        <w:jc w:val="center"/>
        <w:spacing w:line="360" w:lineRule="auto"/>
        <w:rPr>
          <w:rFonts w:eastAsia="黑体"/>
          <w:b/>
          <w:color w:val="auto"/>
          <w:sz w:val="28"/>
          <w:szCs w:val="28"/>
          <w:highlight w:val="none"/>
        </w:rPr>
      </w:pPr>
      <w:r>
        <w:rPr>
          <w:rFonts w:eastAsia="黑体"/>
          <w:b/>
          <w:color w:val="auto"/>
          <w:sz w:val="28"/>
          <w:szCs w:val="28"/>
          <w:highlight w:val="none"/>
          <w:lang w:val="zh-CN"/>
        </w:rPr>
        <w:t xml:space="preserve">投标</w:t>
      </w:r>
      <w:r>
        <w:rPr>
          <w:rFonts w:hint="eastAsia" w:eastAsia="黑体"/>
          <w:b/>
          <w:color w:val="auto"/>
          <w:sz w:val="28"/>
          <w:szCs w:val="28"/>
          <w:highlight w:val="none"/>
          <w:lang w:val="zh-CN"/>
        </w:rPr>
        <w:t xml:space="preserve">货物</w:t>
      </w:r>
      <w:r>
        <w:rPr>
          <w:rFonts w:eastAsia="黑体"/>
          <w:b/>
          <w:color w:val="auto"/>
          <w:sz w:val="28"/>
          <w:szCs w:val="28"/>
          <w:highlight w:val="none"/>
          <w:lang w:val="zh-CN"/>
        </w:rPr>
        <w:t xml:space="preserve">（</w:t>
      </w:r>
      <w:r>
        <w:rPr>
          <w:rFonts w:hint="eastAsia" w:eastAsia="黑体"/>
          <w:b/>
          <w:color w:val="auto"/>
          <w:sz w:val="28"/>
          <w:szCs w:val="28"/>
          <w:highlight w:val="none"/>
          <w:lang w:val="zh-CN"/>
        </w:rPr>
        <w:t xml:space="preserve">材料</w:t>
      </w:r>
      <w:r>
        <w:rPr>
          <w:rFonts w:eastAsia="黑体"/>
          <w:b/>
          <w:color w:val="auto"/>
          <w:sz w:val="28"/>
          <w:szCs w:val="28"/>
          <w:highlight w:val="none"/>
          <w:lang w:val="zh-CN"/>
        </w:rPr>
        <w:t xml:space="preserve">）技术对照表</w:t>
      </w:r>
      <w:r/>
    </w:p>
    <w:p>
      <w:pPr>
        <w:spacing w:line="360" w:lineRule="auto"/>
        <w:rPr>
          <w:rFonts w:hAnsi="宋体"/>
          <w:bCs/>
          <w:color w:val="auto"/>
          <w:szCs w:val="21"/>
          <w:highlight w:val="none"/>
        </w:rPr>
      </w:pPr>
      <w:r>
        <w:rPr>
          <w:rFonts w:hAnsi="宋体"/>
          <w:bCs/>
          <w:color w:val="auto"/>
          <w:szCs w:val="21"/>
          <w:highlight w:val="none"/>
        </w:rPr>
        <w:t xml:space="preserve">采购编号：</w:t>
      </w:r>
      <w:r/>
    </w:p>
    <w:tbl>
      <w:tblPr>
        <w:tblStyle w:val="679"/>
        <w:tblW w:w="93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tcPr>
          <w:p>
            <w:pPr>
              <w:jc w:val="center"/>
              <w:rPr>
                <w:color w:val="auto"/>
                <w:szCs w:val="21"/>
                <w:highlight w:val="none"/>
              </w:rPr>
            </w:pPr>
            <w:r>
              <w:rPr>
                <w:rFonts w:hAnsi="宋体"/>
                <w:color w:val="auto"/>
                <w:szCs w:val="21"/>
                <w:highlight w:val="none"/>
                <w:lang w:val="zh-CN"/>
              </w:rPr>
              <w:t xml:space="preserve">序号</w:t>
            </w:r>
            <w:r/>
          </w:p>
        </w:tc>
        <w:tc>
          <w:tcPr>
            <w:tcW w:w="2524" w:type="dxa"/>
            <w:vAlign w:val="center"/>
            <w:textDirection w:val="lrTb"/>
            <w:noWrap/>
          </w:tcPr>
          <w:p>
            <w:pPr>
              <w:jc w:val="center"/>
              <w:rPr>
                <w:color w:val="auto"/>
                <w:szCs w:val="21"/>
                <w:highlight w:val="none"/>
              </w:rPr>
            </w:pPr>
            <w:r>
              <w:rPr>
                <w:rFonts w:hint="eastAsia" w:hAnsi="宋体"/>
                <w:color w:val="auto"/>
                <w:szCs w:val="21"/>
                <w:highlight w:val="none"/>
                <w:lang w:val="zh-CN"/>
              </w:rPr>
              <w:t xml:space="preserve">采购</w:t>
            </w:r>
            <w:r>
              <w:rPr>
                <w:rFonts w:hAnsi="宋体"/>
                <w:color w:val="auto"/>
                <w:szCs w:val="21"/>
                <w:highlight w:val="none"/>
                <w:lang w:val="zh-CN"/>
              </w:rPr>
              <w:t xml:space="preserve">文件技术条款描述</w:t>
            </w:r>
            <w:r/>
          </w:p>
        </w:tc>
        <w:tc>
          <w:tcPr>
            <w:tcW w:w="2372" w:type="dxa"/>
            <w:vAlign w:val="center"/>
            <w:textDirection w:val="lrTb"/>
            <w:noWrap/>
          </w:tcPr>
          <w:p>
            <w:pPr>
              <w:jc w:val="center"/>
              <w:rPr>
                <w:color w:val="auto"/>
                <w:szCs w:val="21"/>
                <w:highlight w:val="none"/>
              </w:rPr>
            </w:pPr>
            <w:r>
              <w:rPr>
                <w:rFonts w:hAnsi="宋体"/>
                <w:color w:val="auto"/>
                <w:szCs w:val="21"/>
                <w:highlight w:val="none"/>
                <w:lang w:val="zh-CN"/>
              </w:rPr>
              <w:t xml:space="preserve">投标文件响应条款描述</w:t>
            </w:r>
            <w:r/>
          </w:p>
        </w:tc>
        <w:tc>
          <w:tcPr>
            <w:tcW w:w="1913" w:type="dxa"/>
            <w:vAlign w:val="center"/>
            <w:textDirection w:val="lrTb"/>
            <w:noWrap/>
          </w:tcPr>
          <w:p>
            <w:pPr>
              <w:jc w:val="center"/>
              <w:rPr>
                <w:color w:val="auto"/>
                <w:szCs w:val="21"/>
                <w:highlight w:val="none"/>
              </w:rPr>
            </w:pPr>
            <w:r>
              <w:rPr>
                <w:rFonts w:hAnsi="宋体"/>
                <w:color w:val="auto"/>
                <w:szCs w:val="21"/>
                <w:highlight w:val="none"/>
                <w:lang w:val="zh-CN"/>
              </w:rPr>
              <w:t xml:space="preserve">响应情况</w:t>
            </w:r>
            <w:r>
              <w:rPr>
                <w:rFonts w:hint="eastAsia" w:hAnsi="宋体"/>
                <w:color w:val="auto"/>
                <w:szCs w:val="21"/>
                <w:highlight w:val="none"/>
                <w:lang w:val="zh-CN"/>
              </w:rPr>
              <w:t xml:space="preserve">（响应或不响应）</w:t>
            </w:r>
            <w:r/>
          </w:p>
        </w:tc>
        <w:tc>
          <w:tcPr>
            <w:tcW w:w="1121" w:type="dxa"/>
            <w:vAlign w:val="center"/>
            <w:textDirection w:val="lrTb"/>
            <w:noWrap/>
          </w:tcPr>
          <w:p>
            <w:pPr>
              <w:jc w:val="center"/>
              <w:rPr>
                <w:color w:val="auto"/>
                <w:szCs w:val="21"/>
                <w:highlight w:val="none"/>
              </w:rPr>
            </w:pPr>
            <w:r>
              <w:rPr>
                <w:rFonts w:hAnsi="宋体"/>
                <w:color w:val="auto"/>
                <w:szCs w:val="21"/>
                <w:highlight w:val="none"/>
                <w:lang w:val="zh-CN"/>
              </w:rPr>
              <w:t xml:space="preserve">对应页码</w:t>
            </w:r>
            <w:r/>
          </w:p>
        </w:tc>
        <w:tc>
          <w:tcPr>
            <w:tcW w:w="714" w:type="dxa"/>
            <w:vAlign w:val="center"/>
            <w:textDirection w:val="lrTb"/>
            <w:noWrap/>
          </w:tcPr>
          <w:p>
            <w:pPr>
              <w:jc w:val="center"/>
              <w:rPr>
                <w:color w:val="auto"/>
                <w:szCs w:val="21"/>
                <w:highlight w:val="none"/>
              </w:rPr>
            </w:pPr>
            <w:r>
              <w:rPr>
                <w:rFonts w:hAnsi="宋体"/>
                <w:color w:val="auto"/>
                <w:szCs w:val="21"/>
                <w:highlight w:val="none"/>
                <w:lang w:val="zh-CN"/>
              </w:rPr>
              <w:t xml:space="preserve">备注</w:t>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tcPr>
          <w:p>
            <w:pPr>
              <w:jc w:val="center"/>
              <w:rPr>
                <w:rFonts w:hAnsi="宋体"/>
                <w:color w:val="auto"/>
                <w:szCs w:val="21"/>
                <w:highlight w:val="none"/>
              </w:rPr>
            </w:pPr>
            <w:r>
              <w:rPr>
                <w:rFonts w:hAnsi="宋体"/>
                <w:color w:val="auto"/>
                <w:szCs w:val="21"/>
                <w:highlight w:val="none"/>
              </w:rPr>
            </w:r>
            <w:r/>
          </w:p>
        </w:tc>
      </w:tr>
    </w:tbl>
    <w:p>
      <w:pPr>
        <w:spacing w:line="360" w:lineRule="auto"/>
        <w:rPr>
          <w:color w:val="auto"/>
          <w:highlight w:val="none"/>
        </w:rPr>
      </w:pPr>
      <w:r>
        <w:rPr>
          <w:color w:val="auto"/>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bCs/>
          <w:color w:val="auto"/>
          <w:szCs w:val="21"/>
          <w:highlight w:val="none"/>
        </w:rPr>
      </w:pPr>
      <w:r>
        <w:rPr>
          <w:rFonts w:hAnsi="宋体"/>
          <w:bCs/>
          <w:color w:val="auto"/>
          <w:szCs w:val="21"/>
          <w:highlight w:val="none"/>
        </w:rPr>
        <w:t xml:space="preserve">日期：年月日</w:t>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rFonts w:hAnsi="宋体"/>
          <w:bCs/>
          <w:color w:val="auto"/>
          <w:szCs w:val="21"/>
          <w:highlight w:val="none"/>
        </w:rPr>
        <w:t xml:space="preserve">注：</w:t>
      </w:r>
      <w:r>
        <w:rPr>
          <w:bCs/>
          <w:color w:val="auto"/>
          <w:szCs w:val="21"/>
          <w:highlight w:val="none"/>
        </w:rPr>
        <w:t xml:space="preserve">1</w:t>
      </w:r>
      <w:r>
        <w:rPr>
          <w:rFonts w:hAnsi="宋体"/>
          <w:bCs/>
          <w:color w:val="auto"/>
          <w:szCs w:val="21"/>
          <w:highlight w:val="none"/>
        </w:rPr>
        <w:t xml:space="preserve">、各投标人可参照上述格式自制《投标</w:t>
      </w:r>
      <w:r>
        <w:rPr>
          <w:rFonts w:hint="eastAsia" w:hAnsi="宋体"/>
          <w:bCs/>
          <w:color w:val="auto"/>
          <w:szCs w:val="21"/>
          <w:highlight w:val="none"/>
        </w:rPr>
        <w:t xml:space="preserve">货物</w:t>
      </w:r>
      <w:r>
        <w:rPr>
          <w:rFonts w:hAnsi="宋体"/>
          <w:bCs/>
          <w:color w:val="auto"/>
          <w:szCs w:val="21"/>
          <w:highlight w:val="none"/>
        </w:rPr>
        <w:t xml:space="preserve">（货物）技术对照表》投标</w:t>
      </w:r>
      <w:r/>
    </w:p>
    <w:p>
      <w:pPr>
        <w:ind w:firstLine="412"/>
        <w:spacing w:line="360" w:lineRule="auto"/>
        <w:rPr>
          <w:bCs/>
          <w:color w:val="auto"/>
          <w:szCs w:val="21"/>
          <w:highlight w:val="none"/>
        </w:rPr>
      </w:pPr>
      <w:r>
        <w:rPr>
          <w:bCs/>
          <w:color w:val="auto"/>
          <w:szCs w:val="21"/>
          <w:highlight w:val="none"/>
        </w:rPr>
        <w:t xml:space="preserve">2</w:t>
      </w:r>
      <w:r>
        <w:rPr>
          <w:rFonts w:hAnsi="宋体"/>
          <w:bCs/>
          <w:color w:val="auto"/>
          <w:szCs w:val="21"/>
          <w:highlight w:val="none"/>
        </w:rPr>
        <w:t xml:space="preserve">、投标人须</w:t>
      </w:r>
      <w:r>
        <w:rPr>
          <w:rFonts w:hAnsi="宋体"/>
          <w:b/>
          <w:color w:val="auto"/>
          <w:szCs w:val="21"/>
          <w:highlight w:val="none"/>
          <w:u w:val="single"/>
        </w:rPr>
        <w:t xml:space="preserve">对照</w:t>
      </w:r>
      <w:r>
        <w:rPr>
          <w:rFonts w:hint="eastAsia" w:hAnsi="宋体"/>
          <w:b/>
          <w:color w:val="auto"/>
          <w:szCs w:val="21"/>
          <w:highlight w:val="none"/>
          <w:u w:val="single"/>
        </w:rPr>
        <w:t xml:space="preserve">采购</w:t>
      </w:r>
      <w:r>
        <w:rPr>
          <w:rFonts w:hAnsi="宋体"/>
          <w:b/>
          <w:color w:val="auto"/>
          <w:szCs w:val="21"/>
          <w:highlight w:val="none"/>
          <w:u w:val="single"/>
        </w:rPr>
        <w:t xml:space="preserve">技术参数要求逐条列出并对比</w:t>
      </w:r>
      <w:r>
        <w:rPr>
          <w:rFonts w:hAnsi="宋体"/>
          <w:bCs/>
          <w:color w:val="auto"/>
          <w:szCs w:val="21"/>
          <w:highlight w:val="none"/>
        </w:rPr>
        <w:t xml:space="preserve">，其中</w:t>
      </w:r>
      <w:r>
        <w:rPr>
          <w:bCs/>
          <w:color w:val="auto"/>
          <w:szCs w:val="21"/>
          <w:highlight w:val="none"/>
        </w:rPr>
        <w:t xml:space="preserve">“</w:t>
      </w:r>
      <w:r>
        <w:rPr>
          <w:rFonts w:hAnsi="宋体"/>
          <w:bCs/>
          <w:color w:val="auto"/>
          <w:szCs w:val="21"/>
          <w:highlight w:val="none"/>
        </w:rPr>
        <w:t xml:space="preserve">投标设备技术指标描述</w:t>
      </w:r>
      <w:r>
        <w:rPr>
          <w:bCs/>
          <w:color w:val="auto"/>
          <w:szCs w:val="21"/>
          <w:highlight w:val="none"/>
        </w:rPr>
        <w:t xml:space="preserve">”</w:t>
      </w:r>
      <w:r>
        <w:rPr>
          <w:rFonts w:hAnsi="宋体"/>
          <w:bCs/>
          <w:color w:val="auto"/>
          <w:szCs w:val="21"/>
          <w:highlight w:val="none"/>
        </w:rPr>
        <w:t xml:space="preserve">一栏须详细说明投标产品的具体量化参数，如照抄采购文件要求或只写</w:t>
      </w:r>
      <w:r>
        <w:rPr>
          <w:bCs/>
          <w:color w:val="auto"/>
          <w:szCs w:val="21"/>
          <w:highlight w:val="none"/>
        </w:rPr>
        <w:t xml:space="preserve">“</w:t>
      </w:r>
      <w:r>
        <w:rPr>
          <w:rFonts w:hAnsi="宋体"/>
          <w:bCs/>
          <w:color w:val="auto"/>
          <w:szCs w:val="21"/>
          <w:highlight w:val="none"/>
        </w:rPr>
        <w:t xml:space="preserve">完全响应</w:t>
      </w:r>
      <w:r>
        <w:rPr>
          <w:bCs/>
          <w:color w:val="auto"/>
          <w:szCs w:val="21"/>
          <w:highlight w:val="none"/>
        </w:rPr>
        <w:t xml:space="preserve">“</w:t>
      </w:r>
      <w:r>
        <w:rPr>
          <w:rFonts w:hAnsi="宋体"/>
          <w:bCs/>
          <w:color w:val="auto"/>
          <w:szCs w:val="21"/>
          <w:highlight w:val="none"/>
        </w:rPr>
        <w:t xml:space="preserve">等字样的技术参数部分不得分。</w:t>
      </w:r>
      <w:r/>
    </w:p>
    <w:p>
      <w:pPr>
        <w:pStyle w:val="1036"/>
        <w:spacing w:line="360" w:lineRule="auto"/>
        <w:rPr>
          <w:bCs/>
          <w:color w:val="auto"/>
          <w:sz w:val="21"/>
          <w:szCs w:val="21"/>
          <w:highlight w:val="none"/>
        </w:rPr>
      </w:pPr>
      <w:r>
        <w:rPr>
          <w:color w:val="auto"/>
          <w:highlight w:val="none"/>
        </w:rPr>
        <w:br w:type="page" w:clear="all"/>
      </w:r>
      <w:r>
        <w:rPr>
          <w:rFonts w:ascii="Times New Roman" w:hAnsi="Times New Roman" w:eastAsia="宋体"/>
          <w:b/>
          <w:bCs/>
          <w:color w:val="auto"/>
          <w:sz w:val="21"/>
          <w:szCs w:val="21"/>
          <w:highlight w:val="none"/>
          <w:lang w:val="en-US"/>
        </w:rPr>
        <w:t xml:space="preserve">格式6、</w:t>
      </w:r>
      <w:r>
        <w:rPr>
          <w:rFonts w:hint="eastAsia" w:ascii="Times New Roman" w:hAnsi="Times New Roman" w:eastAsia="宋体"/>
          <w:b/>
          <w:bCs/>
          <w:color w:val="auto"/>
          <w:sz w:val="21"/>
          <w:szCs w:val="21"/>
          <w:highlight w:val="none"/>
          <w:lang w:val="en-US"/>
        </w:rPr>
        <w:t xml:space="preserve">投标货物、材料</w:t>
      </w:r>
      <w:r>
        <w:rPr>
          <w:rFonts w:ascii="Times New Roman" w:hAnsi="Times New Roman" w:eastAsia="宋体"/>
          <w:b/>
          <w:bCs/>
          <w:color w:val="auto"/>
          <w:sz w:val="21"/>
          <w:szCs w:val="21"/>
          <w:highlight w:val="none"/>
          <w:lang w:val="en-US"/>
        </w:rPr>
        <w:t xml:space="preserve">清单表</w:t>
      </w:r>
      <w:r/>
    </w:p>
    <w:p>
      <w:pPr>
        <w:jc w:val="center"/>
        <w:rPr>
          <w:rFonts w:ascii="宋体" w:hAnsi="宋体" w:cs="宋体"/>
          <w:color w:val="auto"/>
          <w:szCs w:val="21"/>
          <w:highlight w:val="none"/>
        </w:rPr>
      </w:pPr>
      <w:r>
        <w:rPr>
          <w:rFonts w:hint="eastAsia" w:ascii="宋体" w:hAnsi="宋体" w:cs="宋体"/>
          <w:b/>
          <w:color w:val="auto"/>
          <w:sz w:val="30"/>
          <w:szCs w:val="20"/>
          <w:highlight w:val="none"/>
          <w:lang w:val="zh-CN"/>
        </w:rPr>
        <w:t xml:space="preserve">货物、材料清单表</w:t>
      </w:r>
      <w:r/>
    </w:p>
    <w:p>
      <w:pPr>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采购编号：</w:t>
      </w:r>
      <w:r/>
    </w:p>
    <w:tbl>
      <w:tblPr>
        <w:tblStyle w:val="679"/>
        <w:tblW w:w="0" w:type="auto"/>
        <w:tblInd w:w="-36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W w:w="1337"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W w:w="144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名称</w:t>
            </w:r>
            <w:r/>
          </w:p>
        </w:tc>
        <w:tc>
          <w:tcPr>
            <w:tcW w:w="144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型号/规格</w:t>
            </w:r>
            <w:r/>
          </w:p>
        </w:tc>
        <w:tc>
          <w:tcPr>
            <w:tcW w:w="144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生产厂家</w:t>
            </w:r>
            <w:r/>
          </w:p>
        </w:tc>
        <w:tc>
          <w:tcPr>
            <w:tcW w:w="144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单位</w:t>
            </w:r>
            <w:r/>
          </w:p>
        </w:tc>
        <w:tc>
          <w:tcPr>
            <w:tcW w:w="1523"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W w:w="101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备注</w:t>
            </w:r>
            <w:r/>
          </w:p>
        </w:tc>
      </w:tr>
      <w:tr>
        <w:trPr>
          <w:trHeight w:val="454" w:hRule="exact"/>
        </w:trPr>
        <w:tc>
          <w:tcPr>
            <w:tcW w:w="1337"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s="宋体"/>
          <w:color w:val="auto"/>
          <w:szCs w:val="21"/>
          <w:highlight w:val="none"/>
        </w:rPr>
      </w:pPr>
      <w:r>
        <w:rPr>
          <w:rFonts w:ascii="宋体" w:hAnsi="宋体" w:cs="宋体"/>
          <w:color w:val="auto"/>
          <w:szCs w:val="21"/>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bCs/>
          <w:color w:val="auto"/>
          <w:szCs w:val="21"/>
          <w:highlight w:val="none"/>
        </w:rPr>
      </w:pPr>
      <w:r>
        <w:rPr>
          <w:rFonts w:hAnsi="宋体"/>
          <w:bCs/>
          <w:color w:val="auto"/>
          <w:szCs w:val="21"/>
          <w:highlight w:val="none"/>
        </w:rPr>
        <w:t xml:space="preserve">日期：年月日</w:t>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spacing w:line="360" w:lineRule="auto"/>
        <w:rPr>
          <w:bCs/>
          <w:color w:val="auto"/>
          <w:szCs w:val="21"/>
          <w:highlight w:val="none"/>
        </w:rPr>
      </w:pPr>
      <w:r>
        <w:rPr>
          <w:rFonts w:hAnsi="宋体"/>
          <w:bCs/>
          <w:color w:val="auto"/>
          <w:szCs w:val="21"/>
          <w:highlight w:val="none"/>
        </w:rPr>
        <w:t xml:space="preserve">注：</w:t>
      </w:r>
      <w:r>
        <w:rPr>
          <w:bCs/>
          <w:color w:val="auto"/>
          <w:szCs w:val="21"/>
          <w:highlight w:val="none"/>
        </w:rPr>
        <w:t xml:space="preserve">1</w:t>
      </w:r>
      <w:r>
        <w:rPr>
          <w:rFonts w:hAnsi="宋体"/>
          <w:bCs/>
          <w:color w:val="auto"/>
          <w:szCs w:val="21"/>
          <w:highlight w:val="none"/>
        </w:rPr>
        <w:t xml:space="preserve">、各投标人可参照上述格式自制《</w:t>
      </w:r>
      <w:r>
        <w:rPr>
          <w:rFonts w:hint="eastAsia" w:hAnsi="宋体"/>
          <w:bCs/>
          <w:color w:val="auto"/>
          <w:szCs w:val="21"/>
          <w:highlight w:val="none"/>
        </w:rPr>
        <w:t xml:space="preserve">货物、材料</w:t>
      </w:r>
      <w:r>
        <w:rPr>
          <w:rFonts w:hAnsi="宋体"/>
          <w:bCs/>
          <w:color w:val="auto"/>
          <w:szCs w:val="21"/>
          <w:highlight w:val="none"/>
        </w:rPr>
        <w:t xml:space="preserve">清单表》投标。</w:t>
      </w:r>
      <w:r/>
    </w:p>
    <w:p>
      <w:pPr>
        <w:spacing w:line="360" w:lineRule="auto"/>
        <w:rPr>
          <w:bCs/>
          <w:color w:val="auto"/>
          <w:szCs w:val="21"/>
          <w:highlight w:val="none"/>
        </w:rPr>
      </w:pPr>
      <w:r>
        <w:rPr>
          <w:bCs/>
          <w:color w:val="auto"/>
          <w:szCs w:val="21"/>
          <w:highlight w:val="none"/>
        </w:rPr>
        <w:t xml:space="preserve">    2</w:t>
      </w:r>
      <w:r>
        <w:rPr>
          <w:rFonts w:hAnsi="宋体"/>
          <w:bCs/>
          <w:color w:val="auto"/>
          <w:szCs w:val="21"/>
          <w:highlight w:val="none"/>
        </w:rPr>
        <w:t xml:space="preserve">、各投标人必须附详细配置清单。</w:t>
      </w:r>
      <w:r/>
    </w:p>
    <w:p>
      <w:pPr>
        <w:pStyle w:val="714"/>
        <w:ind w:firstLine="360"/>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714"/>
        <w:ind w:firstLine="0"/>
        <w:spacing w:line="360" w:lineRule="auto"/>
        <w:rPr>
          <w:color w:val="auto"/>
          <w:highlight w:val="none"/>
        </w:rPr>
      </w:pPr>
      <w:r>
        <w:rPr>
          <w:color w:val="auto"/>
          <w:highlight w:val="none"/>
        </w:rPr>
        <w:br w:type="page" w:clear="all"/>
      </w:r>
      <w:r/>
    </w:p>
    <w:p>
      <w:pPr>
        <w:pStyle w:val="714"/>
        <w:ind w:firstLine="0"/>
        <w:spacing w:line="360" w:lineRule="auto"/>
        <w:rPr>
          <w:rFonts w:hAnsi="宋体"/>
          <w:bCs/>
          <w:color w:val="auto"/>
          <w:sz w:val="21"/>
          <w:szCs w:val="21"/>
          <w:highlight w:val="none"/>
        </w:rPr>
      </w:pPr>
      <w:r>
        <w:rPr>
          <w:rFonts w:hAnsi="宋体"/>
          <w:bCs/>
          <w:color w:val="auto"/>
          <w:sz w:val="21"/>
          <w:szCs w:val="21"/>
          <w:highlight w:val="none"/>
        </w:rPr>
      </w:r>
      <w:r/>
    </w:p>
    <w:p>
      <w:pPr>
        <w:pStyle w:val="714"/>
        <w:ind w:firstLine="0"/>
        <w:spacing w:line="360" w:lineRule="auto"/>
        <w:rPr>
          <w:rFonts w:ascii="宋体" w:hAnsi="宋体" w:eastAsia="宋体"/>
          <w:b/>
          <w:bCs/>
          <w:color w:val="auto"/>
          <w:sz w:val="21"/>
          <w:szCs w:val="21"/>
          <w:highlight w:val="none"/>
        </w:rPr>
      </w:pPr>
      <w:r>
        <w:rPr>
          <w:rFonts w:ascii="宋体" w:hAnsi="宋体" w:eastAsia="宋体"/>
          <w:b/>
          <w:bCs/>
          <w:color w:val="auto"/>
          <w:sz w:val="21"/>
          <w:szCs w:val="21"/>
          <w:highlight w:val="none"/>
        </w:rPr>
        <w:t xml:space="preserve">格式</w:t>
      </w:r>
      <w:r>
        <w:rPr>
          <w:rFonts w:hint="eastAsia" w:ascii="宋体" w:hAnsi="宋体" w:eastAsia="宋体"/>
          <w:b/>
          <w:bCs/>
          <w:color w:val="auto"/>
          <w:sz w:val="21"/>
          <w:szCs w:val="21"/>
          <w:highlight w:val="none"/>
        </w:rPr>
        <w:t xml:space="preserve">7</w:t>
      </w:r>
      <w:r>
        <w:rPr>
          <w:rFonts w:ascii="宋体" w:hAnsi="宋体" w:eastAsia="宋体"/>
          <w:b/>
          <w:bCs/>
          <w:color w:val="auto"/>
          <w:sz w:val="21"/>
          <w:szCs w:val="21"/>
          <w:highlight w:val="none"/>
        </w:rPr>
        <w:t xml:space="preserve">、商务条款偏离表</w:t>
      </w:r>
      <w:r/>
    </w:p>
    <w:p>
      <w:pPr>
        <w:pStyle w:val="714"/>
        <w:ind w:left="480" w:firstLine="0"/>
        <w:jc w:val="center"/>
        <w:spacing w:line="360" w:lineRule="auto"/>
        <w:rPr>
          <w:rFonts w:eastAsia="黑体"/>
          <w:b/>
          <w:color w:val="auto"/>
          <w:sz w:val="28"/>
          <w:szCs w:val="28"/>
          <w:highlight w:val="none"/>
        </w:rPr>
      </w:pPr>
      <w:r>
        <w:rPr>
          <w:rFonts w:eastAsia="黑体"/>
          <w:b/>
          <w:color w:val="auto"/>
          <w:sz w:val="28"/>
          <w:szCs w:val="28"/>
          <w:highlight w:val="none"/>
          <w:lang w:val="zh-CN"/>
        </w:rPr>
        <w:t xml:space="preserve">商务条款偏离表</w:t>
      </w:r>
      <w:r/>
    </w:p>
    <w:p>
      <w:pPr>
        <w:pStyle w:val="714"/>
        <w:ind w:firstLine="0"/>
        <w:spacing w:line="360" w:lineRule="auto"/>
        <w:rPr>
          <w:bCs/>
          <w:color w:val="auto"/>
          <w:sz w:val="21"/>
          <w:szCs w:val="21"/>
          <w:highlight w:val="none"/>
        </w:rPr>
      </w:pPr>
      <w:r>
        <w:rPr>
          <w:rFonts w:hAnsi="宋体"/>
          <w:bCs/>
          <w:color w:val="auto"/>
          <w:sz w:val="21"/>
          <w:szCs w:val="21"/>
          <w:highlight w:val="none"/>
        </w:rPr>
        <w:t xml:space="preserve">采购编号：</w:t>
      </w:r>
      <w:r/>
    </w:p>
    <w:tbl>
      <w:tblPr>
        <w:tblStyle w:val="679"/>
        <w:tblW w:w="0" w:type="auto"/>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tcPr>
          <w:p>
            <w:pPr>
              <w:jc w:val="center"/>
              <w:rPr>
                <w:bCs/>
                <w:color w:val="auto"/>
                <w:szCs w:val="21"/>
                <w:highlight w:val="none"/>
              </w:rPr>
            </w:pPr>
            <w:r>
              <w:rPr>
                <w:rFonts w:hAnsi="宋体"/>
                <w:bCs/>
                <w:color w:val="auto"/>
                <w:szCs w:val="21"/>
                <w:highlight w:val="none"/>
              </w:rPr>
              <w:t xml:space="preserve">序号</w:t>
            </w:r>
            <w:r/>
          </w:p>
        </w:tc>
        <w:tc>
          <w:tcPr>
            <w:tcW w:w="3240" w:type="dxa"/>
            <w:vAlign w:val="center"/>
            <w:textDirection w:val="lrTb"/>
            <w:noWrap/>
          </w:tcPr>
          <w:p>
            <w:pPr>
              <w:jc w:val="center"/>
              <w:rPr>
                <w:bCs/>
                <w:color w:val="auto"/>
                <w:szCs w:val="21"/>
                <w:highlight w:val="none"/>
              </w:rPr>
            </w:pPr>
            <w:r>
              <w:rPr>
                <w:rFonts w:hAnsi="宋体"/>
                <w:bCs/>
                <w:color w:val="auto"/>
                <w:szCs w:val="21"/>
                <w:highlight w:val="none"/>
              </w:rPr>
              <w:t xml:space="preserve">采购文件的商务条款</w:t>
            </w:r>
            <w:r/>
          </w:p>
        </w:tc>
        <w:tc>
          <w:tcPr>
            <w:tcW w:w="3060" w:type="dxa"/>
            <w:vAlign w:val="center"/>
            <w:textDirection w:val="lrTb"/>
            <w:noWrap/>
          </w:tcPr>
          <w:p>
            <w:pPr>
              <w:jc w:val="center"/>
              <w:rPr>
                <w:bCs/>
                <w:color w:val="auto"/>
                <w:szCs w:val="21"/>
                <w:highlight w:val="none"/>
              </w:rPr>
            </w:pPr>
            <w:r>
              <w:rPr>
                <w:rFonts w:hAnsi="宋体"/>
                <w:bCs/>
                <w:color w:val="auto"/>
                <w:szCs w:val="21"/>
                <w:highlight w:val="none"/>
              </w:rPr>
              <w:t xml:space="preserve">投标文件的商务条款</w:t>
            </w:r>
            <w:r/>
          </w:p>
        </w:tc>
        <w:tc>
          <w:tcPr>
            <w:tcW w:w="1260" w:type="dxa"/>
            <w:vAlign w:val="center"/>
            <w:textDirection w:val="lrTb"/>
            <w:noWrap/>
          </w:tcPr>
          <w:p>
            <w:pPr>
              <w:jc w:val="center"/>
              <w:rPr>
                <w:bCs/>
                <w:color w:val="auto"/>
                <w:szCs w:val="21"/>
                <w:highlight w:val="none"/>
              </w:rPr>
            </w:pPr>
            <w:r>
              <w:rPr>
                <w:rFonts w:hAnsi="宋体"/>
                <w:bCs/>
                <w:color w:val="auto"/>
                <w:szCs w:val="21"/>
                <w:highlight w:val="none"/>
              </w:rPr>
              <w:t xml:space="preserve">说明</w:t>
            </w:r>
            <w:r/>
          </w:p>
        </w:tc>
      </w:tr>
      <w:tr>
        <w:trPr/>
        <w:tc>
          <w:tcPr>
            <w:tcW w:w="828" w:type="dxa"/>
            <w:vAlign w:val="center"/>
            <w:textDirection w:val="lrTb"/>
            <w:noWrap/>
          </w:tcPr>
          <w:p>
            <w:pPr>
              <w:spacing w:before="240" w:after="240"/>
              <w:rPr>
                <w:color w:val="auto"/>
                <w:highlight w:val="none"/>
              </w:rPr>
            </w:pPr>
            <w:r>
              <w:rPr>
                <w:color w:val="auto"/>
                <w:highlight w:val="none"/>
              </w:rPr>
            </w:r>
            <w:r/>
          </w:p>
        </w:tc>
        <w:tc>
          <w:tcPr>
            <w:tcW w:w="3240" w:type="dxa"/>
            <w:vAlign w:val="center"/>
            <w:textDirection w:val="lrTb"/>
            <w:noWrap/>
          </w:tcPr>
          <w:p>
            <w:pPr>
              <w:spacing w:before="240" w:after="240"/>
              <w:rPr>
                <w:color w:val="auto"/>
                <w:highlight w:val="none"/>
              </w:rPr>
            </w:pPr>
            <w:r>
              <w:rPr>
                <w:color w:val="auto"/>
                <w:highlight w:val="none"/>
              </w:rPr>
            </w:r>
            <w:r/>
          </w:p>
        </w:tc>
        <w:tc>
          <w:tcPr>
            <w:tcW w:w="3060" w:type="dxa"/>
            <w:vAlign w:val="center"/>
            <w:textDirection w:val="lrTb"/>
            <w:noWrap/>
          </w:tcPr>
          <w:p>
            <w:pPr>
              <w:spacing w:before="240" w:after="240"/>
              <w:rPr>
                <w:color w:val="auto"/>
                <w:highlight w:val="none"/>
              </w:rPr>
            </w:pPr>
            <w:r>
              <w:rPr>
                <w:color w:val="auto"/>
                <w:highlight w:val="none"/>
              </w:rPr>
            </w:r>
            <w:r/>
          </w:p>
        </w:tc>
        <w:tc>
          <w:tcPr>
            <w:tcW w:w="1260" w:type="dxa"/>
            <w:vAlign w:val="center"/>
            <w:textDirection w:val="lrTb"/>
            <w:noWrap/>
          </w:tcPr>
          <w:p>
            <w:pPr>
              <w:spacing w:before="240" w:after="240"/>
              <w:rPr>
                <w:color w:val="auto"/>
                <w:highlight w:val="none"/>
              </w:rPr>
            </w:pPr>
            <w:r>
              <w:rPr>
                <w:color w:val="auto"/>
                <w:highlight w:val="none"/>
              </w:rPr>
            </w:r>
            <w:r/>
          </w:p>
        </w:tc>
      </w:tr>
      <w:tr>
        <w:trPr/>
        <w:tc>
          <w:tcPr>
            <w:tcW w:w="828" w:type="dxa"/>
            <w:vAlign w:val="center"/>
            <w:textDirection w:val="lrTb"/>
            <w:noWrap/>
          </w:tcPr>
          <w:p>
            <w:pPr>
              <w:spacing w:before="240" w:after="240"/>
              <w:rPr>
                <w:color w:val="auto"/>
                <w:highlight w:val="none"/>
              </w:rPr>
            </w:pPr>
            <w:r>
              <w:rPr>
                <w:color w:val="auto"/>
                <w:highlight w:val="none"/>
              </w:rPr>
            </w:r>
            <w:r/>
          </w:p>
        </w:tc>
        <w:tc>
          <w:tcPr>
            <w:tcW w:w="3240" w:type="dxa"/>
            <w:vAlign w:val="center"/>
            <w:textDirection w:val="lrTb"/>
            <w:noWrap/>
          </w:tcPr>
          <w:p>
            <w:pPr>
              <w:spacing w:before="240" w:after="240"/>
              <w:rPr>
                <w:color w:val="auto"/>
                <w:highlight w:val="none"/>
              </w:rPr>
            </w:pPr>
            <w:r>
              <w:rPr>
                <w:color w:val="auto"/>
                <w:highlight w:val="none"/>
              </w:rPr>
            </w:r>
            <w:r/>
          </w:p>
        </w:tc>
        <w:tc>
          <w:tcPr>
            <w:tcW w:w="3060" w:type="dxa"/>
            <w:vAlign w:val="center"/>
            <w:textDirection w:val="lrTb"/>
            <w:noWrap/>
          </w:tcPr>
          <w:p>
            <w:pPr>
              <w:spacing w:before="240" w:after="240"/>
              <w:rPr>
                <w:color w:val="auto"/>
                <w:highlight w:val="none"/>
              </w:rPr>
            </w:pPr>
            <w:r>
              <w:rPr>
                <w:color w:val="auto"/>
                <w:highlight w:val="none"/>
              </w:rPr>
            </w:r>
            <w:r/>
          </w:p>
        </w:tc>
        <w:tc>
          <w:tcPr>
            <w:tcW w:w="1260" w:type="dxa"/>
            <w:vAlign w:val="center"/>
            <w:textDirection w:val="lrTb"/>
            <w:noWrap/>
          </w:tcPr>
          <w:p>
            <w:pPr>
              <w:spacing w:before="240" w:after="240"/>
              <w:rPr>
                <w:color w:val="auto"/>
                <w:highlight w:val="none"/>
              </w:rPr>
            </w:pPr>
            <w:r>
              <w:rPr>
                <w:color w:val="auto"/>
                <w:highlight w:val="none"/>
              </w:rPr>
            </w:r>
            <w:r/>
          </w:p>
        </w:tc>
      </w:tr>
      <w:tr>
        <w:trPr/>
        <w:tc>
          <w:tcPr>
            <w:tcW w:w="828" w:type="dxa"/>
            <w:vAlign w:val="center"/>
            <w:textDirection w:val="lrTb"/>
            <w:noWrap/>
          </w:tcPr>
          <w:p>
            <w:pPr>
              <w:spacing w:before="240" w:after="240"/>
              <w:rPr>
                <w:color w:val="auto"/>
                <w:highlight w:val="none"/>
              </w:rPr>
            </w:pPr>
            <w:r>
              <w:rPr>
                <w:color w:val="auto"/>
                <w:highlight w:val="none"/>
              </w:rPr>
            </w:r>
            <w:r/>
          </w:p>
        </w:tc>
        <w:tc>
          <w:tcPr>
            <w:tcW w:w="3240" w:type="dxa"/>
            <w:vAlign w:val="center"/>
            <w:textDirection w:val="lrTb"/>
            <w:noWrap/>
          </w:tcPr>
          <w:p>
            <w:pPr>
              <w:spacing w:before="240" w:after="240"/>
              <w:rPr>
                <w:color w:val="auto"/>
                <w:highlight w:val="none"/>
              </w:rPr>
            </w:pPr>
            <w:r>
              <w:rPr>
                <w:color w:val="auto"/>
                <w:highlight w:val="none"/>
              </w:rPr>
            </w:r>
            <w:r/>
          </w:p>
        </w:tc>
        <w:tc>
          <w:tcPr>
            <w:tcW w:w="3060" w:type="dxa"/>
            <w:vAlign w:val="center"/>
            <w:textDirection w:val="lrTb"/>
            <w:noWrap/>
          </w:tcPr>
          <w:p>
            <w:pPr>
              <w:spacing w:before="240" w:after="240"/>
              <w:rPr>
                <w:color w:val="auto"/>
                <w:highlight w:val="none"/>
              </w:rPr>
            </w:pPr>
            <w:r>
              <w:rPr>
                <w:color w:val="auto"/>
                <w:highlight w:val="none"/>
              </w:rPr>
            </w:r>
            <w:r/>
          </w:p>
        </w:tc>
        <w:tc>
          <w:tcPr>
            <w:tcW w:w="1260" w:type="dxa"/>
            <w:vAlign w:val="center"/>
            <w:textDirection w:val="lrTb"/>
            <w:noWrap/>
          </w:tcPr>
          <w:p>
            <w:pPr>
              <w:spacing w:before="240" w:after="240"/>
              <w:rPr>
                <w:color w:val="auto"/>
                <w:highlight w:val="none"/>
              </w:rPr>
            </w:pPr>
            <w:r>
              <w:rPr>
                <w:color w:val="auto"/>
                <w:highlight w:val="none"/>
              </w:rPr>
            </w:r>
            <w:r/>
          </w:p>
        </w:tc>
      </w:tr>
      <w:tr>
        <w:trPr/>
        <w:tc>
          <w:tcPr>
            <w:tcW w:w="828" w:type="dxa"/>
            <w:vAlign w:val="center"/>
            <w:textDirection w:val="lrTb"/>
            <w:noWrap/>
          </w:tcPr>
          <w:p>
            <w:pPr>
              <w:spacing w:before="240" w:after="240"/>
              <w:rPr>
                <w:color w:val="auto"/>
                <w:highlight w:val="none"/>
              </w:rPr>
            </w:pPr>
            <w:r>
              <w:rPr>
                <w:color w:val="auto"/>
                <w:highlight w:val="none"/>
              </w:rPr>
            </w:r>
            <w:r/>
          </w:p>
        </w:tc>
        <w:tc>
          <w:tcPr>
            <w:tcW w:w="3240" w:type="dxa"/>
            <w:vAlign w:val="center"/>
            <w:textDirection w:val="lrTb"/>
            <w:noWrap/>
          </w:tcPr>
          <w:p>
            <w:pPr>
              <w:spacing w:before="240" w:after="240"/>
              <w:rPr>
                <w:color w:val="auto"/>
                <w:highlight w:val="none"/>
              </w:rPr>
            </w:pPr>
            <w:r>
              <w:rPr>
                <w:color w:val="auto"/>
                <w:highlight w:val="none"/>
              </w:rPr>
            </w:r>
            <w:r/>
          </w:p>
        </w:tc>
        <w:tc>
          <w:tcPr>
            <w:tcW w:w="3060" w:type="dxa"/>
            <w:vAlign w:val="center"/>
            <w:textDirection w:val="lrTb"/>
            <w:noWrap/>
          </w:tcPr>
          <w:p>
            <w:pPr>
              <w:spacing w:before="240" w:after="240"/>
              <w:rPr>
                <w:color w:val="auto"/>
                <w:highlight w:val="none"/>
              </w:rPr>
            </w:pPr>
            <w:r>
              <w:rPr>
                <w:color w:val="auto"/>
                <w:highlight w:val="none"/>
              </w:rPr>
            </w:r>
            <w:r/>
          </w:p>
        </w:tc>
        <w:tc>
          <w:tcPr>
            <w:tcW w:w="1260" w:type="dxa"/>
            <w:vAlign w:val="center"/>
            <w:textDirection w:val="lrTb"/>
            <w:noWrap/>
          </w:tcPr>
          <w:p>
            <w:pPr>
              <w:spacing w:before="240" w:after="240"/>
              <w:rPr>
                <w:color w:val="auto"/>
                <w:highlight w:val="none"/>
              </w:rPr>
            </w:pPr>
            <w:r>
              <w:rPr>
                <w:color w:val="auto"/>
                <w:highlight w:val="none"/>
              </w:rPr>
            </w:r>
            <w:r/>
          </w:p>
        </w:tc>
      </w:tr>
      <w:tr>
        <w:trPr/>
        <w:tc>
          <w:tcPr>
            <w:tcW w:w="828" w:type="dxa"/>
            <w:vAlign w:val="center"/>
            <w:textDirection w:val="lrTb"/>
            <w:noWrap/>
          </w:tcPr>
          <w:p>
            <w:pPr>
              <w:spacing w:before="240" w:after="240"/>
              <w:rPr>
                <w:color w:val="auto"/>
                <w:highlight w:val="none"/>
              </w:rPr>
            </w:pPr>
            <w:r>
              <w:rPr>
                <w:color w:val="auto"/>
                <w:highlight w:val="none"/>
              </w:rPr>
            </w:r>
            <w:r/>
          </w:p>
        </w:tc>
        <w:tc>
          <w:tcPr>
            <w:tcW w:w="3240" w:type="dxa"/>
            <w:vAlign w:val="center"/>
            <w:textDirection w:val="lrTb"/>
            <w:noWrap/>
          </w:tcPr>
          <w:p>
            <w:pPr>
              <w:spacing w:before="240" w:after="240"/>
              <w:rPr>
                <w:color w:val="auto"/>
                <w:highlight w:val="none"/>
              </w:rPr>
            </w:pPr>
            <w:r>
              <w:rPr>
                <w:color w:val="auto"/>
                <w:highlight w:val="none"/>
              </w:rPr>
            </w:r>
            <w:r/>
          </w:p>
        </w:tc>
        <w:tc>
          <w:tcPr>
            <w:tcW w:w="3060" w:type="dxa"/>
            <w:vAlign w:val="center"/>
            <w:textDirection w:val="lrTb"/>
            <w:noWrap/>
          </w:tcPr>
          <w:p>
            <w:pPr>
              <w:spacing w:before="240" w:after="240"/>
              <w:rPr>
                <w:color w:val="auto"/>
                <w:highlight w:val="none"/>
              </w:rPr>
            </w:pPr>
            <w:r>
              <w:rPr>
                <w:color w:val="auto"/>
                <w:highlight w:val="none"/>
              </w:rPr>
            </w:r>
            <w:r/>
          </w:p>
        </w:tc>
        <w:tc>
          <w:tcPr>
            <w:tcW w:w="1260" w:type="dxa"/>
            <w:vAlign w:val="center"/>
            <w:textDirection w:val="lrTb"/>
            <w:noWrap/>
          </w:tcPr>
          <w:p>
            <w:pPr>
              <w:spacing w:before="240" w:after="240"/>
              <w:rPr>
                <w:color w:val="auto"/>
                <w:highlight w:val="none"/>
              </w:rPr>
            </w:pPr>
            <w:r>
              <w:rPr>
                <w:color w:val="auto"/>
                <w:highlight w:val="none"/>
              </w:rPr>
            </w:r>
            <w:r/>
          </w:p>
        </w:tc>
      </w:tr>
      <w:tr>
        <w:trPr/>
        <w:tc>
          <w:tcPr>
            <w:tcW w:w="828" w:type="dxa"/>
            <w:vAlign w:val="center"/>
            <w:textDirection w:val="lrTb"/>
            <w:noWrap/>
          </w:tcPr>
          <w:p>
            <w:pPr>
              <w:spacing w:before="240" w:after="240"/>
              <w:rPr>
                <w:color w:val="auto"/>
                <w:highlight w:val="none"/>
              </w:rPr>
            </w:pPr>
            <w:r>
              <w:rPr>
                <w:color w:val="auto"/>
                <w:highlight w:val="none"/>
              </w:rPr>
            </w:r>
            <w:r/>
          </w:p>
        </w:tc>
        <w:tc>
          <w:tcPr>
            <w:tcW w:w="3240" w:type="dxa"/>
            <w:vAlign w:val="center"/>
            <w:textDirection w:val="lrTb"/>
            <w:noWrap/>
          </w:tcPr>
          <w:p>
            <w:pPr>
              <w:spacing w:before="240" w:after="240"/>
              <w:rPr>
                <w:color w:val="auto"/>
                <w:highlight w:val="none"/>
              </w:rPr>
            </w:pPr>
            <w:r>
              <w:rPr>
                <w:color w:val="auto"/>
                <w:highlight w:val="none"/>
              </w:rPr>
            </w:r>
            <w:r/>
          </w:p>
        </w:tc>
        <w:tc>
          <w:tcPr>
            <w:tcW w:w="3060" w:type="dxa"/>
            <w:vAlign w:val="center"/>
            <w:textDirection w:val="lrTb"/>
            <w:noWrap/>
          </w:tcPr>
          <w:p>
            <w:pPr>
              <w:spacing w:before="240" w:after="240"/>
              <w:rPr>
                <w:color w:val="auto"/>
                <w:highlight w:val="none"/>
              </w:rPr>
            </w:pPr>
            <w:r>
              <w:rPr>
                <w:color w:val="auto"/>
                <w:highlight w:val="none"/>
              </w:rPr>
            </w:r>
            <w:r/>
          </w:p>
        </w:tc>
        <w:tc>
          <w:tcPr>
            <w:tcW w:w="1260" w:type="dxa"/>
            <w:vAlign w:val="center"/>
            <w:textDirection w:val="lrTb"/>
            <w:noWrap/>
          </w:tcPr>
          <w:p>
            <w:pPr>
              <w:spacing w:before="240" w:after="240"/>
              <w:rPr>
                <w:color w:val="auto"/>
                <w:highlight w:val="none"/>
              </w:rPr>
            </w:pPr>
            <w:r>
              <w:rPr>
                <w:color w:val="auto"/>
                <w:highlight w:val="none"/>
              </w:rPr>
            </w:r>
            <w:r/>
          </w:p>
        </w:tc>
      </w:tr>
      <w:tr>
        <w:trPr/>
        <w:tc>
          <w:tcPr>
            <w:tcW w:w="828" w:type="dxa"/>
            <w:vAlign w:val="center"/>
            <w:textDirection w:val="lrTb"/>
            <w:noWrap/>
          </w:tcPr>
          <w:p>
            <w:pPr>
              <w:spacing w:before="240" w:after="240"/>
              <w:rPr>
                <w:color w:val="auto"/>
                <w:highlight w:val="none"/>
              </w:rPr>
            </w:pPr>
            <w:r>
              <w:rPr>
                <w:color w:val="auto"/>
                <w:highlight w:val="none"/>
              </w:rPr>
            </w:r>
            <w:r/>
          </w:p>
        </w:tc>
        <w:tc>
          <w:tcPr>
            <w:tcW w:w="3240" w:type="dxa"/>
            <w:vAlign w:val="center"/>
            <w:textDirection w:val="lrTb"/>
            <w:noWrap/>
          </w:tcPr>
          <w:p>
            <w:pPr>
              <w:spacing w:before="240" w:after="240"/>
              <w:rPr>
                <w:color w:val="auto"/>
                <w:highlight w:val="none"/>
              </w:rPr>
            </w:pPr>
            <w:r>
              <w:rPr>
                <w:color w:val="auto"/>
                <w:highlight w:val="none"/>
              </w:rPr>
            </w:r>
            <w:r/>
          </w:p>
        </w:tc>
        <w:tc>
          <w:tcPr>
            <w:tcW w:w="3060" w:type="dxa"/>
            <w:vAlign w:val="center"/>
            <w:textDirection w:val="lrTb"/>
            <w:noWrap/>
          </w:tcPr>
          <w:p>
            <w:pPr>
              <w:spacing w:before="240" w:after="240"/>
              <w:rPr>
                <w:color w:val="auto"/>
                <w:highlight w:val="none"/>
              </w:rPr>
            </w:pPr>
            <w:r>
              <w:rPr>
                <w:color w:val="auto"/>
                <w:highlight w:val="none"/>
              </w:rPr>
            </w:r>
            <w:r/>
          </w:p>
        </w:tc>
        <w:tc>
          <w:tcPr>
            <w:tcW w:w="1260" w:type="dxa"/>
            <w:vAlign w:val="center"/>
            <w:textDirection w:val="lrTb"/>
            <w:noWrap/>
          </w:tcPr>
          <w:p>
            <w:pPr>
              <w:spacing w:before="240" w:after="240"/>
              <w:rPr>
                <w:color w:val="auto"/>
                <w:highlight w:val="none"/>
              </w:rPr>
            </w:pPr>
            <w:r>
              <w:rPr>
                <w:color w:val="auto"/>
                <w:highlight w:val="none"/>
              </w:rPr>
            </w:r>
            <w:r/>
          </w:p>
        </w:tc>
      </w:tr>
      <w:tr>
        <w:trPr>
          <w:trHeight w:val="297"/>
        </w:trPr>
        <w:tc>
          <w:tcPr>
            <w:tcW w:w="828" w:type="dxa"/>
            <w:vAlign w:val="center"/>
            <w:textDirection w:val="lrTb"/>
            <w:noWrap/>
          </w:tcPr>
          <w:p>
            <w:pPr>
              <w:spacing w:before="240" w:after="240"/>
              <w:rPr>
                <w:color w:val="auto"/>
                <w:highlight w:val="none"/>
              </w:rPr>
            </w:pPr>
            <w:r>
              <w:rPr>
                <w:color w:val="auto"/>
                <w:highlight w:val="none"/>
              </w:rPr>
            </w:r>
            <w:r/>
          </w:p>
        </w:tc>
        <w:tc>
          <w:tcPr>
            <w:tcW w:w="3240" w:type="dxa"/>
            <w:vAlign w:val="center"/>
            <w:textDirection w:val="lrTb"/>
            <w:noWrap/>
          </w:tcPr>
          <w:p>
            <w:pPr>
              <w:spacing w:before="240" w:after="240"/>
              <w:rPr>
                <w:color w:val="auto"/>
                <w:highlight w:val="none"/>
              </w:rPr>
            </w:pPr>
            <w:r>
              <w:rPr>
                <w:color w:val="auto"/>
                <w:highlight w:val="none"/>
              </w:rPr>
            </w:r>
            <w:r/>
          </w:p>
        </w:tc>
        <w:tc>
          <w:tcPr>
            <w:tcW w:w="3060" w:type="dxa"/>
            <w:vAlign w:val="center"/>
            <w:textDirection w:val="lrTb"/>
            <w:noWrap/>
          </w:tcPr>
          <w:p>
            <w:pPr>
              <w:spacing w:before="240" w:after="240"/>
              <w:rPr>
                <w:color w:val="auto"/>
                <w:highlight w:val="none"/>
              </w:rPr>
            </w:pPr>
            <w:r>
              <w:rPr>
                <w:color w:val="auto"/>
                <w:highlight w:val="none"/>
              </w:rPr>
            </w:r>
            <w:r/>
          </w:p>
        </w:tc>
        <w:tc>
          <w:tcPr>
            <w:tcW w:w="1260" w:type="dxa"/>
            <w:vAlign w:val="center"/>
            <w:textDirection w:val="lrTb"/>
            <w:noWrap/>
          </w:tcPr>
          <w:p>
            <w:pPr>
              <w:spacing w:before="240" w:after="240"/>
              <w:rPr>
                <w:color w:val="auto"/>
                <w:highlight w:val="none"/>
              </w:rPr>
            </w:pPr>
            <w:r>
              <w:rPr>
                <w:color w:val="auto"/>
                <w:highlight w:val="none"/>
              </w:rPr>
            </w:r>
            <w:r/>
          </w:p>
        </w:tc>
      </w:tr>
      <w:tr>
        <w:trPr>
          <w:trHeight w:val="70"/>
        </w:trPr>
        <w:tc>
          <w:tcPr>
            <w:tcW w:w="828" w:type="dxa"/>
            <w:vAlign w:val="center"/>
            <w:textDirection w:val="lrTb"/>
            <w:noWrap/>
          </w:tcPr>
          <w:p>
            <w:pPr>
              <w:spacing w:before="240" w:after="240"/>
              <w:rPr>
                <w:color w:val="auto"/>
                <w:highlight w:val="none"/>
              </w:rPr>
            </w:pPr>
            <w:r>
              <w:rPr>
                <w:color w:val="auto"/>
                <w:highlight w:val="none"/>
              </w:rPr>
            </w:r>
            <w:r/>
          </w:p>
        </w:tc>
        <w:tc>
          <w:tcPr>
            <w:tcW w:w="3240" w:type="dxa"/>
            <w:vAlign w:val="center"/>
            <w:textDirection w:val="lrTb"/>
            <w:noWrap/>
          </w:tcPr>
          <w:p>
            <w:pPr>
              <w:spacing w:before="240" w:after="240"/>
              <w:rPr>
                <w:color w:val="auto"/>
                <w:highlight w:val="none"/>
              </w:rPr>
            </w:pPr>
            <w:r>
              <w:rPr>
                <w:color w:val="auto"/>
                <w:highlight w:val="none"/>
              </w:rPr>
            </w:r>
            <w:r/>
          </w:p>
        </w:tc>
        <w:tc>
          <w:tcPr>
            <w:tcW w:w="3060" w:type="dxa"/>
            <w:vAlign w:val="center"/>
            <w:textDirection w:val="lrTb"/>
            <w:noWrap/>
          </w:tcPr>
          <w:p>
            <w:pPr>
              <w:spacing w:before="240" w:after="240"/>
              <w:rPr>
                <w:color w:val="auto"/>
                <w:highlight w:val="none"/>
              </w:rPr>
            </w:pPr>
            <w:r>
              <w:rPr>
                <w:color w:val="auto"/>
                <w:highlight w:val="none"/>
              </w:rPr>
            </w:r>
            <w:r/>
          </w:p>
        </w:tc>
        <w:tc>
          <w:tcPr>
            <w:tcW w:w="1260" w:type="dxa"/>
            <w:vAlign w:val="center"/>
            <w:textDirection w:val="lrTb"/>
            <w:noWrap/>
          </w:tcPr>
          <w:p>
            <w:pPr>
              <w:spacing w:before="240" w:after="240"/>
              <w:rPr>
                <w:color w:val="auto"/>
                <w:highlight w:val="none"/>
              </w:rPr>
            </w:pPr>
            <w:r>
              <w:rPr>
                <w:color w:val="auto"/>
                <w:highlight w:val="none"/>
              </w:rPr>
            </w:r>
            <w:r/>
          </w:p>
        </w:tc>
      </w:tr>
    </w:tbl>
    <w:p>
      <w:pPr>
        <w:spacing w:line="360" w:lineRule="auto"/>
        <w:rPr>
          <w:bCs/>
          <w:color w:val="auto"/>
          <w:szCs w:val="21"/>
          <w:highlight w:val="none"/>
        </w:rPr>
      </w:pPr>
      <w:r>
        <w:rPr>
          <w:rFonts w:hAnsi="宋体"/>
          <w:bCs/>
          <w:color w:val="auto"/>
          <w:szCs w:val="21"/>
          <w:highlight w:val="none"/>
        </w:rPr>
        <w:t xml:space="preserve">注：投标人的投标文件（除技术规格部分）与采购文件规定的有偏离的，应在此表中说明。未在上表中说明的，将被认为完全响应采购文件的规定。</w:t>
      </w:r>
      <w:r/>
    </w:p>
    <w:p>
      <w:pPr>
        <w:pStyle w:val="714"/>
        <w:ind w:firstLine="0"/>
        <w:spacing w:line="360" w:lineRule="auto"/>
        <w:rPr>
          <w:bCs/>
          <w:color w:val="auto"/>
          <w:sz w:val="21"/>
          <w:szCs w:val="21"/>
          <w:highlight w:val="none"/>
        </w:rPr>
      </w:pPr>
      <w:r>
        <w:rPr>
          <w:bCs/>
          <w:color w:val="auto"/>
          <w:sz w:val="21"/>
          <w:szCs w:val="21"/>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rFonts w:hAnsi="宋体"/>
          <w:bCs/>
          <w:color w:val="auto"/>
          <w:szCs w:val="21"/>
          <w:highlight w:val="none"/>
        </w:rPr>
      </w:pPr>
      <w:r>
        <w:rPr>
          <w:rFonts w:hAnsi="宋体"/>
          <w:bCs/>
          <w:color w:val="auto"/>
          <w:szCs w:val="21"/>
          <w:highlight w:val="none"/>
        </w:rPr>
        <w:t xml:space="preserve">日期：年月日</w:t>
      </w:r>
      <w:r/>
    </w:p>
    <w:p>
      <w:pPr>
        <w:rPr>
          <w:color w:val="auto"/>
          <w:highlight w:val="none"/>
        </w:rPr>
      </w:pPr>
      <w:r>
        <w:rPr>
          <w:color w:val="auto"/>
          <w:highlight w:val="none"/>
        </w:rPr>
        <w:br w:type="page" w:clear="all"/>
      </w:r>
      <w:r/>
    </w:p>
    <w:p>
      <w:pPr>
        <w:spacing w:before="25" w:after="25" w:line="360" w:lineRule="auto"/>
        <w:rPr>
          <w:b/>
          <w:bCs/>
          <w:color w:val="auto"/>
          <w:szCs w:val="21"/>
          <w:highlight w:val="none"/>
        </w:rPr>
      </w:pPr>
      <w:r>
        <w:rPr>
          <w:b/>
          <w:bCs/>
          <w:color w:val="auto"/>
          <w:szCs w:val="21"/>
          <w:highlight w:val="none"/>
        </w:rPr>
        <w:t xml:space="preserve">格式</w:t>
      </w:r>
      <w:r>
        <w:rPr>
          <w:rFonts w:hint="eastAsia"/>
          <w:b/>
          <w:bCs/>
          <w:color w:val="auto"/>
          <w:szCs w:val="21"/>
          <w:highlight w:val="none"/>
        </w:rPr>
        <w:t xml:space="preserve">8</w:t>
      </w:r>
      <w:r>
        <w:rPr>
          <w:b/>
          <w:bCs/>
          <w:color w:val="auto"/>
          <w:szCs w:val="21"/>
          <w:highlight w:val="none"/>
        </w:rPr>
        <w:t xml:space="preserve">、相关业绩一览表</w:t>
      </w:r>
      <w:r/>
    </w:p>
    <w:p>
      <w:pPr>
        <w:jc w:val="center"/>
        <w:spacing w:line="360" w:lineRule="auto"/>
        <w:rPr>
          <w:rFonts w:eastAsia="黑体"/>
          <w:b/>
          <w:color w:val="auto"/>
          <w:sz w:val="28"/>
          <w:szCs w:val="28"/>
          <w:highlight w:val="none"/>
        </w:rPr>
      </w:pPr>
      <w:r>
        <w:rPr>
          <w:rFonts w:hint="eastAsia" w:eastAsia="黑体"/>
          <w:b/>
          <w:color w:val="auto"/>
          <w:sz w:val="28"/>
          <w:szCs w:val="28"/>
          <w:highlight w:val="none"/>
        </w:rPr>
        <w:t xml:space="preserve">相关</w:t>
      </w:r>
      <w:r>
        <w:rPr>
          <w:rFonts w:eastAsia="黑体"/>
          <w:b/>
          <w:color w:val="auto"/>
          <w:sz w:val="28"/>
          <w:szCs w:val="28"/>
          <w:highlight w:val="none"/>
        </w:rPr>
        <w:t xml:space="preserve">业绩一览表</w:t>
      </w:r>
      <w:r/>
    </w:p>
    <w:p>
      <w:pPr>
        <w:pStyle w:val="714"/>
        <w:ind w:firstLine="0"/>
        <w:jc w:val="both"/>
        <w:spacing w:line="360" w:lineRule="auto"/>
        <w:rPr>
          <w:rFonts w:ascii="宋体" w:hAnsi="宋体" w:eastAsia="宋体"/>
          <w:bCs/>
          <w:color w:val="auto"/>
          <w:sz w:val="21"/>
          <w:szCs w:val="21"/>
          <w:highlight w:val="none"/>
        </w:rPr>
      </w:pPr>
      <w:r>
        <w:rPr>
          <w:rFonts w:ascii="宋体" w:hAnsi="宋体" w:eastAsia="宋体"/>
          <w:color w:val="auto"/>
          <w:sz w:val="21"/>
          <w:szCs w:val="21"/>
          <w:highlight w:val="none"/>
          <w:lang w:val="zh-CN"/>
        </w:rPr>
        <w:t xml:space="preserve">采购编号：</w:t>
      </w:r>
      <w:r/>
    </w:p>
    <w:tbl>
      <w:tblPr>
        <w:tblStyle w:val="679"/>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序号</w:t>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项目名称</w:t>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采购单位</w:t>
            </w:r>
            <w:r/>
          </w:p>
        </w:tc>
        <w:tc>
          <w:tcPr>
            <w:tcW w:w="1729"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签订时间</w:t>
            </w:r>
            <w:r/>
          </w:p>
        </w:tc>
        <w:tc>
          <w:tcPr>
            <w:tcW w:w="1874"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合同金额（万元）</w:t>
            </w:r>
            <w:r/>
          </w:p>
        </w:tc>
        <w:tc>
          <w:tcPr>
            <w:tcW w:w="961"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1</w:t>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2</w:t>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3</w:t>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4</w:t>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5</w:t>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tbRlV"/>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bl>
    <w:p>
      <w:pPr>
        <w:pStyle w:val="714"/>
        <w:ind w:firstLine="0"/>
        <w:jc w:val="both"/>
        <w:spacing w:line="360" w:lineRule="auto"/>
        <w:rPr>
          <w:rFonts w:ascii="宋体" w:hAnsi="宋体" w:eastAsia="宋体"/>
          <w:bCs/>
          <w:color w:val="auto"/>
          <w:highlight w:val="none"/>
        </w:rPr>
      </w:pPr>
      <w:r>
        <w:rPr>
          <w:rFonts w:ascii="宋体" w:hAnsi="宋体" w:eastAsia="宋体"/>
          <w:bCs/>
          <w:color w:val="auto"/>
          <w:highlight w:val="none"/>
        </w:rPr>
      </w:r>
      <w:r/>
    </w:p>
    <w:p>
      <w:pPr>
        <w:pStyle w:val="714"/>
        <w:ind w:firstLine="0"/>
        <w:jc w:val="both"/>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注：投标人应提供双方签订合同的复印件并加盖投标人公章（公章），否则将不作为评标的依据。</w:t>
      </w:r>
      <w:r/>
    </w:p>
    <w:p>
      <w:pPr>
        <w:pStyle w:val="714"/>
        <w:ind w:firstLine="0"/>
        <w:jc w:val="center"/>
        <w:spacing w:line="360" w:lineRule="auto"/>
        <w:rPr>
          <w:bCs/>
          <w:color w:val="auto"/>
          <w:sz w:val="21"/>
          <w:szCs w:val="21"/>
          <w:highlight w:val="none"/>
        </w:rPr>
      </w:pPr>
      <w:r>
        <w:rPr>
          <w:bCs/>
          <w:color w:val="auto"/>
          <w:sz w:val="21"/>
          <w:szCs w:val="21"/>
          <w:highlight w:val="none"/>
        </w:rPr>
      </w:r>
      <w:r/>
    </w:p>
    <w:p>
      <w:pPr>
        <w:pStyle w:val="714"/>
        <w:ind w:firstLine="0"/>
        <w:jc w:val="center"/>
        <w:spacing w:line="360" w:lineRule="auto"/>
        <w:rPr>
          <w:bCs/>
          <w:color w:val="auto"/>
          <w:sz w:val="21"/>
          <w:szCs w:val="21"/>
          <w:highlight w:val="none"/>
        </w:rPr>
      </w:pPr>
      <w:r>
        <w:rPr>
          <w:bCs/>
          <w:color w:val="auto"/>
          <w:sz w:val="21"/>
          <w:szCs w:val="21"/>
          <w:highlight w:val="none"/>
        </w:rPr>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法定代表人或代理人：（签字或签章）</w:t>
      </w:r>
      <w:r/>
    </w:p>
    <w:p>
      <w:pPr>
        <w:ind w:firstLine="210"/>
        <w:spacing w:line="360" w:lineRule="auto"/>
        <w:rPr>
          <w:color w:val="auto"/>
          <w:szCs w:val="21"/>
          <w:highlight w:val="none"/>
        </w:rPr>
      </w:pPr>
      <w:r>
        <w:rPr>
          <w:color w:val="auto"/>
          <w:szCs w:val="21"/>
          <w:highlight w:val="none"/>
          <w:lang w:val="zh-CN"/>
        </w:rPr>
        <w:t xml:space="preserve">日期：年月日</w:t>
      </w:r>
      <w:r/>
    </w:p>
    <w:p>
      <w:pPr>
        <w:spacing w:line="400" w:lineRule="exact"/>
        <w:rPr>
          <w:rFonts w:hAnsi="宋体"/>
          <w:b/>
          <w:color w:val="auto"/>
          <w:szCs w:val="21"/>
          <w:highlight w:val="none"/>
        </w:rPr>
      </w:pPr>
      <w:r>
        <w:rPr>
          <w:rFonts w:hAnsi="宋体"/>
          <w:b/>
          <w:color w:val="auto"/>
          <w:szCs w:val="21"/>
          <w:highlight w:val="none"/>
        </w:rPr>
      </w:r>
      <w:r/>
    </w:p>
    <w:p>
      <w:pPr>
        <w:spacing w:line="400" w:lineRule="exact"/>
        <w:rPr>
          <w:rFonts w:hAnsi="宋体"/>
          <w:b/>
          <w:color w:val="auto"/>
          <w:szCs w:val="21"/>
          <w:highlight w:val="none"/>
        </w:rPr>
      </w:pPr>
      <w:r>
        <w:rPr>
          <w:rFonts w:hAnsi="宋体"/>
          <w:b/>
          <w:color w:val="auto"/>
          <w:szCs w:val="21"/>
          <w:highlight w:val="none"/>
        </w:rPr>
      </w:r>
      <w:r/>
    </w:p>
    <w:p>
      <w:pPr>
        <w:rPr>
          <w:color w:val="auto"/>
          <w:highlight w:val="none"/>
        </w:rPr>
      </w:pPr>
      <w:r>
        <w:rPr>
          <w:color w:val="auto"/>
          <w:highlight w:val="none"/>
        </w:rPr>
        <w:br w:type="page" w:clear="all"/>
      </w:r>
      <w:r/>
    </w:p>
    <w:p>
      <w:pPr>
        <w:spacing w:line="400" w:lineRule="exact"/>
        <w:rPr>
          <w:b/>
          <w:color w:val="auto"/>
          <w:szCs w:val="21"/>
          <w:highlight w:val="none"/>
        </w:rPr>
      </w:pPr>
      <w:r>
        <w:rPr>
          <w:rFonts w:hint="eastAsia" w:hAnsi="宋体"/>
          <w:b/>
          <w:color w:val="auto"/>
          <w:szCs w:val="21"/>
          <w:highlight w:val="none"/>
        </w:rPr>
        <w:t xml:space="preserve">格式9、资格证明文件</w:t>
      </w:r>
      <w:r/>
    </w:p>
    <w:p>
      <w:pPr>
        <w:pStyle w:val="714"/>
        <w:ind w:firstLine="0"/>
        <w:rPr>
          <w:b/>
          <w:color w:val="auto"/>
          <w:sz w:val="21"/>
          <w:szCs w:val="21"/>
          <w:highlight w:val="none"/>
        </w:rPr>
      </w:pPr>
      <w:r>
        <w:rPr>
          <w:b/>
          <w:color w:val="auto"/>
          <w:sz w:val="21"/>
          <w:szCs w:val="21"/>
          <w:highlight w:val="none"/>
        </w:rPr>
      </w:r>
      <w:r/>
    </w:p>
    <w:p>
      <w:pPr>
        <w:pStyle w:val="714"/>
        <w:ind w:firstLine="0"/>
        <w:jc w:val="both"/>
        <w:rPr>
          <w:rFonts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714"/>
        <w:ind w:firstLine="0"/>
        <w:rPr>
          <w:b/>
          <w:color w:val="auto"/>
          <w:sz w:val="21"/>
          <w:szCs w:val="21"/>
          <w:highlight w:val="none"/>
        </w:rPr>
      </w:pPr>
      <w:r>
        <w:rPr>
          <w:b/>
          <w:color w:val="auto"/>
          <w:sz w:val="21"/>
          <w:szCs w:val="21"/>
          <w:highlight w:val="none"/>
        </w:rPr>
      </w:r>
      <w:r/>
    </w:p>
    <w:p>
      <w:pPr>
        <w:pStyle w:val="714"/>
        <w:ind w:firstLine="0"/>
        <w:rPr>
          <w:b/>
          <w:color w:val="auto"/>
          <w:highlight w:val="none"/>
        </w:rPr>
      </w:pPr>
      <w:r>
        <w:rPr>
          <w:b/>
          <w:color w:val="auto"/>
          <w:highlight w:val="none"/>
        </w:rPr>
      </w:r>
      <w:r/>
    </w:p>
    <w:p>
      <w:pPr>
        <w:pStyle w:val="745"/>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45"/>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714"/>
        <w:jc w:val="center"/>
        <w:rPr>
          <w:rFonts w:ascii="Times New Roman"/>
          <w:color w:val="auto"/>
          <w:highlight w:val="none"/>
        </w:rPr>
      </w:pPr>
      <w:r>
        <w:rPr>
          <w:rFonts w:ascii="Times New Roman"/>
          <w:color w:val="auto"/>
          <w:highlight w:val="none"/>
        </w:rPr>
      </w:r>
      <w:r/>
    </w:p>
    <w:p>
      <w:pPr>
        <w:pStyle w:val="714"/>
        <w:jc w:val="center"/>
        <w:rPr>
          <w:color w:val="auto"/>
          <w:highlight w:val="none"/>
        </w:rPr>
      </w:pPr>
      <w:r>
        <w:rPr>
          <w:color w:val="auto"/>
          <w:highlight w:val="none"/>
        </w:rPr>
      </w:r>
      <w:r/>
    </w:p>
    <w:p>
      <w:pPr>
        <w:pStyle w:val="745"/>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714"/>
        <w:jc w:val="both"/>
        <w:spacing w:line="400" w:lineRule="exact"/>
        <w:rPr>
          <w:rFonts w:ascii="Times New Roman"/>
          <w:color w:val="auto"/>
          <w:sz w:val="21"/>
          <w:szCs w:val="21"/>
          <w:highlight w:val="none"/>
        </w:rPr>
      </w:pPr>
      <w:r>
        <w:rPr>
          <w:rFonts w:asci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日期：年月日</w:t>
      </w:r>
      <w:r/>
    </w:p>
    <w:p>
      <w:pPr>
        <w:pStyle w:val="714"/>
        <w:ind w:firstLine="0"/>
        <w:spacing w:line="400" w:lineRule="exact"/>
        <w:rPr>
          <w:color w:val="auto"/>
          <w:sz w:val="21"/>
          <w:szCs w:val="21"/>
          <w:highlight w:val="none"/>
        </w:rPr>
      </w:pPr>
      <w:r>
        <w:rPr>
          <w:color w:val="auto"/>
          <w:sz w:val="21"/>
          <w:szCs w:val="21"/>
          <w:highlight w:val="none"/>
        </w:rPr>
      </w:r>
      <w:r/>
    </w:p>
    <w:p>
      <w:pPr>
        <w:pStyle w:val="714"/>
        <w:ind w:firstLine="0"/>
        <w:rPr>
          <w:color w:val="auto"/>
          <w:highlight w:val="none"/>
        </w:rPr>
      </w:pPr>
      <w:r>
        <w:rPr>
          <w:color w:val="auto"/>
          <w:highlight w:val="none"/>
        </w:rPr>
      </w:r>
      <w:r/>
    </w:p>
    <w:p>
      <w:pPr>
        <w:pStyle w:val="714"/>
        <w:ind w:firstLine="0"/>
        <w:jc w:val="both"/>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）投标人情况表</w:t>
      </w:r>
      <w:r/>
    </w:p>
    <w:p>
      <w:pPr>
        <w:pStyle w:val="714"/>
        <w:ind w:firstLine="0"/>
        <w:rPr>
          <w:rFonts w:ascii="宋体" w:hAnsi="宋体"/>
          <w:color w:val="auto"/>
          <w:highlight w:val="none"/>
        </w:rPr>
      </w:pPr>
      <w:r>
        <w:rPr>
          <w:rFonts w:ascii="宋体" w:hAnsi="宋体"/>
          <w:color w:val="auto"/>
          <w:highlight w:val="none"/>
        </w:rPr>
      </w:r>
      <w:r/>
    </w:p>
    <w:p>
      <w:pPr>
        <w:pStyle w:val="745"/>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投标人情况表</w:t>
      </w:r>
      <w:r/>
    </w:p>
    <w:p>
      <w:pPr>
        <w:spacing w:line="400" w:lineRule="exact"/>
        <w:rPr>
          <w:color w:val="auto"/>
          <w:szCs w:val="21"/>
          <w:highlight w:val="none"/>
        </w:rPr>
      </w:pPr>
      <w:r>
        <w:rPr>
          <w:rFonts w:hint="eastAsia"/>
          <w:color w:val="auto"/>
          <w:szCs w:val="21"/>
          <w:highlight w:val="none"/>
        </w:rPr>
        <w:t xml:space="preserve">采购编号：</w:t>
      </w:r>
      <w:r/>
    </w:p>
    <w:tbl>
      <w:tblPr>
        <w:tblStyle w:val="679"/>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W w:w="1411"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企业法人</w:t>
            </w:r>
            <w:r/>
          </w:p>
        </w:tc>
        <w:tc>
          <w:tcPr>
            <w:gridSpan w:val="3"/>
            <w:tcW w:w="2762"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441"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W w:w="2252" w:type="dxa"/>
            <w:vAlign w:val="center"/>
            <w:textDirection w:val="lrTb"/>
            <w:noWrap/>
          </w:tcPr>
          <w:p>
            <w:pPr>
              <w:pStyle w:val="71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W w:w="1411"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W w:w="6455"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W w:w="1411"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W w:w="6455" w:type="dxa"/>
            <w:vAlign w:val="center"/>
            <w:textDirection w:val="lrTb"/>
            <w:noWrap/>
          </w:tcPr>
          <w:p>
            <w:pPr>
              <w:pStyle w:val="71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W w:w="1411"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W w:w="2317" w:type="dxa"/>
            <w:vAlign w:val="center"/>
            <w:textDirection w:val="lrTb"/>
            <w:noWrap/>
          </w:tcPr>
          <w:p>
            <w:pPr>
              <w:pStyle w:val="71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W w:w="2959" w:type="dxa"/>
            <w:vAlign w:val="center"/>
            <w:textDirection w:val="lrTb"/>
            <w:noWrap/>
          </w:tcPr>
          <w:p>
            <w:pPr>
              <w:pStyle w:val="71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25"/>
        </w:trPr>
        <w:tc>
          <w:tcPr>
            <w:tcW w:w="597"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W w:w="1411"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W w:w="2317" w:type="dxa"/>
            <w:vAlign w:val="center"/>
            <w:textDirection w:val="lrTb"/>
            <w:noWrap/>
          </w:tcPr>
          <w:p>
            <w:pPr>
              <w:pStyle w:val="71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W w:w="2959" w:type="dxa"/>
            <w:vAlign w:val="center"/>
            <w:textDirection w:val="lrTb"/>
            <w:noWrap/>
          </w:tcPr>
          <w:p>
            <w:pPr>
              <w:pStyle w:val="71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W w:w="1411"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W w:w="2317" w:type="dxa"/>
            <w:vAlign w:val="center"/>
            <w:textDirection w:val="lrTb"/>
            <w:noWrap/>
          </w:tcPr>
          <w:p>
            <w:pPr>
              <w:pStyle w:val="71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W w:w="2959" w:type="dxa"/>
            <w:vAlign w:val="center"/>
            <w:textDirection w:val="lrTb"/>
            <w:noWrap/>
          </w:tcPr>
          <w:p>
            <w:pPr>
              <w:pStyle w:val="714"/>
              <w:ind w:left="437"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W w:w="1411" w:type="dxa"/>
            <w:vAlign w:val="center"/>
            <w:textDirection w:val="lrTb"/>
            <w:noWrap/>
          </w:tcPr>
          <w:p>
            <w:pPr>
              <w:pStyle w:val="714"/>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W w:w="2317" w:type="dxa"/>
            <w:vAlign w:val="center"/>
            <w:textDirection w:val="lrTb"/>
            <w:noWrap/>
          </w:tcPr>
          <w:p>
            <w:pPr>
              <w:pStyle w:val="714"/>
              <w:ind w:firstLine="945"/>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W w:w="2469" w:type="dxa"/>
            <w:vAlign w:val="center"/>
            <w:textDirection w:val="lrTb"/>
            <w:noWrap/>
          </w:tcPr>
          <w:p>
            <w:pPr>
              <w:pStyle w:val="714"/>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rPr>
              <w:t xml:space="preserve">4年总营业收入</w:t>
            </w:r>
            <w:r/>
          </w:p>
        </w:tc>
        <w:tc>
          <w:tcPr>
            <w:tcW w:w="1669" w:type="dxa"/>
            <w:vAlign w:val="center"/>
            <w:textDirection w:val="lrTb"/>
            <w:noWrap/>
          </w:tcPr>
          <w:p>
            <w:pPr>
              <w:pStyle w:val="714"/>
              <w:ind w:left="1112"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W w:w="597"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W w:w="7866" w:type="dxa"/>
            <w:vAlign w:val="center"/>
            <w:textDirection w:val="lrTb"/>
            <w:noWrap/>
          </w:tcPr>
          <w:p>
            <w:pPr>
              <w:pStyle w:val="714"/>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W w:w="597"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W w:w="7866" w:type="dxa"/>
            <w:vAlign w:val="center"/>
            <w:textDirection w:val="lrTb"/>
            <w:noWrap/>
          </w:tcPr>
          <w:p>
            <w:pPr>
              <w:pStyle w:val="714"/>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71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71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714"/>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W w:w="597"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W w:w="2445" w:type="dxa"/>
            <w:vAlign w:val="top"/>
            <w:textDirection w:val="lrTb"/>
            <w:noWrap/>
          </w:tcPr>
          <w:p>
            <w:pPr>
              <w:pStyle w:val="714"/>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W w:w="5421" w:type="dxa"/>
            <w:vAlign w:val="top"/>
            <w:textDirection w:val="lrTb"/>
            <w:noWrap/>
          </w:tcPr>
          <w:p>
            <w:pPr>
              <w:pStyle w:val="71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18"/>
        </w:trPr>
        <w:tc>
          <w:tcPr>
            <w:tcW w:w="597"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W w:w="2445" w:type="dxa"/>
            <w:vAlign w:val="top"/>
            <w:textDirection w:val="lrTb"/>
            <w:noWrap/>
          </w:tcPr>
          <w:p>
            <w:pPr>
              <w:pStyle w:val="714"/>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6"/>
            <w:tcW w:w="5421" w:type="dxa"/>
            <w:vAlign w:val="top"/>
            <w:textDirection w:val="lrTb"/>
            <w:noWrap/>
          </w:tcPr>
          <w:p>
            <w:pPr>
              <w:pStyle w:val="71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1701"/>
        </w:trPr>
        <w:tc>
          <w:tcPr>
            <w:tcW w:w="597" w:type="dxa"/>
            <w:vAlign w:val="center"/>
            <w:textDirection w:val="lrTb"/>
            <w:noWrap/>
          </w:tcPr>
          <w:p>
            <w:pPr>
              <w:pStyle w:val="714"/>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W w:w="2445" w:type="dxa"/>
            <w:vAlign w:val="center"/>
            <w:textDirection w:val="lrTb"/>
            <w:noWrap/>
          </w:tcPr>
          <w:p>
            <w:pPr>
              <w:pStyle w:val="714"/>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W w:w="5421" w:type="dxa"/>
            <w:vAlign w:val="center"/>
            <w:textDirection w:val="lrTb"/>
            <w:noWrap/>
          </w:tcPr>
          <w:p>
            <w:pPr>
              <w:pStyle w:val="714"/>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14"/>
        <w:ind w:firstLine="0"/>
        <w:spacing w:line="400" w:lineRule="exact"/>
        <w:rPr>
          <w:rFonts w:ascii="Times New Roman"/>
          <w:b/>
          <w:color w:val="auto"/>
          <w:sz w:val="21"/>
          <w:szCs w:val="21"/>
          <w:highlight w:val="none"/>
        </w:rPr>
      </w:pPr>
      <w:r>
        <w:rPr>
          <w:rFonts w:ascii="Times New Roman"/>
          <w:b/>
          <w:color w:val="auto"/>
          <w:sz w:val="21"/>
          <w:szCs w:val="21"/>
          <w:highlight w:val="none"/>
        </w:rPr>
      </w:r>
      <w:r/>
    </w:p>
    <w:p>
      <w:pPr>
        <w:rPr>
          <w:b/>
          <w:color w:val="auto"/>
          <w:szCs w:val="21"/>
          <w:highlight w:val="none"/>
        </w:rPr>
      </w:pPr>
      <w:r>
        <w:rPr>
          <w:b/>
          <w:color w:val="auto"/>
          <w:szCs w:val="21"/>
          <w:highlight w:val="none"/>
        </w:rPr>
        <w:br w:type="page" w:clear="all"/>
      </w:r>
      <w:r>
        <w:rPr>
          <w:rFonts w:hint="eastAsia"/>
          <w:b/>
          <w:color w:val="auto"/>
          <w:szCs w:val="21"/>
          <w:highlight w:val="none"/>
        </w:rPr>
        <w:t xml:space="preserve">格式10、技术方案</w:t>
      </w:r>
      <w:r/>
    </w:p>
    <w:p>
      <w:pPr>
        <w:pStyle w:val="745"/>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技术方案</w:t>
      </w:r>
      <w:r/>
    </w:p>
    <w:tbl>
      <w:tblPr>
        <w:tblStyle w:val="679"/>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vAlign w:val="top"/>
            <w:textDirection w:val="lrTb"/>
            <w:noWrap/>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、投标人应针对本次招标项目特点编写公司所采取的技术方案，从</w:t>
            </w:r>
            <w:r>
              <w:rPr>
                <w:rFonts w:hint="eastAsia" w:hAnsi="宋体"/>
                <w:color w:val="auto"/>
                <w:szCs w:val="21"/>
                <w:highlight w:val="none"/>
              </w:rPr>
              <w:t xml:space="preserve">产品的设计先进性、结构（外形）合理性、操作便捷性和安全性、质量可靠性和稳定性、经济适用性</w:t>
            </w:r>
            <w:r>
              <w:rPr>
                <w:rFonts w:hint="eastAsia"/>
                <w:color w:val="auto"/>
                <w:szCs w:val="21"/>
                <w:highlight w:val="none"/>
              </w:rPr>
              <w:t xml:space="preserve">等方面，阐述</w:t>
            </w:r>
            <w:r>
              <w:rPr>
                <w:rFonts w:hAnsi="宋体"/>
                <w:color w:val="auto"/>
                <w:szCs w:val="21"/>
                <w:highlight w:val="none"/>
              </w:rPr>
              <w:t xml:space="preserve">产品的技术先进性</w:t>
            </w:r>
            <w:r>
              <w:rPr>
                <w:rFonts w:hint="eastAsia"/>
                <w:color w:val="auto"/>
                <w:szCs w:val="21"/>
                <w:highlight w:val="none"/>
              </w:rPr>
              <w:t xml:space="preserve">。</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vAlign w:val="top"/>
            <w:textDirection w:val="lrTb"/>
            <w:noWrap/>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rFonts w:hint="eastAsia"/>
                <w:color w:val="auto"/>
                <w:szCs w:val="21"/>
                <w:highlight w:val="none"/>
              </w:rPr>
              <w:t xml:space="preserve">投标人名称（公章）：</w:t>
            </w:r>
            <w:r/>
          </w:p>
        </w:tc>
      </w:tr>
    </w:tbl>
    <w:p>
      <w:pPr>
        <w:rPr>
          <w:b/>
          <w:color w:val="auto"/>
          <w:szCs w:val="21"/>
          <w:highlight w:val="none"/>
        </w:rPr>
      </w:pPr>
      <w:r>
        <w:rPr>
          <w:b/>
          <w:color w:val="auto"/>
          <w:szCs w:val="21"/>
          <w:highlight w:val="none"/>
        </w:rPr>
      </w:r>
      <w:r/>
    </w:p>
    <w:p>
      <w:pPr>
        <w:rPr>
          <w:b/>
          <w:color w:val="auto"/>
          <w:szCs w:val="21"/>
          <w:highlight w:val="none"/>
        </w:rPr>
      </w:pPr>
      <w:r>
        <w:rPr>
          <w:b/>
          <w:color w:val="auto"/>
          <w:szCs w:val="21"/>
          <w:highlight w:val="none"/>
        </w:rPr>
      </w:r>
      <w:r/>
    </w:p>
    <w:p>
      <w:pPr>
        <w:jc w:val="left"/>
        <w:widowControl/>
        <w:rPr>
          <w:b/>
          <w:color w:val="auto"/>
          <w:szCs w:val="21"/>
          <w:highlight w:val="none"/>
        </w:rPr>
      </w:pPr>
      <w:r>
        <w:rPr>
          <w:b/>
          <w:color w:val="auto"/>
          <w:szCs w:val="21"/>
          <w:highlight w:val="none"/>
        </w:rPr>
        <w:br w:type="page" w:clear="all"/>
      </w:r>
      <w:r/>
    </w:p>
    <w:p>
      <w:pPr>
        <w:rPr>
          <w:b/>
          <w:color w:val="auto"/>
          <w:szCs w:val="21"/>
          <w:highlight w:val="none"/>
        </w:rPr>
      </w:pPr>
      <w:r>
        <w:rPr>
          <w:b/>
          <w:color w:val="auto"/>
          <w:szCs w:val="21"/>
          <w:highlight w:val="none"/>
        </w:rPr>
      </w:r>
      <w:r/>
    </w:p>
    <w:p>
      <w:pPr>
        <w:rPr>
          <w:rFonts w:ascii="宋体" w:hAnsi="宋体"/>
          <w:b/>
          <w:bCs/>
          <w:color w:val="auto"/>
          <w:sz w:val="24"/>
          <w:highlight w:val="none"/>
        </w:rPr>
      </w:pPr>
      <w:r>
        <w:rPr>
          <w:rFonts w:hint="eastAsia"/>
          <w:b/>
          <w:color w:val="auto"/>
          <w:szCs w:val="21"/>
          <w:highlight w:val="none"/>
        </w:rPr>
        <w:t xml:space="preserve">格式11、培训方案</w:t>
      </w:r>
      <w:r/>
    </w:p>
    <w:p>
      <w:pPr>
        <w:pStyle w:val="745"/>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培训方案</w:t>
      </w:r>
      <w:r/>
    </w:p>
    <w:tbl>
      <w:tblPr>
        <w:tblStyle w:val="67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vAlign w:val="top"/>
            <w:textDirection w:val="lrTb"/>
            <w:noWrap/>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、投标人应针对本次招标项目特点编写公司中标后拟采取的培训方案。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vAlign w:val="top"/>
            <w:textDirection w:val="lrTb"/>
            <w:noWrap/>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rFonts w:hint="eastAsia"/>
                <w:color w:val="auto"/>
                <w:szCs w:val="21"/>
                <w:highlight w:val="none"/>
              </w:rPr>
              <w:t xml:space="preserve">投标人名称（公章）：</w:t>
            </w:r>
            <w:r/>
          </w:p>
        </w:tc>
      </w:tr>
    </w:tbl>
    <w:p>
      <w:pPr>
        <w:spacing w:line="360" w:lineRule="auto"/>
        <w:tabs>
          <w:tab w:val="left" w:pos="1320" w:leader="none"/>
        </w:tabs>
        <w:rPr>
          <w:rFonts w:ascii="宋体" w:hAnsi="宋体"/>
          <w:b/>
          <w:bCs/>
          <w:color w:val="auto"/>
          <w:sz w:val="24"/>
          <w:highlight w:val="none"/>
        </w:rPr>
      </w:pPr>
      <w:r>
        <w:rPr>
          <w:rFonts w:ascii="宋体" w:hAnsi="宋体"/>
          <w:b/>
          <w:bCs/>
          <w:color w:val="auto"/>
          <w:sz w:val="24"/>
          <w:highlight w:val="none"/>
        </w:rPr>
      </w:r>
      <w:r/>
    </w:p>
    <w:p>
      <w:pPr>
        <w:spacing w:line="360" w:lineRule="auto"/>
        <w:tabs>
          <w:tab w:val="left" w:pos="1320" w:leader="none"/>
        </w:tabs>
        <w:rPr>
          <w:b/>
          <w:bCs/>
          <w:color w:val="auto"/>
          <w:szCs w:val="21"/>
          <w:highlight w:val="none"/>
        </w:rPr>
      </w:pPr>
      <w:r>
        <w:rPr>
          <w:rFonts w:hint="eastAsia" w:ascii="宋体" w:hAnsi="宋体"/>
          <w:b/>
          <w:bCs/>
          <w:color w:val="auto"/>
          <w:highlight w:val="none"/>
        </w:rPr>
        <w:br w:type="page" w:clear="all"/>
      </w:r>
      <w:r>
        <w:rPr>
          <w:rFonts w:hint="eastAsia" w:hAnsi="宋体"/>
          <w:b/>
          <w:bCs/>
          <w:color w:val="auto"/>
          <w:szCs w:val="21"/>
          <w:highlight w:val="none"/>
        </w:rPr>
        <w:t xml:space="preserve">格式</w:t>
      </w:r>
      <w:r>
        <w:rPr>
          <w:rFonts w:hint="eastAsia"/>
          <w:b/>
          <w:bCs/>
          <w:color w:val="auto"/>
          <w:szCs w:val="21"/>
          <w:highlight w:val="none"/>
        </w:rPr>
        <w:t xml:space="preserve">12</w:t>
      </w:r>
      <w:r>
        <w:rPr>
          <w:rFonts w:hint="eastAsia" w:hAnsi="宋体"/>
          <w:b/>
          <w:bCs/>
          <w:color w:val="auto"/>
          <w:szCs w:val="21"/>
          <w:highlight w:val="none"/>
        </w:rPr>
        <w:t xml:space="preserve">、售后服务方案</w:t>
      </w:r>
      <w:r/>
    </w:p>
    <w:p>
      <w:pPr>
        <w:pStyle w:val="745"/>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售后服务方案</w:t>
      </w:r>
      <w:r/>
    </w:p>
    <w:tbl>
      <w:tblPr>
        <w:tblStyle w:val="67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vAlign w:val="top"/>
            <w:textDirection w:val="lrTb"/>
            <w:noWrap/>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tabs>
                <w:tab w:val="left" w:pos="1320" w:leader="none"/>
              </w:tabs>
              <w:rPr>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、投标人应针对本次招标项目特点编写公司中标后拟采取的售后服务方案。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vAlign w:val="top"/>
            <w:textDirection w:val="lrTb"/>
            <w:noWrap/>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rFonts w:hint="eastAsia"/>
                <w:color w:val="auto"/>
                <w:szCs w:val="21"/>
                <w:highlight w:val="none"/>
              </w:rPr>
              <w:t xml:space="preserve">投标人名称（公章）：</w:t>
            </w:r>
            <w:r/>
          </w:p>
        </w:tc>
      </w:tr>
    </w:tbl>
    <w:p>
      <w:pPr>
        <w:jc w:val="center"/>
        <w:spacing w:before="50" w:line="400" w:lineRule="exact"/>
        <w:rPr>
          <w:rFonts w:ascii="黑体" w:hAnsi="宋体" w:eastAsia="黑体"/>
          <w:b/>
          <w:color w:val="auto"/>
          <w:sz w:val="36"/>
          <w:szCs w:val="36"/>
          <w:highlight w:val="none"/>
        </w:rPr>
      </w:pPr>
      <w:r>
        <w:rPr>
          <w:rFonts w:ascii="黑体" w:hAnsi="宋体" w:eastAsia="黑体"/>
          <w:b/>
          <w:color w:val="auto"/>
          <w:sz w:val="36"/>
          <w:szCs w:val="36"/>
          <w:highlight w:val="none"/>
        </w:rPr>
      </w:r>
      <w:r/>
    </w:p>
    <w:p>
      <w:pPr>
        <w:rPr>
          <w:color w:val="auto"/>
          <w:szCs w:val="21"/>
          <w:highlight w:val="none"/>
        </w:rPr>
      </w:pPr>
      <w:r>
        <w:rPr>
          <w:color w:val="auto"/>
          <w:szCs w:val="21"/>
          <w:highlight w:val="none"/>
        </w:rPr>
      </w:r>
      <w:r/>
    </w:p>
    <w:p>
      <w:pPr>
        <w:spacing w:line="400" w:lineRule="exact"/>
        <w:rPr>
          <w:rFonts w:ascii="宋体" w:hAnsi="宋体"/>
          <w:b/>
          <w:color w:val="auto"/>
          <w:szCs w:val="21"/>
          <w:highlight w:val="none"/>
        </w:rPr>
      </w:pPr>
      <w:r>
        <w:rPr>
          <w:b/>
          <w:bCs/>
          <w:color w:val="auto"/>
          <w:szCs w:val="21"/>
          <w:highlight w:val="none"/>
          <w:lang w:val="zh-CN"/>
        </w:rPr>
        <w:br w:type="page" w:clear="all"/>
      </w:r>
      <w:r>
        <w:rPr>
          <w:rFonts w:hint="eastAsia" w:ascii="宋体" w:hAnsi="宋体"/>
          <w:b/>
          <w:color w:val="auto"/>
          <w:szCs w:val="21"/>
          <w:highlight w:val="none"/>
        </w:rPr>
        <w:t xml:space="preserve">格式13、中小企业声明函</w:t>
      </w:r>
      <w:r/>
    </w:p>
    <w:p>
      <w:pPr>
        <w:jc w:val="center"/>
        <w:spacing w:line="588" w:lineRule="exact"/>
        <w:rPr>
          <w:b/>
          <w:color w:val="auto"/>
          <w:spacing w:val="6"/>
          <w:sz w:val="24"/>
          <w:highlight w:val="none"/>
          <w:shd w:val="clear" w:color="auto" w:fill="ffffff"/>
        </w:rPr>
      </w:pPr>
      <w:r>
        <w:rPr>
          <w:b/>
          <w:color w:val="auto"/>
          <w:spacing w:val="6"/>
          <w:sz w:val="24"/>
          <w:highlight w:val="none"/>
          <w:shd w:val="clear" w:color="auto" w:fill="ffffff"/>
        </w:rPr>
      </w:r>
      <w:r/>
    </w:p>
    <w:p>
      <w:pPr>
        <w:ind w:firstLine="1285"/>
        <w:jc w:val="center"/>
        <w:spacing w:line="400" w:lineRule="exact"/>
        <w:rPr>
          <w:rFonts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843"/>
        <w:spacing w:line="400" w:lineRule="exact"/>
        <w:rPr>
          <w:rFonts w:ascii="宋体" w:hAnsi="宋体"/>
          <w:b/>
          <w:color w:val="auto"/>
          <w:szCs w:val="21"/>
          <w:highlight w:val="none"/>
        </w:rPr>
      </w:pPr>
      <w:r>
        <w:rPr>
          <w:rFonts w:ascii="宋体" w:hAnsi="宋体"/>
          <w:b/>
          <w:color w:val="auto"/>
          <w:szCs w:val="21"/>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苏州市卫康招投标咨询服务有限公司：</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本公司郑重声明，根据《政府采购促进中小企业发展管理办法》（财库﹝2020﹞46 号）的规定，本公司参加的采购活动，提供的货物</w:t>
      </w:r>
      <w:r>
        <w:rPr>
          <w:rFonts w:hint="eastAsia" w:ascii="宋体" w:hAnsi="宋体"/>
          <w:b/>
          <w:bCs/>
          <w:color w:val="auto"/>
          <w:szCs w:val="21"/>
          <w:highlight w:val="none"/>
        </w:rPr>
        <w:t xml:space="preserve">全部</w:t>
      </w:r>
      <w:r>
        <w:rPr>
          <w:rFonts w:hint="eastAsia" w:ascii="宋体" w:hAnsi="宋体"/>
          <w:color w:val="auto"/>
          <w:szCs w:val="21"/>
          <w:highlight w:val="none"/>
        </w:rPr>
        <w:t xml:space="preserve">由符合政策要求的下列中小企业制造。相关企业（含联合体中的中小企业、签订分包意向协议的中小企业）的具体情况如下：</w:t>
      </w:r>
      <w:r/>
    </w:p>
    <w:p>
      <w:pPr>
        <w:numPr>
          <w:ilvl w:val="0"/>
          <w:numId w:val="3"/>
        </w:numPr>
        <w:ind w:left="0" w:firstLine="422"/>
        <w:jc w:val="left"/>
        <w:spacing w:line="400" w:lineRule="exact"/>
        <w:rPr>
          <w:rFonts w:ascii="宋体" w:hAnsi="宋体"/>
          <w:color w:val="auto"/>
          <w:szCs w:val="21"/>
          <w:highlight w:val="none"/>
          <w:u w:val="single"/>
        </w:rPr>
      </w:pP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；制造商（企业名称），从业人员人，营业收入为万元，资产总额为万元，制造商属于（中型企业、小型企业、微型企业，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numPr>
          <w:ilvl w:val="0"/>
          <w:numId w:val="3"/>
        </w:numPr>
        <w:ind w:left="0" w:firstLine="422"/>
        <w:jc w:val="left"/>
        <w:spacing w:line="400" w:lineRule="exact"/>
        <w:rPr>
          <w:rFonts w:ascii="宋体" w:hAnsi="宋体"/>
          <w:color w:val="auto"/>
          <w:szCs w:val="21"/>
          <w:highlight w:val="none"/>
          <w:u w:val="single"/>
        </w:rPr>
      </w:pP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；制造商（企业名称），从业人员人，营业收入为万元，资产总额为万元，制造商属于（中型企业、小型企业、微型企业，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本企业对上述声明内容的真实性负责。如有虚假，将依法承担相应责任。</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企业名称（盖章）：</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日 期：</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b/>
          <w:bCs/>
          <w:color w:val="auto"/>
          <w:szCs w:val="21"/>
          <w:highlight w:val="none"/>
        </w:rPr>
      </w:pPr>
      <w:r>
        <w:rPr>
          <w:rFonts w:hint="eastAsia" w:ascii="宋体" w:hAnsi="宋体"/>
          <w:color w:val="auto"/>
          <w:szCs w:val="21"/>
          <w:highlight w:val="none"/>
        </w:rPr>
        <w:t xml:space="preserve">注：</w:t>
      </w:r>
      <w:r>
        <w:rPr>
          <w:rFonts w:hint="eastAsia" w:ascii="宋体" w:hAnsi="宋体"/>
          <w:b/>
          <w:bCs/>
          <w:color w:val="auto"/>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color w:val="auto"/>
          <w:szCs w:val="21"/>
          <w:highlight w:val="none"/>
        </w:rPr>
        <w:t xml:space="preserve">。</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依据工信部联企业〔2011〕300号文，工业的行业划分标准如下：</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ascii="宋体" w:hAnsi="宋体"/>
          <w:b/>
          <w:color w:val="auto"/>
          <w:szCs w:val="21"/>
          <w:highlight w:val="none"/>
        </w:rPr>
      </w:pPr>
      <w:r>
        <w:rPr>
          <w:rFonts w:ascii="宋体" w:hAnsi="宋体"/>
          <w:color w:val="auto"/>
          <w:szCs w:val="21"/>
          <w:highlight w:val="none"/>
        </w:rPr>
        <w:br w:type="page" w:clear="all"/>
      </w:r>
      <w:r>
        <w:rPr>
          <w:rFonts w:hint="eastAsia" w:ascii="宋体" w:hAnsi="宋体"/>
          <w:b/>
          <w:color w:val="auto"/>
          <w:szCs w:val="21"/>
          <w:highlight w:val="none"/>
        </w:rPr>
        <w:t xml:space="preserve">格式14、残疾人福利性单位声明函</w:t>
      </w:r>
      <w:r/>
    </w:p>
    <w:p>
      <w:pPr>
        <w:jc w:val="center"/>
        <w:spacing w:line="580" w:lineRule="exact"/>
        <w:rPr>
          <w:rFonts w:ascii="宋体" w:hAnsi="宋体"/>
          <w:b/>
          <w:bCs/>
          <w:color w:val="auto"/>
          <w:spacing w:val="6"/>
          <w:sz w:val="32"/>
          <w:szCs w:val="32"/>
          <w:highlight w:val="none"/>
        </w:rPr>
      </w:pPr>
      <w:r>
        <w:rPr>
          <w:rFonts w:ascii="宋体" w:hAnsi="宋体"/>
          <w:b/>
          <w:bCs/>
          <w:color w:val="auto"/>
          <w:spacing w:val="6"/>
          <w:sz w:val="32"/>
          <w:szCs w:val="32"/>
          <w:highlight w:val="none"/>
        </w:rPr>
      </w:r>
      <w:r/>
    </w:p>
    <w:p>
      <w:pPr>
        <w:jc w:val="center"/>
        <w:spacing w:line="580" w:lineRule="exact"/>
        <w:rPr>
          <w:rFonts w:ascii="宋体" w:hAnsi="宋体"/>
          <w:b/>
          <w:bCs/>
          <w:color w:val="auto"/>
          <w:spacing w:val="6"/>
          <w:sz w:val="32"/>
          <w:szCs w:val="32"/>
          <w:highlight w:val="none"/>
        </w:rPr>
      </w:pPr>
      <w:r>
        <w:rPr>
          <w:rFonts w:ascii="宋体" w:hAnsi="宋体"/>
          <w:b/>
          <w:bCs/>
          <w:color w:val="auto"/>
          <w:spacing w:val="6"/>
          <w:sz w:val="32"/>
          <w:szCs w:val="32"/>
          <w:highlight w:val="none"/>
        </w:rPr>
      </w:r>
      <w:r/>
    </w:p>
    <w:p>
      <w:pPr>
        <w:pStyle w:val="745"/>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45"/>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745"/>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ascii="宋体" w:hAnsi="宋体"/>
          <w:color w:val="auto"/>
          <w:szCs w:val="21"/>
          <w:highlight w:val="none"/>
        </w:rPr>
      </w:pPr>
      <w:r>
        <w:rPr>
          <w:rFonts w:ascii="宋体" w:hAnsi="宋体"/>
          <w:color w:val="auto"/>
          <w:szCs w:val="21"/>
          <w:highlight w:val="none"/>
        </w:rPr>
      </w:r>
      <w:r/>
    </w:p>
    <w:p>
      <w:pPr>
        <w:ind w:firstLine="420"/>
        <w:spacing w:line="580" w:lineRule="exact"/>
        <w:rPr>
          <w:rFonts w:ascii="宋体" w:hAnsi="宋体"/>
          <w:color w:val="auto"/>
          <w:szCs w:val="21"/>
          <w:highlight w:val="none"/>
        </w:rPr>
      </w:pPr>
      <w:r>
        <w:rPr>
          <w:rFonts w:ascii="宋体" w:hAnsi="宋体"/>
          <w:color w:val="auto"/>
          <w:szCs w:val="21"/>
          <w:highlight w:val="none"/>
        </w:rPr>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ascii="宋体" w:hAnsi="宋体"/>
          <w:color w:val="auto"/>
          <w:szCs w:val="21"/>
          <w:highlight w:val="none"/>
        </w:rPr>
      </w:pPr>
      <w:r>
        <w:rPr>
          <w:rFonts w:ascii="宋体" w:hAnsi="宋体"/>
          <w:color w:val="auto"/>
          <w:szCs w:val="21"/>
          <w:highlight w:val="none"/>
        </w:rPr>
      </w:r>
      <w:r/>
    </w:p>
    <w:p>
      <w:pPr>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注：残疾人福利性单位或监狱企业视同小型、微型企业。</w:t>
      </w:r>
      <w:bookmarkEnd w:id="0"/>
      <w:r/>
      <w:bookmarkEnd w:id="1"/>
      <w:r/>
      <w:bookmarkEnd w:id="5"/>
      <w:r/>
      <w:bookmarkEnd w:id="6"/>
      <w:r/>
      <w:r/>
    </w:p>
    <w:p>
      <w:pPr>
        <w:spacing w:line="360" w:lineRule="auto"/>
        <w:rPr>
          <w:rFonts w:ascii="宋体" w:hAnsi="宋体"/>
          <w:color w:val="auto"/>
          <w:szCs w:val="21"/>
          <w:highlight w:val="none"/>
        </w:rPr>
      </w:pPr>
      <w:r>
        <w:rPr>
          <w:rFonts w:ascii="宋体" w:hAnsi="宋体"/>
          <w:color w:val="auto"/>
          <w:szCs w:val="21"/>
          <w:highlight w:val="none"/>
        </w:rPr>
      </w:r>
      <w:r/>
    </w:p>
    <w:p>
      <w:pPr>
        <w:pStyle w:val="737"/>
        <w:rPr>
          <w:rFonts w:eastAsia="黑体"/>
          <w:b/>
          <w:color w:val="auto"/>
          <w:sz w:val="36"/>
          <w:szCs w:val="36"/>
          <w:highlight w:val="none"/>
        </w:rPr>
      </w:pPr>
      <w:r>
        <w:rPr>
          <w:rFonts w:eastAsia="黑体"/>
          <w:b/>
          <w:color w:val="auto"/>
          <w:sz w:val="36"/>
          <w:szCs w:val="36"/>
          <w:highlight w:val="none"/>
        </w:rPr>
      </w:r>
      <w:r/>
    </w:p>
    <w:p>
      <w:pPr>
        <w:jc w:val="both"/>
        <w:spacing w:line="360" w:lineRule="auto"/>
        <w:widowControl w:val="off"/>
        <w:rPr>
          <w:rFonts w:hint="eastAsia" w:ascii="宋体" w:hAnsi="宋体" w:eastAsia="宋体" w:cs="Times New Roman"/>
          <w:color w:val="auto"/>
          <w:sz w:val="21"/>
          <w:szCs w:val="21"/>
          <w:highlight w:val="none"/>
        </w:rPr>
      </w:pPr>
      <w:r>
        <w:rPr>
          <w:rFonts w:ascii="宋体" w:hAnsi="宋体"/>
          <w:b/>
          <w:bCs/>
          <w:color w:val="auto"/>
          <w:spacing w:val="20"/>
          <w:sz w:val="30"/>
          <w:highlight w:val="none"/>
        </w:rPr>
        <w:br w:type="page" w:clear="all"/>
      </w:r>
      <w:bookmarkStart w:id="8" w:name="_Hlk99527844"/>
      <w:r/>
      <w:bookmarkStart w:id="9" w:name="_Hlk110604870"/>
      <w:r>
        <w:rPr>
          <w:rFonts w:hint="eastAsia" w:ascii="宋体" w:hAnsi="宋体" w:eastAsia="宋体" w:cs="Times New Roman"/>
          <w:color w:val="auto"/>
          <w:sz w:val="21"/>
          <w:szCs w:val="21"/>
          <w:highlight w:val="none"/>
          <w:lang w:val="en-US" w:eastAsia="zh-CN"/>
        </w:rPr>
        <w:t xml:space="preserve">格式15、</w:t>
      </w:r>
      <w:r>
        <w:rPr>
          <w:rFonts w:hint="eastAsia" w:ascii="宋体" w:hAnsi="宋体" w:eastAsia="宋体" w:cs="Times New Roman"/>
          <w:color w:val="auto"/>
          <w:sz w:val="21"/>
          <w:szCs w:val="21"/>
          <w:highlight w:val="none"/>
        </w:rPr>
        <w:t xml:space="preserve">关于符合本国产品标准的声明函</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20"/>
        <w:jc w:val="center"/>
        <w:spacing w:line="400" w:lineRule="exact"/>
        <w:rPr>
          <w:rFonts w:hint="eastAsia"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lang w:val="en-US" w:eastAsia="zh-CN" w:bidi="ar-SA"/>
        </w:rPr>
        <w:t xml:space="preserve">关于符合本国产品标准的声明函</w:t>
      </w:r>
      <w:r/>
    </w:p>
    <w:p>
      <w:pPr>
        <w:pStyle w:val="779"/>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779"/>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-8255</wp:posOffset>
                </wp:positionH>
                <wp:positionV relativeFrom="paragraph">
                  <wp:posOffset>511175</wp:posOffset>
                </wp:positionV>
                <wp:extent cx="565785" cy="13081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77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-24765</wp:posOffset>
                </wp:positionH>
                <wp:positionV relativeFrom="paragraph">
                  <wp:posOffset>288290</wp:posOffset>
                </wp:positionV>
                <wp:extent cx="234315" cy="86995"/>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028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028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028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028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8" name="任意多边形 18"/>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0288;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77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w:t>
      </w:r>
      <w:r/>
    </w:p>
    <w:p>
      <w:pPr>
        <w:pStyle w:val="77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77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779"/>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公司（单位）名称（盖章）：　        </w:t>
      </w:r>
      <w:r/>
    </w:p>
    <w:p>
      <w:pPr>
        <w:pStyle w:val="779"/>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                                日期：　   年　  月　  日         </w:t>
      </w:r>
      <w:r/>
    </w:p>
    <w:p>
      <w:pPr>
        <w:pStyle w:val="77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77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77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注：</w:t>
      </w:r>
      <w:r/>
    </w:p>
    <w:p>
      <w:pPr>
        <w:pStyle w:val="77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77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77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77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77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77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jc w:val="center"/>
        <w:rPr>
          <w:rFonts w:ascii="宋体" w:hAnsi="宋体"/>
          <w:color w:val="auto"/>
          <w:spacing w:val="20"/>
          <w:sz w:val="24"/>
          <w:highlight w:val="none"/>
        </w:rPr>
      </w:pPr>
      <w:r>
        <w:rPr>
          <w:rFonts w:hint="eastAsia" w:ascii="宋体" w:hAnsi="宋体"/>
          <w:b/>
          <w:bCs/>
          <w:color w:val="auto"/>
          <w:spacing w:val="20"/>
          <w:sz w:val="30"/>
          <w:highlight w:val="none"/>
        </w:rPr>
        <w:br w:type="page" w:clear="all"/>
      </w:r>
      <w:r>
        <w:rPr>
          <w:rFonts w:hint="eastAsia" w:ascii="宋体" w:hAnsi="宋体"/>
          <w:b/>
          <w:bCs/>
          <w:color w:val="auto"/>
          <w:spacing w:val="20"/>
          <w:sz w:val="30"/>
          <w:highlight w:val="none"/>
        </w:rPr>
        <w:t xml:space="preserve">第四章 采购书</w:t>
      </w:r>
      <w:r/>
    </w:p>
    <w:p>
      <w:pPr>
        <w:ind w:firstLine="420"/>
        <w:spacing w:line="400" w:lineRule="exact"/>
        <w:rPr>
          <w:color w:val="auto"/>
          <w:szCs w:val="21"/>
          <w:highlight w:val="none"/>
        </w:rPr>
      </w:pPr>
      <w:r>
        <w:rPr>
          <w:color w:val="auto"/>
          <w:szCs w:val="21"/>
          <w:highlight w:val="none"/>
          <w:lang w:val="zh-CN"/>
        </w:rPr>
        <w:t xml:space="preserve">苏州市卫康招投标咨询服务有限公司受</w:t>
      </w:r>
      <w:r>
        <w:rPr>
          <w:rFonts w:hint="eastAsia"/>
          <w:color w:val="auto"/>
          <w:szCs w:val="21"/>
          <w:highlight w:val="none"/>
          <w:lang w:val="zh-CN"/>
        </w:rPr>
        <w:t xml:space="preserve">苏州市立医院</w:t>
      </w:r>
      <w:r>
        <w:rPr>
          <w:color w:val="auto"/>
          <w:szCs w:val="21"/>
          <w:highlight w:val="none"/>
          <w:lang w:val="zh-CN"/>
        </w:rPr>
        <w:t xml:space="preserve">委托，对其</w:t>
      </w:r>
      <w:r>
        <w:rPr>
          <w:rFonts w:hint="eastAsia"/>
          <w:color w:val="auto"/>
          <w:szCs w:val="21"/>
          <w:highlight w:val="none"/>
          <w:lang w:val="zh-CN"/>
        </w:rPr>
        <w:t xml:space="preserve">椎间孔镜等设备</w:t>
      </w:r>
      <w:r>
        <w:rPr>
          <w:color w:val="auto"/>
          <w:szCs w:val="21"/>
          <w:highlight w:val="none"/>
          <w:lang w:val="zh-CN"/>
        </w:rPr>
        <w:t xml:space="preserve">进行国内公开招标采购，欢迎符合招标公告投标资格条件的各公司前来报</w:t>
      </w:r>
      <w:r>
        <w:rPr>
          <w:color w:val="auto"/>
          <w:szCs w:val="21"/>
          <w:highlight w:val="none"/>
        </w:rPr>
        <w:t xml:space="preserve">名参加投标。</w:t>
      </w:r>
      <w:r/>
    </w:p>
    <w:p>
      <w:pPr>
        <w:ind w:firstLine="422"/>
        <w:spacing w:line="400" w:lineRule="exact"/>
        <w:rPr>
          <w:rFonts w:hint="eastAsia" w:eastAsia="宋体"/>
          <w:color w:val="auto"/>
          <w:szCs w:val="21"/>
          <w:highlight w:val="none"/>
        </w:rPr>
      </w:pPr>
      <w:r>
        <w:rPr>
          <w:b/>
          <w:bCs/>
          <w:color w:val="auto"/>
          <w:szCs w:val="21"/>
          <w:highlight w:val="none"/>
        </w:rPr>
        <w:t xml:space="preserve">一、采购编号</w:t>
      </w:r>
      <w:r>
        <w:rPr>
          <w:rFonts w:hint="eastAsia"/>
          <w:color w:val="auto"/>
          <w:szCs w:val="21"/>
          <w:highlight w:val="none"/>
        </w:rPr>
        <w:t xml:space="preserve">：</w:t>
      </w:r>
      <w:r>
        <w:rPr>
          <w:rFonts w:hint="eastAsia"/>
          <w:color w:val="auto"/>
          <w:szCs w:val="21"/>
          <w:highlight w:val="none"/>
          <w:lang w:eastAsia="zh-CN"/>
        </w:rPr>
        <w:t xml:space="preserve">JSZC-320500-SZWK-G2026-0153</w:t>
      </w:r>
      <w:r/>
    </w:p>
    <w:p>
      <w:pPr>
        <w:ind w:firstLine="422"/>
        <w:spacing w:line="400" w:lineRule="exact"/>
        <w:rPr>
          <w:rFonts w:hint="eastAsia" w:eastAsia="宋体"/>
          <w:color w:val="auto"/>
          <w:szCs w:val="21"/>
          <w:highlight w:val="none"/>
        </w:rPr>
      </w:pPr>
      <w:r>
        <w:rPr>
          <w:b/>
          <w:bCs/>
          <w:color w:val="auto"/>
          <w:szCs w:val="21"/>
          <w:highlight w:val="none"/>
        </w:rPr>
        <w:t xml:space="preserve">二、采购项目名称</w:t>
      </w:r>
      <w:r>
        <w:rPr>
          <w:color w:val="auto"/>
          <w:szCs w:val="21"/>
          <w:highlight w:val="none"/>
        </w:rPr>
        <w:t xml:space="preserve">：</w:t>
      </w:r>
      <w:r>
        <w:rPr>
          <w:rFonts w:hint="eastAsia"/>
          <w:color w:val="auto"/>
          <w:szCs w:val="21"/>
          <w:highlight w:val="none"/>
          <w:lang w:eastAsia="zh-CN"/>
        </w:rPr>
        <w:t xml:space="preserve">椎间孔镜等设备</w:t>
      </w:r>
      <w:r/>
    </w:p>
    <w:p>
      <w:pPr>
        <w:ind w:firstLine="422"/>
        <w:spacing w:line="400" w:lineRule="exact"/>
        <w:rPr>
          <w:b/>
          <w:bCs/>
          <w:color w:val="auto"/>
          <w:szCs w:val="21"/>
          <w:highlight w:val="none"/>
        </w:rPr>
      </w:pPr>
      <w:r>
        <w:rPr>
          <w:rFonts w:hint="eastAsia"/>
          <w:b/>
          <w:bCs/>
          <w:color w:val="auto"/>
          <w:szCs w:val="21"/>
          <w:highlight w:val="none"/>
        </w:rPr>
        <w:t xml:space="preserve">三、采购设备技术要求及数量：</w:t>
      </w:r>
      <w:bookmarkEnd w:id="8"/>
      <w:r/>
      <w:r/>
    </w:p>
    <w:p>
      <w:pPr>
        <w:ind w:firstLine="420"/>
        <w:spacing w:line="400" w:lineRule="exact"/>
        <w:rPr>
          <w:rFonts w:hint="eastAsia" w:eastAsia="宋体"/>
          <w:b/>
          <w:bCs/>
          <w:color w:val="auto"/>
          <w:szCs w:val="21"/>
          <w:highlight w:val="none"/>
          <w:lang w:val="en-US" w:eastAsia="zh-CN"/>
        </w:rPr>
      </w:pPr>
      <w:r>
        <w:rPr>
          <w:rFonts w:hint="eastAsia"/>
          <w:b/>
          <w:bCs/>
          <w:color w:val="auto"/>
          <w:szCs w:val="21"/>
          <w:highlight w:val="none"/>
          <w:lang w:val="zh-CN"/>
        </w:rPr>
        <w:t xml:space="preserve">（</w:t>
      </w:r>
      <w:r>
        <w:rPr>
          <w:rFonts w:hint="eastAsia"/>
          <w:b/>
          <w:bCs/>
          <w:color w:val="auto"/>
          <w:szCs w:val="21"/>
          <w:highlight w:val="none"/>
          <w:lang w:val="en-US" w:eastAsia="zh-CN"/>
        </w:rPr>
        <w:t xml:space="preserve">一</w:t>
      </w:r>
      <w:r>
        <w:rPr>
          <w:rFonts w:hint="eastAsia"/>
          <w:b/>
          <w:bCs/>
          <w:color w:val="auto"/>
          <w:szCs w:val="21"/>
          <w:highlight w:val="none"/>
          <w:lang w:val="zh-CN"/>
        </w:rPr>
        <w:t xml:space="preserve">）内窥镜摄像系统：</w:t>
      </w:r>
      <w:r>
        <w:rPr>
          <w:rFonts w:hint="eastAsia"/>
          <w:b/>
          <w:bCs/>
          <w:color w:val="auto"/>
          <w:szCs w:val="21"/>
          <w:highlight w:val="none"/>
          <w:lang w:val="en-US" w:eastAsia="zh-CN"/>
        </w:rPr>
        <w:t xml:space="preserve">一套</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内窥镜摄像系统</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1、采用CMOS成像技术，真正的数字化主机，分辨率达到3840*2160，分辨率大于2000线；</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2、采用逐行扫描模式（扫描速度60帧/秒），完善的图像调节功能，超高清晰图像输出；</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3、支持画面冻结功能，图像翻转支持图像原始输出、水平翻转、垂直翻转、水平垂直翻转；</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4、色彩还原性好、无明显失真，图像平稳，无闪烁，防止视觉疲劳；</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5、摄像头手术模式调节8种及以上专业手术模式，3种及以上用户自定义模式，菜单切换内窥镜模式，适用于不同科室，所有功能均可用摄像头按键实现；</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6、快速消光”具有快速消光处理技术，0.3秒内迅速消除光晕、眩光</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7、具有AWB（白平衡）调节功能；</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8、摄像系统具有摄像头控制功能，具备至少3个可单独编程设置的功能按键，可通过摄像头实现：白平衡、截图/录像、亮度增加/减少等功能；</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9、摄像头IPX7防水等级，摄像头和卡口支持浸泡、冲洗消毒和清洁，可过氧化氢低温等离子灭菌；</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10、可通过摄像头控制冷光源亮度；</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11、真正2倍光学齐变焦技术，变焦范围覆盖15mm～31mm，定焦焦距在26mm～28mm范围内；</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12、可通过USB接口进行图像截图、视频录制4K超高清录像，图像截图为JPG格式，录像存储为MP4格式，实时画面显示正在录像提示信息；</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13、多种视频输出端口（DP(4K)、HDMI(x2，4K+1080P)、DVI(1080P)输出）；</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14、电源220V/AC，频率50HZ；</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15、医用设备电气安全 CF-Ⅰ 类，可应用于心脏设备；</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16、菜单显示语言可设置中文或英文；</w:t>
      </w:r>
      <w:r/>
    </w:p>
    <w:p>
      <w:pPr>
        <w:ind w:firstLine="420"/>
        <w:spacing w:line="400" w:lineRule="exact"/>
        <w:rPr>
          <w:rFonts w:hint="eastAsia"/>
          <w:color w:val="auto"/>
          <w:szCs w:val="21"/>
          <w:highlight w:val="none"/>
          <w:lang w:val="zh-CN"/>
        </w:rPr>
      </w:pPr>
      <w:r>
        <w:rPr>
          <w:rFonts w:hint="eastAsia"/>
          <w:color w:val="auto"/>
          <w:szCs w:val="21"/>
          <w:highlight w:val="none"/>
          <w:lang w:val="zh-CN"/>
        </w:rPr>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医用冷光源系统</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1、采用大功率LED芯片，低能耗、不发烫、使用寿命≥60000小时；</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2、色温在5500K±500K范围内；</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3、冷光源显色指数≥90；</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4、冷光源的输出总光通量≥1000lm以上；</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5、具备过热自动保护控制功能；</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6、具备手动调光功能，主机支持亮度增强/减弱调节；</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7、具备导光束插入自检功能；</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8、照度≥700000LUX，腔内颜色更逼真；</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9、高光通率导光束，导光束可高温高压灭菌；</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10、多种长度、直径的导光束可选；</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11、导光束最小可弯曲半径为50mm；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12、医用设备电气安全 CF-Ⅰ 类，可应用于心脏设备；</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13、存在冷光源无亮度输出且主机指示灯同时闪烁时，可根据指示灯闪烁的位置进行故障自诊断；</w:t>
      </w:r>
      <w:r/>
    </w:p>
    <w:p>
      <w:pPr>
        <w:ind w:firstLine="420"/>
        <w:spacing w:line="400" w:lineRule="exact"/>
        <w:rPr>
          <w:rFonts w:hint="eastAsia"/>
          <w:color w:val="auto"/>
          <w:szCs w:val="21"/>
          <w:highlight w:val="none"/>
          <w:lang w:val="zh-CN"/>
        </w:rPr>
      </w:pPr>
      <w:r>
        <w:rPr>
          <w:rFonts w:hint="eastAsia"/>
          <w:color w:val="auto"/>
          <w:szCs w:val="21"/>
          <w:highlight w:val="none"/>
          <w:lang w:val="zh-CN"/>
        </w:rPr>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4K液晶医用监视器</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1、≥32寸16：9显示，分辨率：3840*2160；</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2、响应时间≤8ms；</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3、对比度≥200000：1，细节体现更充分；</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4、输入信号：包含DP、HDMI、Type C等；</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5、支持校准色域空间，内置SRGB/BT709、BT.2020、Adobe RGB、Display-P3色域选择，可兼容不同内窥摄像系统；</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6、支持手术焦点画面放大1.2倍-2倍，病灶呈现更清晰，提高手术准确度和效率；</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7、内置光学传感器及温度传感器，实现多重自动校准，保证稳定的显示亮度；</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8、支持高动态对比度，通过动态调整背光的亮度和图像处理算法的优化，显示器可以在显示不同的手术场景时自动调整亮度和对比度，以达到最佳的显示效果；</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9、整机正面防水等级IP45，其他面IP32，满足手术室日常清洁消毒维护；</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10、采用多分区无频闪Mini LED背光设计，发光散热更均匀、寿命更长；</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11、高透防反射保护面板，减少手术室各种环境下光线对屏幕的干扰；</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12、显示器内置医疗级标准电源，支持交流电源供电，无需外接电源适配器；</w:t>
      </w:r>
      <w:r/>
    </w:p>
    <w:p>
      <w:pPr>
        <w:ind w:firstLine="420"/>
        <w:spacing w:line="400" w:lineRule="exact"/>
        <w:rPr>
          <w:rFonts w:hint="eastAsia"/>
          <w:color w:val="auto"/>
          <w:szCs w:val="21"/>
          <w:highlight w:val="none"/>
          <w:lang w:val="zh-CN"/>
        </w:rPr>
      </w:pPr>
      <w:r>
        <w:rPr>
          <w:rFonts w:hint="eastAsia"/>
          <w:color w:val="auto"/>
          <w:szCs w:val="21"/>
          <w:highlight w:val="none"/>
          <w:lang w:val="zh-CN"/>
        </w:rPr>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台车</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1、标配四块层板（含底板），静置在水平地面上时，第一层负载30kg及以上，第二层负载30kg及以上，第三层负载30kg及以上，支臂负载19kg及以上；</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2、推车行驶噪声≤60dB；</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3、脚轮锁紧力扭矩&gt;50N.m；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4、一键启动</w:t>
      </w:r>
      <w:r/>
    </w:p>
    <w:p>
      <w:pPr>
        <w:ind w:firstLine="420"/>
        <w:spacing w:line="400" w:lineRule="exact"/>
        <w:rPr>
          <w:rFonts w:hint="eastAsia"/>
          <w:color w:val="auto"/>
          <w:szCs w:val="21"/>
          <w:highlight w:val="none"/>
          <w:lang w:val="zh-CN"/>
        </w:rPr>
      </w:pPr>
      <w:r>
        <w:rPr>
          <w:rFonts w:hint="eastAsia"/>
          <w:color w:val="auto"/>
          <w:szCs w:val="21"/>
          <w:highlight w:val="none"/>
          <w:lang w:val="zh-CN"/>
        </w:rPr>
      </w:r>
      <w:r/>
    </w:p>
    <w:p>
      <w:pPr>
        <w:ind w:firstLine="420"/>
        <w:spacing w:line="400" w:lineRule="exact"/>
        <w:rPr>
          <w:rFonts w:hint="eastAsia" w:eastAsia="宋体"/>
          <w:color w:val="auto"/>
          <w:szCs w:val="21"/>
          <w:highlight w:val="none"/>
          <w:lang w:val="en-US" w:eastAsia="zh-CN"/>
        </w:rPr>
      </w:pPr>
      <w:r>
        <w:rPr>
          <w:rFonts w:hint="eastAsia"/>
          <w:color w:val="auto"/>
          <w:szCs w:val="21"/>
          <w:highlight w:val="none"/>
          <w:lang w:val="zh-CN"/>
        </w:rPr>
        <w:t xml:space="preserve">（</w:t>
      </w:r>
      <w:r>
        <w:rPr>
          <w:rFonts w:hint="eastAsia"/>
          <w:color w:val="auto"/>
          <w:szCs w:val="21"/>
          <w:highlight w:val="none"/>
          <w:lang w:val="en-US" w:eastAsia="zh-CN"/>
        </w:rPr>
        <w:t xml:space="preserve">二</w:t>
      </w:r>
      <w:r>
        <w:rPr>
          <w:rFonts w:hint="eastAsia"/>
          <w:color w:val="auto"/>
          <w:szCs w:val="21"/>
          <w:highlight w:val="none"/>
          <w:lang w:val="zh-CN"/>
        </w:rPr>
        <w:t xml:space="preserve">）等离子手术设备</w:t>
      </w:r>
      <w:r>
        <w:rPr>
          <w:rFonts w:hint="eastAsia"/>
          <w:color w:val="auto"/>
          <w:szCs w:val="21"/>
          <w:highlight w:val="none"/>
          <w:lang w:val="en-US" w:eastAsia="zh-CN"/>
        </w:rPr>
        <w:t xml:space="preserve">一套</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主机</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1、电源要求 220VAC ，50Hz</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 工作频率：100kHz</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 输出功率：汽化模式，分档可调，并有数字显示，最大输出功率≥ 350W（阻抗 250 欧姆） ；凝血模式，分档可调，并有数字显示，最大输出功率 ≥49W（阻抗 250 欧姆）</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4、脚踏开关、手术电极连接状态显示</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5、汽化、凝血区域显示</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6、 功率输出状态显示</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7、手术电极工作时长计时功能</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8、 能实现双极汽化、凝血，微创可靠</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9、 至少两种工作模式：模式 1 ：汽化；模式 2 ：凝血</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10、 等离子手术电极可适配：根据不同的部位，不同的病症配备不同长短、粗细、弧度、形状的治疗刀头</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11、能在连接好脚踏和手柄后主机根据不同手术电极自动设置默认功率大小</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12、能通过脚踏开关启动、切换汽化和凝血模式</w:t>
      </w:r>
      <w:r/>
    </w:p>
    <w:p>
      <w:pPr>
        <w:ind w:firstLine="420"/>
        <w:spacing w:line="400" w:lineRule="exact"/>
        <w:rPr>
          <w:rFonts w:hint="eastAsia"/>
          <w:color w:val="auto"/>
          <w:szCs w:val="21"/>
          <w:highlight w:val="none"/>
          <w:lang w:val="zh-CN"/>
        </w:rPr>
      </w:pPr>
      <w:r>
        <w:rPr>
          <w:rFonts w:hint="eastAsia"/>
          <w:color w:val="auto"/>
          <w:szCs w:val="21"/>
          <w:highlight w:val="none"/>
          <w:lang w:val="zh-CN"/>
        </w:rPr>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脚踏开关</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 、防水等级 IPX8</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 、线缆长度≥3m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 、有线/无线功能</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 、脚踏具有功率调节功能</w:t>
      </w:r>
      <w:r/>
    </w:p>
    <w:p>
      <w:pPr>
        <w:ind w:firstLine="420"/>
        <w:spacing w:line="400" w:lineRule="exact"/>
        <w:rPr>
          <w:rFonts w:hint="eastAsia"/>
          <w:color w:val="auto"/>
          <w:szCs w:val="21"/>
          <w:highlight w:val="none"/>
          <w:lang w:val="zh-CN"/>
        </w:rPr>
      </w:pPr>
      <w:r>
        <w:rPr>
          <w:rFonts w:hint="eastAsia"/>
          <w:color w:val="auto"/>
          <w:szCs w:val="21"/>
          <w:highlight w:val="none"/>
          <w:lang w:val="zh-CN"/>
        </w:rPr>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一次性使用等离子手术电极</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1、环氧乙烷灭菌，无菌状态提供</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2、电极识别，默认档位设置</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3、快速插拔接口设计</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4、手术电极须具备三类医疗器械注册证</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5、根据不同手术部位，不同的病症配备不同长短、粗细、弧度、形状的治疗刀头</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6、在同一支手术电极、同一个输出接口输出，能同时实现汽化、凝血功能，避免手术操作过程中频繁更换手术电极</w:t>
      </w:r>
      <w:r/>
    </w:p>
    <w:p>
      <w:pPr>
        <w:ind w:firstLine="420"/>
        <w:spacing w:line="400" w:lineRule="exact"/>
        <w:rPr>
          <w:rFonts w:hint="eastAsia"/>
          <w:color w:val="auto"/>
          <w:szCs w:val="21"/>
          <w:highlight w:val="none"/>
          <w:lang w:val="zh-CN"/>
        </w:rPr>
      </w:pPr>
      <w:r>
        <w:rPr>
          <w:rFonts w:hint="eastAsia"/>
          <w:color w:val="auto"/>
          <w:szCs w:val="21"/>
          <w:highlight w:val="none"/>
          <w:lang w:val="zh-CN"/>
        </w:rPr>
      </w:r>
      <w:r/>
    </w:p>
    <w:p>
      <w:pPr>
        <w:numPr>
          <w:ilvl w:val="0"/>
          <w:numId w:val="0"/>
        </w:numPr>
        <w:ind w:firstLine="420"/>
        <w:spacing w:line="400" w:lineRule="exact"/>
        <w:rPr>
          <w:rFonts w:hint="eastAsia"/>
          <w:color w:val="auto"/>
          <w:szCs w:val="21"/>
          <w:highlight w:val="none"/>
          <w:lang w:val="en-US" w:eastAsia="zh-CN"/>
        </w:rPr>
      </w:pPr>
      <w:r>
        <w:rPr>
          <w:rFonts w:hint="eastAsia" w:ascii="Times New Roman" w:hAnsi="Times New Roman" w:eastAsia="宋体" w:cs="Times New Roman"/>
          <w:color w:val="auto"/>
          <w:sz w:val="21"/>
          <w:szCs w:val="21"/>
          <w:highlight w:val="none"/>
          <w:lang w:val="en-US" w:eastAsia="zh-CN" w:bidi="ar-SA"/>
        </w:rPr>
        <w:t xml:space="preserve">（三）</w:t>
      </w:r>
      <w:r>
        <w:rPr>
          <w:rFonts w:hint="eastAsia"/>
          <w:color w:val="auto"/>
          <w:szCs w:val="21"/>
          <w:highlight w:val="none"/>
          <w:lang w:val="zh-CN"/>
        </w:rPr>
        <w:t xml:space="preserve">高频手术设备：</w:t>
      </w:r>
      <w:r>
        <w:rPr>
          <w:rFonts w:hint="eastAsia"/>
          <w:color w:val="auto"/>
          <w:szCs w:val="21"/>
          <w:highlight w:val="none"/>
          <w:lang w:val="en-US" w:eastAsia="zh-CN"/>
        </w:rPr>
        <w:t xml:space="preserve">一套</w:t>
      </w:r>
      <w:r/>
    </w:p>
    <w:p>
      <w:pPr>
        <w:numPr>
          <w:ilvl w:val="0"/>
          <w:numId w:val="0"/>
        </w:numPr>
        <w:spacing w:line="400" w:lineRule="exact"/>
        <w:rPr>
          <w:rFonts w:hint="default"/>
          <w:color w:val="auto"/>
          <w:szCs w:val="21"/>
          <w:highlight w:val="none"/>
          <w:lang w:val="en-US" w:eastAsia="zh-CN"/>
        </w:rPr>
      </w:pPr>
      <w:r>
        <w:rPr>
          <w:rFonts w:hint="eastAsia"/>
          <w:color w:val="auto"/>
          <w:szCs w:val="21"/>
          <w:highlight w:val="none"/>
          <w:lang w:val="en-US" w:eastAsia="zh-CN"/>
        </w:rPr>
        <w:t xml:space="preserve">    主机</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 电源要求220VAC ，50Hz ；</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★2、单极工作频率：≥4MHz，双极工作频率≥1.7MHz；</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★3、 单极纯切模式，≥100档，分档可调，并有数字显示，最大输出功率≥100W（阻抗500欧姆）；</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★4、单极凝血模式，≥100档，分档可调，并有数字显示，最大输出功率≥50W（阻抗500欧姆）；</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★5、单极混切模式，≥100档，分档可调，并有数字显示，最大输出功率≥70W（阻抗500欧姆）；</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★6、双极低功率凝血模式，≥100档，分档可调，并有数字显示，最大输出功率≥40W（阻抗200欧姆）；</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★7、双极高功率凝血模式，≥100档，分档可调，并有数字显示，最大输出功率≥100W（阻抗200欧姆）；</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8、7寸彩色液晶显示屏，精准触摸控制；</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9、切割、凝血区域显示，输出模式手动切换；</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10、功率输出状态显示、声音提示；</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11、 高频手术设备：根据不同的病症配备不同长短、粗细、是否弯曲的一次性双极射频手术刀头使用；</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12、记忆功能，开机自动切换至关机时所处档位；</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13、单极模式可通过脚踏开关、手柄激活输出，双极模式可通过脚踏开关激活输出；</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14、 操作精确：输出能量精确稳定，根据组织自适应调节；</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15、具有过载、超温保护</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16、具有中性极板与主机连接状态监测报警功能（单片式中性极板、双片式中性极板），具有中性极板与人体贴合状态监测报警功能（双片式中性极板）；</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17、具有中性极板与人体贴合状态监测报警功能（双片式中性极板）</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脚踏开关</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1、防水等级IPX8；</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2、线缆长度≥3m；</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★3、 具有有线和无线两个功能模式可选；</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4、可循环充电使用，充电电源5VDC；</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r>
      <w:r/>
    </w:p>
    <w:p>
      <w:pPr>
        <w:ind w:firstLine="420"/>
        <w:spacing w:line="400" w:lineRule="exact"/>
        <w:rPr>
          <w:rFonts w:hint="default"/>
          <w:color w:val="auto"/>
          <w:szCs w:val="21"/>
          <w:highlight w:val="none"/>
          <w:lang w:val="en-US" w:eastAsia="zh-CN"/>
        </w:rPr>
      </w:pPr>
      <w:r>
        <w:rPr>
          <w:rFonts w:hint="eastAsia"/>
          <w:color w:val="auto"/>
          <w:szCs w:val="21"/>
          <w:highlight w:val="none"/>
          <w:lang w:val="en-US" w:eastAsia="zh-CN"/>
        </w:rPr>
        <w:t xml:space="preserve">（四）手术动力设备：一套</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主机</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支持钻削（小骨钻）、铣削（骨板铣）、锯切（大、小骨锯）、磨削（高速磨、变向磨、细长磨）、刨削等多种功能，用于骨科或其它外科手术中对人体骨组织和（或）软组织的钻削、铣削、锯切、磨削、刨削处理。</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2、双输出接口；</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3、电机自动识别及导引功能选择和操作参数设置；</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4、具有刀具识别功能，自动匹配推荐使用参数；</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5、运行参数可调，脚踏开关具有无级变速控制功能；</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6、微电脑控制平台，恒速闭环驱动控制系统，负载转速误差在±8%范围；</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7、系统自诊断和保护技术；</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8、BF型电气安全设计和主机IPX1防护；</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9、彩色液晶屏，触摸式菜单操作界面；</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10、企业通过CMD医疗器械质量管理体系认证。</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11、主机外壳材质采用高分子材料（非金属），绝缘效果良好，轻便易移动；</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脚踏开关</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1、线缆长≥3m，无级调速；</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2、脚踏具有手机切换、手机转向切换、冲洗开/关、流量调节功能；</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★3、材质采用高分子材料（非金属），绝缘效果良好，IPX8防水等级，脚踏可在水中浸泡使用，可水冲水洗，无需做防水保护，防滑、防侧翻。</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脊柱磨手柄</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1、电缆线长度≥3m；</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2、最高转速：≥35000 r/min，持续输出扭矩：≥1.5 N·cm；</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3、手控按键具有按一下启动/停止、长按启动/松开停止两种工作模式，具有手控/脚踏两种可选控制方式；</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4、刀具插入手柄时主机会自动识别刀具类型，并伴有刀具识别提示音。</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5、支持高温高压灭菌。</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微电机</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1、自动风冷技术，最高转速≥40000r/min，持续输出扭矩：1.1N•cm，最大功率：≥100W；</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2、外形尺寸：最大外径φ20mm，电缆线长度≥3m；</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3、支持121~134 ℃多种模式高温高压蒸汽灭菌；</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刨削手柄</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1、具有刀具快速安装接口，可手控，亦可选择脚控；</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2、系统自动识别手柄和刀具规格型号，手柄具有转速调节、启/停的手动控制开关；</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3、关节钻最高转速≥12000r/min，关节刨削最高转速6000r/min；</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4、刨削手柄带有抽吸调节控制开关，抽吸负压调节，全密封设计；</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5、振动小，噪音低，发热量小，握持手柄符合人体力学设计，可高温高压水蒸气消毒（135℃、220kPa）；</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6、尺寸：最大外径φ26mm，电缆线长度：3米，重量：0.57kg；</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7、单向转转速范围：6000 r/min～12000 r/min，往复转转速范围：2000 r/min～6000 r/min，往复频率调节范围：0.5-3.5 Hz。持续输出扭矩：6.0 N·cm；</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刀具</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★1、孔镜和UBE均有可变角度刀头，孔镜变向刀头可径向0-36°无级变向和0-360°周向旋转，无档位限制；UBE变向刀头可径向0-36°无级变向，无档位限制；</w:t>
      </w:r>
      <w:r/>
    </w:p>
    <w:p>
      <w:pPr>
        <w:ind w:firstLine="420"/>
        <w:spacing w:line="400" w:lineRule="exact"/>
        <w:rPr>
          <w:rFonts w:hint="eastAsia"/>
          <w:color w:val="auto"/>
          <w:szCs w:val="21"/>
          <w:highlight w:val="none"/>
          <w:lang w:val="zh-CN"/>
        </w:rPr>
      </w:pPr>
      <w:r>
        <w:rPr>
          <w:rFonts w:hint="eastAsia"/>
          <w:color w:val="auto"/>
          <w:szCs w:val="21"/>
          <w:highlight w:val="none"/>
          <w:lang w:val="zh-CN"/>
        </w:rPr>
      </w:r>
      <w:r/>
    </w:p>
    <w:p>
      <w:pPr>
        <w:ind w:firstLine="420"/>
        <w:spacing w:line="400" w:lineRule="exact"/>
        <w:rPr>
          <w:rFonts w:hint="eastAsia" w:eastAsia="宋体"/>
          <w:b/>
          <w:bCs/>
          <w:color w:val="auto"/>
          <w:szCs w:val="21"/>
          <w:highlight w:val="none"/>
          <w:lang w:val="en-US" w:eastAsia="zh-CN"/>
        </w:rPr>
      </w:pPr>
      <w:r>
        <w:rPr>
          <w:rFonts w:hint="eastAsia"/>
          <w:b/>
          <w:bCs/>
          <w:color w:val="auto"/>
          <w:szCs w:val="21"/>
          <w:highlight w:val="none"/>
          <w:lang w:val="zh-CN"/>
        </w:rPr>
        <w:t xml:space="preserve">（</w:t>
      </w:r>
      <w:r>
        <w:rPr>
          <w:rFonts w:hint="eastAsia"/>
          <w:b/>
          <w:bCs/>
          <w:color w:val="auto"/>
          <w:szCs w:val="21"/>
          <w:highlight w:val="none"/>
          <w:lang w:val="en-US" w:eastAsia="zh-CN"/>
        </w:rPr>
        <w:t xml:space="preserve">五</w:t>
      </w:r>
      <w:r>
        <w:rPr>
          <w:rFonts w:hint="eastAsia"/>
          <w:b/>
          <w:bCs/>
          <w:color w:val="auto"/>
          <w:szCs w:val="21"/>
          <w:highlight w:val="none"/>
          <w:lang w:val="zh-CN"/>
        </w:rPr>
        <w:t xml:space="preserve">）脊柱单通道内镜手术器械</w:t>
      </w:r>
      <w:r>
        <w:rPr>
          <w:rFonts w:hint="eastAsia"/>
          <w:b/>
          <w:bCs/>
          <w:color w:val="auto"/>
          <w:szCs w:val="21"/>
          <w:highlight w:val="none"/>
          <w:lang w:val="en-US" w:eastAsia="zh-CN"/>
        </w:rPr>
        <w:t xml:space="preserve">一批</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1、扩张器1:长度≥225mm，直径≥7.0mm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2、扩张器2:内径&gt;7.0mm，外径≤8.5mm；长度≤185mm；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3、扩张器3:内径≤10mm，外径&gt;8.5mm，长度≥165mm；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4、套筒1:内径≥10mm，外径≤11.5mm,长度&lt;155mm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5、可视空心钻：手柄与管轴一体式设计，长度≥120mm，内径≤10.2mm，外径≥11mm；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6、可视空心钻保护套管：长度≥100mm，内径≥11.5mm，外径&lt;13mm；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7、工作套管：斜口，顶端双手柄设计，带有封帽，长度&gt;130mm，内径≤10.2mm，外径≥11mm；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8、内窥镜内使用直形髓核钳：长度&lt;280mm，直径&gt;3.5mm；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9、内窥镜内使用直形髓核钳：长度330mm～340mm，直径&lt;4.0mm；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10、内窥镜内使用角度髓核钳：长度330mm～340mm，直径&lt;2.8mm，头端向上弯（55º~65 º）；</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11、内窥镜内使用直形篮钳：长度330mm～340mm，直径&lt;2.8mm；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12、内窥镜内使用角度篮钳：钳口上翘角度10º~15º，长度330mm～340mm，直径&lt;2.8mm；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13、内窥镜内使用咬骨钳：头端角度45～55°，长度&lt;280mm，直径&gt;4.5mm，可拆卸使用；</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14、内窥镜内使用咬骨钳：钳口角度45～55°，长度&lt;280mm，直径&gt;5.5mm，可拆卸使用；</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15、内窥镜内使用咬骨钳：钳口角度45～55°，长度&lt;280mm，直径&gt;3.5mm，可拆卸使用；</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16、内窥镜内使用咬骨钳：钳口角度45～55°，长度&lt;280mm，直径&gt;2.0mm，可拆卸使用；</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17、枪式咬骨钳手柄，与咬骨钳配套使用；</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18、内窥镜内使用剥离器：头端具备直形和L形，长度280mm～310mm，直径2.5mm～3.0mm；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19、骨科用线锯导引器：长度150mm～280mm，直径1.2mm～1.5mm；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20、骨导引针：长度350mm～450mm，直径0.7mm～1.5mm；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21、内窥镜下使用骨凿：长度≥310mm，直径≥6mm；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22、半齿空心钻：长度≥140mm，内径≥10mm，外径≤11.5mm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23、内镜适配套管：长度≥240mm，内径≥4mm，外径≥7mm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24、螺纹型套管：头端斜口，内径≥10.0mm，外径≤12.5mm，长度&gt;130mm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25、螺纹型套管：头端平口，内径≥10.0mm，外径≤12.5mm，长度&gt;130mm</w:t>
      </w:r>
      <w:r/>
    </w:p>
    <w:p>
      <w:pPr>
        <w:ind w:firstLine="420"/>
        <w:spacing w:line="400" w:lineRule="exact"/>
        <w:rPr>
          <w:rFonts w:hint="eastAsia"/>
          <w:color w:val="auto"/>
          <w:szCs w:val="21"/>
          <w:highlight w:val="none"/>
          <w:lang w:val="zh-CN" w:eastAsia="zh-CN"/>
        </w:rPr>
      </w:pPr>
      <w:r>
        <w:rPr>
          <w:rFonts w:hint="eastAsia"/>
          <w:color w:val="auto"/>
          <w:szCs w:val="21"/>
          <w:highlight w:val="none"/>
          <w:lang w:val="zh-CN" w:eastAsia="zh-CN"/>
        </w:rPr>
        <w:t xml:space="preserve">26、配备可放置所有器械的器械盒及内镜消毒盒；</w:t>
      </w:r>
      <w:r/>
    </w:p>
    <w:p>
      <w:pPr>
        <w:ind w:firstLine="420"/>
        <w:spacing w:line="400" w:lineRule="exact"/>
        <w:rPr>
          <w:rFonts w:hint="default"/>
          <w:color w:val="auto"/>
          <w:szCs w:val="21"/>
          <w:highlight w:val="none"/>
          <w:lang w:val="en-US" w:eastAsia="zh-CN"/>
        </w:rPr>
      </w:pPr>
      <w:r>
        <w:rPr>
          <w:rFonts w:hint="eastAsia"/>
          <w:color w:val="auto"/>
          <w:szCs w:val="21"/>
          <w:highlight w:val="none"/>
          <w:lang w:val="en-US" w:eastAsia="zh-CN"/>
        </w:rPr>
        <w:t xml:space="preserve">27、配置清单：</w:t>
      </w:r>
      <w:r/>
    </w:p>
    <w:tbl>
      <w:tblPr>
        <w:tblStyle w:val="679"/>
        <w:tblW w:w="4314"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38"/>
        <w:gridCol w:w="1756"/>
        <w:gridCol w:w="3681"/>
        <w:gridCol w:w="639"/>
        <w:gridCol w:w="639"/>
      </w:tblGrid>
      <w:tr>
        <w:trPr>
          <w:jc w:val="center"/>
          <w:trHeight w:val="408"/>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产品注册证名称</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产品描述</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脊柱内窥镜手术器械-扩张器</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长度165mm，内径8.6mm ，外径10.0mm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脊柱内窥镜手术器械-扩张器</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长度185mm，内径7.2mm ，外径8.5mm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脊柱内窥镜手术器械-扩张器</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长度225mm，直径7.0mm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套筒</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长度152mm，内径10.0mm ，外径11.5mm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脊柱内窥镜手术器械-工作套管</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长度134mm，内径10.2mm，外径11.2mm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脊柱微创手术通道扩张管</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螺纹套筒，头端斜口，内径10.0mm，外径12.5mm，长度134mm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脊柱微创手术通道扩张管</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螺纹套筒，头端平口，内径10.0mm，外径12.5mm，长度134mm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脊柱内窥镜手术器械-髓核钳</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长度260mm，直径4.0mm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9</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脊柱内窥镜手术器械-髓核钳</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长度330mm，直径3.5mm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脊柱内窥镜手术器械-髓核钳</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长度330mm，直径2.5mm，头端向上弯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（55 º~65 º）</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11</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脊柱内窥镜手术器械-篮钳</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长度330mm，直径2.5mm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脊柱内窥镜手术器械-篮钳</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长度330mm，直径2.5mm，头端向上弯（10º~15º）</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13</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脊柱内窥镜手术器械-咬骨钳</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1"/>
                <w:rFonts w:hint="eastAsia" w:ascii="宋体" w:hAnsi="宋体" w:eastAsia="宋体" w:cs="宋体"/>
                <w:color w:val="auto"/>
                <w:sz w:val="21"/>
                <w:szCs w:val="21"/>
                <w:highlight w:val="none"/>
                <w:lang w:val="en-US" w:eastAsia="zh-CN" w:bidi="ar"/>
              </w:rPr>
              <w:t xml:space="preserve">长度260mm，直径5.0mm，55°</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1"/>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14</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脊柱内窥镜手术器械-咬骨钳</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长度260mm，直径6.0mm，55°</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15</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脊柱内窥镜手术器械-咬骨钳</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长度260mm，直径4.0mm，55°</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16</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脊柱内窥镜手术器械-咬骨钳</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长度260mm，直径2.0mm，55°</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17</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脊柱内窥镜手术器械-咬骨钳手柄</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18</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脊柱微创手术通道扩张管</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长度240mm，内径4mm，外径7mm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19</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脊柱内窥镜手术器械-剥离器</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长度310mm，直径3.0mm，头端宽度3.0mm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20</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脊柱内窥镜手术器械-剥离器</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长度280mm，直径3.0mm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21</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空心钻</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长度120mm，内径10.2mm，外径11.5mm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22</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脊柱微创手术通道扩张管</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长度100mm，内径11.5mm，外径12.5mm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23</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骨科用线锯导引器</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长度180mm，内径1.2mm，外径1.5mm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24</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骨导引针</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直径1.0mm，长度400mm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25</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骨凿</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长度310mm，管轴直径6mm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26</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空心钻</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长度140mm，内径10.2mm，外径11.5mm</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支</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27</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椎管狭窄-脊柱内窥镜手术器械盒</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530×256×82</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个</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ind w:left="425" w:hanging="425"/>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default" w:ascii="宋体" w:hAnsi="宋体" w:eastAsia="宋体" w:cs="宋体"/>
                <w:i w:val="0"/>
                <w:iCs w:val="0"/>
                <w:color w:val="auto"/>
                <w:sz w:val="21"/>
                <w:szCs w:val="21"/>
                <w:highlight w:val="none"/>
                <w:lang w:val="en-US" w:eastAsia="zh-CN" w:bidi="ar-SA"/>
              </w:rPr>
              <w:t xml:space="preserve">28</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脊柱内窥镜手术器械盒</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530×256×82</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个</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numPr>
                <w:ilvl w:val="0"/>
                <w:numId w:val="0"/>
              </w:num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29</w:t>
            </w:r>
            <w:r/>
          </w:p>
        </w:tc>
        <w:tc>
          <w:tcPr>
            <w:tcBorders>
              <w:top w:val="single" w:color="000000" w:sz="4" w:space="0"/>
              <w:left w:val="single" w:color="000000" w:sz="4" w:space="0"/>
              <w:bottom w:val="single" w:color="000000" w:sz="4" w:space="0"/>
              <w:right w:val="single" w:color="000000" w:sz="4" w:space="0"/>
            </w:tcBorders>
            <w:tcW w:w="1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椎间盘内窥镜盒</w:t>
            </w:r>
            <w:r/>
          </w:p>
        </w:tc>
        <w:tc>
          <w:tcPr>
            <w:tcBorders>
              <w:top w:val="single" w:color="000000" w:sz="4" w:space="0"/>
              <w:left w:val="single" w:color="000000" w:sz="4" w:space="0"/>
              <w:bottom w:val="single" w:color="000000" w:sz="4" w:space="0"/>
              <w:right w:val="single" w:color="000000" w:sz="4" w:space="0"/>
            </w:tcBorders>
            <w:tcW w:w="21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375.5×130.5×75</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120"/>
                <w:rFonts w:hint="eastAsia" w:ascii="宋体" w:hAnsi="宋体" w:eastAsia="宋体" w:cs="宋体"/>
                <w:color w:val="auto"/>
                <w:sz w:val="21"/>
                <w:szCs w:val="21"/>
                <w:highlight w:val="none"/>
                <w:lang w:val="en-US" w:eastAsia="zh-CN" w:bidi="ar"/>
              </w:rPr>
              <w:t xml:space="preserve">个</w:t>
            </w:r>
            <w:r/>
          </w:p>
        </w:tc>
      </w:tr>
    </w:tbl>
    <w:p>
      <w:pPr>
        <w:ind w:firstLine="420"/>
        <w:spacing w:line="400" w:lineRule="exact"/>
        <w:rPr>
          <w:rFonts w:hint="eastAsia"/>
          <w:b/>
          <w:bCs/>
          <w:color w:val="auto"/>
          <w:szCs w:val="21"/>
          <w:highlight w:val="none"/>
          <w:lang w:val="zh-CN"/>
        </w:rPr>
      </w:pPr>
      <w:r>
        <w:rPr>
          <w:rFonts w:hint="eastAsia"/>
          <w:b/>
          <w:bCs/>
          <w:color w:val="auto"/>
          <w:szCs w:val="21"/>
          <w:highlight w:val="none"/>
          <w:lang w:val="zh-CN"/>
        </w:rPr>
      </w:r>
      <w:r/>
    </w:p>
    <w:p>
      <w:pPr>
        <w:ind w:firstLine="420"/>
        <w:spacing w:line="400" w:lineRule="exact"/>
        <w:rPr>
          <w:rFonts w:hint="eastAsia"/>
          <w:b/>
          <w:bCs/>
          <w:color w:val="auto"/>
          <w:szCs w:val="21"/>
          <w:highlight w:val="none"/>
          <w:lang w:val="zh-CN"/>
        </w:rPr>
      </w:pPr>
      <w:r>
        <w:rPr>
          <w:rFonts w:hint="eastAsia"/>
          <w:b/>
          <w:bCs/>
          <w:color w:val="auto"/>
          <w:szCs w:val="21"/>
          <w:highlight w:val="none"/>
          <w:lang w:val="zh-CN"/>
        </w:rPr>
        <w:t xml:space="preserve">（</w:t>
      </w:r>
      <w:r>
        <w:rPr>
          <w:rFonts w:hint="eastAsia"/>
          <w:b/>
          <w:bCs/>
          <w:color w:val="auto"/>
          <w:szCs w:val="21"/>
          <w:highlight w:val="none"/>
          <w:lang w:val="en-US" w:eastAsia="zh-CN"/>
        </w:rPr>
        <w:t xml:space="preserve">六</w:t>
      </w:r>
      <w:r>
        <w:rPr>
          <w:rFonts w:hint="eastAsia"/>
          <w:b/>
          <w:bCs/>
          <w:color w:val="auto"/>
          <w:szCs w:val="21"/>
          <w:highlight w:val="none"/>
          <w:lang w:val="zh-CN"/>
        </w:rPr>
        <w:t xml:space="preserve">）脊柱双通道内镜手术器械</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1、兼容性：系统运行匹配</w:t>
      </w:r>
      <w:r>
        <w:rPr>
          <w:rFonts w:hint="eastAsia"/>
          <w:color w:val="auto"/>
          <w:szCs w:val="21"/>
          <w:highlight w:val="none"/>
          <w:lang w:val="en-US" w:eastAsia="zh-CN"/>
        </w:rPr>
        <w:t xml:space="preserve">具备</w:t>
      </w:r>
      <w:r>
        <w:rPr>
          <w:rFonts w:hint="eastAsia"/>
          <w:color w:val="auto"/>
          <w:szCs w:val="21"/>
          <w:highlight w:val="none"/>
          <w:lang w:val="zh-CN"/>
        </w:rPr>
        <w:t xml:space="preserve">兼容性；</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2、内窥镜：直径≥4mm、视向角0°或30°；视场角80°±5°；工作长度≥175mm，配套镜鞘和闭孔器。</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3、扩张套筒：外径≥5mm，长度≥200mm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4、扩张套筒：内径≥5mm，外径≥7mm，长度≥180mm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5、扩张套筒：内径&gt;7mm，外径≥9mm，长度≥170mm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6、扩张套筒：内径≥9mm，外径≥11mm，长度≥150mm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7、扩张套筒：内径&gt;11mm，外径≥13mm，长度&gt;130mm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8、扩张套筒：内径&gt;13mm，外径≥15mm，长度≥125mm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9、骨科用神经根拉钩：手术中剥离、牵开或遮挡神经根用，直径≥3mm，长度≥300mm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10、骨科用神经根拉钩：手术中剥离、牵开或遮挡神经根用，直径≥3mm，长度≥290mm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11、骨科用神经根拉钩：手术中剥离、牵开或遮挡神经根用，直径≥10mm，长度≥170mm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12、骨科用神经根拉钩：手术中剥离、牵开或遮挡神经根用，直径≥4mm，长度≥170mm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13、骨科用神经根拉钩：手术中剥离、牵开或遮挡神经根用，直径≥1.5mm，长度&gt;170mm，左向</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14、骨科用神经根拉钩：手术中剥离、牵开或遮挡神经根用，直径≥1.5mm，长度&gt;170mm，右向</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15、骨用牵开器：手术中显露手术视野用，直径≥4.5mm，长度≥66mm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16、骨用牵开器：手术中显露手术视野用，直径≥16mm，长度≥100mm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17、骨用牵开器：手术中显露手术视野用，直径≥16mm，长度≥110mm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18、骨用牵开器：手术中显露手术视野用，直径≥16mm，长度&lt;120mm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19、骨用牵开器：手术中显露手术视野用，直径≥16mm，长度≥125mm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20、髓核钳：直径≥4mm，长度&gt;150mm，钳头直形                          </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21、髓核钳：直径≥4mm，长度&gt;150mm，钳头弯形</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22、髓核钳：直径≥2mm，长度≥220mm，钳头直形</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23、髓核钳：直径≥2mm，长度≥220mm，钳头弯形</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24、咬骨钳：直径≥3.5mm，长度&gt;220mm，头端弧形</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25、咬骨钳：直径≥4mm，长度&gt;220mm，头端弧形</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26、咬骨钳：直径≥2mm，长度&gt;220mm，头端直形</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27、咬骨钳：直径≥3.5mm，长度&gt;220mm，头端直形</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28、快装手柄：可以和不同角度的咬骨钳拆换使用，可以辅助咬骨钳360°旋转</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29、剥离器：直径≥6mm，长度≥220mm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30、剥离器：直径≥3mm，长度≤240mm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31、剥离器：长度&gt;160mm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32、骨锤：直径≥25mm，长度≥220mm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33、冲洗吸引管：直径≥3mm，长度&gt;170mm。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34、骨刮匙：直径≥6mm，长度≥300mm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35、骨刮匙：直径≥6mm，长度&lt;300mm，角度25°</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36、骨刮匙：直径≥6mm，长度&lt;300mm，角度40°</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37、骨刮匙：直径≥6mm，长度&lt;300mm，角度40°</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38、骨刮匙：直径&gt;6mm，长度&gt;240mm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39、骨凿：直径≥6mm，长度&gt;240mm，左向</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40、骨凿：直径≥6mm，长度&gt;240mm，右向</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41、骨凿：直径≥6mm，长度&gt;240mm，直向</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42、骨凿：直径≥6mm，长度&gt;240mm，成角</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43、骨凿：直径≥6mm，长度&gt;240mm</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44、配备内镜消毒盒及器械消毒盒</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45、配置清单：</w:t>
      </w:r>
      <w:r/>
    </w:p>
    <w:tbl>
      <w:tblPr>
        <w:tblStyle w:val="679"/>
        <w:tblW w:w="352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1203"/>
        <w:gridCol w:w="2987"/>
        <w:gridCol w:w="875"/>
        <w:gridCol w:w="950"/>
      </w:tblGrid>
      <w:tr>
        <w:trPr>
          <w:jc w:val="center"/>
          <w:trHeight w:val="408"/>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产品注册证名称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骨刮匙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剥离器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骨刮匙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骨刮匙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骨刮匙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骨刮匙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剥离器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骨科用神经根拉钩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骨科用神经根拉钩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骨科用神经根拉钩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骨科用神经根拉钩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冲洗吸引管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冲洗吸引管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骨用牵开器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髓核钳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髓核钳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髓核钳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髓核钳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快装手柄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咬骨钳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咬骨钳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咬骨钳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咬骨钳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骨科用神经根拉钩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骨科用神经根拉钩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骨用牵开器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骨用牵开器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骨用牵开器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骨用牵开器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剥离器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UBE手术器械盒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关节内窥镜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jc w:val="center"/>
          <w:trHeight w:val="3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482"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关节内窥镜消毒盒</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bl>
    <w:p>
      <w:pPr>
        <w:ind w:firstLine="420"/>
        <w:spacing w:line="400" w:lineRule="exact"/>
        <w:rPr>
          <w:rFonts w:hint="default"/>
          <w:color w:val="auto"/>
          <w:szCs w:val="21"/>
          <w:highlight w:val="none"/>
          <w:lang w:val="en-US" w:eastAsia="zh-CN"/>
        </w:rPr>
      </w:pPr>
      <w:r>
        <w:rPr>
          <w:rFonts w:hint="default"/>
          <w:color w:val="auto"/>
          <w:szCs w:val="21"/>
          <w:highlight w:val="none"/>
          <w:lang w:val="en-US" w:eastAsia="zh-CN"/>
        </w:rPr>
      </w:r>
      <w:r/>
    </w:p>
    <w:p>
      <w:pPr>
        <w:ind w:firstLine="422"/>
        <w:spacing w:line="380" w:lineRule="exact"/>
        <w:rPr>
          <w:color w:val="auto"/>
          <w:szCs w:val="21"/>
          <w:highlight w:val="none"/>
        </w:rPr>
      </w:pPr>
      <w:r>
        <w:rPr>
          <w:rFonts w:hint="eastAsia"/>
          <w:b/>
          <w:bCs/>
          <w:color w:val="auto"/>
          <w:szCs w:val="21"/>
          <w:highlight w:val="none"/>
        </w:rPr>
        <w:t xml:space="preserve">四、其他需求</w:t>
      </w:r>
      <w:r/>
    </w:p>
    <w:p>
      <w:pPr>
        <w:ind w:firstLine="420"/>
        <w:spacing w:line="380" w:lineRule="exact"/>
        <w:rPr>
          <w:color w:val="auto"/>
          <w:szCs w:val="21"/>
          <w:highlight w:val="none"/>
        </w:rPr>
      </w:pPr>
      <w:r>
        <w:rPr>
          <w:rFonts w:hint="eastAsia"/>
          <w:color w:val="auto"/>
          <w:szCs w:val="21"/>
          <w:highlight w:val="none"/>
        </w:rPr>
        <w:t xml:space="preserve">1、货物到达采购单位后，在采购单位技术人员在场的情况下开箱清点货物，组织安装、调试及操作培训，并承担因此发生的一切费用。</w:t>
      </w:r>
      <w:r/>
    </w:p>
    <w:p>
      <w:pPr>
        <w:ind w:firstLine="420"/>
        <w:spacing w:line="380" w:lineRule="exact"/>
        <w:rPr>
          <w:color w:val="auto"/>
          <w:szCs w:val="21"/>
          <w:highlight w:val="none"/>
        </w:rPr>
      </w:pPr>
      <w:r>
        <w:rPr>
          <w:rFonts w:hint="eastAsia"/>
          <w:color w:val="auto"/>
          <w:szCs w:val="21"/>
          <w:highlight w:val="none"/>
        </w:rPr>
        <w:t xml:space="preserve">2、投标文件中提供实施方案，内容应包括但不限于①安装调试、系统集成、试运行、测试、调优等内容，②人员组织架构，③工作时间进度表、工作程序和步骤，④管理和协调方法，⑤关键步骤的思路和要点。</w:t>
      </w:r>
      <w:r/>
    </w:p>
    <w:p>
      <w:pPr>
        <w:ind w:firstLine="420"/>
        <w:spacing w:line="380" w:lineRule="exact"/>
        <w:rPr>
          <w:color w:val="auto"/>
          <w:szCs w:val="21"/>
          <w:highlight w:val="none"/>
        </w:rPr>
      </w:pPr>
      <w:r>
        <w:rPr>
          <w:rFonts w:hint="eastAsia"/>
          <w:color w:val="auto"/>
          <w:szCs w:val="21"/>
          <w:highlight w:val="none"/>
        </w:rPr>
        <w:t xml:space="preserve">3、投标人负责保管、看护进场的设备及附配件直至完成安装调试后交付采购单位。</w:t>
      </w:r>
      <w:r/>
    </w:p>
    <w:p>
      <w:pPr>
        <w:ind w:firstLine="420"/>
        <w:spacing w:line="380" w:lineRule="exact"/>
        <w:rPr>
          <w:b/>
          <w:bCs/>
          <w:color w:val="auto"/>
          <w:szCs w:val="21"/>
          <w:highlight w:val="none"/>
        </w:rPr>
      </w:pPr>
      <w:r>
        <w:rPr>
          <w:rFonts w:hint="eastAsia"/>
          <w:b/>
          <w:bCs/>
          <w:color w:val="auto"/>
          <w:szCs w:val="21"/>
          <w:highlight w:val="none"/>
        </w:rPr>
        <w:t xml:space="preserve">五、售后服务要求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1、质保期要求：</w:t>
      </w:r>
      <w:r>
        <w:rPr>
          <w:rFonts w:hint="eastAsia" w:ascii="宋体" w:hAnsi="宋体"/>
          <w:color w:val="auto"/>
          <w:szCs w:val="21"/>
          <w:highlight w:val="none"/>
          <w:lang w:val="en-US" w:eastAsia="zh-CN"/>
        </w:rPr>
        <w:t xml:space="preserve">所投设备的</w:t>
      </w:r>
      <w:r>
        <w:rPr>
          <w:rFonts w:hint="eastAsia" w:ascii="宋体" w:hAnsi="宋体"/>
          <w:color w:val="auto"/>
          <w:szCs w:val="21"/>
          <w:highlight w:val="none"/>
        </w:rPr>
        <w:t xml:space="preserve">主机</w:t>
      </w:r>
      <w:r>
        <w:rPr>
          <w:rFonts w:hint="eastAsia" w:ascii="宋体" w:hAnsi="宋体"/>
          <w:color w:val="auto"/>
          <w:szCs w:val="21"/>
          <w:highlight w:val="none"/>
          <w:lang w:val="en-US" w:eastAsia="zh-CN"/>
        </w:rPr>
        <w:t xml:space="preserve">质保期≥</w:t>
      </w:r>
      <w:r>
        <w:rPr>
          <w:rFonts w:hint="eastAsia" w:ascii="宋体" w:hAnsi="宋体"/>
          <w:color w:val="auto"/>
          <w:szCs w:val="21"/>
          <w:highlight w:val="none"/>
        </w:rPr>
        <w:t xml:space="preserve">3年，镜子、器械</w:t>
      </w:r>
      <w:r>
        <w:rPr>
          <w:rFonts w:hint="eastAsia" w:ascii="宋体" w:hAnsi="宋体"/>
          <w:color w:val="auto"/>
          <w:szCs w:val="21"/>
          <w:highlight w:val="none"/>
          <w:lang w:val="en-US" w:eastAsia="zh-CN"/>
        </w:rPr>
        <w:t xml:space="preserve">质保期≥</w:t>
      </w:r>
      <w:r>
        <w:rPr>
          <w:rFonts w:hint="eastAsia" w:ascii="宋体" w:hAnsi="宋体"/>
          <w:color w:val="auto"/>
          <w:szCs w:val="21"/>
          <w:highlight w:val="none"/>
        </w:rPr>
        <w:t xml:space="preserve">1年</w:t>
      </w:r>
      <w:r>
        <w:rPr>
          <w:rFonts w:hint="eastAsia" w:ascii="宋体" w:hAnsi="宋体"/>
          <w:color w:val="auto"/>
          <w:szCs w:val="21"/>
          <w:highlight w:val="none"/>
          <w:u w:val="single"/>
        </w:rPr>
        <w:t xml:space="preserve">，自验收合格之日起计算</w:t>
      </w:r>
      <w:r>
        <w:rPr>
          <w:rFonts w:hint="eastAsia"/>
          <w:color w:val="auto"/>
          <w:szCs w:val="21"/>
          <w:highlight w:val="none"/>
        </w:rPr>
        <w:t xml:space="preserve">。</w:t>
      </w:r>
      <w:r>
        <w:rPr>
          <w:rFonts w:hint="eastAsia" w:ascii="宋体" w:hAnsi="宋体"/>
          <w:color w:val="auto"/>
          <w:szCs w:val="21"/>
          <w:highlight w:val="none"/>
        </w:rPr>
        <w:t xml:space="preserve">接到维修通知后有专职的技术服务人员上门服务，保证维修响应时间2小时内，工程师12小时内到现场，48小时内需完成维修。</w:t>
      </w:r>
      <w:r/>
    </w:p>
    <w:p>
      <w:pPr>
        <w:ind w:firstLine="420"/>
        <w:spacing w:line="400" w:lineRule="exact"/>
        <w:rPr>
          <w:rFonts w:ascii="宋体" w:hAnsi="宋体"/>
          <w:color w:val="auto"/>
          <w:szCs w:val="21"/>
          <w:highlight w:val="none"/>
        </w:rPr>
      </w:pPr>
      <w:r>
        <w:rPr>
          <w:rFonts w:hint="eastAsia"/>
          <w:color w:val="auto"/>
          <w:szCs w:val="21"/>
          <w:highlight w:val="none"/>
        </w:rPr>
        <w:t xml:space="preserve">投标文件中</w:t>
      </w:r>
      <w:r>
        <w:rPr>
          <w:rFonts w:hint="eastAsia" w:ascii="宋体" w:hAnsi="宋体"/>
          <w:color w:val="auto"/>
          <w:szCs w:val="21"/>
          <w:highlight w:val="none"/>
        </w:rPr>
        <w:t xml:space="preserve">提供</w:t>
      </w:r>
      <w:r>
        <w:rPr>
          <w:rFonts w:hint="eastAsia" w:ascii="宋体" w:hAnsi="宋体" w:cs="宋体"/>
          <w:bCs/>
          <w:color w:val="auto"/>
          <w:szCs w:val="21"/>
          <w:highlight w:val="none"/>
        </w:rPr>
        <w:t xml:space="preserve">针对本项目制定的售后服务管理体系方案，包括售后服务机制、响应时间、故障解决等内容、</w:t>
      </w:r>
      <w:r>
        <w:rPr>
          <w:rFonts w:ascii="宋体" w:hAnsi="宋体"/>
          <w:color w:val="auto"/>
          <w:szCs w:val="21"/>
          <w:highlight w:val="none"/>
        </w:rPr>
        <w:t xml:space="preserve">关于所投产品的售后服务承诺书、优惠措施等</w:t>
      </w:r>
      <w:r>
        <w:rPr>
          <w:rFonts w:hint="eastAsia" w:ascii="宋体" w:hAnsi="宋体"/>
          <w:color w:val="auto"/>
          <w:szCs w:val="21"/>
          <w:highlight w:val="none"/>
        </w:rPr>
        <w:t xml:space="preserve">。</w:t>
      </w:r>
      <w:r/>
    </w:p>
    <w:p>
      <w:pPr>
        <w:ind w:firstLine="420"/>
        <w:spacing w:line="400" w:lineRule="exact"/>
        <w:rPr>
          <w:rFonts w:ascii="宋体" w:hAnsi="宋体"/>
          <w:color w:val="auto"/>
          <w:highlight w:val="none"/>
        </w:rPr>
      </w:pPr>
      <w:r>
        <w:rPr>
          <w:rFonts w:hint="eastAsia"/>
          <w:color w:val="auto"/>
          <w:szCs w:val="21"/>
          <w:highlight w:val="none"/>
        </w:rPr>
        <w:t xml:space="preserve">投标文件中</w:t>
      </w:r>
      <w:r>
        <w:rPr>
          <w:rFonts w:hint="eastAsia" w:ascii="宋体" w:hAnsi="宋体"/>
          <w:color w:val="auto"/>
          <w:szCs w:val="21"/>
          <w:highlight w:val="none"/>
        </w:rPr>
        <w:t xml:space="preserve">提供</w:t>
      </w:r>
      <w:r>
        <w:rPr>
          <w:rFonts w:hint="eastAsia" w:ascii="宋体" w:hAnsi="宋体" w:cs="宋体"/>
          <w:bCs/>
          <w:color w:val="auto"/>
          <w:szCs w:val="21"/>
          <w:highlight w:val="none"/>
        </w:rPr>
        <w:t xml:space="preserve">针对本项目制定的</w:t>
      </w:r>
      <w:r>
        <w:rPr>
          <w:rFonts w:hint="eastAsia" w:ascii="宋体" w:hAnsi="宋体"/>
          <w:color w:val="auto"/>
          <w:highlight w:val="none"/>
        </w:rPr>
        <w:t xml:space="preserve">应急预案。分析设备有可能出现的重大故障，制定出合理的应急预案。</w:t>
      </w:r>
      <w:r/>
    </w:p>
    <w:p>
      <w:pPr>
        <w:ind w:firstLine="420"/>
        <w:spacing w:line="400" w:lineRule="exact"/>
        <w:rPr>
          <w:rFonts w:ascii="宋体" w:hAnsi="宋体"/>
          <w:color w:val="auto"/>
          <w:szCs w:val="21"/>
          <w:highlight w:val="none"/>
        </w:rPr>
      </w:pPr>
      <w:r>
        <w:rPr>
          <w:rFonts w:hint="eastAsia" w:ascii="宋体" w:hAnsi="宋体"/>
          <w:b/>
          <w:bCs/>
          <w:color w:val="auto"/>
          <w:highlight w:val="none"/>
        </w:rPr>
        <w:t xml:space="preserve">六、提供维保收费方案</w:t>
      </w:r>
      <w:r>
        <w:rPr>
          <w:rFonts w:hint="eastAsia" w:ascii="宋体" w:hAnsi="宋体"/>
          <w:color w:val="auto"/>
          <w:highlight w:val="none"/>
        </w:rPr>
        <w:t xml:space="preserve">，包括①</w:t>
      </w:r>
      <w:r>
        <w:rPr>
          <w:rFonts w:ascii="宋体" w:hAnsi="宋体"/>
          <w:color w:val="auto"/>
          <w:szCs w:val="21"/>
          <w:highlight w:val="none"/>
        </w:rPr>
        <w:t xml:space="preserve">质保期满后维保收费及内容</w:t>
      </w:r>
      <w:r>
        <w:rPr>
          <w:rFonts w:hint="eastAsia" w:ascii="宋体" w:hAnsi="宋体"/>
          <w:color w:val="auto"/>
          <w:highlight w:val="none"/>
        </w:rPr>
        <w:t xml:space="preserve">（包括零配件、备品、备件价格）清单及价格、②维保工作具体维保内容、③维保流程、④维保规范标准、⑤维保档案等情况。</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1、零配件应保证10年以上的供应期，提供主要零配件的优惠价。零配件供应最长时间不超过3个工作日。并允诺做不到的赔偿条件。维保期结束后免收人工费，维修仅收配件费。投标文件中提供</w:t>
      </w:r>
      <w:r>
        <w:rPr>
          <w:rFonts w:hint="eastAsia" w:ascii="宋体" w:hAnsi="宋体"/>
          <w:color w:val="auto"/>
          <w:szCs w:val="21"/>
          <w:highlight w:val="none"/>
        </w:rPr>
        <w:t xml:space="preserve">出保后所需更换的易耗品及配件报价。</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、设备免费维保期内应按国家质量控制相关法规要求提供维保记录及质控记录。</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、设备交货验收时应提供以下文件的纸质版+电子版文件：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（1）中文说明书（纸质版+电子版）；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（2）简易操作说明（卡片/塑封文件+电子版）；</w:t>
      </w:r>
      <w:r/>
    </w:p>
    <w:p>
      <w:pPr>
        <w:ind w:firstLine="420"/>
        <w:spacing w:line="400" w:lineRule="exact"/>
        <w:rPr>
          <w:rFonts w:ascii="宋体" w:hAnsi="宋体"/>
          <w:color w:val="auto"/>
          <w:szCs w:val="21"/>
          <w:highlight w:val="none"/>
        </w:rPr>
      </w:pPr>
      <w:r>
        <w:rPr>
          <w:rFonts w:ascii="宋体" w:hAnsi="宋体" w:cs="宋体"/>
          <w:bCs/>
          <w:color w:val="auto"/>
          <w:szCs w:val="21"/>
          <w:highlight w:val="none"/>
        </w:rPr>
        <w:t xml:space="preserve">4</w:t>
      </w:r>
      <w:r>
        <w:rPr>
          <w:rFonts w:hint="eastAsia" w:ascii="宋体" w:hAnsi="宋体"/>
          <w:color w:val="auto"/>
          <w:szCs w:val="21"/>
          <w:highlight w:val="none"/>
        </w:rPr>
        <w:t xml:space="preserve">、</w:t>
      </w:r>
      <w:r>
        <w:rPr>
          <w:rFonts w:hint="eastAsia"/>
          <w:color w:val="auto"/>
          <w:szCs w:val="21"/>
          <w:highlight w:val="none"/>
        </w:rPr>
        <w:t xml:space="preserve">所投设备属于法定或强检设备的，乙方需承担首次计量检测费用。</w:t>
      </w:r>
      <w:r>
        <w:rPr>
          <w:rFonts w:hint="eastAsia" w:ascii="宋体" w:hAnsi="宋体"/>
          <w:color w:val="auto"/>
          <w:szCs w:val="21"/>
          <w:highlight w:val="none"/>
        </w:rPr>
        <w:t xml:space="preserve">设备验收时需提供第三方计量检验证书(首检)；</w:t>
      </w:r>
      <w:r/>
    </w:p>
    <w:p>
      <w:pPr>
        <w:ind w:firstLine="420"/>
        <w:spacing w:line="400" w:lineRule="exact"/>
        <w:rPr>
          <w:rFonts w:ascii="宋体" w:hAnsi="宋体"/>
          <w:b/>
          <w:bCs/>
          <w:color w:val="auto"/>
          <w:szCs w:val="21"/>
          <w:highlight w:val="none"/>
        </w:rPr>
      </w:pPr>
      <w:r>
        <w:rPr>
          <w:rFonts w:hint="eastAsia" w:ascii="宋体" w:hAnsi="宋体"/>
          <w:b/>
          <w:bCs/>
          <w:color w:val="auto"/>
          <w:szCs w:val="21"/>
          <w:highlight w:val="none"/>
        </w:rPr>
        <w:t xml:space="preserve">七、故障应急预案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投标人根据往年设备故障案例，分析设备有可能出现的重大故障，制定出合理的应急预案。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①可能出现的重大故障分析，例如设备无法开机或持续处于宕机状态等情况的故障分析，分析故障原因。提供备机的申请流程和送达方案、提供维修机器的远程解决方案；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②本项目的重点、难点分析，例如分析在售后服务过程中可能出现的问题例如售后工程师无法按时到场、或维修配件不能及时到货等情况；</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③针对分析的上述故障应急情况，提供对应的解决方案；</w:t>
      </w:r>
      <w:r/>
    </w:p>
    <w:p>
      <w:pPr>
        <w:ind w:firstLine="420"/>
        <w:spacing w:line="400" w:lineRule="exact"/>
        <w:rPr>
          <w:rFonts w:ascii="宋体" w:hAnsi="宋体"/>
          <w:b/>
          <w:bCs/>
          <w:color w:val="auto"/>
          <w:szCs w:val="21"/>
          <w:highlight w:val="none"/>
        </w:rPr>
      </w:pPr>
      <w:r>
        <w:rPr>
          <w:rFonts w:hint="eastAsia" w:ascii="宋体" w:hAnsi="宋体"/>
          <w:b/>
          <w:bCs/>
          <w:color w:val="auto"/>
          <w:szCs w:val="21"/>
          <w:highlight w:val="none"/>
        </w:rPr>
        <w:t xml:space="preserve">八、培训方案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提供临床科室使用培训及医学工程处维护人员培训；提供培训团队组成情况介绍。提供培训方案，包括①培训需求分析、②培训目标计划、③培训内容及方法计划、④负责培训人员情况、⑤培训设备场地等情况介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①培训需求分析</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针对本项目产品分析采购方科室的培训需求，例如分析采购方人员操作方法的培训需求、实际应用场景的培训需求、系统维护管理方面的培训需求；</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中标方负责提供设备操作培训及专业厂家维修培训，保证采购单位工程师及操作人员正常操作设备的各种功能及进行设备基础维修。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终身维修并标明保修期后的具体维修维护事宜（提供生产商支持的售后服务证明文件和售后服务条款）。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②培训目标计划</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针对本项目提供培训目标和计划，例如提供设备正式运作前，技术人员对客户操作、使用、场景应用、系统日常运行、管理、维护等相关培训计划安排、日程表。现场集中培训目标：包括客户操作、场景应用、系统维护管理等均不得少于1次。培训最终目标：投标人须提供所需的培训服务，以确保采购人的技术人员能对投标人所提供的设备和装置的设计、日常运作、故障和例行维护、事故处理和解决方面等有全面性的认识和了解。</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③培训内容及方法计划</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提供并解释有关设计资料、文件、图纸等，以便采购人操作人员对整套系统的各个方面都能熟练掌握。提供培训所需的材料、设备、幻灯片以及其它的培训教材文件，所有教材文件须以中文说明。投标文件中提供详细的培训资料。</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④负责培训人员情况</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投入本项目的负责培训老师，需拟派经验丰富的专业工程师负责进行。设备正式运作前，需提供技术人员对客户操作、使用，系统日常运行、维护等相关培训，现场集中培训不得少于1次。</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⑤培训设备场地等情况介绍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投标人在投标文件中将培训场地和培训时所需电脑、投影等办公设备进行阐述。培训时提供容纳足够人数的会议室以及办公用品，提供培训演示PPT和现场操作视频等。</w:t>
      </w:r>
      <w:r/>
    </w:p>
    <w:p>
      <w:pPr>
        <w:ind w:firstLine="422"/>
        <w:spacing w:line="380" w:lineRule="exact"/>
        <w:rPr>
          <w:rFonts w:ascii="宋体" w:hAnsi="宋体" w:cs="宋体"/>
          <w:b/>
          <w:color w:val="auto"/>
          <w:szCs w:val="21"/>
          <w:highlight w:val="none"/>
        </w:rPr>
      </w:pPr>
      <w:r>
        <w:rPr>
          <w:rFonts w:hint="eastAsia" w:ascii="宋体" w:hAnsi="宋体" w:cs="宋体"/>
          <w:b/>
          <w:color w:val="auto"/>
          <w:szCs w:val="21"/>
          <w:highlight w:val="none"/>
        </w:rPr>
        <w:t xml:space="preserve">九、</w:t>
      </w:r>
      <w:r>
        <w:rPr>
          <w:rFonts w:ascii="宋体" w:hAnsi="宋体" w:cs="宋体"/>
          <w:b/>
          <w:color w:val="auto"/>
          <w:szCs w:val="21"/>
          <w:highlight w:val="none"/>
        </w:rPr>
        <w:t xml:space="preserve">产品质量要求：</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2、国家具有强制性标准的，所投产品须符合国家强制性标准。</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3、</w:t>
      </w:r>
      <w:r>
        <w:rPr>
          <w:rFonts w:ascii="宋体" w:hAnsi="宋体" w:cs="宋体"/>
          <w:bCs/>
          <w:color w:val="auto"/>
          <w:szCs w:val="21"/>
          <w:highlight w:val="none"/>
        </w:rPr>
        <w:t xml:space="preserve">所有设备在到达安装现场时须经</w:t>
      </w:r>
      <w:r>
        <w:rPr>
          <w:rFonts w:hint="eastAsia" w:ascii="宋体" w:hAnsi="宋体" w:cs="宋体"/>
          <w:bCs/>
          <w:color w:val="auto"/>
          <w:szCs w:val="21"/>
          <w:highlight w:val="none"/>
        </w:rPr>
        <w:t xml:space="preserve">采购单位</w:t>
      </w:r>
      <w:r>
        <w:rPr>
          <w:rFonts w:ascii="宋体" w:hAnsi="宋体" w:cs="宋体"/>
          <w:bCs/>
          <w:color w:val="auto"/>
          <w:szCs w:val="21"/>
          <w:highlight w:val="none"/>
        </w:rPr>
        <w:t xml:space="preserve">技术人员</w:t>
      </w:r>
      <w:r>
        <w:rPr>
          <w:rFonts w:hint="eastAsia" w:ascii="宋体" w:hAnsi="宋体" w:cs="宋体"/>
          <w:bCs/>
          <w:color w:val="auto"/>
          <w:szCs w:val="21"/>
          <w:highlight w:val="none"/>
        </w:rPr>
        <w:t xml:space="preserve">记录</w:t>
      </w:r>
      <w:r>
        <w:rPr>
          <w:rFonts w:ascii="宋体" w:hAnsi="宋体" w:cs="宋体"/>
          <w:bCs/>
          <w:color w:val="auto"/>
          <w:szCs w:val="21"/>
          <w:highlight w:val="none"/>
        </w:rPr>
        <w:t xml:space="preserve">验收后才可进行设备安装，验货时须提交该产品的原</w:t>
      </w:r>
      <w:r>
        <w:rPr>
          <w:rFonts w:hint="eastAsia" w:ascii="宋体" w:hAnsi="宋体" w:cs="宋体"/>
          <w:bCs/>
          <w:color w:val="auto"/>
          <w:szCs w:val="21"/>
          <w:highlight w:val="none"/>
        </w:rPr>
        <w:t xml:space="preserve">厂</w:t>
      </w:r>
      <w:r>
        <w:rPr>
          <w:rFonts w:ascii="宋体" w:hAnsi="宋体" w:cs="宋体"/>
          <w:bCs/>
          <w:color w:val="auto"/>
          <w:szCs w:val="21"/>
          <w:highlight w:val="none"/>
        </w:rPr>
        <w:t xml:space="preserve">质量合格证明</w:t>
      </w:r>
      <w:r>
        <w:rPr>
          <w:rFonts w:hint="eastAsia" w:ascii="宋体" w:hAnsi="宋体" w:cs="宋体"/>
          <w:bCs/>
          <w:color w:val="auto"/>
          <w:szCs w:val="21"/>
          <w:highlight w:val="none"/>
        </w:rPr>
        <w:t xml:space="preserve">及服务质保证明文件。</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4、</w:t>
      </w:r>
      <w:r>
        <w:rPr>
          <w:rFonts w:ascii="宋体" w:hAnsi="宋体" w:cs="宋体"/>
          <w:bCs/>
          <w:color w:val="auto"/>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Cs w:val="21"/>
          <w:highlight w:val="none"/>
        </w:rPr>
        <w:t xml:space="preserve">。</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5、</w:t>
      </w:r>
      <w:r>
        <w:rPr>
          <w:rFonts w:ascii="宋体" w:hAnsi="宋体" w:cs="宋体"/>
          <w:bCs/>
          <w:color w:val="auto"/>
          <w:szCs w:val="21"/>
          <w:highlight w:val="none"/>
        </w:rPr>
        <w:t xml:space="preserve">缺陷保修：如果设备交付使用后，缺陷多次反复出现，中标方必须提出分析报告和解决方案，</w:t>
      </w:r>
      <w:r>
        <w:rPr>
          <w:rFonts w:hint="eastAsia" w:ascii="宋体" w:hAnsi="宋体" w:cs="宋体"/>
          <w:bCs/>
          <w:color w:val="auto"/>
          <w:szCs w:val="21"/>
          <w:highlight w:val="none"/>
        </w:rPr>
        <w:t xml:space="preserve">更换该产品，</w:t>
      </w:r>
      <w:r>
        <w:rPr>
          <w:rFonts w:ascii="宋体" w:hAnsi="宋体" w:cs="宋体"/>
          <w:bCs/>
          <w:color w:val="auto"/>
          <w:szCs w:val="21"/>
          <w:highlight w:val="none"/>
        </w:rPr>
        <w:t xml:space="preserve">直到最后纠正缺陷、</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提供质保从纠正之日起重新计算质保期</w:t>
      </w:r>
      <w:r>
        <w:rPr>
          <w:rFonts w:hint="eastAsia" w:ascii="宋体" w:hAnsi="宋体" w:cs="宋体"/>
          <w:bCs/>
          <w:color w:val="auto"/>
          <w:szCs w:val="21"/>
          <w:highlight w:val="none"/>
        </w:rPr>
        <w:t xml:space="preserve">。</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6、</w:t>
      </w:r>
      <w:r>
        <w:rPr>
          <w:rFonts w:ascii="宋体" w:hAnsi="宋体" w:cs="宋体"/>
          <w:bCs/>
          <w:color w:val="auto"/>
          <w:szCs w:val="21"/>
          <w:highlight w:val="none"/>
        </w:rPr>
        <w:t xml:space="preserve">如果是超出</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的责任范围的疏忽、误操作等情况而导致的更换修正，应由</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进行修理，其额外费用由双方协商承担。</w:t>
      </w:r>
      <w:r/>
    </w:p>
    <w:p>
      <w:pPr>
        <w:ind w:firstLine="422"/>
        <w:spacing w:line="380" w:lineRule="exact"/>
        <w:rPr>
          <w:rFonts w:ascii="宋体" w:hAnsi="宋体" w:cs="宋体"/>
          <w:b/>
          <w:color w:val="auto"/>
          <w:szCs w:val="21"/>
          <w:highlight w:val="none"/>
        </w:rPr>
      </w:pPr>
      <w:r>
        <w:rPr>
          <w:rFonts w:hint="eastAsia" w:ascii="宋体" w:hAnsi="宋体" w:cs="宋体"/>
          <w:b/>
          <w:color w:val="auto"/>
          <w:szCs w:val="21"/>
          <w:highlight w:val="none"/>
        </w:rPr>
        <w:t xml:space="preserve">十、</w:t>
      </w:r>
      <w:r>
        <w:rPr>
          <w:rFonts w:ascii="宋体" w:hAnsi="宋体" w:cs="宋体"/>
          <w:b/>
          <w:color w:val="auto"/>
          <w:szCs w:val="21"/>
          <w:highlight w:val="none"/>
        </w:rPr>
        <w:t xml:space="preserve">验收</w:t>
      </w:r>
      <w:r>
        <w:rPr>
          <w:rFonts w:hint="eastAsia" w:ascii="宋体" w:hAnsi="宋体" w:cs="宋体"/>
          <w:b/>
          <w:color w:val="auto"/>
          <w:szCs w:val="21"/>
          <w:highlight w:val="none"/>
        </w:rPr>
        <w:t xml:space="preserve">要求及标准</w:t>
      </w:r>
      <w:r>
        <w:rPr>
          <w:rFonts w:ascii="宋体" w:hAnsi="宋体" w:cs="宋体"/>
          <w:b/>
          <w:color w:val="auto"/>
          <w:szCs w:val="21"/>
          <w:highlight w:val="none"/>
        </w:rPr>
        <w:t xml:space="preserve">：</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2、验收时，乙方必须参加，由双方签署验收单。</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3、项目完成后，供方需提供所投产品生产厂家的授权书、质保书、保修证明等书面资料，并按国家制造和安装的标准要求检测验收。</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4、本次采购全部内容为“交钥匙”项目，一切费用均包含在报价内，请各投标人认真考虑其各种风险。</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5、验收标准：按本招标文件、供应商的投标文件、承诺及国家相关标准为准。如双方对验收结果有分歧，则以苏州市技术质量监督局的检验结果为准，检验费用由有过失的一方支付。</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7、交货过程中如发现不符合本次采购文件</w:t>
      </w:r>
      <w:r>
        <w:rPr>
          <w:rFonts w:hint="eastAsia" w:ascii="宋体" w:hAnsi="宋体" w:cs="宋体"/>
          <w:bCs/>
          <w:color w:val="auto"/>
          <w:szCs w:val="21"/>
          <w:highlight w:val="none"/>
          <w:lang w:eastAsia="zh-CN"/>
        </w:rPr>
        <w:t xml:space="preserve">所规</w:t>
      </w:r>
      <w:r>
        <w:rPr>
          <w:rFonts w:hint="eastAsia" w:ascii="宋体" w:hAnsi="宋体" w:cs="宋体"/>
          <w:bCs/>
          <w:color w:val="auto"/>
          <w:szCs w:val="21"/>
          <w:highlight w:val="none"/>
        </w:rPr>
        <w:t xml:space="preserve">定产品，供方应无条件退换。</w:t>
      </w:r>
      <w:r/>
    </w:p>
    <w:p>
      <w:pPr>
        <w:ind w:firstLine="420"/>
        <w:spacing w:line="380" w:lineRule="exact"/>
        <w:rPr>
          <w:b/>
          <w:bCs/>
          <w:color w:val="auto"/>
          <w:szCs w:val="21"/>
          <w:highlight w:val="none"/>
        </w:rPr>
      </w:pPr>
      <w:r>
        <w:rPr>
          <w:rFonts w:hint="eastAsia"/>
          <w:b/>
          <w:bCs/>
          <w:color w:val="auto"/>
          <w:szCs w:val="21"/>
          <w:highlight w:val="none"/>
        </w:rPr>
        <w:t xml:space="preserve">十一、政策执行</w:t>
      </w:r>
      <w:r/>
    </w:p>
    <w:p>
      <w:pPr>
        <w:ind w:firstLine="420"/>
        <w:spacing w:line="380" w:lineRule="exact"/>
        <w:rPr>
          <w:color w:val="auto"/>
          <w:sz w:val="21"/>
          <w:szCs w:val="21"/>
          <w:highlight w:val="none"/>
        </w:rPr>
      </w:pPr>
      <w:r>
        <w:rPr>
          <w:rFonts w:hint="eastAsia"/>
          <w:color w:val="auto"/>
          <w:sz w:val="21"/>
          <w:szCs w:val="21"/>
          <w:highlight w:val="none"/>
        </w:rPr>
        <w:t xml:space="preserve">1、本次招标</w:t>
      </w:r>
      <w:r>
        <w:rPr>
          <w:rFonts w:hint="eastAsia"/>
          <w:color w:val="auto"/>
          <w:sz w:val="21"/>
          <w:szCs w:val="21"/>
          <w:highlight w:val="none"/>
          <w:lang w:val="en-US" w:eastAsia="zh-CN"/>
        </w:rPr>
        <w:t xml:space="preserve">不</w:t>
      </w:r>
      <w:r>
        <w:rPr>
          <w:rFonts w:hint="eastAsia"/>
          <w:color w:val="auto"/>
          <w:sz w:val="21"/>
          <w:szCs w:val="21"/>
          <w:highlight w:val="none"/>
        </w:rPr>
        <w:t xml:space="preserve">接受进口</w:t>
      </w:r>
      <w:r>
        <w:rPr>
          <w:rFonts w:hint="eastAsia"/>
          <w:color w:val="auto"/>
          <w:sz w:val="21"/>
          <w:szCs w:val="21"/>
          <w:highlight w:val="none"/>
          <w:lang w:val="en-US" w:eastAsia="zh-CN"/>
        </w:rPr>
        <w:t xml:space="preserve">产品</w:t>
      </w:r>
      <w:r>
        <w:rPr>
          <w:rFonts w:hint="eastAsia"/>
          <w:color w:val="auto"/>
          <w:sz w:val="21"/>
          <w:szCs w:val="21"/>
          <w:highlight w:val="none"/>
        </w:rPr>
        <w:t xml:space="preserve">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color w:val="auto"/>
          <w:sz w:val="21"/>
          <w:szCs w:val="21"/>
          <w:highlight w:val="none"/>
        </w:rPr>
      </w:pPr>
      <w:r>
        <w:rPr>
          <w:rFonts w:hint="eastAsia"/>
          <w:color w:val="auto"/>
          <w:sz w:val="21"/>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color w:val="auto"/>
          <w:sz w:val="21"/>
          <w:szCs w:val="21"/>
          <w:highlight w:val="none"/>
        </w:rPr>
      </w:pPr>
      <w:r>
        <w:rPr>
          <w:rFonts w:hint="eastAsia"/>
          <w:color w:val="auto"/>
          <w:sz w:val="21"/>
          <w:szCs w:val="21"/>
          <w:highlight w:val="none"/>
        </w:rPr>
        <w:t xml:space="preserve">（1）根据《政府采购促进中小企业发展管理办法》（财库〔2020〕46号）、《关于做好政府采购支持企业发展有关事项的通知》（苏财购〔2020〕52号）及《关于印</w:t>
      </w:r>
      <w:r>
        <w:rPr>
          <w:rFonts w:hint="eastAsia"/>
          <w:color w:val="auto"/>
          <w:sz w:val="21"/>
          <w:szCs w:val="21"/>
          <w:highlight w:val="none"/>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color w:val="auto"/>
          <w:sz w:val="21"/>
          <w:szCs w:val="21"/>
          <w:highlight w:val="none"/>
        </w:rPr>
      </w:pPr>
      <w:r>
        <w:rPr>
          <w:rFonts w:hint="eastAsia"/>
          <w:color w:val="auto"/>
          <w:sz w:val="21"/>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80" w:lineRule="exact"/>
        <w:rPr>
          <w:color w:val="auto"/>
          <w:sz w:val="21"/>
          <w:szCs w:val="21"/>
          <w:highlight w:val="none"/>
        </w:rPr>
      </w:pPr>
      <w:r>
        <w:rPr>
          <w:rFonts w:hint="eastAsia"/>
          <w:color w:val="auto"/>
          <w:sz w:val="21"/>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color w:val="auto"/>
          <w:sz w:val="21"/>
          <w:szCs w:val="21"/>
          <w:highlight w:val="none"/>
        </w:rPr>
      </w:pPr>
      <w:r>
        <w:rPr>
          <w:rFonts w:hint="eastAsia"/>
          <w:color w:val="auto"/>
          <w:sz w:val="21"/>
          <w:szCs w:val="21"/>
          <w:highlight w:val="none"/>
        </w:rPr>
        <w:t xml:space="preserve">（3）残疾人福利性单位（若为专门面向中小企业采购的项目或者采购包，不再执行价格评审优惠的扶持政策）</w:t>
      </w:r>
      <w:r/>
    </w:p>
    <w:p>
      <w:pPr>
        <w:ind w:firstLine="420"/>
        <w:spacing w:line="380" w:lineRule="exact"/>
        <w:rPr>
          <w:color w:val="auto"/>
          <w:sz w:val="21"/>
          <w:szCs w:val="21"/>
          <w:highlight w:val="none"/>
        </w:rPr>
      </w:pPr>
      <w:r>
        <w:rPr>
          <w:rFonts w:hint="eastAsia"/>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color w:val="auto"/>
          <w:sz w:val="21"/>
          <w:szCs w:val="21"/>
          <w:highlight w:val="none"/>
        </w:rPr>
      </w:pPr>
      <w:r>
        <w:rPr>
          <w:rFonts w:hint="eastAsia"/>
          <w:color w:val="auto"/>
          <w:sz w:val="21"/>
          <w:szCs w:val="21"/>
          <w:highlight w:val="none"/>
        </w:rPr>
        <w:t xml:space="preserve">（4）监狱企业（若为专门面向中小企业采购的项目或者采购包，不再执行价格评审优惠的扶持政策）</w:t>
      </w:r>
      <w:r/>
    </w:p>
    <w:p>
      <w:pPr>
        <w:ind w:firstLine="420"/>
        <w:spacing w:line="380" w:lineRule="exact"/>
        <w:rPr>
          <w:color w:val="auto"/>
          <w:sz w:val="21"/>
          <w:szCs w:val="21"/>
          <w:highlight w:val="none"/>
        </w:rPr>
      </w:pPr>
      <w:r>
        <w:rPr>
          <w:rFonts w:hint="eastAsia"/>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color w:val="auto"/>
          <w:sz w:val="21"/>
          <w:szCs w:val="21"/>
          <w:highlight w:val="none"/>
        </w:rPr>
      </w:pPr>
      <w:r>
        <w:rPr>
          <w:rFonts w:hint="eastAsia"/>
          <w:color w:val="auto"/>
          <w:sz w:val="21"/>
          <w:szCs w:val="21"/>
          <w:highlight w:val="none"/>
        </w:rPr>
        <w:t xml:space="preserve">（5）绿色采购</w:t>
      </w:r>
      <w:r/>
    </w:p>
    <w:p>
      <w:pPr>
        <w:ind w:firstLine="420"/>
        <w:spacing w:line="380" w:lineRule="exact"/>
        <w:rPr>
          <w:color w:val="auto"/>
          <w:sz w:val="21"/>
          <w:szCs w:val="21"/>
          <w:highlight w:val="none"/>
        </w:rPr>
      </w:pPr>
      <w:r>
        <w:rPr>
          <w:rFonts w:hint="eastAsia"/>
          <w:color w:val="auto"/>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color w:val="auto"/>
          <w:sz w:val="21"/>
          <w:szCs w:val="21"/>
          <w:highlight w:val="none"/>
        </w:rPr>
      </w:pPr>
      <w:r>
        <w:rPr>
          <w:rFonts w:hint="eastAsia"/>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color w:val="auto"/>
          <w:sz w:val="21"/>
          <w:szCs w:val="21"/>
          <w:highlight w:val="none"/>
        </w:rPr>
      </w:pPr>
      <w:r>
        <w:rPr>
          <w:rFonts w:hint="eastAsia"/>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rPr>
        <w:t xml:space="preserve">、政府采购中实施本国产品标准及相关政策</w:t>
      </w:r>
      <w:r/>
    </w:p>
    <w:p>
      <w:pPr>
        <w:ind w:firstLine="420"/>
        <w:spacing w:line="38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本项目对采购本国产品给予政策支持，具体内容见招标文件“第</w:t>
      </w:r>
      <w:r>
        <w:rPr>
          <w:rFonts w:hint="eastAsia" w:ascii="Times New Roman" w:hAnsi="Times New Roman" w:eastAsia="宋体" w:cs="Times New Roman"/>
          <w:color w:val="auto"/>
          <w:sz w:val="21"/>
          <w:szCs w:val="21"/>
          <w:highlight w:val="none"/>
          <w:lang w:val="en-US" w:eastAsia="zh-CN"/>
        </w:rPr>
        <w:t xml:space="preserve">七</w:t>
      </w:r>
      <w:r>
        <w:rPr>
          <w:rFonts w:hint="eastAsia" w:ascii="Times New Roman" w:hAnsi="Times New Roman" w:eastAsia="宋体" w:cs="Times New Roman"/>
          <w:color w:val="auto"/>
          <w:sz w:val="21"/>
          <w:szCs w:val="21"/>
          <w:highlight w:val="none"/>
        </w:rPr>
        <w:t xml:space="preserve">章 评标方法</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评</w:t>
      </w:r>
      <w:r>
        <w:rPr>
          <w:rFonts w:hint="eastAsia" w:ascii="Times New Roman" w:hAnsi="Times New Roman" w:eastAsia="宋体" w:cs="Times New Roman"/>
          <w:color w:val="auto"/>
          <w:sz w:val="21"/>
          <w:szCs w:val="21"/>
          <w:highlight w:val="none"/>
          <w:lang w:val="en-US" w:eastAsia="zh-CN"/>
        </w:rPr>
        <w:t xml:space="preserve">分</w:t>
      </w:r>
      <w:r>
        <w:rPr>
          <w:rFonts w:hint="eastAsia" w:ascii="Times New Roman" w:hAnsi="Times New Roman" w:eastAsia="宋体" w:cs="Times New Roman"/>
          <w:color w:val="auto"/>
          <w:sz w:val="21"/>
          <w:szCs w:val="21"/>
          <w:highlight w:val="none"/>
        </w:rPr>
        <w:t xml:space="preserve">标准”。</w:t>
      </w:r>
      <w:r/>
    </w:p>
    <w:p>
      <w:pPr>
        <w:ind w:firstLine="420"/>
        <w:spacing w:line="38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80" w:lineRule="exact"/>
        <w:rPr>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39"/>
        <w:rPr>
          <w:color w:val="auto"/>
          <w:highlight w:val="none"/>
        </w:rPr>
      </w:pPr>
      <w:r>
        <w:rPr>
          <w:color w:val="auto"/>
          <w:highlight w:val="none"/>
        </w:rPr>
      </w:r>
      <w:r/>
    </w:p>
    <w:p>
      <w:pPr>
        <w:ind w:firstLine="422"/>
        <w:spacing w:line="380" w:lineRule="exact"/>
        <w:rPr>
          <w:rFonts w:ascii="宋体" w:hAnsi="宋体" w:cs="宋体"/>
          <w:b/>
          <w:color w:val="auto"/>
          <w:szCs w:val="21"/>
          <w:highlight w:val="none"/>
        </w:rPr>
      </w:pPr>
      <w:r>
        <w:rPr>
          <w:rFonts w:hint="eastAsia" w:ascii="宋体" w:hAnsi="宋体" w:cs="宋体"/>
          <w:b/>
          <w:color w:val="auto"/>
          <w:szCs w:val="21"/>
          <w:highlight w:val="none"/>
        </w:rPr>
        <w:t xml:space="preserve">十二、综合说明及其它要求：</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1、投标人须明确所投设备生产厂家、品牌、型号等；须按照投标技术对照表格式对技术参数进行逐条应答、写出具体的数值，投标人必须对所有技术应答负责。</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2、货物到达采购人后，投标人应有专人负责看护并在7天内派工程技术人员到达现场，在采购人技术人员在场的情况下开箱清点货物，组织安装、调试及操作培训，并承担因此发生的一切费用。</w:t>
      </w:r>
      <w:r/>
    </w:p>
    <w:p>
      <w:pPr>
        <w:ind w:firstLine="420"/>
        <w:spacing w:line="380" w:lineRule="exact"/>
        <w:rPr>
          <w:rFonts w:ascii="宋体" w:hAnsi="宋体" w:cs="宋体"/>
          <w:bCs/>
          <w:color w:val="auto"/>
          <w:szCs w:val="21"/>
          <w:highlight w:val="none"/>
        </w:rPr>
      </w:pPr>
      <w:r/>
      <w:bookmarkStart w:id="10" w:name="OLE_LINK4"/>
      <w:r/>
      <w:bookmarkStart w:id="11" w:name="OLE_LINK3"/>
      <w:r>
        <w:rPr>
          <w:rFonts w:hint="eastAsia" w:ascii="宋体" w:hAnsi="宋体" w:cs="宋体"/>
          <w:bCs/>
          <w:color w:val="auto"/>
          <w:szCs w:val="21"/>
          <w:highlight w:val="none"/>
        </w:rPr>
        <w:t xml:space="preserve">3、设备如涉及易损件，需详细提供设备涉及的所有易损件名称、价格。成交后出现未列出的易损件的，视为免费使用，或者视为虚假应标。</w:t>
      </w:r>
      <w:bookmarkEnd w:id="10"/>
      <w:r/>
      <w:bookmarkEnd w:id="11"/>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4、投标人应提供软件版本免费升级服务（如有，在不涉及硬件情况下）。</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投标人不得以“密码”制约用户。如用户工作和维修需要，应无条件免费开放密码。</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w:t>
      </w:r>
      <w:r>
        <w:rPr>
          <w:rFonts w:hint="eastAsia" w:ascii="宋体" w:hAnsi="宋体" w:cs="宋体"/>
          <w:bCs/>
          <w:color w:val="auto"/>
          <w:szCs w:val="21"/>
          <w:highlight w:val="none"/>
          <w:lang w:eastAsia="zh-CN"/>
        </w:rPr>
        <w:t xml:space="preserve">人</w:t>
      </w:r>
      <w:r>
        <w:rPr>
          <w:rFonts w:hint="eastAsia" w:ascii="宋体" w:hAnsi="宋体" w:cs="宋体"/>
          <w:bCs/>
          <w:color w:val="auto"/>
          <w:szCs w:val="21"/>
          <w:highlight w:val="none"/>
        </w:rPr>
        <w:t xml:space="preserve">对采购人以后设备、系统永久无偿开放。</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如发生投标人怠于提供上述义务而导致采购人损失等,采购人有权要求投标人予以赔偿。</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5、采购人在院内设备维护、信息系统升级、他方软件接入等情况时，投标方无条件免费开放接口，并配合甲方工作。</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6、报价要求：投标总报价一次报定，包括全部内容的产品、材料、安装、调试、人工、机械、保险、运费、劳保、各种税费以及质保期间的一切费用。</w:t>
      </w:r>
      <w:r/>
    </w:p>
    <w:p>
      <w:pPr>
        <w:ind w:firstLine="420"/>
        <w:spacing w:line="380" w:lineRule="exact"/>
        <w:rPr>
          <w:rFonts w:ascii="宋体" w:hAnsi="宋体" w:cs="宋体"/>
          <w:bCs/>
          <w:color w:val="auto"/>
          <w:szCs w:val="21"/>
          <w:highlight w:val="none"/>
        </w:rPr>
      </w:pPr>
      <w:r>
        <w:rPr>
          <w:rFonts w:hint="eastAsia"/>
          <w:color w:val="auto"/>
          <w:szCs w:val="21"/>
          <w:highlight w:val="none"/>
        </w:rPr>
        <w:t xml:space="preserve">7、投标人的报价明显低于其他通过符合性审查投标人的报价，有可能影响产品质量或者不能诚信履约的，请在投标文件中提供证明其报价合理性书面说明，并提交相关证明材料，包含但不限于厂家说明、报关单（进口产品）、进货凭证、销售业绩等；投标人不能证明其报价合理性的，评标委员将其作为无效投标处理。</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8、付款方式：详见合同条款。</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9、交货要求：自合同签订生效后接甲方进场通知后15天内供货并安装调试结束且应通过甲方最终验收。</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10、交货及安装地点：由乙方负责办理运输将标的物送到采购人所在地。</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11、</w:t>
      </w:r>
      <w:r>
        <w:rPr>
          <w:rFonts w:ascii="宋体" w:hAnsi="宋体" w:cs="宋体"/>
          <w:bCs/>
          <w:color w:val="auto"/>
          <w:szCs w:val="21"/>
          <w:highlight w:val="none"/>
        </w:rPr>
        <w:t xml:space="preserve">凡涉及采购文件的补充说明和修改，均以</w:t>
      </w:r>
      <w:r>
        <w:rPr>
          <w:rFonts w:hint="eastAsia" w:ascii="宋体" w:hAnsi="宋体" w:cs="宋体"/>
          <w:bCs/>
          <w:color w:val="auto"/>
          <w:szCs w:val="21"/>
          <w:highlight w:val="none"/>
        </w:rPr>
        <w:t xml:space="preserve">江苏政府采购网、</w:t>
      </w:r>
      <w:r>
        <w:rPr>
          <w:rFonts w:ascii="宋体" w:hAnsi="宋体" w:cs="宋体"/>
          <w:bCs/>
          <w:color w:val="auto"/>
          <w:szCs w:val="21"/>
          <w:highlight w:val="none"/>
        </w:rPr>
        <w:t xml:space="preserve">苏州政府采购网上发布的通知为准。</w:t>
      </w:r>
      <w:bookmarkEnd w:id="9"/>
      <w:r/>
      <w:r/>
    </w:p>
    <w:p>
      <w:pPr>
        <w:jc w:val="center"/>
        <w:rPr>
          <w:rFonts w:ascii="宋体" w:hAnsi="宋体"/>
          <w:b/>
          <w:bCs/>
          <w:color w:val="auto"/>
          <w:sz w:val="32"/>
          <w:szCs w:val="32"/>
          <w:highlight w:val="none"/>
        </w:rPr>
      </w:pPr>
      <w:r/>
      <w:bookmarkStart w:id="12" w:name="_Hlk99527961"/>
      <w:r>
        <w:rPr>
          <w:rFonts w:ascii="宋体" w:hAnsi="宋体"/>
          <w:b/>
          <w:bCs/>
          <w:color w:val="auto"/>
          <w:sz w:val="32"/>
          <w:szCs w:val="32"/>
          <w:highlight w:val="none"/>
        </w:rPr>
        <w:br w:type="page" w:clear="all"/>
      </w:r>
      <w:r>
        <w:rPr>
          <w:rFonts w:hint="eastAsia" w:ascii="宋体" w:hAnsi="宋体"/>
          <w:b/>
          <w:bCs/>
          <w:color w:val="auto"/>
          <w:sz w:val="32"/>
          <w:szCs w:val="32"/>
          <w:highlight w:val="none"/>
        </w:rPr>
        <w:t xml:space="preserve">第五章合同一般条款</w:t>
      </w:r>
      <w:r/>
    </w:p>
    <w:p>
      <w:pPr>
        <w:spacing w:line="380" w:lineRule="exact"/>
        <w:rPr>
          <w:rFonts w:ascii="宋体" w:hAnsi="宋体"/>
          <w:b/>
          <w:color w:val="auto"/>
          <w:szCs w:val="21"/>
          <w:highlight w:val="none"/>
        </w:rPr>
      </w:pPr>
      <w:r>
        <w:rPr>
          <w:rFonts w:ascii="宋体" w:hAnsi="宋体"/>
          <w:b/>
          <w:color w:val="auto"/>
          <w:szCs w:val="21"/>
          <w:highlight w:val="none"/>
          <w:lang w:val="zh-CN"/>
        </w:rPr>
        <w:t xml:space="preserve">一、合同文件</w:t>
      </w:r>
      <w:r/>
    </w:p>
    <w:p>
      <w:pPr>
        <w:spacing w:line="380" w:lineRule="exact"/>
        <w:rPr>
          <w:rFonts w:ascii="宋体" w:hAnsi="宋体"/>
          <w:b/>
          <w:color w:val="auto"/>
          <w:szCs w:val="21"/>
          <w:highlight w:val="none"/>
        </w:rPr>
      </w:pPr>
      <w:r>
        <w:rPr>
          <w:rFonts w:ascii="宋体" w:hAnsi="宋体"/>
          <w:b/>
          <w:color w:val="auto"/>
          <w:szCs w:val="21"/>
          <w:highlight w:val="none"/>
        </w:rPr>
        <w:t xml:space="preserve">1. </w:t>
      </w:r>
      <w:r>
        <w:rPr>
          <w:rFonts w:ascii="宋体" w:hAnsi="宋体"/>
          <w:b/>
          <w:color w:val="auto"/>
          <w:szCs w:val="21"/>
          <w:highlight w:val="none"/>
          <w:lang w:val="zh-CN"/>
        </w:rPr>
        <w:t xml:space="preserve">合同文件适用法律</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1.1适用于合同文件的法律是中华人民共和国现行法律、法规及甲方所在地的地方性法规。</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2. 合同文件组成和解释顺序</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2.1合同文件的组成和解释顺序如下：</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2.1.1 合同的特殊性条款</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2.1.2 合同的一般性条款</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2.1.3 洽商、变更等明确双方权利义务的纪要、协议</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2.1.4 中标通知书、投标书和采购文件</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2.1.5 标准、规范和其它有关技术资料、技术要求</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2.2 合同的特殊性条款的效力优于合同的一般性条款的效力</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3. 合同文件使用文字</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3.1 合同文件使用中文书写、解释和说明</w:t>
      </w:r>
      <w:r/>
    </w:p>
    <w:p>
      <w:pPr>
        <w:ind w:firstLine="425"/>
        <w:spacing w:line="380" w:lineRule="exact"/>
        <w:rPr>
          <w:rFonts w:ascii="宋体" w:hAnsi="宋体"/>
          <w:color w:val="auto"/>
          <w:szCs w:val="21"/>
          <w:highlight w:val="none"/>
        </w:rPr>
      </w:pPr>
      <w:r>
        <w:rPr>
          <w:rFonts w:ascii="宋体" w:hAnsi="宋体"/>
          <w:color w:val="auto"/>
          <w:szCs w:val="21"/>
          <w:highlight w:val="none"/>
        </w:rPr>
        <w:t xml:space="preserve">3</w:t>
      </w:r>
      <w:r>
        <w:rPr>
          <w:rFonts w:ascii="宋体" w:hAnsi="宋体"/>
          <w:color w:val="auto"/>
          <w:szCs w:val="21"/>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二、标的物的一般条款</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4.  完整物权</w:t>
      </w:r>
      <w:r/>
    </w:p>
    <w:p>
      <w:pPr>
        <w:spacing w:line="380" w:lineRule="exact"/>
        <w:rPr>
          <w:rFonts w:ascii="宋体" w:hAnsi="宋体"/>
          <w:color w:val="auto"/>
          <w:szCs w:val="21"/>
          <w:highlight w:val="none"/>
        </w:rPr>
      </w:pPr>
      <w:r>
        <w:rPr>
          <w:rFonts w:ascii="宋体" w:hAnsi="宋体"/>
          <w:color w:val="auto"/>
          <w:szCs w:val="21"/>
          <w:highlight w:val="none"/>
          <w:lang w:val="zh-CN"/>
        </w:rPr>
        <w:t xml:space="preserve">对于出卖的标的物，乙方应当拥有完整物权，并且乙方负有保证第三人不得向甲方主张任何权利（包括知识产权）的义务。</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5.  质量保证</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5.1  乙方应保证</w:t>
      </w:r>
      <w:r>
        <w:rPr>
          <w:rFonts w:hint="eastAsia" w:ascii="宋体" w:hAnsi="宋体"/>
          <w:color w:val="auto"/>
          <w:szCs w:val="21"/>
          <w:highlight w:val="none"/>
          <w:lang w:val="zh-CN"/>
        </w:rPr>
        <w:t xml:space="preserve">所提</w:t>
      </w:r>
      <w:r>
        <w:rPr>
          <w:rFonts w:ascii="宋体" w:hAnsi="宋体"/>
          <w:color w:val="auto"/>
          <w:szCs w:val="21"/>
          <w:highlight w:val="none"/>
          <w:lang w:val="zh-CN"/>
        </w:rPr>
        <w:t xml:space="preserve">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5.3  除合同特殊条款规定外，合同条款中标的物的质量保证期均自标的物通过最终验收之日起计算，且质量保证期不低于___年。</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6.  包装</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80" w:lineRule="exact"/>
        <w:rPr>
          <w:rFonts w:ascii="宋体" w:hAnsi="宋体"/>
          <w:color w:val="auto"/>
          <w:szCs w:val="21"/>
          <w:highlight w:val="none"/>
        </w:rPr>
      </w:pPr>
      <w:r>
        <w:rPr>
          <w:rFonts w:ascii="宋体" w:hAnsi="宋体"/>
          <w:color w:val="auto"/>
          <w:szCs w:val="21"/>
          <w:highlight w:val="none"/>
          <w:lang w:val="zh-CN"/>
        </w:rPr>
        <w:t xml:space="preserve">7. </w:t>
      </w:r>
      <w:r>
        <w:rPr>
          <w:rFonts w:hint="eastAsia" w:ascii="宋体" w:hAnsi="宋体"/>
          <w:color w:val="auto"/>
          <w:szCs w:val="21"/>
          <w:highlight w:val="none"/>
          <w:lang w:val="zh-CN"/>
        </w:rPr>
        <w:t xml:space="preserve">售后服务</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7.1设备质保</w:t>
      </w:r>
      <w:r>
        <w:rPr>
          <w:rFonts w:hint="eastAsia" w:ascii="宋体" w:hAnsi="宋体"/>
          <w:color w:val="auto"/>
          <w:szCs w:val="21"/>
          <w:highlight w:val="none"/>
          <w:u w:val="single"/>
        </w:rPr>
        <w:t xml:space="preserve">    </w:t>
      </w:r>
      <w:r>
        <w:rPr>
          <w:rFonts w:hint="eastAsia" w:ascii="宋体" w:hAnsi="宋体"/>
          <w:color w:val="auto"/>
          <w:szCs w:val="21"/>
          <w:highlight w:val="none"/>
          <w:lang w:val="zh-CN"/>
        </w:rPr>
        <w:t xml:space="preserve">年；自设备验收合格之日起计算。质保期内，乙方对故障负责，货物更换、维修所涉及的有关费用及由此引起的相关损失由乙方承担，同时相应延长更换和修补零件的质量保证期。对于损坏的零部件，乙方应保证以不高于在设备生产地购买的一般价格提供给甲方。</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7.2按合同定期到货，安装前乙方需把设备资料报甲方审核；</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7.3终身维修并标明保修期后的具体维修维护事宜；</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7.4在质保期满后，乙方需长期提供优惠价格的主要零配件；</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7.5乙方保证接到故障电话后能保证2小时内到现场，如需更换设备或送修，必须在48小时内负责解决，且更换维修期间须提供备用设备以保证系统的正常运行。</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7.6伴随服务：质保期满后，提供设备最优惠的维修保养及零配件供应价格（具体细则由投标人在电子投标文件中填报）。</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三、标的物的交付、检验和验收</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8.标的物的交付</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8.1 标的物的所有权自标的物交付时转移。</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8.2 乙方应当按照约定的期限和约定的地点交付标的物。</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8.3 乙方应当按照约定或者交易习惯向甲方交付提取标的物单证以外的有关单证和资料。</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9. </w:t>
      </w:r>
      <w:r>
        <w:rPr>
          <w:rFonts w:hint="eastAsia" w:ascii="宋体" w:hAnsi="宋体"/>
          <w:color w:val="auto"/>
          <w:szCs w:val="21"/>
          <w:highlight w:val="none"/>
          <w:lang w:val="zh-CN"/>
        </w:rPr>
        <w:t xml:space="preserve">验收标准和方式：</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9.1验收条件：</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（1）乙方应在电子投标文件中提供一份验收大纲，在甲方确认后作为甲方验收的依据；</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（2）投标设备由甲方及有关部门进行验收；</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（3）设备到达采购方指定地点，应提前通知甲方，由甲方会同专业人员根据有关清单进行验收；</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（4）设备安装调试完成后，乙方需提供质保书、保修证明等书面资料，并按合同文件、国家制造和安装的标准等要求进行检测验收，质保期自出具验收合格报告之日起算。</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9.2验收方式：</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1）设备安装后，甲方按国家标准及厂方标准进行质量验收。乙方应向甲方提供详细的验收标准、验收手册。当双方对验收标准有争议时，可委托双方一致认可的国家相关权威检测中心进行检测，费用由供货方承担，只有在设备完全正常运转和甲方确认后，设备的安装工作才能认为已全部完成。</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（2）验收合格后，甲乙双方共同签署验收报告</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四、对标的物提出异议的时间和办法</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10.  对标的物提出异议的时间和办法 </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10.1甲方在验收过程中，应当于双方约定的检验期间内将标的物的数量或质量不符合约定的情形及处理方式以书面形式通知乙方。</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10.2如甲方在验收期满后既不出具验收合格证明又未提出书面异议的视为乙方所交标的物符合合同规定。</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10.3乙方应在收到甲方书面异议后七天内负责处理问题，否则将视为默认甲方提出的异议和处理意见。</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五、合同价款和支付</w:t>
      </w:r>
      <w:r/>
    </w:p>
    <w:p>
      <w:pPr>
        <w:spacing w:line="380" w:lineRule="exact"/>
        <w:rPr>
          <w:rFonts w:ascii="宋体" w:hAnsi="宋体"/>
          <w:b/>
          <w:bCs/>
          <w:color w:val="auto"/>
          <w:szCs w:val="21"/>
          <w:highlight w:val="none"/>
        </w:rPr>
      </w:pPr>
      <w:r>
        <w:rPr>
          <w:rFonts w:ascii="宋体" w:hAnsi="宋体"/>
          <w:b/>
          <w:bCs/>
          <w:color w:val="auto"/>
          <w:szCs w:val="21"/>
          <w:highlight w:val="none"/>
        </w:rPr>
        <w:t xml:space="preserve">11.  </w:t>
      </w:r>
      <w:r>
        <w:rPr>
          <w:rFonts w:ascii="宋体" w:hAnsi="宋体"/>
          <w:b/>
          <w:bCs/>
          <w:color w:val="auto"/>
          <w:szCs w:val="21"/>
          <w:highlight w:val="none"/>
          <w:lang w:val="zh-CN"/>
        </w:rPr>
        <w:t xml:space="preserve">合同价款和支付</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11.1本合同的结算货币为人民币，单位元。</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11.2乙方应按照双方签订的合同规定交货并在合同特殊条款规定的期限内持下列单据结算货款。</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11.2.1合格的销售发票；</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11.2.2甲方签收后的送货回单和验收合格证明。</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11.3 甲方应按合同特殊条款规定的期限和方式付款。</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11.4根据现行税法对甲方征收的与本合同有关的一切税费均由甲方承担；根据现行税法对乙方征收的与本合同有关的一切税费均由乙方承担。</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六、违约责任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12.1合同一方不履行合同义务或者履行合同义务不符合约定的，应当承担继续履行、采取补救措施或者赔偿损失等违约责任。</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t xml:space="preserve">12.2甲方违约责任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12.2.1在合同生效后，甲方要求退货的，应向乙方偿付合同总价款5%的违约金，违约金不足以补偿损失的，乙方有权要求甲方补足。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12.2.2</w:t>
      </w:r>
      <w:r>
        <w:rPr>
          <w:rFonts w:hint="eastAsia" w:ascii="宋体" w:hAnsi="宋体" w:cs="宋体"/>
          <w:color w:val="auto"/>
          <w:szCs w:val="21"/>
          <w:highlight w:val="none"/>
          <w:lang w:val="zh-CN"/>
        </w:rPr>
        <w:t xml:space="preserve">甲方逾期付款的应按照逾期付款金额的每天万分之四支付逾期付款违约金。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12.2.3</w:t>
      </w:r>
      <w:r>
        <w:rPr>
          <w:rFonts w:hint="eastAsia" w:ascii="宋体" w:hAnsi="宋体" w:cs="宋体"/>
          <w:color w:val="auto"/>
          <w:szCs w:val="21"/>
          <w:highlight w:val="none"/>
          <w:lang w:val="zh-CN"/>
        </w:rPr>
        <w:t xml:space="preserve">甲方违反合同规定，拒绝接收乙方交付的合格标的物，应当承担乙方由此造成的损失。</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12.3</w:t>
      </w:r>
      <w:r>
        <w:rPr>
          <w:rFonts w:hint="eastAsia" w:ascii="宋体" w:hAnsi="宋体" w:cs="宋体"/>
          <w:b/>
          <w:bCs/>
          <w:color w:val="auto"/>
          <w:szCs w:val="21"/>
          <w:highlight w:val="none"/>
          <w:lang w:val="zh-CN"/>
        </w:rPr>
        <w:t xml:space="preserve">乙方违约责任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12.3.1乙方不能交货（逾期超过十五天视为不能交货），或交货不合格从而影响甲方按期正常使用的，甲方有权解除合同，乙方向甲方偿付合同总价款5%的违约金，违约金不足以补偿损失的甲方有权要求乙方补足。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12.3.2</w:t>
      </w:r>
      <w:r>
        <w:rPr>
          <w:rFonts w:hint="eastAsia" w:ascii="宋体" w:hAnsi="宋体" w:cs="宋体"/>
          <w:color w:val="auto"/>
          <w:szCs w:val="21"/>
          <w:highlight w:val="none"/>
          <w:lang w:val="zh-CN"/>
        </w:rPr>
        <w:t xml:space="preserve">乙方逾期交货的，应在发货前与甲方协商，甲方仍需求的，乙方应立即发货并应按照逾期交货部分货款的每天千分之四支付逾期交货违约金，同时承担甲方因此遭致的损失费用。</w:t>
      </w:r>
      <w:r/>
    </w:p>
    <w:p>
      <w:pPr>
        <w:spacing w:line="380" w:lineRule="exact"/>
        <w:rPr>
          <w:rFonts w:ascii="宋体" w:hAnsi="宋体"/>
          <w:b/>
          <w:bCs/>
          <w:color w:val="auto"/>
          <w:szCs w:val="21"/>
          <w:highlight w:val="none"/>
        </w:rPr>
      </w:pPr>
      <w:r>
        <w:rPr>
          <w:rFonts w:hint="eastAsia" w:ascii="宋体" w:hAnsi="宋体"/>
          <w:b/>
          <w:bCs/>
          <w:color w:val="auto"/>
          <w:szCs w:val="21"/>
          <w:highlight w:val="none"/>
        </w:rPr>
        <w:t xml:space="preserve">七、</w:t>
      </w:r>
      <w:r>
        <w:rPr>
          <w:rFonts w:ascii="宋体" w:hAnsi="宋体"/>
          <w:b/>
          <w:bCs/>
          <w:color w:val="auto"/>
          <w:szCs w:val="21"/>
          <w:highlight w:val="none"/>
          <w:lang w:val="zh-CN"/>
        </w:rPr>
        <w:t xml:space="preserve">不可抗力</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.1 因不可抗力不能履行合同的，根据不可抗力的影响，部分或者全部免除责任。但合同一方迟延履行后发生不可抗力的，不能免除责任。</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.2 合同一方因不可抗力不能履行合同的，应当及时通知对方，以减轻可能给对方造成的损失，并应当在合理期限内提供证明。</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hint="eastAsia" w:ascii="宋体" w:hAnsi="宋体"/>
          <w:b/>
          <w:bCs/>
          <w:color w:val="auto"/>
          <w:szCs w:val="21"/>
          <w:highlight w:val="none"/>
          <w:lang w:val="zh-CN"/>
        </w:rPr>
        <w:t xml:space="preserve">八</w:t>
      </w:r>
      <w:r>
        <w:rPr>
          <w:rFonts w:ascii="宋体" w:hAnsi="宋体"/>
          <w:b/>
          <w:bCs/>
          <w:color w:val="auto"/>
          <w:szCs w:val="21"/>
          <w:highlight w:val="none"/>
          <w:lang w:val="zh-CN"/>
        </w:rPr>
        <w:t xml:space="preserve">、索赔</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1</w:t>
      </w:r>
      <w:r>
        <w:rPr>
          <w:rFonts w:hint="eastAsia" w:ascii="宋体" w:hAnsi="宋体"/>
          <w:b/>
          <w:bCs/>
          <w:color w:val="auto"/>
          <w:szCs w:val="21"/>
          <w:highlight w:val="none"/>
          <w:lang w:val="zh-CN"/>
        </w:rPr>
        <w:t xml:space="preserve">4</w:t>
      </w:r>
      <w:r>
        <w:rPr>
          <w:rFonts w:ascii="宋体" w:hAnsi="宋体"/>
          <w:b/>
          <w:bCs/>
          <w:color w:val="auto"/>
          <w:szCs w:val="21"/>
          <w:highlight w:val="none"/>
          <w:lang w:val="zh-CN"/>
        </w:rPr>
        <w:t xml:space="preserve">. 索赔</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.1甲方有权根据当地产品质量检验机构或其它有权部门出具的检验证书向乙方提出索赔。</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 在本合同规定的检验期和质量保证期内，如果乙方对甲方提出的索赔或差异有责任，则乙方应按甲方同意的下列一种或多种方式解决索赔事宜：</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.2.1 乙方同意退货，并按合同规定的货币将货款退还给甲方，并承担由此发生的一切损失和费用，包括利息、银行手续费、运费、保险费、检验费、仓储费、装卸费以及为保护退回标的物所需的其它必要费用。</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.2.2 根据标的物的低劣程度、损坏程度以及甲方遭受损失的数额，经双方协商确定降低标的物的价格。</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.4  甲方提出索赔的书面材料应报政府采购监督管理部门备案。同时乙方同意的索赔方案也应报政府采购监督管理部门备案。</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hint="eastAsia" w:ascii="宋体" w:hAnsi="宋体"/>
          <w:b/>
          <w:bCs/>
          <w:color w:val="auto"/>
          <w:szCs w:val="21"/>
          <w:highlight w:val="none"/>
          <w:lang w:val="zh-CN"/>
        </w:rPr>
        <w:t xml:space="preserve">九</w:t>
      </w:r>
      <w:r>
        <w:rPr>
          <w:rFonts w:ascii="宋体" w:hAnsi="宋体"/>
          <w:b/>
          <w:bCs/>
          <w:color w:val="auto"/>
          <w:szCs w:val="21"/>
          <w:highlight w:val="none"/>
          <w:lang w:val="zh-CN"/>
        </w:rPr>
        <w:t xml:space="preserve">、合同的解除和转让</w:t>
      </w:r>
      <w:r/>
    </w:p>
    <w:p>
      <w:pPr>
        <w:spacing w:line="380" w:lineRule="exact"/>
        <w:rPr>
          <w:rFonts w:ascii="宋体" w:hAnsi="宋体"/>
          <w:b/>
          <w:bCs/>
          <w:color w:val="auto"/>
          <w:szCs w:val="21"/>
          <w:highlight w:val="none"/>
        </w:rPr>
      </w:pPr>
      <w:r>
        <w:rPr>
          <w:rFonts w:ascii="宋体" w:hAnsi="宋体"/>
          <w:b/>
          <w:bCs/>
          <w:color w:val="auto"/>
          <w:szCs w:val="21"/>
          <w:highlight w:val="none"/>
        </w:rPr>
        <w:t xml:space="preserve">1</w:t>
      </w:r>
      <w:r>
        <w:rPr>
          <w:rFonts w:hint="eastAsia" w:ascii="宋体" w:hAnsi="宋体"/>
          <w:b/>
          <w:bCs/>
          <w:color w:val="auto"/>
          <w:szCs w:val="21"/>
          <w:highlight w:val="none"/>
        </w:rPr>
        <w:t xml:space="preserve">5</w:t>
      </w:r>
      <w:r>
        <w:rPr>
          <w:rFonts w:ascii="宋体" w:hAnsi="宋体"/>
          <w:b/>
          <w:bCs/>
          <w:color w:val="auto"/>
          <w:szCs w:val="21"/>
          <w:highlight w:val="none"/>
        </w:rPr>
        <w:t xml:space="preserve">. </w:t>
      </w:r>
      <w:r>
        <w:rPr>
          <w:rFonts w:ascii="宋体" w:hAnsi="宋体"/>
          <w:b/>
          <w:bCs/>
          <w:color w:val="auto"/>
          <w:szCs w:val="21"/>
          <w:highlight w:val="none"/>
          <w:lang w:val="zh-CN"/>
        </w:rPr>
        <w:t xml:space="preserve">合同的解除</w:t>
      </w:r>
      <w:r/>
    </w:p>
    <w:p>
      <w:pPr>
        <w:ind w:firstLine="425"/>
        <w:spacing w:line="38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w:t>
      </w:r>
      <w:r>
        <w:rPr>
          <w:rFonts w:ascii="宋体" w:hAnsi="宋体"/>
          <w:color w:val="auto"/>
          <w:szCs w:val="21"/>
          <w:highlight w:val="none"/>
        </w:rPr>
        <w:t xml:space="preserve">.1</w:t>
      </w:r>
      <w:r>
        <w:rPr>
          <w:rFonts w:ascii="宋体" w:hAnsi="宋体"/>
          <w:color w:val="auto"/>
          <w:szCs w:val="21"/>
          <w:highlight w:val="none"/>
          <w:lang w:val="zh-CN"/>
        </w:rPr>
        <w:t xml:space="preserve">有下列情形之一</w:t>
      </w:r>
      <w:r>
        <w:rPr>
          <w:rFonts w:ascii="宋体" w:hAnsi="宋体"/>
          <w:color w:val="auto"/>
          <w:szCs w:val="21"/>
          <w:highlight w:val="none"/>
        </w:rPr>
        <w:t xml:space="preserve">，</w:t>
      </w:r>
      <w:r>
        <w:rPr>
          <w:rFonts w:ascii="宋体" w:hAnsi="宋体"/>
          <w:color w:val="auto"/>
          <w:szCs w:val="21"/>
          <w:highlight w:val="none"/>
          <w:lang w:val="zh-CN"/>
        </w:rPr>
        <w:t xml:space="preserve">合同一方可以解除合同</w:t>
      </w:r>
      <w:r>
        <w:rPr>
          <w:rFonts w:ascii="宋体" w:hAnsi="宋体"/>
          <w:color w:val="auto"/>
          <w:szCs w:val="21"/>
          <w:highlight w:val="none"/>
        </w:rPr>
        <w:t xml:space="preserve">：</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.1.1 因不可抗力致使不能实现合同目的，未受不可抗力影响的一方有权解除合同；</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.1.2 因合同一方违约导致合同不能履行，另一方有权解除合同；</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.2 有权解除合同的一方，应当在违约事实或不可抗力发生之后三十天内书面通知对方以主张解除合同，合同在书面通知到达对方时解除。</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1</w:t>
      </w:r>
      <w:r>
        <w:rPr>
          <w:rFonts w:hint="eastAsia" w:ascii="宋体" w:hAnsi="宋体"/>
          <w:b/>
          <w:bCs/>
          <w:color w:val="auto"/>
          <w:szCs w:val="21"/>
          <w:highlight w:val="none"/>
          <w:lang w:val="zh-CN"/>
        </w:rPr>
        <w:t xml:space="preserve">6</w:t>
      </w:r>
      <w:r>
        <w:rPr>
          <w:rFonts w:ascii="宋体" w:hAnsi="宋体"/>
          <w:b/>
          <w:bCs/>
          <w:color w:val="auto"/>
          <w:szCs w:val="21"/>
          <w:highlight w:val="none"/>
          <w:lang w:val="zh-CN"/>
        </w:rPr>
        <w:t xml:space="preserve">. 合同的转让</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合同不得转让。</w:t>
      </w:r>
      <w:r/>
    </w:p>
    <w:p>
      <w:pPr>
        <w:spacing w:line="400" w:lineRule="exact"/>
        <w:rPr>
          <w:rFonts w:ascii="宋体" w:hAnsi="宋体"/>
          <w:b/>
          <w:bCs/>
          <w:color w:val="auto"/>
          <w:szCs w:val="21"/>
          <w:highlight w:val="none"/>
        </w:rPr>
        <w:outlineLvl w:val="0"/>
      </w:pPr>
      <w:r>
        <w:rPr>
          <w:rFonts w:hint="eastAsia" w:ascii="宋体" w:hAnsi="宋体"/>
          <w:b/>
          <w:bCs/>
          <w:color w:val="auto"/>
          <w:szCs w:val="21"/>
          <w:highlight w:val="none"/>
        </w:rPr>
        <w:t xml:space="preserve">十</w:t>
      </w:r>
      <w:r>
        <w:rPr>
          <w:rFonts w:ascii="宋体" w:hAnsi="宋体"/>
          <w:b/>
          <w:bCs/>
          <w:color w:val="auto"/>
          <w:szCs w:val="21"/>
          <w:highlight w:val="none"/>
          <w:lang w:val="zh-CN"/>
        </w:rPr>
        <w:t xml:space="preserve">、争议解决</w:t>
      </w:r>
      <w:r>
        <w:rPr>
          <w:rFonts w:hint="eastAsia" w:ascii="宋体" w:hAnsi="宋体"/>
          <w:b/>
          <w:bCs/>
          <w:color w:val="auto"/>
          <w:szCs w:val="21"/>
          <w:highlight w:val="none"/>
        </w:rPr>
        <w:t xml:space="preserve">及未尽事宜</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17.</w:t>
      </w:r>
      <w:r>
        <w:rPr>
          <w:rFonts w:ascii="宋体" w:hAnsi="宋体"/>
          <w:color w:val="auto"/>
          <w:szCs w:val="21"/>
          <w:highlight w:val="none"/>
        </w:rPr>
        <w:t xml:space="preserve">争议解决</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甲乙双方因合同发生争议，应在</w:t>
      </w:r>
      <w:r>
        <w:rPr>
          <w:rFonts w:hint="eastAsia" w:ascii="宋体" w:hAnsi="宋体"/>
          <w:color w:val="auto"/>
          <w:szCs w:val="21"/>
          <w:highlight w:val="none"/>
        </w:rPr>
        <w:t xml:space="preserve">代理机构</w:t>
      </w:r>
      <w:r>
        <w:rPr>
          <w:rFonts w:ascii="宋体" w:hAnsi="宋体"/>
          <w:color w:val="auto"/>
          <w:szCs w:val="21"/>
          <w:highlight w:val="none"/>
        </w:rPr>
        <w:t xml:space="preserve">的主持下进行调解，协商不成，任何一方可以向甲方所在地人民法院起诉。</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十一、附则</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18. </w:t>
      </w:r>
      <w:r>
        <w:rPr>
          <w:rFonts w:hint="eastAsia" w:ascii="宋体" w:hAnsi="宋体"/>
          <w:b/>
          <w:bCs/>
          <w:color w:val="auto"/>
          <w:szCs w:val="21"/>
          <w:highlight w:val="none"/>
          <w:lang w:val="zh-CN"/>
        </w:rPr>
        <w:t xml:space="preserve">合同份数。</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本合同一式四份，甲方两份、乙方及采购代理机构各执一份。</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 </w:t>
      </w:r>
      <w:r>
        <w:rPr>
          <w:rFonts w:hint="eastAsia" w:ascii="宋体" w:hAnsi="宋体"/>
          <w:b/>
          <w:bCs/>
          <w:color w:val="auto"/>
          <w:szCs w:val="21"/>
          <w:highlight w:val="none"/>
          <w:lang w:val="zh-CN"/>
        </w:rPr>
        <w:t xml:space="preserve">未尽事宜</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本合同未尽事宜应按《中华人民共和国政府采购法》及其它有关政府采购的法律法规的规定执行。</w:t>
      </w:r>
      <w:r/>
    </w:p>
    <w:p>
      <w:pPr>
        <w:jc w:val="center"/>
        <w:rPr>
          <w:rFonts w:ascii="宋体" w:hAnsi="宋体"/>
          <w:b/>
          <w:bCs/>
          <w:color w:val="auto"/>
          <w:sz w:val="32"/>
          <w:szCs w:val="32"/>
          <w:highlight w:val="none"/>
        </w:rPr>
      </w:pPr>
      <w:r>
        <w:rPr>
          <w:rFonts w:ascii="宋体" w:hAnsi="宋体"/>
          <w:color w:val="auto"/>
          <w:szCs w:val="21"/>
          <w:highlight w:val="none"/>
        </w:rPr>
        <w:br w:type="page" w:clear="all"/>
      </w:r>
      <w:r>
        <w:rPr>
          <w:rFonts w:hint="eastAsia" w:ascii="宋体" w:hAnsi="宋体"/>
          <w:b/>
          <w:bCs/>
          <w:color w:val="auto"/>
          <w:sz w:val="32"/>
          <w:szCs w:val="32"/>
          <w:highlight w:val="none"/>
        </w:rPr>
        <w:t xml:space="preserve">第六章 合同特殊条款</w:t>
      </w:r>
      <w:r/>
    </w:p>
    <w:p>
      <w:pPr>
        <w:ind w:firstLine="425"/>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5"/>
        <w:spacing w:line="400" w:lineRule="exact"/>
        <w:rPr>
          <w:color w:val="auto"/>
          <w:szCs w:val="21"/>
          <w:highlight w:val="none"/>
        </w:rPr>
      </w:pPr>
      <w:r>
        <w:rPr>
          <w:rFonts w:hAnsi="宋体"/>
          <w:color w:val="auto"/>
          <w:szCs w:val="21"/>
          <w:highlight w:val="none"/>
          <w:lang w:val="zh-CN"/>
        </w:rPr>
        <w:t xml:space="preserve">甲方：</w:t>
      </w:r>
      <w:r/>
    </w:p>
    <w:p>
      <w:pPr>
        <w:ind w:firstLine="425"/>
        <w:spacing w:line="400" w:lineRule="exact"/>
        <w:rPr>
          <w:color w:val="auto"/>
          <w:szCs w:val="21"/>
          <w:highlight w:val="none"/>
          <w:u w:val="single"/>
        </w:rPr>
      </w:pPr>
      <w:r>
        <w:rPr>
          <w:rFonts w:hAnsi="宋体"/>
          <w:color w:val="auto"/>
          <w:szCs w:val="21"/>
          <w:highlight w:val="none"/>
          <w:lang w:val="zh-CN"/>
        </w:rPr>
        <w:t xml:space="preserve">乙方：</w:t>
      </w:r>
      <w:r/>
    </w:p>
    <w:p>
      <w:pPr>
        <w:ind w:firstLine="425"/>
        <w:spacing w:line="400" w:lineRule="exact"/>
        <w:rPr>
          <w:color w:val="auto"/>
          <w:szCs w:val="21"/>
          <w:highlight w:val="none"/>
        </w:rPr>
      </w:pPr>
      <w:r>
        <w:rPr>
          <w:rFonts w:hAnsi="宋体"/>
          <w:color w:val="auto"/>
          <w:szCs w:val="21"/>
          <w:highlight w:val="none"/>
          <w:lang w:val="zh-CN"/>
        </w:rPr>
        <w:t xml:space="preserve">根据苏州市政府采购编</w:t>
      </w:r>
      <w:r>
        <w:rPr>
          <w:rFonts w:hint="eastAsia" w:hAnsi="宋体"/>
          <w:color w:val="auto"/>
          <w:szCs w:val="21"/>
          <w:highlight w:val="none"/>
          <w:lang w:val="zh-CN"/>
        </w:rPr>
        <w:t xml:space="preserve">号</w:t>
      </w:r>
      <w:r>
        <w:rPr>
          <w:rFonts w:hAnsi="宋体"/>
          <w:color w:val="auto"/>
          <w:szCs w:val="21"/>
          <w:highlight w:val="none"/>
          <w:lang w:val="zh-CN"/>
        </w:rPr>
        <w:t xml:space="preserve">采购文件及乙方中标的投标文件和中标通知书，甲乙双方就此次中标的事宜，签订本合同书。</w:t>
      </w:r>
      <w:r/>
    </w:p>
    <w:p>
      <w:pPr>
        <w:ind w:firstLine="420"/>
        <w:spacing w:line="400" w:lineRule="exact"/>
        <w:rPr>
          <w:color w:val="auto"/>
          <w:szCs w:val="21"/>
          <w:highlight w:val="none"/>
        </w:rPr>
      </w:pPr>
      <w:r>
        <w:rPr>
          <w:rFonts w:hAnsi="宋体"/>
          <w:color w:val="auto"/>
          <w:szCs w:val="21"/>
          <w:highlight w:val="none"/>
          <w:lang w:val="zh-CN"/>
        </w:rPr>
        <w:t xml:space="preserve">一、合同内容：</w:t>
      </w:r>
      <w:r/>
    </w:p>
    <w:p>
      <w:pPr>
        <w:ind w:firstLine="420"/>
        <w:spacing w:line="400" w:lineRule="exact"/>
        <w:rPr>
          <w:color w:val="auto"/>
          <w:szCs w:val="21"/>
          <w:highlight w:val="none"/>
        </w:rPr>
      </w:pPr>
      <w:r>
        <w:rPr>
          <w:color w:val="auto"/>
          <w:szCs w:val="21"/>
          <w:highlight w:val="none"/>
        </w:rPr>
        <w:t xml:space="preserve">1</w:t>
      </w:r>
      <w:r>
        <w:rPr>
          <w:rFonts w:hAnsi="宋体"/>
          <w:color w:val="auto"/>
          <w:szCs w:val="21"/>
          <w:highlight w:val="none"/>
          <w:lang w:val="zh-CN"/>
        </w:rPr>
        <w:t xml:space="preserve">、乙方负责完成甲方的，详见《标的物清单》。</w:t>
      </w:r>
      <w:r/>
    </w:p>
    <w:p>
      <w:pPr>
        <w:ind w:firstLine="420"/>
        <w:spacing w:line="400" w:lineRule="exact"/>
        <w:rPr>
          <w:color w:val="auto"/>
          <w:szCs w:val="21"/>
          <w:highlight w:val="none"/>
        </w:rPr>
      </w:pPr>
      <w:r>
        <w:rPr>
          <w:color w:val="auto"/>
          <w:szCs w:val="21"/>
          <w:highlight w:val="none"/>
        </w:rPr>
        <w:t xml:space="preserve">2</w:t>
      </w:r>
      <w:r>
        <w:rPr>
          <w:rFonts w:hAnsi="宋体"/>
          <w:color w:val="auto"/>
          <w:szCs w:val="21"/>
          <w:highlight w:val="none"/>
          <w:lang w:val="zh-CN"/>
        </w:rPr>
        <w:t xml:space="preserve">、下列文件为本合同不可分割部分：</w:t>
      </w:r>
      <w:r/>
    </w:p>
    <w:p>
      <w:pPr>
        <w:ind w:firstLine="425"/>
        <w:spacing w:line="400" w:lineRule="exact"/>
        <w:rPr>
          <w:color w:val="auto"/>
          <w:szCs w:val="21"/>
          <w:highlight w:val="none"/>
        </w:rPr>
      </w:pPr>
      <w:r>
        <w:rPr>
          <w:color w:val="auto"/>
          <w:szCs w:val="21"/>
          <w:highlight w:val="none"/>
          <w:lang w:val="zh-CN"/>
        </w:rPr>
        <w:t xml:space="preserve">2.1</w:t>
      </w:r>
      <w:r>
        <w:rPr>
          <w:rFonts w:hAnsi="宋体"/>
          <w:color w:val="auto"/>
          <w:szCs w:val="21"/>
          <w:highlight w:val="none"/>
          <w:lang w:val="zh-CN"/>
        </w:rPr>
        <w:t xml:space="preserve">采购文件；</w:t>
      </w:r>
      <w:r/>
    </w:p>
    <w:p>
      <w:pPr>
        <w:ind w:firstLine="425"/>
        <w:spacing w:line="400" w:lineRule="exact"/>
        <w:rPr>
          <w:color w:val="auto"/>
          <w:szCs w:val="21"/>
          <w:highlight w:val="none"/>
        </w:rPr>
      </w:pPr>
      <w:r>
        <w:rPr>
          <w:color w:val="auto"/>
          <w:szCs w:val="21"/>
          <w:highlight w:val="none"/>
          <w:lang w:val="zh-CN"/>
        </w:rPr>
        <w:t xml:space="preserve">2.2</w:t>
      </w:r>
      <w:r>
        <w:rPr>
          <w:rFonts w:hAnsi="宋体"/>
          <w:color w:val="auto"/>
          <w:szCs w:val="21"/>
          <w:highlight w:val="none"/>
          <w:lang w:val="zh-CN"/>
        </w:rPr>
        <w:t xml:space="preserve">乙方中标的投标书；</w:t>
      </w:r>
      <w:r/>
    </w:p>
    <w:p>
      <w:pPr>
        <w:ind w:firstLine="425"/>
        <w:spacing w:line="400" w:lineRule="exact"/>
        <w:rPr>
          <w:color w:val="auto"/>
          <w:szCs w:val="21"/>
          <w:highlight w:val="none"/>
        </w:rPr>
      </w:pPr>
      <w:r>
        <w:rPr>
          <w:color w:val="auto"/>
          <w:szCs w:val="21"/>
          <w:highlight w:val="none"/>
          <w:lang w:val="zh-CN"/>
        </w:rPr>
        <w:t xml:space="preserve">2.3</w:t>
      </w:r>
      <w:r>
        <w:rPr>
          <w:rFonts w:hAnsi="宋体"/>
          <w:color w:val="auto"/>
          <w:szCs w:val="21"/>
          <w:highlight w:val="none"/>
          <w:lang w:val="zh-CN"/>
        </w:rPr>
        <w:t xml:space="preserve">乙方在招投标过程中所作的其他承诺、声明、书面澄清等；</w:t>
      </w:r>
      <w:r/>
    </w:p>
    <w:p>
      <w:pPr>
        <w:ind w:firstLine="425"/>
        <w:spacing w:line="400" w:lineRule="exact"/>
        <w:rPr>
          <w:color w:val="auto"/>
          <w:szCs w:val="21"/>
          <w:highlight w:val="none"/>
        </w:rPr>
      </w:pPr>
      <w:r>
        <w:rPr>
          <w:color w:val="auto"/>
          <w:szCs w:val="21"/>
          <w:highlight w:val="none"/>
          <w:lang w:val="zh-CN"/>
        </w:rPr>
        <w:t xml:space="preserve">2.4</w:t>
      </w:r>
      <w:r>
        <w:rPr>
          <w:rFonts w:hAnsi="宋体"/>
          <w:color w:val="auto"/>
          <w:szCs w:val="21"/>
          <w:highlight w:val="none"/>
          <w:lang w:val="zh-CN"/>
        </w:rPr>
        <w:t xml:space="preserve">中标通知书。</w:t>
      </w:r>
      <w:r/>
    </w:p>
    <w:p>
      <w:pPr>
        <w:ind w:firstLine="420"/>
        <w:spacing w:line="400" w:lineRule="exact"/>
        <w:rPr>
          <w:color w:val="auto"/>
          <w:szCs w:val="21"/>
          <w:highlight w:val="none"/>
        </w:rPr>
      </w:pPr>
      <w:r>
        <w:rPr>
          <w:rFonts w:hAnsi="宋体"/>
          <w:color w:val="auto"/>
          <w:szCs w:val="21"/>
          <w:highlight w:val="none"/>
          <w:lang w:val="zh-CN"/>
        </w:rPr>
        <w:t xml:space="preserve">二、价格与支付：</w:t>
      </w:r>
      <w:r/>
    </w:p>
    <w:p>
      <w:pPr>
        <w:ind w:firstLine="420"/>
        <w:spacing w:line="400" w:lineRule="exact"/>
        <w:rPr>
          <w:color w:val="auto"/>
          <w:szCs w:val="21"/>
          <w:highlight w:val="none"/>
        </w:rPr>
      </w:pPr>
      <w:r>
        <w:rPr>
          <w:color w:val="auto"/>
          <w:highlight w:val="none"/>
          <w:lang w:val="zh-CN"/>
        </w:rPr>
        <w:t xml:space="preserve">1</w:t>
      </w:r>
      <w:r>
        <w:rPr>
          <w:rFonts w:hint="eastAsia"/>
          <w:color w:val="auto"/>
          <w:highlight w:val="none"/>
          <w:lang w:val="zh-CN"/>
        </w:rPr>
        <w:t xml:space="preserve">、合同价格按此次中标价格执行，合同总金额为人民币元，投标总价一次报定，</w:t>
      </w:r>
      <w:r>
        <w:rPr>
          <w:rFonts w:hint="eastAsia"/>
          <w:color w:val="auto"/>
          <w:szCs w:val="21"/>
          <w:highlight w:val="none"/>
        </w:rPr>
        <w:t xml:space="preserve">总报价</w:t>
      </w:r>
      <w:r>
        <w:rPr>
          <w:rFonts w:hint="eastAsia" w:ascii="宋体" w:hAnsi="宋体" w:cs="宋体"/>
          <w:color w:val="auto"/>
          <w:szCs w:val="21"/>
          <w:highlight w:val="none"/>
          <w:lang w:val="zh-CN"/>
        </w:rPr>
        <w:t xml:space="preserve">包括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施工审图费、</w:t>
      </w:r>
      <w:r>
        <w:rPr>
          <w:rFonts w:hint="eastAsia" w:ascii="宋体" w:hAnsi="宋体" w:cs="宋体"/>
          <w:color w:val="auto"/>
          <w:szCs w:val="21"/>
          <w:highlight w:val="none"/>
        </w:rPr>
        <w:t xml:space="preserve">总包</w:t>
      </w:r>
      <w:r>
        <w:rPr>
          <w:rFonts w:hint="eastAsia" w:ascii="宋体" w:hAnsi="宋体" w:cs="宋体"/>
          <w:color w:val="auto"/>
          <w:szCs w:val="21"/>
          <w:highlight w:val="none"/>
          <w:lang w:val="zh-CN"/>
        </w:rPr>
        <w:t xml:space="preserve">现场施工配合费等各项应有费用</w:t>
      </w:r>
      <w:r>
        <w:rPr>
          <w:rFonts w:hint="eastAsia"/>
          <w:color w:val="auto"/>
          <w:szCs w:val="21"/>
          <w:highlight w:val="none"/>
        </w:rPr>
        <w:t xml:space="preserve">。</w:t>
      </w:r>
      <w:r/>
    </w:p>
    <w:p>
      <w:pPr>
        <w:ind w:firstLine="420"/>
        <w:spacing w:line="400" w:lineRule="exact"/>
        <w:rPr>
          <w:rFonts w:hAnsi="宋体"/>
          <w:color w:val="auto"/>
          <w:szCs w:val="21"/>
          <w:highlight w:val="none"/>
        </w:rPr>
      </w:pPr>
      <w:r>
        <w:rPr>
          <w:color w:val="auto"/>
          <w:szCs w:val="21"/>
          <w:highlight w:val="none"/>
        </w:rPr>
        <w:t xml:space="preserve">2</w:t>
      </w:r>
      <w:r>
        <w:rPr>
          <w:rFonts w:hAnsi="宋体"/>
          <w:color w:val="auto"/>
          <w:szCs w:val="21"/>
          <w:highlight w:val="none"/>
        </w:rPr>
        <w:t xml:space="preserve">、付款方式：</w:t>
      </w:r>
      <w:r/>
    </w:p>
    <w:p>
      <w:pPr>
        <w:ind w:firstLine="420"/>
        <w:spacing w:line="39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在政府采购合同签订生效后，待所有货物到达甲方指定地点，设备安装调试完毕，经甲方最终验收合格，并向甲方提供下列单据（A、B、C）后，甲方向乙方支付至合同总价的95％，余款5％在验收合格满一年后支付。</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lang w:val="zh-CN"/>
        </w:rPr>
        <w:t xml:space="preserve">A</w:t>
      </w:r>
      <w:r>
        <w:rPr>
          <w:rFonts w:hint="eastAsia" w:ascii="宋体" w:hAnsi="宋体" w:cs="宋体"/>
          <w:color w:val="auto"/>
          <w:szCs w:val="21"/>
          <w:highlight w:val="none"/>
          <w:lang w:val="zh-CN"/>
        </w:rPr>
        <w:t xml:space="preserve">、甲方签收的送货回单。</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lang w:val="zh-CN"/>
        </w:rPr>
        <w:t xml:space="preserve">B</w:t>
      </w:r>
      <w:r>
        <w:rPr>
          <w:rFonts w:hint="eastAsia" w:ascii="宋体" w:hAnsi="宋体" w:cs="宋体"/>
          <w:color w:val="auto"/>
          <w:szCs w:val="21"/>
          <w:highlight w:val="none"/>
          <w:lang w:val="zh-CN"/>
        </w:rPr>
        <w:t xml:space="preserve">、合格销售发票。</w:t>
      </w:r>
      <w:r/>
    </w:p>
    <w:p>
      <w:pPr>
        <w:ind w:firstLine="420"/>
        <w:spacing w:line="400" w:lineRule="exact"/>
        <w:rPr>
          <w:rFonts w:hint="eastAsia" w:ascii="宋体" w:hAnsi="宋体" w:cs="宋体"/>
          <w:color w:val="auto"/>
          <w:szCs w:val="21"/>
          <w:highlight w:val="none"/>
        </w:rPr>
      </w:pPr>
      <w:r>
        <w:rPr>
          <w:rFonts w:ascii="宋体" w:hAnsi="宋体" w:cs="宋体"/>
          <w:color w:val="auto"/>
          <w:szCs w:val="21"/>
          <w:highlight w:val="none"/>
          <w:lang w:val="zh-CN"/>
        </w:rPr>
        <w:t xml:space="preserve">C</w:t>
      </w:r>
      <w:r>
        <w:rPr>
          <w:rFonts w:hint="eastAsia" w:ascii="宋体" w:hAnsi="宋体" w:cs="宋体"/>
          <w:color w:val="auto"/>
          <w:szCs w:val="21"/>
          <w:highlight w:val="none"/>
          <w:lang w:val="zh-CN"/>
        </w:rPr>
        <w:t xml:space="preserve">、由甲乙双方及采购代理机构签章的《苏州市政府采购合同履行验收报告》。</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账户信息：</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乙方开户名称：</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开户银行：</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银行账号：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三、质量与验收：</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、乙方应按照标书的有关规定提供合格设备；</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、质保期内设备质量出现问题，乙方负责包修、包退、包换，费用由乙方承担；</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、设备的验收包括：数量、外观、质量、性能、质保单、包装和乙方承诺的其它指标；</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4</w:t>
      </w:r>
      <w:r>
        <w:rPr>
          <w:rFonts w:hint="eastAsia" w:ascii="宋体" w:hAnsi="宋体"/>
          <w:color w:val="auto"/>
          <w:szCs w:val="21"/>
          <w:highlight w:val="none"/>
          <w:lang w:val="zh-CN"/>
        </w:rPr>
        <w:t xml:space="preserve">、验收标准：根据标书要求及有关规定并按国家最新行业标准进行验收通过；</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、乙方交付验收时应先用书面方式通告甲方；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四、售后服务：</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1、质保期为   年；</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2、按照采购文件和乙方在投标书中承诺的服务执行。</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五、交货和安装：</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、交货时间：合同签订生效接甲方进场通知后</w:t>
      </w:r>
      <w:r>
        <w:rPr>
          <w:rFonts w:ascii="宋体" w:hAnsi="宋体"/>
          <w:color w:val="auto"/>
          <w:szCs w:val="21"/>
          <w:highlight w:val="none"/>
        </w:rPr>
        <w:t xml:space="preserve">30</w:t>
      </w:r>
      <w:r>
        <w:rPr>
          <w:rFonts w:hint="eastAsia" w:ascii="宋体" w:hAnsi="宋体"/>
          <w:color w:val="auto"/>
          <w:szCs w:val="21"/>
          <w:highlight w:val="none"/>
        </w:rPr>
        <w:t xml:space="preserve">天内供货并安装调试结束。</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、交货地点：由乙方负责办理运输将标的物送到采购人所在地。</w:t>
      </w:r>
      <w:r/>
    </w:p>
    <w:p>
      <w:pPr>
        <w:ind w:firstLine="420"/>
        <w:spacing w:line="39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如本项目标的物涉及商品包装及快递包装的情况，则乙方需要按照以下法规通知标准执行政府采购商品包装和快递包装要求。详见：关于《财政部办公厅生态环境部办公厅国家邮政局办公室关于印发〈商品包装政府采购需求标准（试行）〉、〈快递包装政府采购需求标准（试行）〉的通知》的通知（苏财办购〔</w:t>
      </w:r>
      <w:r>
        <w:rPr>
          <w:rFonts w:ascii="宋体" w:hAnsi="宋体"/>
          <w:color w:val="auto"/>
          <w:szCs w:val="21"/>
          <w:highlight w:val="none"/>
        </w:rPr>
        <w:t xml:space="preserve">2020</w:t>
      </w:r>
      <w:r>
        <w:rPr>
          <w:rFonts w:hint="eastAsia" w:ascii="宋体" w:hAnsi="宋体"/>
          <w:color w:val="auto"/>
          <w:szCs w:val="21"/>
          <w:highlight w:val="none"/>
        </w:rPr>
        <w:t xml:space="preserve">〕</w:t>
      </w:r>
      <w:r>
        <w:rPr>
          <w:rFonts w:ascii="宋体" w:hAnsi="宋体"/>
          <w:color w:val="auto"/>
          <w:szCs w:val="21"/>
          <w:highlight w:val="none"/>
        </w:rPr>
        <w:t xml:space="preserve">8</w:t>
      </w:r>
      <w:r>
        <w:rPr>
          <w:rFonts w:hint="eastAsia" w:ascii="宋体" w:hAnsi="宋体"/>
          <w:color w:val="auto"/>
          <w:szCs w:val="21"/>
          <w:highlight w:val="none"/>
        </w:rPr>
        <w:t xml:space="preserve">号）。</w:t>
      </w:r>
      <w:r/>
    </w:p>
    <w:p>
      <w:pPr>
        <w:ind w:firstLine="425"/>
        <w:spacing w:line="400" w:lineRule="exact"/>
        <w:rPr>
          <w:rFonts w:ascii="宋体" w:hAnsi="宋体"/>
          <w:color w:val="auto"/>
          <w:szCs w:val="21"/>
          <w:highlight w:val="none"/>
        </w:rPr>
        <w:outlineLvl w:val="0"/>
      </w:pPr>
      <w:r>
        <w:rPr>
          <w:rFonts w:hint="eastAsia" w:ascii="宋体" w:hAnsi="宋体"/>
          <w:color w:val="auto"/>
          <w:szCs w:val="21"/>
          <w:highlight w:val="none"/>
        </w:rPr>
        <w:t xml:space="preserve">六、违约责任：</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按采购文件的规定执行。</w:t>
      </w:r>
      <w:r/>
    </w:p>
    <w:p>
      <w:pPr>
        <w:ind w:firstLine="425"/>
        <w:spacing w:line="400" w:lineRule="exact"/>
        <w:rPr>
          <w:rFonts w:ascii="宋体" w:hAnsi="宋体"/>
          <w:color w:val="auto"/>
          <w:szCs w:val="21"/>
          <w:highlight w:val="none"/>
        </w:rPr>
        <w:outlineLvl w:val="0"/>
      </w:pPr>
      <w:r>
        <w:rPr>
          <w:rFonts w:hint="eastAsia" w:ascii="宋体" w:hAnsi="宋体"/>
          <w:color w:val="auto"/>
          <w:szCs w:val="21"/>
          <w:highlight w:val="none"/>
        </w:rPr>
        <w:t xml:space="preserve">七、合同生效及其它：</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、本合同在双方签名盖章后即生效。</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合同在执行过程中出现的未尽事宜，双方在不违背本合同和采购文件的原则下协商解决，协商结果以书面形式盖章记录在案，作为本合同的附件，与本合同具有同等效力，但需向政府采购管理部门和采购代理机构备存。</w:t>
      </w:r>
      <w:r/>
    </w:p>
    <w:p>
      <w:pPr>
        <w:ind w:firstLine="420"/>
        <w:spacing w:line="360" w:lineRule="auto"/>
        <w:rPr>
          <w:rFonts w:ascii="宋体" w:hAnsi="宋体" w:cs="宋体"/>
          <w:color w:val="auto"/>
          <w:szCs w:val="21"/>
          <w:highlight w:val="none"/>
        </w:rPr>
        <w:outlineLvl w:val="0"/>
      </w:pPr>
      <w:r>
        <w:rPr>
          <w:rFonts w:ascii="宋体" w:hAnsi="宋体" w:cs="宋体"/>
          <w:color w:val="auto"/>
          <w:szCs w:val="21"/>
          <w:highlight w:val="none"/>
        </w:rPr>
      </w:r>
      <w:bookmarkEnd w:id="12"/>
      <w:r/>
      <w:r/>
    </w:p>
    <w:p>
      <w:pPr>
        <w:jc w:val="center"/>
        <w:spacing w:line="400" w:lineRule="exact"/>
        <w:rPr>
          <w:rFonts w:hAnsi="宋体" w:cs="宋体"/>
          <w:color w:val="auto"/>
          <w:szCs w:val="21"/>
          <w:highlight w:val="none"/>
        </w:rPr>
      </w:pPr>
      <w:r>
        <w:rPr>
          <w:rFonts w:hAnsi="宋体" w:cs="宋体"/>
          <w:color w:val="auto"/>
          <w:szCs w:val="21"/>
          <w:highlight w:val="none"/>
        </w:rPr>
      </w:r>
      <w:r/>
    </w:p>
    <w:p>
      <w:pPr>
        <w:jc w:val="center"/>
        <w:rPr>
          <w:rFonts w:ascii="宋体" w:hAnsi="宋体"/>
          <w:b/>
          <w:bCs/>
          <w:color w:val="auto"/>
          <w:sz w:val="32"/>
          <w:szCs w:val="32"/>
          <w:highlight w:val="none"/>
        </w:rPr>
      </w:pPr>
      <w:r/>
      <w:bookmarkStart w:id="13" w:name="_Hlk99527987"/>
      <w:r/>
      <w:bookmarkStart w:id="14" w:name="_Hlk110605095"/>
      <w:r>
        <w:rPr>
          <w:rFonts w:ascii="宋体" w:hAnsi="宋体" w:cs="宋体"/>
          <w:b/>
          <w:bCs/>
          <w:color w:val="auto"/>
          <w:sz w:val="32"/>
          <w:szCs w:val="32"/>
          <w:highlight w:val="none"/>
          <w:lang w:val="zh-CN"/>
        </w:rPr>
        <w:br w:type="page" w:clear="all"/>
      </w:r>
      <w:bookmarkStart w:id="15" w:name="_Hlk63064420"/>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七</w:t>
      </w:r>
      <w:r>
        <w:rPr>
          <w:rFonts w:ascii="宋体" w:hAnsi="宋体"/>
          <w:b/>
          <w:bCs/>
          <w:color w:val="auto"/>
          <w:sz w:val="32"/>
          <w:szCs w:val="32"/>
          <w:highlight w:val="none"/>
        </w:rPr>
        <w:t xml:space="preserve">章 评标方法、评分标准</w:t>
      </w:r>
      <w:bookmarkEnd w:id="15"/>
      <w:r/>
      <w:r/>
    </w:p>
    <w:p>
      <w:pPr>
        <w:pStyle w:val="1054"/>
        <w:ind w:firstLine="422"/>
        <w:spacing w:line="400" w:lineRule="exact"/>
        <w:rPr>
          <w:rFonts w:hint="eastAsia" w:hAnsi="宋体" w:eastAsia="宋体" w:cs="宋体"/>
          <w:b/>
          <w:bCs/>
          <w:color w:val="auto"/>
          <w:sz w:val="21"/>
          <w:szCs w:val="21"/>
          <w:highlight w:val="none"/>
        </w:rPr>
        <w:outlineLvl w:val="0"/>
      </w:pPr>
      <w:r/>
      <w:bookmarkStart w:id="16" w:name="_Hlk124435630"/>
      <w:r>
        <w:rPr>
          <w:rFonts w:hint="eastAsia" w:hAnsi="宋体" w:eastAsia="宋体" w:cs="宋体"/>
          <w:b/>
          <w:bCs/>
          <w:color w:val="auto"/>
          <w:sz w:val="21"/>
          <w:szCs w:val="21"/>
          <w:highlight w:val="none"/>
        </w:rPr>
        <w:t xml:space="preserve">一、评标方法：</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2、</w:t>
      </w:r>
      <w:r>
        <w:rPr>
          <w:rFonts w:hAnsi="宋体" w:eastAsia="宋体"/>
          <w:color w:val="auto"/>
          <w:sz w:val="21"/>
          <w:szCs w:val="21"/>
          <w:highlight w:val="none"/>
        </w:rPr>
        <w:t xml:space="preserve">综合评分的主要因素为：价格、</w:t>
      </w:r>
      <w:r>
        <w:rPr>
          <w:rFonts w:hint="eastAsia" w:hAnsi="宋体" w:eastAsia="宋体"/>
          <w:color w:val="auto"/>
          <w:sz w:val="21"/>
          <w:szCs w:val="21"/>
          <w:highlight w:val="none"/>
        </w:rPr>
        <w:t xml:space="preserve">技术水平</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履约能力、售后</w:t>
      </w:r>
      <w:r>
        <w:rPr>
          <w:rFonts w:hAnsi="宋体" w:eastAsia="宋体"/>
          <w:color w:val="auto"/>
          <w:sz w:val="21"/>
          <w:szCs w:val="21"/>
          <w:highlight w:val="none"/>
        </w:rPr>
        <w:t xml:space="preserve">服务</w:t>
      </w:r>
      <w:r>
        <w:rPr>
          <w:rFonts w:hint="eastAsia" w:hAnsi="宋体" w:eastAsia="宋体"/>
          <w:color w:val="auto"/>
          <w:sz w:val="21"/>
          <w:szCs w:val="21"/>
          <w:highlight w:val="none"/>
        </w:rPr>
        <w:t xml:space="preserve">等，</w:t>
      </w:r>
      <w:r>
        <w:rPr>
          <w:rFonts w:hAnsi="宋体" w:eastAsia="宋体"/>
          <w:color w:val="auto"/>
          <w:sz w:val="21"/>
          <w:szCs w:val="21"/>
          <w:highlight w:val="none"/>
        </w:rPr>
        <w:t xml:space="preserve">对采购文件的响应程度，以及相应的商务标和技术标比重或者分值等。</w:t>
      </w:r>
      <w:r/>
    </w:p>
    <w:p>
      <w:pPr>
        <w:pStyle w:val="1054"/>
        <w:ind w:firstLine="422"/>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w:t>
      </w:r>
      <w:r>
        <w:rPr>
          <w:rFonts w:hAnsi="宋体" w:eastAsia="宋体"/>
          <w:color w:val="auto"/>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hAnsi="宋体" w:eastAsia="宋体"/>
          <w:color w:val="auto"/>
          <w:sz w:val="21"/>
          <w:szCs w:val="21"/>
          <w:highlight w:val="none"/>
        </w:rPr>
        <w:t xml:space="preserve">。</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评标结果按评审后得分由高到低顺序排列。</w:t>
      </w:r>
      <w:bookmarkStart w:id="17"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7"/>
      <w:r/>
      <w:r/>
    </w:p>
    <w:p>
      <w:pPr>
        <w:pStyle w:val="1054"/>
        <w:ind w:firstLine="420"/>
        <w:spacing w:line="400" w:lineRule="exact"/>
        <w:rPr>
          <w:rFonts w:hint="eastAsia" w:hAnsi="宋体" w:eastAsia="宋体" w:cs="宋体"/>
          <w:b/>
          <w:bCs/>
          <w:color w:val="auto"/>
          <w:sz w:val="21"/>
          <w:szCs w:val="21"/>
          <w:highlight w:val="none"/>
        </w:rPr>
      </w:pPr>
      <w:r>
        <w:rPr>
          <w:rFonts w:hAnsi="宋体" w:eastAsia="宋体" w:cs="宋体"/>
          <w:color w:val="auto"/>
          <w:sz w:val="21"/>
          <w:szCs w:val="21"/>
          <w:highlight w:val="none"/>
        </w:rPr>
        <w:t xml:space="preserve">5</w:t>
      </w:r>
      <w:r>
        <w:rPr>
          <w:rFonts w:hint="eastAsia" w:hAnsi="宋体" w:eastAsia="宋体" w:cs="宋体"/>
          <w:color w:val="auto"/>
          <w:sz w:val="21"/>
          <w:szCs w:val="21"/>
          <w:highlight w:val="none"/>
        </w:rPr>
        <w:t xml:space="preserve">、采购人已书面授权评标委员会直接确定中标供应商。</w:t>
      </w:r>
      <w:r/>
    </w:p>
    <w:p>
      <w:pPr>
        <w:pStyle w:val="1054"/>
        <w:ind w:firstLine="422"/>
        <w:spacing w:line="400" w:lineRule="exact"/>
        <w:rPr>
          <w:rFonts w:hint="eastAsia"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bookmarkEnd w:id="16"/>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1、本次采购的评标方法采用综合评分法，总分值为100分。</w:t>
      </w:r>
      <w:r/>
    </w:p>
    <w:p>
      <w:pPr>
        <w:pStyle w:val="745"/>
        <w:ind w:firstLine="420"/>
        <w:spacing w:line="400" w:lineRule="exact"/>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 xml:space="preserve">2、针对小微型企业的评审加分：</w:t>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2）投标人提供小型或微型企业、残疾人企业和监狱企业制造的货物，其价格在评审时给予20%的扣除，用扣除后的价格参与评审。如扣除后的价格为最低价的，则作为评审基准价，若最后中标，中标价格则以实际投标报价为准。</w:t>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（3）在本次货物采购项目中，货物由小微企业制造，即货物由小微企业生产且使用该小微企业商号或者注册商标的，可享受价格评审优惠。</w:t>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（4）投标人提供的货物既有中小企业制造货物，也有大型企业制造货物的，不享受优惠政策。</w:t>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（5）残疾人企业和监狱企业视同小微企业，享受价格评审优惠政策。</w:t>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（6）残疾人企业和监狱企业属于小型、微型企业的，不重复享受价格评审优惠政策。</w:t>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7）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745"/>
        <w:ind w:firstLine="420"/>
        <w:spacing w:line="400" w:lineRule="exact"/>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 xml:space="preserve">3、采购本国产品的支持政策</w:t>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（1）本项目政府采购活动中既有本国产品又有非本国产品参与竞争的，依法对本国产品给予价格评审优惠，对本国产品的报价给予  20%的价格扣除，用扣除后的价格参与评审。</w:t>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（3）供应商需按照招标文件的要求提供《关于符合本国产品标准的声明函》（以下简称《声明函》），如不提供将不享受本国产品价格评审优惠。</w:t>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45"/>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如投标人提供虚假材料，将按“政府采购法”相关规定处理并由政府监管部门给予严肃处理。</w:t>
      </w:r>
      <w:r/>
    </w:p>
    <w:p>
      <w:pPr>
        <w:pStyle w:val="745"/>
        <w:ind w:firstLine="422"/>
        <w:spacing w:line="400" w:lineRule="exact"/>
        <w:rPr>
          <w:rFonts w:ascii="Times New Roman" w:hAnsi="Times New Roman" w:eastAsia="宋体"/>
          <w:b/>
          <w:bCs/>
          <w:color w:val="auto"/>
          <w:sz w:val="21"/>
          <w:szCs w:val="21"/>
          <w:highlight w:val="none"/>
        </w:rPr>
      </w:pPr>
      <w:r>
        <w:rPr>
          <w:rFonts w:hint="eastAsia" w:ascii="Times New Roman" w:hAnsi="宋体" w:eastAsia="宋体"/>
          <w:b/>
          <w:bCs/>
          <w:color w:val="auto"/>
          <w:sz w:val="21"/>
          <w:szCs w:val="21"/>
          <w:highlight w:val="none"/>
        </w:rPr>
        <w:t xml:space="preserve">三</w:t>
      </w:r>
      <w:r>
        <w:rPr>
          <w:rFonts w:ascii="Times New Roman" w:hAnsi="宋体" w:eastAsia="宋体"/>
          <w:b/>
          <w:bCs/>
          <w:color w:val="auto"/>
          <w:sz w:val="21"/>
          <w:szCs w:val="21"/>
          <w:highlight w:val="none"/>
        </w:rPr>
        <w:t xml:space="preserve">、评分标准：</w:t>
      </w:r>
      <w:r/>
    </w:p>
    <w:p>
      <w:pPr>
        <w:pStyle w:val="1054"/>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（一）价格（30分）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投标报价得分=（评标基准价/投标报价）X价格权值X100（价格权值为30%）</w:t>
      </w:r>
      <w:r/>
    </w:p>
    <w:p>
      <w:pPr>
        <w:pStyle w:val="1054"/>
        <w:ind w:firstLine="422"/>
        <w:spacing w:line="400" w:lineRule="exact"/>
        <w:rPr>
          <w:rFonts w:hint="eastAsia" w:hAnsi="宋体" w:eastAsia="宋体" w:cs="宋体"/>
          <w:b/>
          <w:color w:val="auto"/>
          <w:sz w:val="21"/>
          <w:szCs w:val="21"/>
          <w:highlight w:val="none"/>
        </w:rPr>
      </w:pPr>
      <w:r>
        <w:rPr>
          <w:rFonts w:hint="eastAsia" w:hAnsi="宋体" w:eastAsia="宋体" w:cs="宋体"/>
          <w:b/>
          <w:color w:val="auto"/>
          <w:sz w:val="21"/>
          <w:szCs w:val="21"/>
          <w:highlight w:val="none"/>
        </w:rPr>
        <w:t xml:space="preserve">（二）技术参数比较（</w:t>
      </w:r>
      <w:r>
        <w:rPr>
          <w:rFonts w:hint="eastAsia" w:hAnsi="宋体" w:eastAsia="宋体" w:cs="宋体"/>
          <w:b/>
          <w:color w:val="auto"/>
          <w:sz w:val="21"/>
          <w:szCs w:val="21"/>
          <w:highlight w:val="none"/>
          <w:lang w:val="en-US" w:eastAsia="zh-CN"/>
        </w:rPr>
        <w:t xml:space="preserve">30</w:t>
      </w:r>
      <w:r>
        <w:rPr>
          <w:rFonts w:hint="eastAsia" w:hAnsi="宋体" w:eastAsia="宋体" w:cs="宋体"/>
          <w:b/>
          <w:color w:val="auto"/>
          <w:sz w:val="21"/>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投标单位结合第四章招标书中“三、采购设备技术要求及数量”中的参数进行响应，其中标★项参数</w:t>
      </w: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rPr>
        <w:t xml:space="preserve">项。</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评委会根据所投设备的技术参数响应情况进行打分。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1、注★项参数都符合采购要求，得30分。若出现负偏离，每负偏离一项扣</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分。扣完为止。</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、其余技术参数都</w:t>
      </w:r>
      <w:r>
        <w:rPr>
          <w:rFonts w:hint="eastAsia" w:ascii="宋体" w:hAnsi="宋体" w:cs="宋体"/>
          <w:bCs/>
          <w:color w:val="auto"/>
          <w:szCs w:val="21"/>
          <w:highlight w:val="none"/>
          <w:lang w:val="en-US" w:eastAsia="zh-CN"/>
        </w:rPr>
        <w:t xml:space="preserve">须</w:t>
      </w:r>
      <w:r>
        <w:rPr>
          <w:rFonts w:hint="eastAsia" w:ascii="宋体" w:hAnsi="宋体" w:cs="宋体"/>
          <w:bCs/>
          <w:color w:val="auto"/>
          <w:szCs w:val="21"/>
          <w:highlight w:val="none"/>
        </w:rPr>
        <w:t xml:space="preserve">符合</w:t>
      </w:r>
      <w:r>
        <w:rPr>
          <w:rFonts w:hint="eastAsia" w:ascii="宋体" w:hAnsi="宋体" w:cs="宋体"/>
          <w:bCs/>
          <w:color w:val="auto"/>
          <w:szCs w:val="21"/>
          <w:highlight w:val="none"/>
          <w:lang w:val="en-US" w:eastAsia="zh-CN"/>
        </w:rPr>
        <w:t xml:space="preserve">采购</w:t>
      </w:r>
      <w:r>
        <w:rPr>
          <w:rFonts w:hint="eastAsia" w:ascii="宋体" w:hAnsi="宋体" w:cs="宋体"/>
          <w:bCs/>
          <w:color w:val="auto"/>
          <w:szCs w:val="21"/>
          <w:highlight w:val="none"/>
        </w:rPr>
        <w:t xml:space="preserve">要求，</w:t>
      </w:r>
      <w:r>
        <w:rPr>
          <w:rFonts w:hint="eastAsia" w:ascii="宋体" w:hAnsi="宋体" w:cs="宋体"/>
          <w:bCs/>
          <w:color w:val="auto"/>
          <w:szCs w:val="21"/>
          <w:highlight w:val="none"/>
          <w:lang w:val="en-US" w:eastAsia="zh-CN"/>
        </w:rPr>
        <w:t xml:space="preserve">否则为无效投标。</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注：上述★的参数应当提供佐证材料加盖厂家公章，否则视为负偏离。其余技术参数应当一一对应提供技术对照表加盖投标单位公章，标明是否偏离。否则视为负偏离。</w:t>
      </w:r>
      <w:r/>
    </w:p>
    <w:p>
      <w:pPr>
        <w:ind w:firstLine="420"/>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（三）针对本项目实施方案情况比较（15分）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方案内容应包括但不限于①安装调试、测试、调优等内容，②人员组织架构，③工作时间进度表、工作程序和步骤，④管理和协调方法，⑤关键步骤的思路和要点。</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上述方案每缺少一项内容，或内容明显错误，或内容非专门针对本项目，或内容不能满足本项目实际需求的，每一项扣3分。</w:t>
      </w:r>
      <w:r/>
    </w:p>
    <w:p>
      <w:pPr>
        <w:ind w:firstLine="420"/>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（四）投标人培训方案情况比较（</w:t>
      </w:r>
      <w:r>
        <w:rPr>
          <w:rFonts w:hint="eastAsia" w:ascii="宋体" w:hAnsi="宋体" w:cs="宋体"/>
          <w:b/>
          <w:color w:val="auto"/>
          <w:szCs w:val="21"/>
          <w:highlight w:val="none"/>
          <w:lang w:val="en-US" w:eastAsia="zh-CN"/>
        </w:rPr>
        <w:t xml:space="preserve">12</w:t>
      </w:r>
      <w:r>
        <w:rPr>
          <w:rFonts w:hint="eastAsia" w:ascii="宋体" w:hAnsi="宋体" w:cs="宋体"/>
          <w:b/>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包括培训内容、时间、地点、人次、安装调试、配置及技能</w:t>
      </w:r>
      <w:r>
        <w:rPr>
          <w:rFonts w:hint="eastAsia" w:ascii="宋体" w:hAnsi="宋体" w:cs="宋体"/>
          <w:bCs/>
          <w:color w:val="auto"/>
          <w:szCs w:val="21"/>
          <w:highlight w:val="none"/>
          <w:lang w:val="en-US" w:eastAsia="zh-CN"/>
        </w:rPr>
        <w:t xml:space="preserve">支持</w:t>
      </w:r>
      <w:r>
        <w:rPr>
          <w:rFonts w:hint="eastAsia" w:ascii="宋体" w:hAnsi="宋体" w:cs="宋体"/>
          <w:bCs/>
          <w:color w:val="auto"/>
          <w:szCs w:val="21"/>
          <w:highlight w:val="none"/>
        </w:rPr>
        <w:t xml:space="preserve">、业务人员培训、应用操作及使用等。</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培训方案详细具体，可行性高，满足本项目实际需求的得</w:t>
      </w:r>
      <w:r>
        <w:rPr>
          <w:rFonts w:hint="eastAsia" w:ascii="宋体" w:hAnsi="宋体" w:cs="宋体"/>
          <w:bCs/>
          <w:color w:val="auto"/>
          <w:szCs w:val="21"/>
          <w:highlight w:val="none"/>
          <w:lang w:val="en-US" w:eastAsia="zh-CN"/>
        </w:rPr>
        <w:t xml:space="preserve">12</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上述方案有一项内容缺陷或一项明显错误或一项内容不能满足本项目实际需求的得</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上述方案有两处及以上内容缺陷或非专门针对本项目，或部分内容不能满足本项目实际需求的得</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其余情况不得分。</w:t>
      </w:r>
      <w:r/>
    </w:p>
    <w:p>
      <w:pPr>
        <w:ind w:firstLine="420"/>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（五）投标人售后服务方案情况比较（</w:t>
      </w:r>
      <w:r>
        <w:rPr>
          <w:rFonts w:hint="eastAsia" w:ascii="宋体" w:hAnsi="宋体" w:cs="宋体"/>
          <w:b/>
          <w:color w:val="auto"/>
          <w:szCs w:val="21"/>
          <w:highlight w:val="none"/>
          <w:lang w:val="en-US" w:eastAsia="zh-CN"/>
        </w:rPr>
        <w:t xml:space="preserve">10</w:t>
      </w:r>
      <w:r>
        <w:rPr>
          <w:rFonts w:hint="eastAsia" w:ascii="宋体" w:hAnsi="宋体" w:cs="宋体"/>
          <w:b/>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针对本项目制定的售后服务管理体系方案，包括售后服务机制、响应时间、故障解决等内容的合理性和可行性。</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售后服务方案详细具体，可行性高，满足本项目实际需求的得</w:t>
      </w: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上述方案有一项内容缺陷或一项明显错误或一项内容不能满足本项目实际需求的得</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上述方案有两处及以上内容缺陷或非专门针对本项目，或部分内容不能满足本项目实际需求的得</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其余情况不得分。</w:t>
      </w:r>
      <w:r/>
    </w:p>
    <w:p>
      <w:pPr>
        <w:ind w:firstLine="420"/>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（六）类似业绩（</w:t>
      </w:r>
      <w:r>
        <w:rPr>
          <w:rFonts w:hint="eastAsia" w:ascii="宋体" w:hAnsi="宋体" w:cs="宋体"/>
          <w:b/>
          <w:color w:val="auto"/>
          <w:szCs w:val="21"/>
          <w:highlight w:val="none"/>
          <w:lang w:val="en-US" w:eastAsia="zh-CN"/>
        </w:rPr>
        <w:t xml:space="preserve">3</w:t>
      </w:r>
      <w:r>
        <w:rPr>
          <w:rFonts w:hint="eastAsia" w:ascii="宋体" w:hAnsi="宋体" w:cs="宋体"/>
          <w:b/>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产品制造商自2021年1月至今类似项目业绩情况比较，每提供一份得1分，最高为</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分。（投标文件中需提供合同或中标通知书复印件）。</w:t>
      </w:r>
      <w:r/>
    </w:p>
    <w:p>
      <w:pPr>
        <w:pStyle w:val="1180"/>
        <w:spacing w:line="400" w:lineRule="exact"/>
        <w:rPr>
          <w:rFonts w:hAnsi="宋体" w:eastAsia="宋体"/>
          <w:color w:val="auto"/>
          <w:sz w:val="21"/>
          <w:szCs w:val="21"/>
          <w:highlight w:val="none"/>
        </w:rPr>
      </w:pPr>
      <w:r>
        <w:rPr>
          <w:rFonts w:hAnsi="宋体" w:eastAsia="宋体"/>
          <w:color w:val="auto"/>
          <w:sz w:val="21"/>
          <w:szCs w:val="21"/>
          <w:highlight w:val="none"/>
        </w:rPr>
      </w:r>
      <w:r/>
    </w:p>
    <w:p>
      <w:pPr>
        <w:pStyle w:val="1180"/>
        <w:jc w:val="right"/>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（全文完）</w:t>
      </w:r>
      <w:bookmarkEnd w:id="13"/>
      <w:r/>
      <w:bookmarkEnd w:id="14"/>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r>
      <w:rPr>
        <w:rFonts w:hint="eastAsia"/>
      </w:rPr>
      <w:t xml:space="preserve">第</w:t>
    </w:r>
    <w:r>
      <w:fldChar w:fldCharType="begin"/>
    </w:r>
    <w:r>
      <w:instrText xml:space="preserve">PAGE   \* MERGEFORMAT</w:instrText>
    </w:r>
    <w:r>
      <w:fldChar w:fldCharType="separate"/>
    </w:r>
    <w:r>
      <w:rPr>
        <w:lang w:val="zh-CN"/>
      </w:rPr>
      <w:t xml:space="preserve">54</w:t>
    </w:r>
    <w:r>
      <w:rPr>
        <w:lang w:val="zh-CN"/>
      </w:rPr>
      <w:fldChar w:fldCharType="end"/>
    </w:r>
    <w:r>
      <w:rPr>
        <w:rFonts w:hint="eastAsia"/>
      </w:rPr>
      <w:t xml:space="preserve">页 共</w:t>
    </w:r>
    <w:r>
      <w:rPr>
        <w:rFonts w:hint="eastAsia"/>
        <w:lang w:val="en-US" w:eastAsia="zh-CN"/>
      </w:rPr>
      <w:t xml:space="preserve">66</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pBdr>
        <w:bottom w:val="single" w:color="000000" w:sz="4" w:space="0"/>
      </w:pBdr>
    </w:pPr>
    <w:r>
      <w:rPr>
        <w:rFonts w:hint="eastAsia"/>
      </w:rPr>
      <w:t xml:space="preserve">苏州卫康采购文件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
    <w:multiLevelType w:val="hybridMultilevel"/>
    <w:lvl w:ilvl="0">
      <w:start w:val="1"/>
      <w:numFmt w:val="decimal"/>
      <w:pStyle w:val="709"/>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2">
    <w:multiLevelType w:val="hybridMultilevel"/>
    <w:lvl w:ilvl="0">
      <w:start w:val="1"/>
      <w:numFmt w:val="chineseCounting"/>
      <w:pStyle w:val="1023"/>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link w:val="118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69">
    <w:name w:val="Heading 1"/>
    <w:basedOn w:val="668"/>
    <w:next w:val="668"/>
    <w:uiPriority w:val="9"/>
    <w:qFormat/>
    <w:pPr>
      <w:keepLines/>
      <w:keepNext/>
      <w:spacing w:before="480" w:after="200"/>
      <w:outlineLvl w:val="0"/>
    </w:pPr>
    <w:rPr>
      <w:rFonts w:ascii="Arial" w:hAnsi="Arial" w:eastAsia="Arial" w:cs="Arial"/>
      <w:sz w:val="40"/>
      <w:szCs w:val="40"/>
    </w:rPr>
  </w:style>
  <w:style w:type="paragraph" w:styleId="670">
    <w:name w:val="Heading 2"/>
    <w:basedOn w:val="668"/>
    <w:next w:val="668"/>
    <w:uiPriority w:val="9"/>
    <w:unhideWhenUsed/>
    <w:qFormat/>
    <w:pPr>
      <w:keepLines/>
      <w:keepNext/>
      <w:spacing w:before="360" w:after="200"/>
      <w:outlineLvl w:val="1"/>
    </w:pPr>
    <w:rPr>
      <w:rFonts w:ascii="Arial" w:hAnsi="Arial" w:eastAsia="Arial" w:cs="Arial"/>
      <w:sz w:val="34"/>
    </w:rPr>
  </w:style>
  <w:style w:type="paragraph" w:styleId="671">
    <w:name w:val="Heading 3"/>
    <w:basedOn w:val="668"/>
    <w:next w:val="668"/>
    <w:uiPriority w:val="9"/>
    <w:unhideWhenUsed/>
    <w:qFormat/>
    <w:pPr>
      <w:keepLines/>
      <w:keepNext/>
      <w:spacing w:before="320" w:after="200"/>
      <w:outlineLvl w:val="2"/>
    </w:pPr>
    <w:rPr>
      <w:rFonts w:ascii="Arial" w:hAnsi="Arial" w:eastAsia="Arial" w:cs="Arial"/>
      <w:sz w:val="30"/>
      <w:szCs w:val="30"/>
    </w:rPr>
  </w:style>
  <w:style w:type="paragraph" w:styleId="672">
    <w:name w:val="Heading 4"/>
    <w:basedOn w:val="668"/>
    <w:next w:val="668"/>
    <w:uiPriority w:val="9"/>
    <w:unhideWhenUsed/>
    <w:qFormat/>
    <w:pPr>
      <w:keepLines/>
      <w:keepNext/>
      <w:spacing w:before="320" w:after="200"/>
      <w:outlineLvl w:val="3"/>
    </w:pPr>
    <w:rPr>
      <w:rFonts w:ascii="Arial" w:hAnsi="Arial" w:eastAsia="Arial" w:cs="Arial"/>
      <w:b/>
      <w:bCs/>
      <w:sz w:val="26"/>
      <w:szCs w:val="26"/>
    </w:rPr>
  </w:style>
  <w:style w:type="paragraph" w:styleId="673">
    <w:name w:val="Heading 5"/>
    <w:basedOn w:val="668"/>
    <w:next w:val="668"/>
    <w:uiPriority w:val="9"/>
    <w:unhideWhenUsed/>
    <w:qFormat/>
    <w:pPr>
      <w:keepLines/>
      <w:keepNext/>
      <w:spacing w:before="320" w:after="200"/>
      <w:outlineLvl w:val="4"/>
    </w:pPr>
    <w:rPr>
      <w:rFonts w:ascii="Arial" w:hAnsi="Arial" w:eastAsia="Arial" w:cs="Arial"/>
      <w:b/>
      <w:bCs/>
      <w:sz w:val="24"/>
      <w:szCs w:val="24"/>
    </w:rPr>
  </w:style>
  <w:style w:type="paragraph" w:styleId="674">
    <w:name w:val="Heading 6"/>
    <w:basedOn w:val="668"/>
    <w:next w:val="668"/>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uiPriority w:val="9"/>
    <w:unhideWhenUsed/>
    <w:qFormat/>
    <w:pPr>
      <w:keepLines/>
      <w:keepNext/>
      <w:spacing w:before="320" w:after="200"/>
      <w:outlineLvl w:val="8"/>
    </w:pPr>
    <w:rPr>
      <w:rFonts w:ascii="Arial" w:hAnsi="Arial" w:eastAsia="Arial" w:cs="Arial"/>
      <w:i/>
      <w:iCs/>
      <w:sz w:val="21"/>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toc 7"/>
    <w:basedOn w:val="668"/>
    <w:next w:val="668"/>
    <w:uiPriority w:val="39"/>
    <w:unhideWhenUsed/>
    <w:qFormat/>
    <w:pPr>
      <w:ind w:left="1701" w:right="0" w:firstLine="0"/>
      <w:spacing w:after="57"/>
    </w:pPr>
  </w:style>
  <w:style w:type="paragraph" w:styleId="681">
    <w:name w:val="Caption"/>
    <w:basedOn w:val="668"/>
    <w:next w:val="668"/>
    <w:uiPriority w:val="35"/>
    <w:semiHidden/>
    <w:unhideWhenUsed/>
    <w:qFormat/>
    <w:pPr>
      <w:spacing w:line="276" w:lineRule="auto"/>
    </w:pPr>
    <w:rPr>
      <w:b/>
      <w:bCs/>
      <w:color w:val="4f81bd" w:themeColor="accent1"/>
      <w:sz w:val="18"/>
      <w:szCs w:val="18"/>
    </w:rPr>
  </w:style>
  <w:style w:type="paragraph" w:styleId="682">
    <w:name w:val="toc 5"/>
    <w:basedOn w:val="668"/>
    <w:next w:val="668"/>
    <w:uiPriority w:val="39"/>
    <w:unhideWhenUsed/>
    <w:qFormat/>
    <w:pPr>
      <w:ind w:left="1134" w:right="0" w:firstLine="0"/>
      <w:spacing w:after="57"/>
    </w:pPr>
  </w:style>
  <w:style w:type="paragraph" w:styleId="683">
    <w:name w:val="toc 3"/>
    <w:basedOn w:val="668"/>
    <w:next w:val="668"/>
    <w:uiPriority w:val="39"/>
    <w:unhideWhenUsed/>
    <w:qFormat/>
    <w:pPr>
      <w:ind w:left="567" w:right="0" w:firstLine="0"/>
      <w:spacing w:after="57"/>
    </w:pPr>
  </w:style>
  <w:style w:type="paragraph" w:styleId="684">
    <w:name w:val="toc 8"/>
    <w:basedOn w:val="668"/>
    <w:next w:val="668"/>
    <w:uiPriority w:val="39"/>
    <w:unhideWhenUsed/>
    <w:qFormat/>
    <w:pPr>
      <w:ind w:left="1984" w:right="0" w:firstLine="0"/>
      <w:spacing w:after="57"/>
    </w:pPr>
  </w:style>
  <w:style w:type="paragraph" w:styleId="685">
    <w:name w:val="endnote text"/>
    <w:basedOn w:val="668"/>
    <w:uiPriority w:val="99"/>
    <w:semiHidden/>
    <w:unhideWhenUsed/>
    <w:qFormat/>
    <w:pPr>
      <w:spacing w:after="0" w:line="240" w:lineRule="auto"/>
    </w:pPr>
    <w:rPr>
      <w:sz w:val="20"/>
    </w:rPr>
  </w:style>
  <w:style w:type="paragraph" w:styleId="686">
    <w:name w:val="Footer"/>
    <w:basedOn w:val="668"/>
    <w:uiPriority w:val="99"/>
    <w:unhideWhenUsed/>
    <w:qFormat/>
    <w:pPr>
      <w:spacing w:after="0" w:line="240" w:lineRule="auto"/>
      <w:tabs>
        <w:tab w:val="center" w:pos="7143" w:leader="none"/>
        <w:tab w:val="right" w:pos="14287" w:leader="none"/>
      </w:tabs>
    </w:pPr>
  </w:style>
  <w:style w:type="paragraph" w:styleId="687">
    <w:name w:val="Header"/>
    <w:basedOn w:val="668"/>
    <w:uiPriority w:val="99"/>
    <w:unhideWhenUsed/>
    <w:qFormat/>
    <w:pPr>
      <w:spacing w:after="0" w:line="240" w:lineRule="auto"/>
      <w:tabs>
        <w:tab w:val="center" w:pos="7143" w:leader="none"/>
        <w:tab w:val="right" w:pos="14287" w:leader="none"/>
      </w:tabs>
    </w:pPr>
  </w:style>
  <w:style w:type="paragraph" w:styleId="688">
    <w:name w:val="toc 1"/>
    <w:basedOn w:val="668"/>
    <w:next w:val="668"/>
    <w:uiPriority w:val="39"/>
    <w:unhideWhenUsed/>
    <w:qFormat/>
    <w:pPr>
      <w:ind w:left="0" w:right="0" w:firstLine="0"/>
      <w:spacing w:after="57"/>
    </w:pPr>
  </w:style>
  <w:style w:type="paragraph" w:styleId="689">
    <w:name w:val="toc 4"/>
    <w:basedOn w:val="668"/>
    <w:next w:val="668"/>
    <w:uiPriority w:val="39"/>
    <w:unhideWhenUsed/>
    <w:qFormat/>
    <w:pPr>
      <w:ind w:left="850" w:right="0" w:firstLine="0"/>
      <w:spacing w:after="57"/>
    </w:pPr>
  </w:style>
  <w:style w:type="paragraph" w:styleId="690">
    <w:name w:val="Subtitle"/>
    <w:basedOn w:val="668"/>
    <w:next w:val="668"/>
    <w:uiPriority w:val="11"/>
    <w:qFormat/>
    <w:pPr>
      <w:spacing w:before="200" w:after="200"/>
    </w:pPr>
    <w:rPr>
      <w:sz w:val="24"/>
      <w:szCs w:val="24"/>
    </w:rPr>
  </w:style>
  <w:style w:type="paragraph" w:styleId="691">
    <w:name w:val="footnote text"/>
    <w:basedOn w:val="668"/>
    <w:uiPriority w:val="99"/>
    <w:semiHidden/>
    <w:unhideWhenUsed/>
    <w:qFormat/>
    <w:pPr>
      <w:spacing w:after="40" w:line="240" w:lineRule="auto"/>
    </w:pPr>
    <w:rPr>
      <w:sz w:val="18"/>
    </w:rPr>
  </w:style>
  <w:style w:type="paragraph" w:styleId="692">
    <w:name w:val="toc 6"/>
    <w:basedOn w:val="668"/>
    <w:next w:val="668"/>
    <w:uiPriority w:val="39"/>
    <w:unhideWhenUsed/>
    <w:qFormat/>
    <w:pPr>
      <w:ind w:left="1417" w:right="0" w:firstLine="0"/>
      <w:spacing w:after="57"/>
    </w:pPr>
  </w:style>
  <w:style w:type="paragraph" w:styleId="693">
    <w:name w:val="table of figures"/>
    <w:basedOn w:val="668"/>
    <w:next w:val="668"/>
    <w:uiPriority w:val="99"/>
    <w:unhideWhenUsed/>
    <w:qFormat/>
    <w:pPr>
      <w:spacing w:after="0" w:afterAutospacing="0"/>
    </w:pPr>
  </w:style>
  <w:style w:type="paragraph" w:styleId="694">
    <w:name w:val="toc 2"/>
    <w:basedOn w:val="668"/>
    <w:next w:val="668"/>
    <w:uiPriority w:val="39"/>
    <w:unhideWhenUsed/>
    <w:qFormat/>
    <w:pPr>
      <w:ind w:left="283" w:right="0" w:firstLine="0"/>
      <w:spacing w:after="57"/>
    </w:pPr>
  </w:style>
  <w:style w:type="paragraph" w:styleId="695">
    <w:name w:val="toc 9"/>
    <w:basedOn w:val="668"/>
    <w:next w:val="668"/>
    <w:uiPriority w:val="39"/>
    <w:unhideWhenUsed/>
    <w:qFormat/>
    <w:pPr>
      <w:ind w:left="2268" w:right="0" w:firstLine="0"/>
      <w:spacing w:after="57"/>
    </w:pPr>
  </w:style>
  <w:style w:type="paragraph" w:styleId="696">
    <w:name w:val="Title"/>
    <w:basedOn w:val="668"/>
    <w:next w:val="668"/>
    <w:uiPriority w:val="10"/>
    <w:qFormat/>
    <w:pPr>
      <w:contextualSpacing/>
      <w:spacing w:before="300" w:after="200"/>
    </w:pPr>
    <w:rPr>
      <w:sz w:val="48"/>
      <w:szCs w:val="48"/>
    </w:rPr>
  </w:style>
  <w:style w:type="table" w:styleId="69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8">
    <w:name w:val="endnote reference"/>
    <w:uiPriority w:val="99"/>
    <w:semiHidden/>
    <w:unhideWhenUsed/>
    <w:qFormat/>
    <w:rPr>
      <w:vertAlign w:val="superscript"/>
    </w:rPr>
  </w:style>
  <w:style w:type="character" w:styleId="699">
    <w:name w:val="Hyperlink"/>
    <w:uiPriority w:val="99"/>
    <w:unhideWhenUsed/>
    <w:qFormat/>
    <w:rPr>
      <w:color w:val="0000ff" w:themeColor="hyperlink"/>
      <w:u w:val="single"/>
    </w:rPr>
  </w:style>
  <w:style w:type="character" w:styleId="700">
    <w:name w:val="footnote reference"/>
    <w:uiPriority w:val="99"/>
    <w:unhideWhenUsed/>
    <w:qFormat/>
    <w:rPr>
      <w:vertAlign w:val="superscript"/>
    </w:rPr>
  </w:style>
  <w:style w:type="paragraph" w:styleId="701">
    <w:name w:val="List Paragraph"/>
    <w:basedOn w:val="668"/>
    <w:uiPriority w:val="34"/>
    <w:qFormat/>
    <w:pPr>
      <w:contextualSpacing/>
      <w:ind w:left="720"/>
    </w:pPr>
  </w:style>
  <w:style w:type="paragraph" w:styleId="702">
    <w:name w:val="No Spacing"/>
    <w:uiPriority w:val="1"/>
    <w:qFormat/>
    <w:pPr>
      <w:spacing w:before="0" w:after="0" w:line="240" w:lineRule="auto"/>
    </w:pPr>
    <w:rPr>
      <w:rFonts w:hint="default" w:ascii="Times New Roman" w:hAnsi="Times New Roman" w:eastAsia="宋体" w:cs="Times New Roman"/>
    </w:rPr>
  </w:style>
  <w:style w:type="paragraph" w:styleId="703">
    <w:name w:val="Quote"/>
    <w:basedOn w:val="668"/>
    <w:next w:val="668"/>
    <w:uiPriority w:val="29"/>
    <w:qFormat/>
    <w:pPr>
      <w:ind w:left="720" w:right="720"/>
    </w:pPr>
    <w:rPr>
      <w:i/>
    </w:rPr>
  </w:style>
  <w:style w:type="paragraph" w:styleId="704">
    <w:name w:val="Intense Quote"/>
    <w:basedOn w:val="668"/>
    <w:next w:val="6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05" w:customStyle="1">
    <w:name w:val="TOC Heading"/>
    <w:uiPriority w:val="39"/>
    <w:unhideWhenUsed/>
    <w:qFormat/>
    <w:rPr>
      <w:rFonts w:hint="default" w:ascii="Times New Roman" w:hAnsi="Times New Roman" w:eastAsia="宋体" w:cs="Times New Roman"/>
    </w:rPr>
  </w:style>
  <w:style w:type="paragraph" w:styleId="706" w:customStyle="1">
    <w:name w:val="标题 11"/>
    <w:basedOn w:val="668"/>
    <w:next w:val="668"/>
    <w:link w:val="718"/>
    <w:uiPriority w:val="0"/>
    <w:qFormat/>
    <w:pPr>
      <w:keepLines/>
      <w:keepNext/>
      <w:spacing w:before="340" w:after="330" w:line="576" w:lineRule="auto"/>
      <w:outlineLvl w:val="0"/>
    </w:pPr>
    <w:rPr>
      <w:rFonts w:eastAsia="楷体_GB2312"/>
      <w:b/>
      <w:sz w:val="44"/>
      <w:szCs w:val="20"/>
    </w:rPr>
  </w:style>
  <w:style w:type="paragraph" w:styleId="707" w:customStyle="1">
    <w:name w:val="标题 21"/>
    <w:basedOn w:val="668"/>
    <w:next w:val="668"/>
    <w:link w:val="719"/>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08" w:customStyle="1">
    <w:name w:val="标题 31"/>
    <w:basedOn w:val="668"/>
    <w:next w:val="668"/>
    <w:link w:val="720"/>
    <w:uiPriority w:val="0"/>
    <w:qFormat/>
    <w:pPr>
      <w:jc w:val="left"/>
      <w:keepLines/>
      <w:keepNext/>
      <w:spacing w:before="260" w:after="260" w:line="415" w:lineRule="auto"/>
      <w:widowControl/>
      <w:outlineLvl w:val="2"/>
    </w:pPr>
    <w:rPr>
      <w:b/>
      <w:bCs/>
      <w:sz w:val="32"/>
      <w:szCs w:val="32"/>
    </w:rPr>
  </w:style>
  <w:style w:type="paragraph" w:styleId="709" w:customStyle="1">
    <w:name w:val="标题 41"/>
    <w:basedOn w:val="668"/>
    <w:next w:val="668"/>
    <w:link w:val="721"/>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10" w:customStyle="1">
    <w:name w:val="标题 51"/>
    <w:basedOn w:val="668"/>
    <w:next w:val="668"/>
    <w:link w:val="722"/>
    <w:uiPriority w:val="0"/>
    <w:qFormat/>
    <w:pPr>
      <w:jc w:val="left"/>
      <w:keepLines/>
      <w:keepNext/>
      <w:spacing w:before="280" w:after="290" w:line="374" w:lineRule="auto"/>
      <w:widowControl/>
      <w:outlineLvl w:val="4"/>
    </w:pPr>
    <w:rPr>
      <w:b/>
      <w:bCs/>
      <w:sz w:val="28"/>
      <w:szCs w:val="28"/>
    </w:rPr>
  </w:style>
  <w:style w:type="paragraph" w:styleId="711" w:customStyle="1">
    <w:name w:val="标题 61"/>
    <w:basedOn w:val="668"/>
    <w:next w:val="668"/>
    <w:link w:val="723"/>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12" w:customStyle="1">
    <w:name w:val="标题 71"/>
    <w:basedOn w:val="668"/>
    <w:next w:val="668"/>
    <w:link w:val="724"/>
    <w:uiPriority w:val="0"/>
    <w:qFormat/>
    <w:pPr>
      <w:jc w:val="left"/>
      <w:keepLines/>
      <w:keepNext/>
      <w:spacing w:before="240" w:after="64" w:line="319" w:lineRule="auto"/>
      <w:widowControl/>
      <w:outlineLvl w:val="6"/>
    </w:pPr>
    <w:rPr>
      <w:b/>
      <w:bCs/>
      <w:sz w:val="24"/>
      <w:szCs w:val="24"/>
    </w:rPr>
  </w:style>
  <w:style w:type="paragraph" w:styleId="713" w:customStyle="1">
    <w:name w:val="标题 81"/>
    <w:basedOn w:val="668"/>
    <w:next w:val="714"/>
    <w:link w:val="725"/>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14" w:customStyle="1">
    <w:name w:val="正文缩进1"/>
    <w:basedOn w:val="668"/>
    <w:link w:val="726"/>
    <w:uiPriority w:val="0"/>
    <w:unhideWhenUsed/>
    <w:qFormat/>
    <w:pPr>
      <w:ind w:firstLine="420"/>
      <w:jc w:val="left"/>
    </w:pPr>
    <w:rPr>
      <w:rFonts w:ascii="楷体_GB2312" w:eastAsia="楷体_GB2312"/>
      <w:sz w:val="24"/>
      <w:szCs w:val="20"/>
    </w:rPr>
  </w:style>
  <w:style w:type="paragraph" w:styleId="715" w:customStyle="1">
    <w:name w:val="标题 91"/>
    <w:basedOn w:val="668"/>
    <w:next w:val="714"/>
    <w:link w:val="727"/>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16" w:customStyle="1">
    <w:name w:val="默认段落字体1"/>
    <w:link w:val="668"/>
    <w:uiPriority w:val="1"/>
    <w:unhideWhenUsed/>
    <w:qFormat/>
  </w:style>
  <w:style w:type="table" w:styleId="717" w:customStyle="1">
    <w:name w:val="普通表格1"/>
    <w:uiPriority w:val="99"/>
    <w:unhideWhenUsed/>
    <w:qFormat/>
    <w:tblPr/>
  </w:style>
  <w:style w:type="character" w:styleId="718" w:customStyle="1">
    <w:name w:val="标题 1 Char1"/>
    <w:link w:val="706"/>
    <w:uiPriority w:val="0"/>
    <w:qFormat/>
    <w:rPr>
      <w:rFonts w:ascii="Times New Roman" w:hAnsi="Times New Roman" w:eastAsia="楷体_GB2312"/>
      <w:b/>
      <w:sz w:val="44"/>
    </w:rPr>
  </w:style>
  <w:style w:type="character" w:styleId="719" w:customStyle="1">
    <w:name w:val="标题 2 Char1"/>
    <w:link w:val="707"/>
    <w:uiPriority w:val="0"/>
    <w:semiHidden/>
    <w:qFormat/>
    <w:rPr>
      <w:rFonts w:ascii="等线 Light" w:hAnsi="等线 Light" w:eastAsia="等线 Light"/>
      <w:b/>
      <w:bCs/>
      <w:sz w:val="32"/>
      <w:szCs w:val="32"/>
    </w:rPr>
  </w:style>
  <w:style w:type="character" w:styleId="720" w:customStyle="1">
    <w:name w:val="标题 3 Char1"/>
    <w:link w:val="708"/>
    <w:uiPriority w:val="0"/>
    <w:qFormat/>
    <w:rPr>
      <w:rFonts w:ascii="Times New Roman" w:hAnsi="Times New Roman"/>
      <w:b/>
      <w:bCs/>
      <w:sz w:val="32"/>
      <w:szCs w:val="32"/>
    </w:rPr>
  </w:style>
  <w:style w:type="character" w:styleId="721" w:customStyle="1">
    <w:name w:val="标题 4 Char1"/>
    <w:link w:val="709"/>
    <w:uiPriority w:val="0"/>
    <w:semiHidden/>
    <w:qFormat/>
    <w:rPr>
      <w:rFonts w:ascii="宋体" w:hAnsi="宋体" w:eastAsia="等线"/>
      <w:b/>
      <w:bCs/>
      <w:sz w:val="24"/>
      <w:szCs w:val="24"/>
      <w:u w:val="single"/>
    </w:rPr>
  </w:style>
  <w:style w:type="character" w:styleId="722" w:customStyle="1">
    <w:name w:val="标题 5 Char1"/>
    <w:link w:val="710"/>
    <w:uiPriority w:val="0"/>
    <w:semiHidden/>
    <w:qFormat/>
    <w:rPr>
      <w:rFonts w:ascii="Times New Roman" w:hAnsi="Times New Roman"/>
      <w:b/>
      <w:bCs/>
      <w:sz w:val="28"/>
      <w:szCs w:val="28"/>
    </w:rPr>
  </w:style>
  <w:style w:type="character" w:styleId="723" w:customStyle="1">
    <w:name w:val="标题 6 Char1"/>
    <w:link w:val="711"/>
    <w:uiPriority w:val="0"/>
    <w:semiHidden/>
    <w:qFormat/>
    <w:rPr>
      <w:rFonts w:ascii="Arial" w:hAnsi="Arial" w:eastAsia="黑体"/>
      <w:b/>
      <w:bCs/>
      <w:sz w:val="24"/>
      <w:szCs w:val="24"/>
    </w:rPr>
  </w:style>
  <w:style w:type="character" w:styleId="724" w:customStyle="1">
    <w:name w:val="标题 7 Char1"/>
    <w:link w:val="712"/>
    <w:uiPriority w:val="0"/>
    <w:semiHidden/>
    <w:qFormat/>
    <w:rPr>
      <w:rFonts w:ascii="Times New Roman" w:hAnsi="Times New Roman"/>
      <w:b/>
      <w:bCs/>
      <w:sz w:val="24"/>
      <w:szCs w:val="24"/>
    </w:rPr>
  </w:style>
  <w:style w:type="character" w:styleId="725" w:customStyle="1">
    <w:name w:val="标题 8 Char"/>
    <w:link w:val="713"/>
    <w:uiPriority w:val="0"/>
    <w:qFormat/>
    <w:rPr>
      <w:rFonts w:ascii="Arial" w:hAnsi="Arial" w:eastAsia="黑体"/>
      <w:sz w:val="24"/>
    </w:rPr>
  </w:style>
  <w:style w:type="character" w:styleId="726" w:customStyle="1">
    <w:name w:val="正文缩进 Char1"/>
    <w:link w:val="714"/>
    <w:uiPriority w:val="0"/>
    <w:qFormat/>
    <w:rPr>
      <w:rFonts w:ascii="楷体_GB2312" w:eastAsia="楷体_GB2312"/>
      <w:sz w:val="24"/>
    </w:rPr>
  </w:style>
  <w:style w:type="character" w:styleId="727" w:customStyle="1">
    <w:name w:val="标题 9 Char"/>
    <w:link w:val="715"/>
    <w:uiPriority w:val="0"/>
    <w:qFormat/>
    <w:rPr>
      <w:rFonts w:ascii="Arial" w:hAnsi="Arial" w:eastAsia="黑体"/>
      <w:sz w:val="21"/>
    </w:rPr>
  </w:style>
  <w:style w:type="paragraph" w:styleId="728" w:customStyle="1">
    <w:name w:val="列表 31"/>
    <w:basedOn w:val="668"/>
    <w:uiPriority w:val="0"/>
    <w:qFormat/>
    <w:pPr>
      <w:contextualSpacing/>
      <w:ind w:left="100" w:hanging="200"/>
      <w:jc w:val="left"/>
      <w:spacing w:line="360" w:lineRule="auto"/>
    </w:pPr>
    <w:rPr>
      <w:rFonts w:ascii="宋体" w:hAnsi="宋体"/>
      <w:sz w:val="24"/>
      <w:szCs w:val="20"/>
    </w:rPr>
  </w:style>
  <w:style w:type="paragraph" w:styleId="729" w:customStyle="1">
    <w:name w:val="目录 71"/>
    <w:basedOn w:val="668"/>
    <w:next w:val="668"/>
    <w:uiPriority w:val="39"/>
    <w:unhideWhenUsed/>
    <w:qFormat/>
    <w:pPr>
      <w:ind w:left="1701"/>
      <w:spacing w:after="57"/>
    </w:pPr>
  </w:style>
  <w:style w:type="paragraph" w:styleId="730" w:customStyle="1">
    <w:name w:val="题注1"/>
    <w:basedOn w:val="668"/>
    <w:next w:val="668"/>
    <w:uiPriority w:val="0"/>
    <w:qFormat/>
    <w:pPr>
      <w:contextualSpacing/>
      <w:ind w:firstLine="200"/>
      <w:jc w:val="left"/>
      <w:spacing w:line="360" w:lineRule="auto"/>
      <w:widowControl/>
    </w:pPr>
    <w:rPr>
      <w:rFonts w:ascii="Cambria" w:hAnsi="Cambria" w:eastAsia="黑体"/>
      <w:sz w:val="20"/>
      <w:szCs w:val="20"/>
    </w:rPr>
  </w:style>
  <w:style w:type="paragraph" w:styleId="731" w:customStyle="1">
    <w:name w:val="文档结构图1"/>
    <w:basedOn w:val="668"/>
    <w:link w:val="732"/>
    <w:uiPriority w:val="0"/>
    <w:unhideWhenUsed/>
    <w:qFormat/>
    <w:pPr>
      <w:jc w:val="left"/>
      <w:shd w:val="clear" w:color="auto" w:fill="000080"/>
      <w:widowControl/>
    </w:pPr>
    <w:rPr>
      <w:sz w:val="24"/>
      <w:szCs w:val="24"/>
    </w:rPr>
  </w:style>
  <w:style w:type="character" w:styleId="732" w:customStyle="1">
    <w:name w:val="文档结构图 Char1"/>
    <w:link w:val="731"/>
    <w:uiPriority w:val="0"/>
    <w:qFormat/>
    <w:rPr>
      <w:rFonts w:ascii="Times New Roman" w:hAnsi="Times New Roman"/>
      <w:sz w:val="24"/>
      <w:szCs w:val="24"/>
      <w:shd w:val="clear" w:color="auto" w:fill="000080"/>
    </w:rPr>
  </w:style>
  <w:style w:type="paragraph" w:styleId="733" w:customStyle="1">
    <w:name w:val="批注文字1"/>
    <w:basedOn w:val="668"/>
    <w:link w:val="734"/>
    <w:uiPriority w:val="0"/>
    <w:unhideWhenUsed/>
    <w:qFormat/>
    <w:pPr>
      <w:jc w:val="left"/>
      <w:widowControl/>
    </w:pPr>
    <w:rPr>
      <w:sz w:val="24"/>
      <w:szCs w:val="24"/>
    </w:rPr>
  </w:style>
  <w:style w:type="character" w:styleId="734" w:customStyle="1">
    <w:name w:val="批注文字 Char1"/>
    <w:link w:val="733"/>
    <w:uiPriority w:val="0"/>
    <w:qFormat/>
    <w:rPr>
      <w:rFonts w:ascii="Times New Roman" w:hAnsi="Times New Roman"/>
      <w:sz w:val="24"/>
      <w:szCs w:val="24"/>
    </w:rPr>
  </w:style>
  <w:style w:type="paragraph" w:styleId="735" w:customStyle="1">
    <w:name w:val="正文文本 311"/>
    <w:basedOn w:val="668"/>
    <w:link w:val="736"/>
    <w:uiPriority w:val="0"/>
    <w:qFormat/>
    <w:pPr>
      <w:contextualSpacing/>
      <w:ind w:firstLine="200"/>
      <w:jc w:val="center"/>
      <w:spacing w:line="440" w:lineRule="atLeast"/>
    </w:pPr>
    <w:rPr>
      <w:rFonts w:ascii="楷体_GB2312" w:hAnsi="宋体" w:eastAsia="楷体_GB2312"/>
      <w:b/>
      <w:color w:val="000000"/>
      <w:sz w:val="30"/>
      <w:szCs w:val="24"/>
    </w:rPr>
  </w:style>
  <w:style w:type="character" w:styleId="736" w:customStyle="1">
    <w:name w:val="正文文本 3 Char1"/>
    <w:link w:val="735"/>
    <w:uiPriority w:val="0"/>
    <w:qFormat/>
    <w:rPr>
      <w:rFonts w:ascii="楷体_GB2312" w:hAnsi="宋体" w:eastAsia="楷体_GB2312"/>
      <w:b/>
      <w:color w:val="000000"/>
      <w:sz w:val="30"/>
      <w:szCs w:val="24"/>
    </w:rPr>
  </w:style>
  <w:style w:type="paragraph" w:styleId="737" w:customStyle="1">
    <w:name w:val="正文文本11"/>
    <w:basedOn w:val="668"/>
    <w:link w:val="738"/>
    <w:uiPriority w:val="99"/>
    <w:qFormat/>
    <w:pPr>
      <w:jc w:val="left"/>
      <w:spacing w:line="360" w:lineRule="auto"/>
      <w:widowControl/>
    </w:pPr>
    <w:rPr>
      <w:sz w:val="24"/>
      <w:szCs w:val="20"/>
    </w:rPr>
  </w:style>
  <w:style w:type="character" w:styleId="738" w:customStyle="1">
    <w:name w:val="正文文本 Char1"/>
    <w:link w:val="737"/>
    <w:uiPriority w:val="99"/>
    <w:qFormat/>
    <w:rPr>
      <w:rFonts w:ascii="Times New Roman" w:hAnsi="Times New Roman"/>
      <w:sz w:val="24"/>
    </w:rPr>
  </w:style>
  <w:style w:type="paragraph" w:styleId="739" w:customStyle="1">
    <w:name w:val="正文文本缩进1"/>
    <w:basedOn w:val="668"/>
    <w:next w:val="668"/>
    <w:link w:val="740"/>
    <w:uiPriority w:val="99"/>
    <w:unhideWhenUsed/>
    <w:qFormat/>
    <w:pPr>
      <w:ind w:right="-159" w:firstLine="246"/>
      <w:spacing w:line="240" w:lineRule="atLeast"/>
    </w:pPr>
    <w:rPr>
      <w:spacing w:val="20"/>
      <w:szCs w:val="24"/>
    </w:rPr>
  </w:style>
  <w:style w:type="character" w:styleId="740" w:customStyle="1">
    <w:name w:val="正文文本缩进 Char"/>
    <w:link w:val="739"/>
    <w:uiPriority w:val="0"/>
    <w:qFormat/>
    <w:rPr>
      <w:rFonts w:ascii="Times New Roman" w:hAnsi="Times New Roman"/>
      <w:spacing w:val="20"/>
      <w:sz w:val="21"/>
      <w:szCs w:val="24"/>
    </w:rPr>
  </w:style>
  <w:style w:type="paragraph" w:styleId="741" w:customStyle="1">
    <w:name w:val="列表 21"/>
    <w:basedOn w:val="668"/>
    <w:uiPriority w:val="0"/>
    <w:qFormat/>
    <w:pPr>
      <w:contextualSpacing/>
      <w:ind w:left="100" w:hanging="200"/>
      <w:jc w:val="left"/>
      <w:spacing w:line="360" w:lineRule="auto"/>
    </w:pPr>
    <w:rPr>
      <w:rFonts w:ascii="宋体" w:hAnsi="宋体"/>
      <w:sz w:val="24"/>
      <w:szCs w:val="24"/>
    </w:rPr>
  </w:style>
  <w:style w:type="paragraph" w:styleId="742" w:customStyle="1">
    <w:name w:val="文本块1"/>
    <w:basedOn w:val="668"/>
    <w:uiPriority w:val="0"/>
    <w:unhideWhenUsed/>
    <w:qFormat/>
    <w:pPr>
      <w:ind w:left="630" w:right="-609" w:firstLine="420"/>
      <w:spacing w:line="360" w:lineRule="auto"/>
    </w:pPr>
    <w:rPr>
      <w:rFonts w:ascii="仿宋_GB2312" w:eastAsia="仿宋_GB2312"/>
      <w:szCs w:val="20"/>
    </w:rPr>
  </w:style>
  <w:style w:type="paragraph" w:styleId="743" w:customStyle="1">
    <w:name w:val="目录 51"/>
    <w:basedOn w:val="668"/>
    <w:next w:val="668"/>
    <w:uiPriority w:val="39"/>
    <w:unhideWhenUsed/>
    <w:qFormat/>
    <w:pPr>
      <w:ind w:left="1134"/>
      <w:spacing w:after="57"/>
    </w:pPr>
  </w:style>
  <w:style w:type="paragraph" w:styleId="744" w:customStyle="1">
    <w:name w:val="目录 31"/>
    <w:basedOn w:val="668"/>
    <w:next w:val="668"/>
    <w:uiPriority w:val="39"/>
    <w:unhideWhenUsed/>
    <w:qFormat/>
    <w:pPr>
      <w:ind w:left="567"/>
      <w:spacing w:after="57"/>
    </w:pPr>
  </w:style>
  <w:style w:type="paragraph" w:styleId="745" w:customStyle="1">
    <w:name w:val="纯文本111"/>
    <w:basedOn w:val="668"/>
    <w:link w:val="746"/>
    <w:uiPriority w:val="0"/>
    <w:qFormat/>
    <w:rPr>
      <w:rFonts w:ascii="宋体" w:hAnsi="Courier New" w:eastAsia="楷体_GB2312"/>
      <w:sz w:val="26"/>
      <w:szCs w:val="20"/>
    </w:rPr>
  </w:style>
  <w:style w:type="character" w:styleId="746" w:customStyle="1">
    <w:name w:val="纯文本 Char1"/>
    <w:link w:val="745"/>
    <w:uiPriority w:val="0"/>
    <w:qFormat/>
    <w:rPr>
      <w:rFonts w:ascii="宋体" w:hAnsi="Courier New" w:eastAsia="楷体_GB2312"/>
      <w:sz w:val="26"/>
    </w:rPr>
  </w:style>
  <w:style w:type="paragraph" w:styleId="747" w:customStyle="1">
    <w:name w:val="目录 81"/>
    <w:basedOn w:val="668"/>
    <w:next w:val="668"/>
    <w:uiPriority w:val="39"/>
    <w:unhideWhenUsed/>
    <w:qFormat/>
    <w:pPr>
      <w:ind w:left="1984"/>
      <w:spacing w:after="57"/>
    </w:pPr>
  </w:style>
  <w:style w:type="paragraph" w:styleId="748" w:customStyle="1">
    <w:name w:val="日期1"/>
    <w:basedOn w:val="668"/>
    <w:next w:val="668"/>
    <w:link w:val="749"/>
    <w:uiPriority w:val="99"/>
    <w:unhideWhenUsed/>
    <w:qFormat/>
    <w:pPr>
      <w:ind w:left="100"/>
    </w:pPr>
    <w:rPr>
      <w:b/>
      <w:bCs/>
      <w:spacing w:val="20"/>
      <w:szCs w:val="24"/>
    </w:rPr>
  </w:style>
  <w:style w:type="character" w:styleId="749" w:customStyle="1">
    <w:name w:val="日期 Char1"/>
    <w:link w:val="748"/>
    <w:uiPriority w:val="99"/>
    <w:qFormat/>
    <w:rPr>
      <w:rFonts w:ascii="Times New Roman" w:hAnsi="Times New Roman"/>
      <w:b/>
      <w:bCs/>
      <w:spacing w:val="20"/>
      <w:sz w:val="21"/>
      <w:szCs w:val="24"/>
    </w:rPr>
  </w:style>
  <w:style w:type="paragraph" w:styleId="750" w:customStyle="1">
    <w:name w:val="正文文本缩进 21"/>
    <w:basedOn w:val="668"/>
    <w:link w:val="751"/>
    <w:uiPriority w:val="0"/>
    <w:unhideWhenUsed/>
    <w:qFormat/>
    <w:pPr>
      <w:ind w:firstLine="460"/>
      <w:jc w:val="left"/>
      <w:spacing w:line="360" w:lineRule="auto"/>
      <w:widowControl/>
    </w:pPr>
    <w:rPr>
      <w:spacing w:val="20"/>
      <w:szCs w:val="24"/>
    </w:rPr>
  </w:style>
  <w:style w:type="character" w:styleId="751" w:customStyle="1">
    <w:name w:val="正文文本缩进 2 Char"/>
    <w:link w:val="750"/>
    <w:uiPriority w:val="0"/>
    <w:qFormat/>
    <w:rPr>
      <w:rFonts w:ascii="Times New Roman" w:hAnsi="Times New Roman"/>
      <w:spacing w:val="20"/>
      <w:sz w:val="21"/>
      <w:szCs w:val="24"/>
    </w:rPr>
  </w:style>
  <w:style w:type="paragraph" w:styleId="752" w:customStyle="1">
    <w:name w:val="尾注文本1"/>
    <w:basedOn w:val="668"/>
    <w:link w:val="753"/>
    <w:uiPriority w:val="99"/>
    <w:unhideWhenUsed/>
    <w:qFormat/>
    <w:rPr>
      <w:sz w:val="20"/>
    </w:rPr>
  </w:style>
  <w:style w:type="character" w:styleId="753" w:customStyle="1">
    <w:name w:val="尾注文本 Char"/>
    <w:link w:val="752"/>
    <w:uiPriority w:val="99"/>
    <w:qFormat/>
    <w:rPr>
      <w:sz w:val="20"/>
    </w:rPr>
  </w:style>
  <w:style w:type="paragraph" w:styleId="754" w:customStyle="1">
    <w:name w:val="批注框文本1"/>
    <w:basedOn w:val="668"/>
    <w:link w:val="755"/>
    <w:uiPriority w:val="99"/>
    <w:unhideWhenUsed/>
    <w:qFormat/>
    <w:pPr>
      <w:jc w:val="left"/>
      <w:widowControl/>
    </w:pPr>
    <w:rPr>
      <w:sz w:val="18"/>
      <w:szCs w:val="18"/>
    </w:rPr>
  </w:style>
  <w:style w:type="character" w:styleId="755" w:customStyle="1">
    <w:name w:val="批注框文本 Char1"/>
    <w:link w:val="754"/>
    <w:uiPriority w:val="99"/>
    <w:qFormat/>
    <w:rPr>
      <w:rFonts w:ascii="Times New Roman" w:hAnsi="Times New Roman"/>
      <w:sz w:val="18"/>
      <w:szCs w:val="18"/>
    </w:rPr>
  </w:style>
  <w:style w:type="paragraph" w:styleId="756" w:customStyle="1">
    <w:name w:val="页脚1"/>
    <w:basedOn w:val="668"/>
    <w:link w:val="757"/>
    <w:uiPriority w:val="99"/>
    <w:unhideWhenUsed/>
    <w:qFormat/>
    <w:pPr>
      <w:jc w:val="left"/>
      <w:tabs>
        <w:tab w:val="center" w:pos="4153" w:leader="none"/>
        <w:tab w:val="right" w:pos="8306" w:leader="none"/>
      </w:tabs>
    </w:pPr>
    <w:rPr>
      <w:sz w:val="18"/>
      <w:szCs w:val="18"/>
    </w:rPr>
  </w:style>
  <w:style w:type="character" w:styleId="757" w:customStyle="1">
    <w:name w:val="页脚 Char1"/>
    <w:link w:val="756"/>
    <w:uiPriority w:val="99"/>
    <w:qFormat/>
    <w:rPr>
      <w:rFonts w:ascii="Times New Roman" w:hAnsi="Times New Roman"/>
      <w:sz w:val="18"/>
      <w:szCs w:val="18"/>
    </w:rPr>
  </w:style>
  <w:style w:type="paragraph" w:styleId="758" w:customStyle="1">
    <w:name w:val="页眉1"/>
    <w:basedOn w:val="668"/>
    <w:link w:val="759"/>
    <w:uiPriority w:val="99"/>
    <w:unhideWhenUsed/>
    <w:qFormat/>
    <w:pPr>
      <w:jc w:val="center"/>
      <w:tabs>
        <w:tab w:val="center" w:pos="4153" w:leader="none"/>
        <w:tab w:val="right" w:pos="8306" w:leader="none"/>
      </w:tabs>
    </w:pPr>
    <w:rPr>
      <w:sz w:val="18"/>
      <w:szCs w:val="18"/>
    </w:rPr>
  </w:style>
  <w:style w:type="character" w:styleId="759" w:customStyle="1">
    <w:name w:val="页眉 Char1"/>
    <w:link w:val="758"/>
    <w:uiPriority w:val="99"/>
    <w:qFormat/>
    <w:rPr>
      <w:rFonts w:ascii="Times New Roman" w:hAnsi="Times New Roman"/>
      <w:sz w:val="18"/>
      <w:szCs w:val="18"/>
    </w:rPr>
  </w:style>
  <w:style w:type="paragraph" w:styleId="760" w:customStyle="1">
    <w:name w:val="目录 11"/>
    <w:basedOn w:val="668"/>
    <w:next w:val="668"/>
    <w:uiPriority w:val="39"/>
    <w:unhideWhenUsed/>
    <w:qFormat/>
  </w:style>
  <w:style w:type="paragraph" w:styleId="761" w:customStyle="1">
    <w:name w:val="目录 41"/>
    <w:basedOn w:val="668"/>
    <w:next w:val="668"/>
    <w:uiPriority w:val="39"/>
    <w:unhideWhenUsed/>
    <w:qFormat/>
    <w:pPr>
      <w:ind w:left="850"/>
      <w:spacing w:after="57"/>
    </w:pPr>
  </w:style>
  <w:style w:type="paragraph" w:styleId="762" w:customStyle="1">
    <w:name w:val="副标题1"/>
    <w:basedOn w:val="668"/>
    <w:next w:val="668"/>
    <w:link w:val="763"/>
    <w:uiPriority w:val="0"/>
    <w:qFormat/>
    <w:pPr>
      <w:ind w:left="1920" w:right="1920"/>
      <w:jc w:val="left"/>
      <w:keepLines/>
      <w:keepNext/>
      <w:spacing w:line="480" w:lineRule="auto"/>
      <w:widowControl/>
    </w:pPr>
    <w:rPr>
      <w:sz w:val="24"/>
      <w:szCs w:val="24"/>
    </w:rPr>
  </w:style>
  <w:style w:type="character" w:styleId="763" w:customStyle="1">
    <w:name w:val="副标题 Char1"/>
    <w:link w:val="762"/>
    <w:uiPriority w:val="0"/>
    <w:qFormat/>
    <w:rPr>
      <w:rFonts w:ascii="Times New Roman" w:hAnsi="Times New Roman" w:cs="宋体"/>
      <w:sz w:val="24"/>
      <w:szCs w:val="24"/>
    </w:rPr>
  </w:style>
  <w:style w:type="paragraph" w:styleId="764" w:customStyle="1">
    <w:name w:val="列表1"/>
    <w:basedOn w:val="668"/>
    <w:uiPriority w:val="0"/>
    <w:qFormat/>
    <w:pPr>
      <w:contextualSpacing/>
      <w:ind w:left="200" w:hanging="200"/>
      <w:jc w:val="left"/>
      <w:spacing w:line="360" w:lineRule="auto"/>
    </w:pPr>
    <w:rPr>
      <w:rFonts w:ascii="宋体" w:hAnsi="宋体"/>
      <w:sz w:val="24"/>
      <w:szCs w:val="24"/>
    </w:rPr>
  </w:style>
  <w:style w:type="paragraph" w:styleId="765" w:customStyle="1">
    <w:name w:val="脚注文本1"/>
    <w:basedOn w:val="668"/>
    <w:link w:val="766"/>
    <w:uiPriority w:val="0"/>
    <w:unhideWhenUsed/>
    <w:qFormat/>
    <w:pPr>
      <w:contextualSpacing/>
      <w:jc w:val="left"/>
    </w:pPr>
    <w:rPr>
      <w:sz w:val="18"/>
      <w:szCs w:val="18"/>
    </w:rPr>
  </w:style>
  <w:style w:type="character" w:styleId="766" w:customStyle="1">
    <w:name w:val="脚注文本 Char"/>
    <w:link w:val="765"/>
    <w:uiPriority w:val="0"/>
    <w:qFormat/>
    <w:rPr>
      <w:rFonts w:ascii="Times New Roman" w:hAnsi="Times New Roman"/>
      <w:sz w:val="18"/>
      <w:szCs w:val="18"/>
    </w:rPr>
  </w:style>
  <w:style w:type="paragraph" w:styleId="767" w:customStyle="1">
    <w:name w:val="目录 61"/>
    <w:basedOn w:val="668"/>
    <w:next w:val="668"/>
    <w:uiPriority w:val="0"/>
    <w:unhideWhenUsed/>
    <w:qFormat/>
    <w:pPr>
      <w:ind w:left="1050"/>
    </w:pPr>
    <w:rPr>
      <w:rFonts w:ascii="Calibri" w:hAnsi="Calibri" w:cs="Calibri"/>
      <w:sz w:val="18"/>
      <w:szCs w:val="18"/>
    </w:rPr>
  </w:style>
  <w:style w:type="paragraph" w:styleId="768" w:customStyle="1">
    <w:name w:val="列表 51"/>
    <w:basedOn w:val="668"/>
    <w:uiPriority w:val="0"/>
    <w:qFormat/>
    <w:pPr>
      <w:contextualSpacing/>
      <w:ind w:left="100" w:hanging="200"/>
      <w:jc w:val="left"/>
      <w:spacing w:line="360" w:lineRule="auto"/>
    </w:pPr>
    <w:rPr>
      <w:rFonts w:ascii="宋体" w:hAnsi="宋体"/>
      <w:sz w:val="24"/>
      <w:szCs w:val="20"/>
    </w:rPr>
  </w:style>
  <w:style w:type="paragraph" w:styleId="769" w:customStyle="1">
    <w:name w:val="正文文本缩进 31"/>
    <w:basedOn w:val="668"/>
    <w:link w:val="770"/>
    <w:uiPriority w:val="99"/>
    <w:qFormat/>
    <w:pPr>
      <w:ind w:left="420"/>
      <w:spacing w:after="120"/>
    </w:pPr>
    <w:rPr>
      <w:rFonts w:eastAsia="楷体_GB2312"/>
      <w:sz w:val="16"/>
      <w:szCs w:val="16"/>
    </w:rPr>
  </w:style>
  <w:style w:type="character" w:styleId="770" w:customStyle="1">
    <w:name w:val="正文文本缩进 3 Char"/>
    <w:link w:val="769"/>
    <w:uiPriority w:val="99"/>
    <w:qFormat/>
    <w:rPr>
      <w:rFonts w:ascii="Times New Roman" w:hAnsi="Times New Roman" w:eastAsia="楷体_GB2312"/>
      <w:sz w:val="16"/>
      <w:szCs w:val="16"/>
    </w:rPr>
  </w:style>
  <w:style w:type="paragraph" w:styleId="771" w:customStyle="1">
    <w:name w:val="图表目录1"/>
    <w:basedOn w:val="668"/>
    <w:next w:val="668"/>
    <w:uiPriority w:val="99"/>
    <w:unhideWhenUsed/>
    <w:qFormat/>
  </w:style>
  <w:style w:type="paragraph" w:styleId="772" w:customStyle="1">
    <w:name w:val="目录 21"/>
    <w:basedOn w:val="668"/>
    <w:next w:val="668"/>
    <w:uiPriority w:val="39"/>
    <w:unhideWhenUsed/>
    <w:qFormat/>
    <w:pPr>
      <w:ind w:left="283"/>
      <w:spacing w:after="57"/>
    </w:pPr>
  </w:style>
  <w:style w:type="paragraph" w:styleId="773" w:customStyle="1">
    <w:name w:val="目录 91"/>
    <w:basedOn w:val="668"/>
    <w:next w:val="668"/>
    <w:uiPriority w:val="39"/>
    <w:unhideWhenUsed/>
    <w:qFormat/>
    <w:pPr>
      <w:ind w:left="2268"/>
      <w:spacing w:after="57"/>
    </w:pPr>
  </w:style>
  <w:style w:type="paragraph" w:styleId="774" w:customStyle="1">
    <w:name w:val="正文文本 21"/>
    <w:basedOn w:val="668"/>
    <w:link w:val="775"/>
    <w:uiPriority w:val="0"/>
    <w:unhideWhenUsed/>
    <w:qFormat/>
    <w:pPr>
      <w:jc w:val="left"/>
      <w:spacing w:after="120" w:line="480" w:lineRule="auto"/>
      <w:widowControl/>
    </w:pPr>
    <w:rPr>
      <w:sz w:val="24"/>
      <w:szCs w:val="24"/>
    </w:rPr>
  </w:style>
  <w:style w:type="character" w:styleId="775" w:customStyle="1">
    <w:name w:val="正文文本 2 Char1"/>
    <w:link w:val="774"/>
    <w:uiPriority w:val="0"/>
    <w:qFormat/>
    <w:rPr>
      <w:rFonts w:ascii="Times New Roman" w:hAnsi="Times New Roman"/>
      <w:sz w:val="24"/>
      <w:szCs w:val="24"/>
    </w:rPr>
  </w:style>
  <w:style w:type="paragraph" w:styleId="776" w:customStyle="1">
    <w:name w:val="列表 41"/>
    <w:basedOn w:val="668"/>
    <w:uiPriority w:val="0"/>
    <w:qFormat/>
    <w:pPr>
      <w:contextualSpacing/>
      <w:ind w:left="100" w:hanging="200"/>
      <w:jc w:val="left"/>
      <w:spacing w:line="360" w:lineRule="auto"/>
    </w:pPr>
    <w:rPr>
      <w:rFonts w:ascii="宋体" w:hAnsi="宋体"/>
      <w:sz w:val="24"/>
      <w:szCs w:val="20"/>
    </w:rPr>
  </w:style>
  <w:style w:type="paragraph" w:styleId="777" w:customStyle="1">
    <w:name w:val="HTML 预设格式1"/>
    <w:basedOn w:val="668"/>
    <w:link w:val="778"/>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778" w:customStyle="1">
    <w:name w:val="HTML 预设格式 Char"/>
    <w:link w:val="777"/>
    <w:uiPriority w:val="0"/>
    <w:qFormat/>
    <w:rPr>
      <w:rFonts w:ascii="宋体" w:hAnsi="宋体" w:cs="宋体"/>
      <w:sz w:val="24"/>
      <w:szCs w:val="24"/>
    </w:rPr>
  </w:style>
  <w:style w:type="paragraph" w:styleId="779" w:customStyle="1">
    <w:name w:val="普通(网站)1"/>
    <w:basedOn w:val="668"/>
    <w:uiPriority w:val="0"/>
    <w:qFormat/>
    <w:pPr>
      <w:contextualSpacing/>
      <w:ind w:firstLine="200"/>
      <w:jc w:val="left"/>
      <w:spacing w:line="360" w:lineRule="auto"/>
      <w:widowControl/>
    </w:pPr>
    <w:rPr>
      <w:rFonts w:ascii="ˎ̥" w:hAnsi="ˎ̥" w:cs="宋体"/>
      <w:color w:val="000000"/>
      <w:sz w:val="13"/>
      <w:szCs w:val="13"/>
    </w:rPr>
  </w:style>
  <w:style w:type="paragraph" w:styleId="780" w:customStyle="1">
    <w:name w:val="索引 11"/>
    <w:basedOn w:val="668"/>
    <w:next w:val="668"/>
    <w:uiPriority w:val="0"/>
    <w:qFormat/>
    <w:pPr>
      <w:contextualSpacing/>
      <w:ind w:firstLine="200"/>
      <w:jc w:val="center"/>
      <w:spacing w:line="360" w:lineRule="auto"/>
      <w:widowControl/>
    </w:pPr>
    <w:rPr>
      <w:rFonts w:ascii="Arial" w:hAnsi="Arial" w:cs="Arial"/>
      <w:sz w:val="24"/>
      <w:szCs w:val="24"/>
    </w:rPr>
  </w:style>
  <w:style w:type="paragraph" w:styleId="781" w:customStyle="1">
    <w:name w:val="标题1"/>
    <w:basedOn w:val="668"/>
    <w:next w:val="668"/>
    <w:link w:val="782"/>
    <w:uiPriority w:val="0"/>
    <w:qFormat/>
    <w:pPr>
      <w:jc w:val="center"/>
      <w:spacing w:before="240" w:after="60"/>
      <w:widowControl/>
      <w:outlineLvl w:val="0"/>
    </w:pPr>
    <w:rPr>
      <w:rFonts w:ascii="Cambria" w:hAnsi="Cambria"/>
      <w:b/>
      <w:bCs/>
      <w:sz w:val="32"/>
      <w:szCs w:val="32"/>
    </w:rPr>
  </w:style>
  <w:style w:type="character" w:styleId="782" w:customStyle="1">
    <w:name w:val="标题 Char1"/>
    <w:link w:val="781"/>
    <w:uiPriority w:val="0"/>
    <w:qFormat/>
    <w:rPr>
      <w:rFonts w:ascii="Cambria" w:hAnsi="Cambria"/>
      <w:b/>
      <w:bCs/>
      <w:sz w:val="32"/>
      <w:szCs w:val="32"/>
    </w:rPr>
  </w:style>
  <w:style w:type="paragraph" w:styleId="783" w:customStyle="1">
    <w:name w:val="批注主题1"/>
    <w:basedOn w:val="733"/>
    <w:next w:val="733"/>
    <w:link w:val="784"/>
    <w:uiPriority w:val="0"/>
    <w:unhideWhenUsed/>
    <w:qFormat/>
    <w:rPr>
      <w:b/>
      <w:bCs/>
    </w:rPr>
  </w:style>
  <w:style w:type="character" w:styleId="784" w:customStyle="1">
    <w:name w:val="批注主题 Char"/>
    <w:link w:val="783"/>
    <w:uiPriority w:val="0"/>
    <w:qFormat/>
    <w:rPr>
      <w:rFonts w:ascii="Times New Roman" w:hAnsi="Times New Roman"/>
      <w:b/>
      <w:bCs/>
      <w:sz w:val="24"/>
      <w:szCs w:val="24"/>
    </w:rPr>
  </w:style>
  <w:style w:type="paragraph" w:styleId="785" w:customStyle="1">
    <w:name w:val="正文首行缩进1"/>
    <w:basedOn w:val="737"/>
    <w:next w:val="767"/>
    <w:link w:val="786"/>
    <w:uiPriority w:val="99"/>
    <w:unhideWhenUsed/>
    <w:qFormat/>
    <w:pPr>
      <w:ind w:firstLine="420"/>
      <w:jc w:val="both"/>
      <w:spacing w:after="120" w:line="240" w:lineRule="auto"/>
      <w:widowControl w:val="off"/>
    </w:pPr>
    <w:rPr>
      <w:sz w:val="21"/>
      <w:szCs w:val="22"/>
    </w:rPr>
  </w:style>
  <w:style w:type="character" w:styleId="786" w:customStyle="1">
    <w:name w:val="正文首行缩进 Char"/>
    <w:link w:val="785"/>
    <w:uiPriority w:val="99"/>
    <w:semiHidden/>
    <w:qFormat/>
    <w:rPr>
      <w:rFonts w:ascii="Times New Roman" w:hAnsi="Times New Roman"/>
      <w:sz w:val="21"/>
      <w:szCs w:val="22"/>
    </w:rPr>
  </w:style>
  <w:style w:type="paragraph" w:styleId="787" w:customStyle="1">
    <w:name w:val="正文首行缩进 21"/>
    <w:basedOn w:val="739"/>
    <w:link w:val="788"/>
    <w:uiPriority w:val="99"/>
    <w:unhideWhenUsed/>
    <w:qFormat/>
    <w:pPr>
      <w:ind w:left="420" w:right="0" w:firstLine="420"/>
      <w:jc w:val="left"/>
      <w:spacing w:after="120" w:line="240" w:lineRule="auto"/>
      <w:widowControl/>
    </w:pPr>
    <w:rPr>
      <w:sz w:val="24"/>
    </w:rPr>
  </w:style>
  <w:style w:type="character" w:styleId="788" w:customStyle="1">
    <w:name w:val="正文首行缩进 2 Char"/>
    <w:link w:val="787"/>
    <w:uiPriority w:val="99"/>
    <w:qFormat/>
    <w:rPr>
      <w:rFonts w:ascii="Times New Roman" w:hAnsi="Times New Roman"/>
      <w:spacing w:val="20"/>
      <w:sz w:val="24"/>
      <w:szCs w:val="24"/>
    </w:rPr>
  </w:style>
  <w:style w:type="table" w:styleId="789" w:customStyle="1">
    <w:name w:val="网格型11"/>
    <w:basedOn w:val="717"/>
    <w:uiPriority w:val="39"/>
    <w:qFormat/>
    <w:pPr>
      <w:jc w:val="both"/>
      <w:widowControl w:val="off"/>
    </w:pPr>
    <w:tblPr/>
  </w:style>
  <w:style w:type="character" w:styleId="790" w:customStyle="1">
    <w:name w:val="要点1"/>
    <w:link w:val="668"/>
    <w:uiPriority w:val="0"/>
    <w:qFormat/>
    <w:rPr>
      <w:b/>
    </w:rPr>
  </w:style>
  <w:style w:type="character" w:styleId="791" w:customStyle="1">
    <w:name w:val="尾注引用1"/>
    <w:link w:val="668"/>
    <w:uiPriority w:val="99"/>
    <w:unhideWhenUsed/>
    <w:qFormat/>
    <w:rPr>
      <w:vertAlign w:val="superscript"/>
    </w:rPr>
  </w:style>
  <w:style w:type="character" w:styleId="792" w:customStyle="1">
    <w:name w:val="页码1"/>
    <w:link w:val="668"/>
    <w:uiPriority w:val="0"/>
    <w:unhideWhenUsed/>
    <w:qFormat/>
  </w:style>
  <w:style w:type="character" w:styleId="793" w:customStyle="1">
    <w:name w:val="已访问的超链接1"/>
    <w:link w:val="668"/>
    <w:uiPriority w:val="99"/>
    <w:unhideWhenUsed/>
    <w:qFormat/>
    <w:rPr>
      <w:color w:val="800080"/>
      <w:u w:val="single"/>
    </w:rPr>
  </w:style>
  <w:style w:type="character" w:styleId="794" w:customStyle="1">
    <w:name w:val="强调1"/>
    <w:link w:val="668"/>
    <w:uiPriority w:val="0"/>
    <w:qFormat/>
    <w:rPr>
      <w:color w:val="cc0033"/>
    </w:rPr>
  </w:style>
  <w:style w:type="character" w:styleId="795" w:customStyle="1">
    <w:name w:val="超链接1"/>
    <w:link w:val="668"/>
    <w:uiPriority w:val="99"/>
    <w:unhideWhenUsed/>
    <w:qFormat/>
    <w:rPr>
      <w:color w:val="0000ff"/>
      <w:u w:val="single"/>
    </w:rPr>
  </w:style>
  <w:style w:type="character" w:styleId="796" w:customStyle="1">
    <w:name w:val="批注引用1"/>
    <w:link w:val="668"/>
    <w:uiPriority w:val="0"/>
    <w:unhideWhenUsed/>
    <w:qFormat/>
    <w:rPr>
      <w:sz w:val="21"/>
      <w:szCs w:val="21"/>
    </w:rPr>
  </w:style>
  <w:style w:type="character" w:styleId="797" w:customStyle="1">
    <w:name w:val="脚注引用1"/>
    <w:link w:val="668"/>
    <w:uiPriority w:val="0"/>
    <w:unhideWhenUsed/>
    <w:qFormat/>
    <w:rPr>
      <w:rFonts w:cs="Times New Roman"/>
      <w:vertAlign w:val="superscript"/>
    </w:rPr>
  </w:style>
  <w:style w:type="character" w:styleId="798" w:customStyle="1">
    <w:name w:val="标题 1 Char"/>
    <w:link w:val="668"/>
    <w:uiPriority w:val="0"/>
    <w:qFormat/>
    <w:rPr>
      <w:rFonts w:ascii="宋体" w:hAnsi="宋体"/>
      <w:b/>
      <w:color w:val="000000"/>
      <w:sz w:val="36"/>
      <w:szCs w:val="24"/>
    </w:rPr>
  </w:style>
  <w:style w:type="character" w:styleId="799" w:customStyle="1">
    <w:name w:val="Quote Char"/>
    <w:link w:val="668"/>
    <w:uiPriority w:val="29"/>
    <w:qFormat/>
    <w:rPr>
      <w:i/>
    </w:rPr>
  </w:style>
  <w:style w:type="character" w:styleId="800" w:customStyle="1">
    <w:name w:val="Intense Quote Char"/>
    <w:link w:val="668"/>
    <w:uiPriority w:val="30"/>
    <w:qFormat/>
    <w:rPr>
      <w:i/>
    </w:rPr>
  </w:style>
  <w:style w:type="table" w:styleId="801" w:customStyle="1">
    <w:name w:val="Plain Table 1"/>
    <w:basedOn w:val="717"/>
    <w:uiPriority w:val="59"/>
    <w:qFormat/>
    <w:tblPr/>
  </w:style>
  <w:style w:type="table" w:styleId="802" w:customStyle="1">
    <w:name w:val="Plain Table 2"/>
    <w:basedOn w:val="717"/>
    <w:uiPriority w:val="59"/>
    <w:qFormat/>
    <w:tblPr/>
  </w:style>
  <w:style w:type="table" w:styleId="803" w:customStyle="1">
    <w:name w:val="Plain Table 3"/>
    <w:basedOn w:val="717"/>
    <w:uiPriority w:val="99"/>
    <w:qFormat/>
    <w:tblPr/>
  </w:style>
  <w:style w:type="table" w:styleId="804" w:customStyle="1">
    <w:name w:val="Plain Table 4"/>
    <w:basedOn w:val="717"/>
    <w:uiPriority w:val="99"/>
    <w:qFormat/>
    <w:tblPr/>
  </w:style>
  <w:style w:type="table" w:styleId="805" w:customStyle="1">
    <w:name w:val="Plain Table 5"/>
    <w:basedOn w:val="717"/>
    <w:uiPriority w:val="99"/>
    <w:qFormat/>
    <w:tblPr/>
  </w:style>
  <w:style w:type="table" w:styleId="806" w:customStyle="1">
    <w:name w:val="Grid Table 1 Light"/>
    <w:basedOn w:val="717"/>
    <w:uiPriority w:val="99"/>
    <w:qFormat/>
    <w:tblPr/>
  </w:style>
  <w:style w:type="table" w:styleId="807" w:customStyle="1">
    <w:name w:val="Grid Table 2"/>
    <w:basedOn w:val="717"/>
    <w:uiPriority w:val="99"/>
    <w:qFormat/>
    <w:tblPr/>
  </w:style>
  <w:style w:type="table" w:styleId="808" w:customStyle="1">
    <w:name w:val="Grid Table 3"/>
    <w:basedOn w:val="717"/>
    <w:uiPriority w:val="99"/>
    <w:qFormat/>
    <w:tblPr/>
  </w:style>
  <w:style w:type="table" w:styleId="809" w:customStyle="1">
    <w:name w:val="Grid Table 4"/>
    <w:basedOn w:val="717"/>
    <w:uiPriority w:val="59"/>
    <w:qFormat/>
    <w:tblPr/>
  </w:style>
  <w:style w:type="table" w:styleId="810" w:customStyle="1">
    <w:name w:val="Grid Table 5 Dark"/>
    <w:basedOn w:val="717"/>
    <w:uiPriority w:val="99"/>
    <w:qFormat/>
    <w:tblPr/>
  </w:style>
  <w:style w:type="table" w:styleId="811" w:customStyle="1">
    <w:name w:val="Grid Table 6 Colorful"/>
    <w:basedOn w:val="717"/>
    <w:uiPriority w:val="99"/>
    <w:qFormat/>
    <w:tblPr/>
  </w:style>
  <w:style w:type="table" w:styleId="812" w:customStyle="1">
    <w:name w:val="Grid Table 7 Colorful"/>
    <w:basedOn w:val="717"/>
    <w:uiPriority w:val="99"/>
    <w:qFormat/>
    <w:tblPr/>
  </w:style>
  <w:style w:type="table" w:styleId="813" w:customStyle="1">
    <w:name w:val="List Table 1 Light"/>
    <w:basedOn w:val="717"/>
    <w:uiPriority w:val="99"/>
    <w:qFormat/>
    <w:tblPr/>
  </w:style>
  <w:style w:type="table" w:styleId="814" w:customStyle="1">
    <w:name w:val="List Table 2"/>
    <w:basedOn w:val="717"/>
    <w:uiPriority w:val="99"/>
    <w:qFormat/>
    <w:tblPr/>
  </w:style>
  <w:style w:type="table" w:styleId="815" w:customStyle="1">
    <w:name w:val="List Table 3"/>
    <w:basedOn w:val="717"/>
    <w:uiPriority w:val="99"/>
    <w:qFormat/>
    <w:tblPr/>
  </w:style>
  <w:style w:type="table" w:styleId="816" w:customStyle="1">
    <w:name w:val="List Table 4"/>
    <w:basedOn w:val="717"/>
    <w:uiPriority w:val="99"/>
    <w:qFormat/>
    <w:tblPr/>
  </w:style>
  <w:style w:type="table" w:styleId="817" w:customStyle="1">
    <w:name w:val="List Table 5 Dark"/>
    <w:basedOn w:val="717"/>
    <w:uiPriority w:val="99"/>
    <w:qFormat/>
    <w:tblPr/>
  </w:style>
  <w:style w:type="table" w:styleId="818" w:customStyle="1">
    <w:name w:val="List Table 6 Colorful"/>
    <w:basedOn w:val="717"/>
    <w:uiPriority w:val="99"/>
    <w:qFormat/>
    <w:tblPr/>
  </w:style>
  <w:style w:type="table" w:styleId="819" w:customStyle="1">
    <w:name w:val="List Table 7 Colorful"/>
    <w:basedOn w:val="717"/>
    <w:uiPriority w:val="99"/>
    <w:qFormat/>
    <w:tblPr/>
  </w:style>
  <w:style w:type="character" w:styleId="820" w:customStyle="1">
    <w:name w:val="Endnote Text Char"/>
    <w:link w:val="668"/>
    <w:uiPriority w:val="99"/>
    <w:qFormat/>
    <w:rPr>
      <w:sz w:val="20"/>
    </w:rPr>
  </w:style>
  <w:style w:type="paragraph" w:styleId="821" w:customStyle="1">
    <w:name w:val="TOC 标题1"/>
    <w:uiPriority w:val="39"/>
    <w:unhideWhenUsed/>
    <w:qFormat/>
    <w:rPr>
      <w:rFonts w:hint="default" w:ascii="Times New Roman" w:hAnsi="Times New Roman" w:eastAsia="宋体" w:cs="Times New Roman"/>
      <w:lang w:val="en-US" w:eastAsia="zh-CN" w:bidi="ar-SA"/>
    </w:rPr>
  </w:style>
  <w:style w:type="character" w:styleId="822" w:customStyle="1">
    <w:name w:val="Heading 1 Char"/>
    <w:link w:val="668"/>
    <w:uiPriority w:val="9"/>
    <w:qFormat/>
    <w:rPr>
      <w:rFonts w:ascii="Arial" w:hAnsi="Arial" w:eastAsia="Arial" w:cs="Arial"/>
      <w:sz w:val="40"/>
      <w:szCs w:val="40"/>
    </w:rPr>
  </w:style>
  <w:style w:type="character" w:styleId="823" w:customStyle="1">
    <w:name w:val="Heading 2 Char"/>
    <w:link w:val="668"/>
    <w:uiPriority w:val="9"/>
    <w:qFormat/>
    <w:rPr>
      <w:rFonts w:ascii="Arial" w:hAnsi="Arial" w:eastAsia="Arial" w:cs="Arial"/>
      <w:sz w:val="34"/>
    </w:rPr>
  </w:style>
  <w:style w:type="character" w:styleId="824" w:customStyle="1">
    <w:name w:val="Heading 3 Char"/>
    <w:link w:val="668"/>
    <w:uiPriority w:val="9"/>
    <w:qFormat/>
    <w:rPr>
      <w:rFonts w:ascii="Arial" w:hAnsi="Arial" w:eastAsia="Arial" w:cs="Arial"/>
      <w:sz w:val="30"/>
      <w:szCs w:val="30"/>
    </w:rPr>
  </w:style>
  <w:style w:type="character" w:styleId="825" w:customStyle="1">
    <w:name w:val="Heading 4 Char"/>
    <w:link w:val="668"/>
    <w:uiPriority w:val="9"/>
    <w:qFormat/>
    <w:rPr>
      <w:rFonts w:ascii="Arial" w:hAnsi="Arial" w:eastAsia="Arial" w:cs="Arial"/>
      <w:b/>
      <w:bCs/>
      <w:sz w:val="26"/>
      <w:szCs w:val="26"/>
    </w:rPr>
  </w:style>
  <w:style w:type="character" w:styleId="826" w:customStyle="1">
    <w:name w:val="Heading 5 Char"/>
    <w:link w:val="668"/>
    <w:uiPriority w:val="9"/>
    <w:qFormat/>
    <w:rPr>
      <w:rFonts w:ascii="Arial" w:hAnsi="Arial" w:eastAsia="Arial" w:cs="Arial"/>
      <w:b/>
      <w:bCs/>
      <w:sz w:val="24"/>
      <w:szCs w:val="24"/>
    </w:rPr>
  </w:style>
  <w:style w:type="character" w:styleId="827" w:customStyle="1">
    <w:name w:val="Heading 6 Char"/>
    <w:link w:val="668"/>
    <w:uiPriority w:val="9"/>
    <w:qFormat/>
    <w:rPr>
      <w:rFonts w:ascii="Arial" w:hAnsi="Arial" w:eastAsia="Arial" w:cs="Arial"/>
      <w:b/>
      <w:bCs/>
      <w:sz w:val="22"/>
      <w:szCs w:val="22"/>
    </w:rPr>
  </w:style>
  <w:style w:type="character" w:styleId="828" w:customStyle="1">
    <w:name w:val="Heading 7 Char"/>
    <w:link w:val="668"/>
    <w:uiPriority w:val="9"/>
    <w:qFormat/>
    <w:rPr>
      <w:rFonts w:ascii="Arial" w:hAnsi="Arial" w:eastAsia="Arial" w:cs="Arial"/>
      <w:b/>
      <w:bCs/>
      <w:i/>
      <w:iCs/>
      <w:sz w:val="22"/>
      <w:szCs w:val="22"/>
    </w:rPr>
  </w:style>
  <w:style w:type="character" w:styleId="829" w:customStyle="1">
    <w:name w:val="Heading 8 Char"/>
    <w:link w:val="668"/>
    <w:uiPriority w:val="9"/>
    <w:qFormat/>
    <w:rPr>
      <w:rFonts w:ascii="Arial" w:hAnsi="Arial" w:eastAsia="Arial" w:cs="Arial"/>
      <w:i/>
      <w:iCs/>
      <w:sz w:val="22"/>
      <w:szCs w:val="22"/>
    </w:rPr>
  </w:style>
  <w:style w:type="character" w:styleId="830" w:customStyle="1">
    <w:name w:val="Heading 9 Char"/>
    <w:link w:val="668"/>
    <w:uiPriority w:val="9"/>
    <w:qFormat/>
    <w:rPr>
      <w:rFonts w:ascii="Arial" w:hAnsi="Arial" w:eastAsia="Arial" w:cs="Arial"/>
      <w:i/>
      <w:iCs/>
      <w:sz w:val="21"/>
      <w:szCs w:val="21"/>
    </w:rPr>
  </w:style>
  <w:style w:type="paragraph" w:styleId="831" w:customStyle="1">
    <w:name w:val="无间隔"/>
    <w:uiPriority w:val="1"/>
    <w:qFormat/>
    <w:pPr>
      <w:jc w:val="both"/>
      <w:spacing w:line="360" w:lineRule="auto"/>
      <w:widowControl w:val="off"/>
    </w:pPr>
    <w:rPr>
      <w:rFonts w:hint="default" w:ascii="Times New Roman" w:hAnsi="Times New Roman" w:eastAsia="宋体" w:cs="Times New Roman"/>
      <w:sz w:val="24"/>
      <w:szCs w:val="22"/>
      <w:lang w:val="en-US" w:eastAsia="zh-CN" w:bidi="ar-SA"/>
    </w:rPr>
  </w:style>
  <w:style w:type="character" w:styleId="832" w:customStyle="1">
    <w:name w:val="Title Char"/>
    <w:link w:val="668"/>
    <w:uiPriority w:val="10"/>
    <w:qFormat/>
    <w:rPr>
      <w:sz w:val="48"/>
      <w:szCs w:val="48"/>
    </w:rPr>
  </w:style>
  <w:style w:type="character" w:styleId="833" w:customStyle="1">
    <w:name w:val="Subtitle Char"/>
    <w:link w:val="668"/>
    <w:uiPriority w:val="11"/>
    <w:qFormat/>
    <w:rPr>
      <w:sz w:val="24"/>
      <w:szCs w:val="24"/>
    </w:rPr>
  </w:style>
  <w:style w:type="paragraph" w:styleId="834" w:customStyle="1">
    <w:name w:val="引用"/>
    <w:basedOn w:val="668"/>
    <w:next w:val="668"/>
    <w:link w:val="835"/>
    <w:uiPriority w:val="29"/>
    <w:qFormat/>
    <w:pPr>
      <w:ind w:left="720" w:right="720"/>
    </w:pPr>
    <w:rPr>
      <w:i/>
    </w:rPr>
  </w:style>
  <w:style w:type="character" w:styleId="835" w:customStyle="1">
    <w:name w:val="引用 Char"/>
    <w:link w:val="834"/>
    <w:uiPriority w:val="29"/>
    <w:qFormat/>
    <w:rPr>
      <w:i/>
    </w:rPr>
  </w:style>
  <w:style w:type="paragraph" w:styleId="836" w:customStyle="1">
    <w:name w:val="明显引用"/>
    <w:basedOn w:val="668"/>
    <w:next w:val="668"/>
    <w:link w:val="8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明显引用 Char"/>
    <w:link w:val="836"/>
    <w:uiPriority w:val="30"/>
    <w:qFormat/>
    <w:rPr>
      <w:i/>
    </w:rPr>
  </w:style>
  <w:style w:type="character" w:styleId="838" w:customStyle="1">
    <w:name w:val="Header Char"/>
    <w:link w:val="668"/>
    <w:uiPriority w:val="99"/>
    <w:qFormat/>
  </w:style>
  <w:style w:type="character" w:styleId="839" w:customStyle="1">
    <w:name w:val="Footer Char"/>
    <w:link w:val="668"/>
    <w:uiPriority w:val="99"/>
    <w:qFormat/>
  </w:style>
  <w:style w:type="character" w:styleId="840" w:customStyle="1">
    <w:name w:val="Caption Char"/>
    <w:link w:val="668"/>
    <w:uiPriority w:val="99"/>
    <w:qFormat/>
  </w:style>
  <w:style w:type="table" w:styleId="841" w:customStyle="1">
    <w:name w:val="Table Grid Light"/>
    <w:uiPriority w:val="59"/>
    <w:qFormat/>
    <w:rPr>
      <w:lang w:val="en-US" w:eastAsia="zh-CN" w:bidi="ar-SA"/>
    </w:rPr>
    <w:tblPr/>
  </w:style>
  <w:style w:type="table" w:styleId="842" w:customStyle="1">
    <w:name w:val="无格式表格 11"/>
    <w:uiPriority w:val="59"/>
    <w:qFormat/>
    <w:rPr>
      <w:lang w:val="en-US" w:eastAsia="zh-CN" w:bidi="ar-SA"/>
    </w:rPr>
    <w:tblPr/>
  </w:style>
  <w:style w:type="table" w:styleId="843" w:customStyle="1">
    <w:name w:val="无格式表格 21"/>
    <w:uiPriority w:val="59"/>
    <w:qFormat/>
    <w:rPr>
      <w:lang w:val="en-US" w:eastAsia="zh-CN" w:bidi="ar-SA"/>
    </w:rPr>
    <w:tblPr/>
  </w:style>
  <w:style w:type="table" w:styleId="844" w:customStyle="1">
    <w:name w:val="无格式表格 31"/>
    <w:uiPriority w:val="99"/>
    <w:qFormat/>
    <w:rPr>
      <w:lang w:val="en-US" w:eastAsia="zh-CN" w:bidi="ar-SA"/>
    </w:rPr>
    <w:tblPr/>
  </w:style>
  <w:style w:type="table" w:styleId="845" w:customStyle="1">
    <w:name w:val="无格式表格 41"/>
    <w:uiPriority w:val="99"/>
    <w:qFormat/>
    <w:rPr>
      <w:lang w:val="en-US" w:eastAsia="zh-CN" w:bidi="ar-SA"/>
    </w:rPr>
    <w:tblPr/>
  </w:style>
  <w:style w:type="table" w:styleId="846" w:customStyle="1">
    <w:name w:val="无格式表格 51"/>
    <w:uiPriority w:val="99"/>
    <w:qFormat/>
    <w:rPr>
      <w:lang w:val="en-US" w:eastAsia="zh-CN" w:bidi="ar-SA"/>
    </w:rPr>
    <w:tblPr/>
  </w:style>
  <w:style w:type="table" w:styleId="847" w:customStyle="1">
    <w:name w:val="网格表 1 浅色1"/>
    <w:uiPriority w:val="99"/>
    <w:qFormat/>
    <w:rPr>
      <w:lang w:val="en-US" w:eastAsia="zh-CN" w:bidi="ar-SA"/>
    </w:rPr>
    <w:tblPr/>
  </w:style>
  <w:style w:type="table" w:styleId="848" w:customStyle="1">
    <w:name w:val="Grid Table 1 Light - Accent 1"/>
    <w:uiPriority w:val="99"/>
    <w:qFormat/>
    <w:rPr>
      <w:lang w:val="en-US" w:eastAsia="zh-CN" w:bidi="ar-SA"/>
    </w:rPr>
    <w:tblPr/>
  </w:style>
  <w:style w:type="table" w:styleId="849" w:customStyle="1">
    <w:name w:val="Grid Table 1 Light - Accent 2"/>
    <w:uiPriority w:val="99"/>
    <w:qFormat/>
    <w:rPr>
      <w:lang w:val="en-US" w:eastAsia="zh-CN" w:bidi="ar-SA"/>
    </w:rPr>
    <w:tblPr/>
  </w:style>
  <w:style w:type="table" w:styleId="850" w:customStyle="1">
    <w:name w:val="Grid Table 1 Light - Accent 3"/>
    <w:uiPriority w:val="99"/>
    <w:qFormat/>
    <w:rPr>
      <w:lang w:val="en-US" w:eastAsia="zh-CN" w:bidi="ar-SA"/>
    </w:rPr>
    <w:tblPr/>
  </w:style>
  <w:style w:type="table" w:styleId="851" w:customStyle="1">
    <w:name w:val="Grid Table 1 Light - Accent 4"/>
    <w:uiPriority w:val="99"/>
    <w:qFormat/>
    <w:rPr>
      <w:lang w:val="en-US" w:eastAsia="zh-CN" w:bidi="ar-SA"/>
    </w:rPr>
    <w:tblPr/>
  </w:style>
  <w:style w:type="table" w:styleId="852" w:customStyle="1">
    <w:name w:val="Grid Table 1 Light - Accent 5"/>
    <w:uiPriority w:val="99"/>
    <w:qFormat/>
    <w:rPr>
      <w:lang w:val="en-US" w:eastAsia="zh-CN" w:bidi="ar-SA"/>
    </w:rPr>
    <w:tblPr/>
  </w:style>
  <w:style w:type="table" w:styleId="853" w:customStyle="1">
    <w:name w:val="Grid Table 1 Light - Accent 6"/>
    <w:uiPriority w:val="99"/>
    <w:qFormat/>
    <w:rPr>
      <w:lang w:val="en-US" w:eastAsia="zh-CN" w:bidi="ar-SA"/>
    </w:rPr>
    <w:tblPr/>
  </w:style>
  <w:style w:type="table" w:styleId="854" w:customStyle="1">
    <w:name w:val="网格表 21"/>
    <w:uiPriority w:val="99"/>
    <w:qFormat/>
    <w:rPr>
      <w:lang w:val="en-US" w:eastAsia="zh-CN" w:bidi="ar-SA"/>
    </w:rPr>
    <w:tblPr/>
  </w:style>
  <w:style w:type="table" w:styleId="855" w:customStyle="1">
    <w:name w:val="Grid Table 2 - Accent 1"/>
    <w:uiPriority w:val="99"/>
    <w:qFormat/>
    <w:rPr>
      <w:lang w:val="en-US" w:eastAsia="zh-CN" w:bidi="ar-SA"/>
    </w:rPr>
    <w:tblPr/>
  </w:style>
  <w:style w:type="table" w:styleId="856" w:customStyle="1">
    <w:name w:val="Grid Table 2 - Accent 2"/>
    <w:uiPriority w:val="99"/>
    <w:qFormat/>
    <w:rPr>
      <w:lang w:val="en-US" w:eastAsia="zh-CN" w:bidi="ar-SA"/>
    </w:rPr>
    <w:tblPr/>
  </w:style>
  <w:style w:type="table" w:styleId="857" w:customStyle="1">
    <w:name w:val="Grid Table 2 - Accent 3"/>
    <w:uiPriority w:val="99"/>
    <w:qFormat/>
    <w:rPr>
      <w:lang w:val="en-US" w:eastAsia="zh-CN" w:bidi="ar-SA"/>
    </w:rPr>
    <w:tblPr/>
  </w:style>
  <w:style w:type="table" w:styleId="858" w:customStyle="1">
    <w:name w:val="Grid Table 2 - Accent 4"/>
    <w:uiPriority w:val="99"/>
    <w:qFormat/>
    <w:rPr>
      <w:lang w:val="en-US" w:eastAsia="zh-CN" w:bidi="ar-SA"/>
    </w:rPr>
    <w:tblPr/>
  </w:style>
  <w:style w:type="table" w:styleId="859" w:customStyle="1">
    <w:name w:val="Grid Table 2 - Accent 5"/>
    <w:uiPriority w:val="99"/>
    <w:qFormat/>
    <w:rPr>
      <w:lang w:val="en-US" w:eastAsia="zh-CN" w:bidi="ar-SA"/>
    </w:rPr>
    <w:tblPr/>
  </w:style>
  <w:style w:type="table" w:styleId="860" w:customStyle="1">
    <w:name w:val="Grid Table 2 - Accent 6"/>
    <w:uiPriority w:val="99"/>
    <w:qFormat/>
    <w:rPr>
      <w:lang w:val="en-US" w:eastAsia="zh-CN" w:bidi="ar-SA"/>
    </w:rPr>
    <w:tblPr/>
  </w:style>
  <w:style w:type="table" w:styleId="861" w:customStyle="1">
    <w:name w:val="网格表 31"/>
    <w:uiPriority w:val="99"/>
    <w:qFormat/>
    <w:rPr>
      <w:lang w:val="en-US" w:eastAsia="zh-CN" w:bidi="ar-SA"/>
    </w:rPr>
    <w:tblPr/>
  </w:style>
  <w:style w:type="table" w:styleId="862" w:customStyle="1">
    <w:name w:val="Grid Table 3 - Accent 1"/>
    <w:uiPriority w:val="99"/>
    <w:qFormat/>
    <w:rPr>
      <w:lang w:val="en-US" w:eastAsia="zh-CN" w:bidi="ar-SA"/>
    </w:rPr>
    <w:tblPr/>
  </w:style>
  <w:style w:type="table" w:styleId="863" w:customStyle="1">
    <w:name w:val="Grid Table 3 - Accent 2"/>
    <w:uiPriority w:val="99"/>
    <w:qFormat/>
    <w:rPr>
      <w:lang w:val="en-US" w:eastAsia="zh-CN" w:bidi="ar-SA"/>
    </w:rPr>
    <w:tblPr/>
  </w:style>
  <w:style w:type="table" w:styleId="864" w:customStyle="1">
    <w:name w:val="Grid Table 3 - Accent 3"/>
    <w:uiPriority w:val="99"/>
    <w:qFormat/>
    <w:rPr>
      <w:lang w:val="en-US" w:eastAsia="zh-CN" w:bidi="ar-SA"/>
    </w:rPr>
    <w:tblPr/>
  </w:style>
  <w:style w:type="table" w:styleId="865" w:customStyle="1">
    <w:name w:val="Grid Table 3 - Accent 4"/>
    <w:uiPriority w:val="99"/>
    <w:qFormat/>
    <w:rPr>
      <w:lang w:val="en-US" w:eastAsia="zh-CN" w:bidi="ar-SA"/>
    </w:rPr>
    <w:tblPr/>
  </w:style>
  <w:style w:type="table" w:styleId="866" w:customStyle="1">
    <w:name w:val="Grid Table 3 - Accent 5"/>
    <w:uiPriority w:val="99"/>
    <w:qFormat/>
    <w:rPr>
      <w:lang w:val="en-US" w:eastAsia="zh-CN" w:bidi="ar-SA"/>
    </w:rPr>
    <w:tblPr/>
  </w:style>
  <w:style w:type="table" w:styleId="867" w:customStyle="1">
    <w:name w:val="Grid Table 3 - Accent 6"/>
    <w:uiPriority w:val="99"/>
    <w:qFormat/>
    <w:rPr>
      <w:lang w:val="en-US" w:eastAsia="zh-CN" w:bidi="ar-SA"/>
    </w:rPr>
    <w:tblPr/>
  </w:style>
  <w:style w:type="table" w:styleId="868" w:customStyle="1">
    <w:name w:val="网格表 41"/>
    <w:uiPriority w:val="59"/>
    <w:qFormat/>
    <w:rPr>
      <w:lang w:val="en-US" w:eastAsia="zh-CN" w:bidi="ar-SA"/>
    </w:rPr>
    <w:tblPr/>
  </w:style>
  <w:style w:type="table" w:styleId="869" w:customStyle="1">
    <w:name w:val="Grid Table 4 - Accent 1"/>
    <w:uiPriority w:val="59"/>
    <w:qFormat/>
    <w:rPr>
      <w:lang w:val="en-US" w:eastAsia="zh-CN" w:bidi="ar-SA"/>
    </w:rPr>
    <w:tblPr/>
  </w:style>
  <w:style w:type="table" w:styleId="870" w:customStyle="1">
    <w:name w:val="Grid Table 4 - Accent 2"/>
    <w:uiPriority w:val="59"/>
    <w:qFormat/>
    <w:rPr>
      <w:lang w:val="en-US" w:eastAsia="zh-CN" w:bidi="ar-SA"/>
    </w:rPr>
    <w:tblPr/>
  </w:style>
  <w:style w:type="table" w:styleId="871" w:customStyle="1">
    <w:name w:val="Grid Table 4 - Accent 3"/>
    <w:uiPriority w:val="59"/>
    <w:qFormat/>
    <w:rPr>
      <w:lang w:val="en-US" w:eastAsia="zh-CN" w:bidi="ar-SA"/>
    </w:rPr>
    <w:tblPr/>
  </w:style>
  <w:style w:type="table" w:styleId="872" w:customStyle="1">
    <w:name w:val="Grid Table 4 - Accent 4"/>
    <w:uiPriority w:val="59"/>
    <w:qFormat/>
    <w:rPr>
      <w:lang w:val="en-US" w:eastAsia="zh-CN" w:bidi="ar-SA"/>
    </w:rPr>
    <w:tblPr/>
  </w:style>
  <w:style w:type="table" w:styleId="873" w:customStyle="1">
    <w:name w:val="Grid Table 4 - Accent 5"/>
    <w:uiPriority w:val="59"/>
    <w:qFormat/>
    <w:rPr>
      <w:lang w:val="en-US" w:eastAsia="zh-CN" w:bidi="ar-SA"/>
    </w:rPr>
    <w:tblPr/>
  </w:style>
  <w:style w:type="table" w:styleId="874" w:customStyle="1">
    <w:name w:val="Grid Table 4 - Accent 6"/>
    <w:uiPriority w:val="59"/>
    <w:qFormat/>
    <w:rPr>
      <w:lang w:val="en-US" w:eastAsia="zh-CN" w:bidi="ar-SA"/>
    </w:rPr>
    <w:tblPr/>
  </w:style>
  <w:style w:type="table" w:styleId="875" w:customStyle="1">
    <w:name w:val="网格表 5 深色1"/>
    <w:uiPriority w:val="99"/>
    <w:qFormat/>
    <w:rPr>
      <w:lang w:val="en-US" w:eastAsia="zh-CN" w:bidi="ar-SA"/>
    </w:rPr>
    <w:tblPr/>
  </w:style>
  <w:style w:type="table" w:styleId="876" w:customStyle="1">
    <w:name w:val="Grid Table 5 Dark- Accent 1"/>
    <w:uiPriority w:val="99"/>
    <w:qFormat/>
    <w:rPr>
      <w:lang w:val="en-US" w:eastAsia="zh-CN" w:bidi="ar-SA"/>
    </w:rPr>
    <w:tblPr/>
  </w:style>
  <w:style w:type="table" w:styleId="877" w:customStyle="1">
    <w:name w:val="Grid Table 5 Dark - Accent 2"/>
    <w:uiPriority w:val="99"/>
    <w:qFormat/>
    <w:rPr>
      <w:lang w:val="en-US" w:eastAsia="zh-CN" w:bidi="ar-SA"/>
    </w:rPr>
    <w:tblPr/>
  </w:style>
  <w:style w:type="table" w:styleId="878" w:customStyle="1">
    <w:name w:val="Grid Table 5 Dark - Accent 3"/>
    <w:uiPriority w:val="99"/>
    <w:qFormat/>
    <w:rPr>
      <w:lang w:val="en-US" w:eastAsia="zh-CN" w:bidi="ar-SA"/>
    </w:rPr>
    <w:tblPr/>
  </w:style>
  <w:style w:type="table" w:styleId="879" w:customStyle="1">
    <w:name w:val="Grid Table 5 Dark- Accent 4"/>
    <w:uiPriority w:val="99"/>
    <w:qFormat/>
    <w:rPr>
      <w:lang w:val="en-US" w:eastAsia="zh-CN" w:bidi="ar-SA"/>
    </w:rPr>
    <w:tblPr/>
  </w:style>
  <w:style w:type="table" w:styleId="880" w:customStyle="1">
    <w:name w:val="Grid Table 5 Dark - Accent 5"/>
    <w:uiPriority w:val="99"/>
    <w:qFormat/>
    <w:rPr>
      <w:lang w:val="en-US" w:eastAsia="zh-CN" w:bidi="ar-SA"/>
    </w:rPr>
    <w:tblPr/>
  </w:style>
  <w:style w:type="table" w:styleId="881" w:customStyle="1">
    <w:name w:val="Grid Table 5 Dark - Accent 6"/>
    <w:uiPriority w:val="99"/>
    <w:qFormat/>
    <w:rPr>
      <w:lang w:val="en-US" w:eastAsia="zh-CN" w:bidi="ar-SA"/>
    </w:rPr>
    <w:tblPr/>
  </w:style>
  <w:style w:type="table" w:styleId="882" w:customStyle="1">
    <w:name w:val="网格表 6 彩色1"/>
    <w:uiPriority w:val="99"/>
    <w:qFormat/>
    <w:rPr>
      <w:lang w:val="en-US" w:eastAsia="zh-CN" w:bidi="ar-SA"/>
    </w:rPr>
    <w:tblPr/>
  </w:style>
  <w:style w:type="table" w:styleId="883" w:customStyle="1">
    <w:name w:val="Grid Table 6 Colorful - Accent 1"/>
    <w:uiPriority w:val="99"/>
    <w:qFormat/>
    <w:rPr>
      <w:lang w:val="en-US" w:eastAsia="zh-CN" w:bidi="ar-SA"/>
    </w:rPr>
    <w:tblPr/>
  </w:style>
  <w:style w:type="table" w:styleId="884" w:customStyle="1">
    <w:name w:val="Grid Table 6 Colorful - Accent 2"/>
    <w:uiPriority w:val="99"/>
    <w:qFormat/>
    <w:rPr>
      <w:lang w:val="en-US" w:eastAsia="zh-CN" w:bidi="ar-SA"/>
    </w:rPr>
    <w:tblPr/>
  </w:style>
  <w:style w:type="table" w:styleId="885" w:customStyle="1">
    <w:name w:val="Grid Table 6 Colorful - Accent 3"/>
    <w:uiPriority w:val="99"/>
    <w:qFormat/>
    <w:rPr>
      <w:lang w:val="en-US" w:eastAsia="zh-CN" w:bidi="ar-SA"/>
    </w:rPr>
    <w:tblPr/>
  </w:style>
  <w:style w:type="table" w:styleId="886" w:customStyle="1">
    <w:name w:val="Grid Table 6 Colorful - Accent 4"/>
    <w:uiPriority w:val="99"/>
    <w:qFormat/>
    <w:rPr>
      <w:lang w:val="en-US" w:eastAsia="zh-CN" w:bidi="ar-SA"/>
    </w:rPr>
    <w:tblPr/>
  </w:style>
  <w:style w:type="table" w:styleId="887" w:customStyle="1">
    <w:name w:val="Grid Table 6 Colorful - Accent 5"/>
    <w:uiPriority w:val="99"/>
    <w:qFormat/>
    <w:rPr>
      <w:lang w:val="en-US" w:eastAsia="zh-CN" w:bidi="ar-SA"/>
    </w:rPr>
    <w:tblPr/>
  </w:style>
  <w:style w:type="table" w:styleId="888" w:customStyle="1">
    <w:name w:val="Grid Table 6 Colorful - Accent 6"/>
    <w:uiPriority w:val="99"/>
    <w:qFormat/>
    <w:rPr>
      <w:lang w:val="en-US" w:eastAsia="zh-CN" w:bidi="ar-SA"/>
    </w:rPr>
    <w:tblPr/>
  </w:style>
  <w:style w:type="table" w:styleId="889" w:customStyle="1">
    <w:name w:val="网格表 7 彩色1"/>
    <w:uiPriority w:val="99"/>
    <w:qFormat/>
    <w:rPr>
      <w:lang w:val="en-US" w:eastAsia="zh-CN" w:bidi="ar-SA"/>
    </w:rPr>
    <w:tblPr/>
  </w:style>
  <w:style w:type="table" w:styleId="890" w:customStyle="1">
    <w:name w:val="Grid Table 7 Colorful - Accent 1"/>
    <w:uiPriority w:val="99"/>
    <w:qFormat/>
    <w:rPr>
      <w:lang w:val="en-US" w:eastAsia="zh-CN" w:bidi="ar-SA"/>
    </w:rPr>
    <w:tblPr/>
  </w:style>
  <w:style w:type="table" w:styleId="891" w:customStyle="1">
    <w:name w:val="Grid Table 7 Colorful - Accent 2"/>
    <w:uiPriority w:val="99"/>
    <w:qFormat/>
    <w:rPr>
      <w:lang w:val="en-US" w:eastAsia="zh-CN" w:bidi="ar-SA"/>
    </w:rPr>
    <w:tblPr/>
  </w:style>
  <w:style w:type="table" w:styleId="892" w:customStyle="1">
    <w:name w:val="Grid Table 7 Colorful - Accent 3"/>
    <w:uiPriority w:val="99"/>
    <w:qFormat/>
    <w:rPr>
      <w:lang w:val="en-US" w:eastAsia="zh-CN" w:bidi="ar-SA"/>
    </w:rPr>
    <w:tblPr/>
  </w:style>
  <w:style w:type="table" w:styleId="893" w:customStyle="1">
    <w:name w:val="Grid Table 7 Colorful - Accent 4"/>
    <w:uiPriority w:val="99"/>
    <w:qFormat/>
    <w:rPr>
      <w:lang w:val="en-US" w:eastAsia="zh-CN" w:bidi="ar-SA"/>
    </w:rPr>
    <w:tblPr/>
  </w:style>
  <w:style w:type="table" w:styleId="894" w:customStyle="1">
    <w:name w:val="Grid Table 7 Colorful - Accent 5"/>
    <w:uiPriority w:val="99"/>
    <w:qFormat/>
    <w:rPr>
      <w:lang w:val="en-US" w:eastAsia="zh-CN" w:bidi="ar-SA"/>
    </w:rPr>
    <w:tblPr/>
  </w:style>
  <w:style w:type="table" w:styleId="895" w:customStyle="1">
    <w:name w:val="Grid Table 7 Colorful - Accent 6"/>
    <w:uiPriority w:val="99"/>
    <w:qFormat/>
    <w:rPr>
      <w:lang w:val="en-US" w:eastAsia="zh-CN" w:bidi="ar-SA"/>
    </w:rPr>
    <w:tblPr/>
  </w:style>
  <w:style w:type="table" w:styleId="896" w:customStyle="1">
    <w:name w:val="清单表 1 浅色1"/>
    <w:uiPriority w:val="99"/>
    <w:qFormat/>
    <w:rPr>
      <w:lang w:val="en-US" w:eastAsia="zh-CN" w:bidi="ar-SA"/>
    </w:rPr>
    <w:tblPr/>
  </w:style>
  <w:style w:type="table" w:styleId="897" w:customStyle="1">
    <w:name w:val="List Table 1 Light - Accent 1"/>
    <w:uiPriority w:val="99"/>
    <w:qFormat/>
    <w:rPr>
      <w:lang w:val="en-US" w:eastAsia="zh-CN" w:bidi="ar-SA"/>
    </w:rPr>
    <w:tblPr/>
  </w:style>
  <w:style w:type="table" w:styleId="898" w:customStyle="1">
    <w:name w:val="List Table 1 Light - Accent 2"/>
    <w:uiPriority w:val="99"/>
    <w:qFormat/>
    <w:rPr>
      <w:lang w:val="en-US" w:eastAsia="zh-CN" w:bidi="ar-SA"/>
    </w:rPr>
    <w:tblPr/>
  </w:style>
  <w:style w:type="table" w:styleId="899" w:customStyle="1">
    <w:name w:val="List Table 1 Light - Accent 3"/>
    <w:uiPriority w:val="99"/>
    <w:qFormat/>
    <w:rPr>
      <w:lang w:val="en-US" w:eastAsia="zh-CN" w:bidi="ar-SA"/>
    </w:rPr>
    <w:tblPr/>
  </w:style>
  <w:style w:type="table" w:styleId="900" w:customStyle="1">
    <w:name w:val="List Table 1 Light - Accent 4"/>
    <w:uiPriority w:val="99"/>
    <w:qFormat/>
    <w:rPr>
      <w:lang w:val="en-US" w:eastAsia="zh-CN" w:bidi="ar-SA"/>
    </w:rPr>
    <w:tblPr/>
  </w:style>
  <w:style w:type="table" w:styleId="901" w:customStyle="1">
    <w:name w:val="List Table 1 Light - Accent 5"/>
    <w:uiPriority w:val="99"/>
    <w:qFormat/>
    <w:rPr>
      <w:lang w:val="en-US" w:eastAsia="zh-CN" w:bidi="ar-SA"/>
    </w:rPr>
    <w:tblPr/>
  </w:style>
  <w:style w:type="table" w:styleId="902" w:customStyle="1">
    <w:name w:val="List Table 1 Light - Accent 6"/>
    <w:uiPriority w:val="99"/>
    <w:qFormat/>
    <w:rPr>
      <w:lang w:val="en-US" w:eastAsia="zh-CN" w:bidi="ar-SA"/>
    </w:rPr>
    <w:tblPr/>
  </w:style>
  <w:style w:type="table" w:styleId="903" w:customStyle="1">
    <w:name w:val="清单表 21"/>
    <w:uiPriority w:val="99"/>
    <w:qFormat/>
    <w:rPr>
      <w:lang w:val="en-US" w:eastAsia="zh-CN" w:bidi="ar-SA"/>
    </w:rPr>
    <w:tblPr/>
  </w:style>
  <w:style w:type="table" w:styleId="904" w:customStyle="1">
    <w:name w:val="List Table 2 - Accent 1"/>
    <w:uiPriority w:val="99"/>
    <w:qFormat/>
    <w:rPr>
      <w:lang w:val="en-US" w:eastAsia="zh-CN" w:bidi="ar-SA"/>
    </w:rPr>
    <w:tblPr/>
  </w:style>
  <w:style w:type="table" w:styleId="905" w:customStyle="1">
    <w:name w:val="List Table 2 - Accent 2"/>
    <w:uiPriority w:val="99"/>
    <w:qFormat/>
    <w:rPr>
      <w:lang w:val="en-US" w:eastAsia="zh-CN" w:bidi="ar-SA"/>
    </w:rPr>
    <w:tblPr/>
  </w:style>
  <w:style w:type="table" w:styleId="906" w:customStyle="1">
    <w:name w:val="List Table 2 - Accent 3"/>
    <w:uiPriority w:val="99"/>
    <w:qFormat/>
    <w:rPr>
      <w:lang w:val="en-US" w:eastAsia="zh-CN" w:bidi="ar-SA"/>
    </w:rPr>
    <w:tblPr/>
  </w:style>
  <w:style w:type="table" w:styleId="907" w:customStyle="1">
    <w:name w:val="List Table 2 - Accent 4"/>
    <w:uiPriority w:val="99"/>
    <w:qFormat/>
    <w:rPr>
      <w:lang w:val="en-US" w:eastAsia="zh-CN" w:bidi="ar-SA"/>
    </w:rPr>
    <w:tblPr/>
  </w:style>
  <w:style w:type="table" w:styleId="908" w:customStyle="1">
    <w:name w:val="List Table 2 - Accent 5"/>
    <w:uiPriority w:val="99"/>
    <w:qFormat/>
    <w:rPr>
      <w:lang w:val="en-US" w:eastAsia="zh-CN" w:bidi="ar-SA"/>
    </w:rPr>
    <w:tblPr/>
  </w:style>
  <w:style w:type="table" w:styleId="909" w:customStyle="1">
    <w:name w:val="List Table 2 - Accent 6"/>
    <w:uiPriority w:val="99"/>
    <w:qFormat/>
    <w:rPr>
      <w:lang w:val="en-US" w:eastAsia="zh-CN" w:bidi="ar-SA"/>
    </w:rPr>
    <w:tblPr/>
  </w:style>
  <w:style w:type="table" w:styleId="910" w:customStyle="1">
    <w:name w:val="清单表 31"/>
    <w:uiPriority w:val="99"/>
    <w:qFormat/>
    <w:rPr>
      <w:lang w:val="en-US" w:eastAsia="zh-CN" w:bidi="ar-SA"/>
    </w:rPr>
    <w:tblPr/>
  </w:style>
  <w:style w:type="table" w:styleId="911" w:customStyle="1">
    <w:name w:val="List Table 3 - Accent 1"/>
    <w:uiPriority w:val="99"/>
    <w:qFormat/>
    <w:rPr>
      <w:lang w:val="en-US" w:eastAsia="zh-CN" w:bidi="ar-SA"/>
    </w:rPr>
    <w:tblPr/>
  </w:style>
  <w:style w:type="table" w:styleId="912" w:customStyle="1">
    <w:name w:val="List Table 3 - Accent 2"/>
    <w:uiPriority w:val="99"/>
    <w:qFormat/>
    <w:rPr>
      <w:lang w:val="en-US" w:eastAsia="zh-CN" w:bidi="ar-SA"/>
    </w:rPr>
    <w:tblPr/>
  </w:style>
  <w:style w:type="table" w:styleId="913" w:customStyle="1">
    <w:name w:val="List Table 3 - Accent 3"/>
    <w:uiPriority w:val="99"/>
    <w:qFormat/>
    <w:rPr>
      <w:lang w:val="en-US" w:eastAsia="zh-CN" w:bidi="ar-SA"/>
    </w:rPr>
    <w:tblPr/>
  </w:style>
  <w:style w:type="table" w:styleId="914" w:customStyle="1">
    <w:name w:val="List Table 3 - Accent 4"/>
    <w:uiPriority w:val="99"/>
    <w:qFormat/>
    <w:rPr>
      <w:lang w:val="en-US" w:eastAsia="zh-CN" w:bidi="ar-SA"/>
    </w:rPr>
    <w:tblPr/>
  </w:style>
  <w:style w:type="table" w:styleId="915" w:customStyle="1">
    <w:name w:val="List Table 3 - Accent 5"/>
    <w:uiPriority w:val="99"/>
    <w:qFormat/>
    <w:rPr>
      <w:lang w:val="en-US" w:eastAsia="zh-CN" w:bidi="ar-SA"/>
    </w:rPr>
    <w:tblPr/>
  </w:style>
  <w:style w:type="table" w:styleId="916" w:customStyle="1">
    <w:name w:val="List Table 3 - Accent 6"/>
    <w:uiPriority w:val="99"/>
    <w:qFormat/>
    <w:rPr>
      <w:lang w:val="en-US" w:eastAsia="zh-CN" w:bidi="ar-SA"/>
    </w:rPr>
    <w:tblPr/>
  </w:style>
  <w:style w:type="table" w:styleId="917" w:customStyle="1">
    <w:name w:val="清单表 41"/>
    <w:uiPriority w:val="99"/>
    <w:qFormat/>
    <w:rPr>
      <w:lang w:val="en-US" w:eastAsia="zh-CN" w:bidi="ar-SA"/>
    </w:rPr>
    <w:tblPr/>
  </w:style>
  <w:style w:type="table" w:styleId="918" w:customStyle="1">
    <w:name w:val="List Table 4 - Accent 1"/>
    <w:uiPriority w:val="99"/>
    <w:qFormat/>
    <w:rPr>
      <w:lang w:val="en-US" w:eastAsia="zh-CN" w:bidi="ar-SA"/>
    </w:rPr>
    <w:tblPr/>
  </w:style>
  <w:style w:type="table" w:styleId="919" w:customStyle="1">
    <w:name w:val="List Table 4 - Accent 2"/>
    <w:uiPriority w:val="99"/>
    <w:qFormat/>
    <w:rPr>
      <w:lang w:val="en-US" w:eastAsia="zh-CN" w:bidi="ar-SA"/>
    </w:rPr>
    <w:tblPr/>
  </w:style>
  <w:style w:type="table" w:styleId="920" w:customStyle="1">
    <w:name w:val="List Table 4 - Accent 3"/>
    <w:uiPriority w:val="99"/>
    <w:qFormat/>
    <w:rPr>
      <w:lang w:val="en-US" w:eastAsia="zh-CN" w:bidi="ar-SA"/>
    </w:rPr>
    <w:tblPr/>
  </w:style>
  <w:style w:type="table" w:styleId="921" w:customStyle="1">
    <w:name w:val="List Table 4 - Accent 4"/>
    <w:uiPriority w:val="99"/>
    <w:qFormat/>
    <w:rPr>
      <w:lang w:val="en-US" w:eastAsia="zh-CN" w:bidi="ar-SA"/>
    </w:rPr>
    <w:tblPr/>
  </w:style>
  <w:style w:type="table" w:styleId="922" w:customStyle="1">
    <w:name w:val="List Table 4 - Accent 5"/>
    <w:uiPriority w:val="99"/>
    <w:qFormat/>
    <w:rPr>
      <w:lang w:val="en-US" w:eastAsia="zh-CN" w:bidi="ar-SA"/>
    </w:rPr>
    <w:tblPr/>
  </w:style>
  <w:style w:type="table" w:styleId="923" w:customStyle="1">
    <w:name w:val="List Table 4 - Accent 6"/>
    <w:uiPriority w:val="99"/>
    <w:qFormat/>
    <w:rPr>
      <w:lang w:val="en-US" w:eastAsia="zh-CN" w:bidi="ar-SA"/>
    </w:rPr>
    <w:tblPr/>
  </w:style>
  <w:style w:type="table" w:styleId="924" w:customStyle="1">
    <w:name w:val="清单表 5 深色1"/>
    <w:uiPriority w:val="99"/>
    <w:qFormat/>
    <w:rPr>
      <w:lang w:val="en-US" w:eastAsia="zh-CN" w:bidi="ar-SA"/>
    </w:rPr>
    <w:tblPr/>
  </w:style>
  <w:style w:type="table" w:styleId="925" w:customStyle="1">
    <w:name w:val="List Table 5 Dark - Accent 1"/>
    <w:uiPriority w:val="99"/>
    <w:qFormat/>
    <w:rPr>
      <w:lang w:val="en-US" w:eastAsia="zh-CN" w:bidi="ar-SA"/>
    </w:rPr>
    <w:tblPr/>
  </w:style>
  <w:style w:type="table" w:styleId="926" w:customStyle="1">
    <w:name w:val="List Table 5 Dark - Accent 2"/>
    <w:uiPriority w:val="99"/>
    <w:qFormat/>
    <w:rPr>
      <w:lang w:val="en-US" w:eastAsia="zh-CN" w:bidi="ar-SA"/>
    </w:rPr>
    <w:tblPr/>
  </w:style>
  <w:style w:type="table" w:styleId="927" w:customStyle="1">
    <w:name w:val="List Table 5 Dark - Accent 3"/>
    <w:uiPriority w:val="99"/>
    <w:qFormat/>
    <w:rPr>
      <w:lang w:val="en-US" w:eastAsia="zh-CN" w:bidi="ar-SA"/>
    </w:rPr>
    <w:tblPr/>
  </w:style>
  <w:style w:type="table" w:styleId="928" w:customStyle="1">
    <w:name w:val="List Table 5 Dark - Accent 4"/>
    <w:uiPriority w:val="99"/>
    <w:qFormat/>
    <w:rPr>
      <w:lang w:val="en-US" w:eastAsia="zh-CN" w:bidi="ar-SA"/>
    </w:rPr>
    <w:tblPr/>
  </w:style>
  <w:style w:type="table" w:styleId="929" w:customStyle="1">
    <w:name w:val="List Table 5 Dark - Accent 5"/>
    <w:uiPriority w:val="99"/>
    <w:qFormat/>
    <w:rPr>
      <w:lang w:val="en-US" w:eastAsia="zh-CN" w:bidi="ar-SA"/>
    </w:rPr>
    <w:tblPr/>
  </w:style>
  <w:style w:type="table" w:styleId="930" w:customStyle="1">
    <w:name w:val="List Table 5 Dark - Accent 6"/>
    <w:uiPriority w:val="99"/>
    <w:qFormat/>
    <w:rPr>
      <w:lang w:val="en-US" w:eastAsia="zh-CN" w:bidi="ar-SA"/>
    </w:rPr>
    <w:tblPr/>
  </w:style>
  <w:style w:type="table" w:styleId="931" w:customStyle="1">
    <w:name w:val="清单表 6 彩色1"/>
    <w:uiPriority w:val="99"/>
    <w:qFormat/>
    <w:rPr>
      <w:lang w:val="en-US" w:eastAsia="zh-CN" w:bidi="ar-SA"/>
    </w:rPr>
    <w:tblPr/>
  </w:style>
  <w:style w:type="table" w:styleId="932" w:customStyle="1">
    <w:name w:val="List Table 6 Colorful - Accent 1"/>
    <w:uiPriority w:val="99"/>
    <w:qFormat/>
    <w:rPr>
      <w:lang w:val="en-US" w:eastAsia="zh-CN" w:bidi="ar-SA"/>
    </w:rPr>
    <w:tblPr/>
  </w:style>
  <w:style w:type="table" w:styleId="933" w:customStyle="1">
    <w:name w:val="List Table 6 Colorful - Accent 2"/>
    <w:uiPriority w:val="99"/>
    <w:qFormat/>
    <w:rPr>
      <w:lang w:val="en-US" w:eastAsia="zh-CN" w:bidi="ar-SA"/>
    </w:rPr>
    <w:tblPr/>
  </w:style>
  <w:style w:type="table" w:styleId="934" w:customStyle="1">
    <w:name w:val="List Table 6 Colorful - Accent 3"/>
    <w:uiPriority w:val="99"/>
    <w:qFormat/>
    <w:rPr>
      <w:lang w:val="en-US" w:eastAsia="zh-CN" w:bidi="ar-SA"/>
    </w:rPr>
    <w:tblPr/>
  </w:style>
  <w:style w:type="table" w:styleId="935" w:customStyle="1">
    <w:name w:val="List Table 6 Colorful - Accent 4"/>
    <w:uiPriority w:val="99"/>
    <w:qFormat/>
    <w:rPr>
      <w:lang w:val="en-US" w:eastAsia="zh-CN" w:bidi="ar-SA"/>
    </w:rPr>
    <w:tblPr/>
  </w:style>
  <w:style w:type="table" w:styleId="936" w:customStyle="1">
    <w:name w:val="List Table 6 Colorful - Accent 5"/>
    <w:uiPriority w:val="99"/>
    <w:qFormat/>
    <w:rPr>
      <w:lang w:val="en-US" w:eastAsia="zh-CN" w:bidi="ar-SA"/>
    </w:rPr>
    <w:tblPr/>
  </w:style>
  <w:style w:type="table" w:styleId="937" w:customStyle="1">
    <w:name w:val="List Table 6 Colorful - Accent 6"/>
    <w:uiPriority w:val="99"/>
    <w:qFormat/>
    <w:rPr>
      <w:lang w:val="en-US" w:eastAsia="zh-CN" w:bidi="ar-SA"/>
    </w:rPr>
    <w:tblPr/>
  </w:style>
  <w:style w:type="table" w:styleId="938" w:customStyle="1">
    <w:name w:val="清单表 7 彩色1"/>
    <w:uiPriority w:val="99"/>
    <w:qFormat/>
    <w:rPr>
      <w:lang w:val="en-US" w:eastAsia="zh-CN" w:bidi="ar-SA"/>
    </w:rPr>
    <w:tblPr/>
  </w:style>
  <w:style w:type="table" w:styleId="939" w:customStyle="1">
    <w:name w:val="List Table 7 Colorful - Accent 1"/>
    <w:uiPriority w:val="99"/>
    <w:qFormat/>
    <w:rPr>
      <w:lang w:val="en-US" w:eastAsia="zh-CN" w:bidi="ar-SA"/>
    </w:rPr>
    <w:tblPr/>
  </w:style>
  <w:style w:type="table" w:styleId="940" w:customStyle="1">
    <w:name w:val="List Table 7 Colorful - Accent 2"/>
    <w:uiPriority w:val="99"/>
    <w:qFormat/>
    <w:rPr>
      <w:lang w:val="en-US" w:eastAsia="zh-CN" w:bidi="ar-SA"/>
    </w:rPr>
    <w:tblPr/>
  </w:style>
  <w:style w:type="table" w:styleId="941" w:customStyle="1">
    <w:name w:val="List Table 7 Colorful - Accent 3"/>
    <w:uiPriority w:val="99"/>
    <w:qFormat/>
    <w:rPr>
      <w:lang w:val="en-US" w:eastAsia="zh-CN" w:bidi="ar-SA"/>
    </w:rPr>
    <w:tblPr/>
  </w:style>
  <w:style w:type="table" w:styleId="942" w:customStyle="1">
    <w:name w:val="List Table 7 Colorful - Accent 4"/>
    <w:uiPriority w:val="99"/>
    <w:qFormat/>
    <w:rPr>
      <w:lang w:val="en-US" w:eastAsia="zh-CN" w:bidi="ar-SA"/>
    </w:rPr>
    <w:tblPr/>
  </w:style>
  <w:style w:type="table" w:styleId="943" w:customStyle="1">
    <w:name w:val="List Table 7 Colorful - Accent 5"/>
    <w:uiPriority w:val="99"/>
    <w:qFormat/>
    <w:rPr>
      <w:lang w:val="en-US" w:eastAsia="zh-CN" w:bidi="ar-SA"/>
    </w:rPr>
    <w:tblPr/>
  </w:style>
  <w:style w:type="table" w:styleId="944" w:customStyle="1">
    <w:name w:val="List Table 7 Colorful - Accent 6"/>
    <w:uiPriority w:val="99"/>
    <w:qFormat/>
    <w:rPr>
      <w:lang w:val="en-US" w:eastAsia="zh-CN" w:bidi="ar-SA"/>
    </w:rPr>
    <w:tblPr/>
  </w:style>
  <w:style w:type="table" w:styleId="945" w:customStyle="1">
    <w:name w:val="Lined - Accent"/>
    <w:uiPriority w:val="99"/>
    <w:qFormat/>
    <w:rPr>
      <w:color w:val="404040"/>
      <w:lang w:val="en-US" w:eastAsia="zh-CN" w:bidi="ar-SA"/>
    </w:rPr>
    <w:tblPr/>
  </w:style>
  <w:style w:type="table" w:styleId="946" w:customStyle="1">
    <w:name w:val="Lined - Accent 1"/>
    <w:uiPriority w:val="99"/>
    <w:qFormat/>
    <w:rPr>
      <w:color w:val="404040"/>
      <w:lang w:val="en-US" w:eastAsia="zh-CN" w:bidi="ar-SA"/>
    </w:rPr>
    <w:tblPr/>
  </w:style>
  <w:style w:type="table" w:styleId="947" w:customStyle="1">
    <w:name w:val="Lined - Accent 2"/>
    <w:uiPriority w:val="99"/>
    <w:qFormat/>
    <w:rPr>
      <w:color w:val="404040"/>
      <w:lang w:val="en-US" w:eastAsia="zh-CN" w:bidi="ar-SA"/>
    </w:rPr>
    <w:tblPr/>
  </w:style>
  <w:style w:type="table" w:styleId="948" w:customStyle="1">
    <w:name w:val="Lined - Accent 3"/>
    <w:uiPriority w:val="99"/>
    <w:qFormat/>
    <w:rPr>
      <w:color w:val="404040"/>
      <w:lang w:val="en-US" w:eastAsia="zh-CN" w:bidi="ar-SA"/>
    </w:rPr>
    <w:tblPr/>
  </w:style>
  <w:style w:type="table" w:styleId="949" w:customStyle="1">
    <w:name w:val="Lined - Accent 4"/>
    <w:uiPriority w:val="99"/>
    <w:qFormat/>
    <w:rPr>
      <w:color w:val="404040"/>
      <w:lang w:val="en-US" w:eastAsia="zh-CN" w:bidi="ar-SA"/>
    </w:rPr>
    <w:tblPr/>
  </w:style>
  <w:style w:type="table" w:styleId="950" w:customStyle="1">
    <w:name w:val="Lined - Accent 5"/>
    <w:uiPriority w:val="99"/>
    <w:qFormat/>
    <w:rPr>
      <w:color w:val="404040"/>
      <w:lang w:val="en-US" w:eastAsia="zh-CN" w:bidi="ar-SA"/>
    </w:rPr>
    <w:tblPr/>
  </w:style>
  <w:style w:type="table" w:styleId="951" w:customStyle="1">
    <w:name w:val="Lined - Accent 6"/>
    <w:uiPriority w:val="99"/>
    <w:qFormat/>
    <w:rPr>
      <w:color w:val="404040"/>
      <w:lang w:val="en-US" w:eastAsia="zh-CN" w:bidi="ar-SA"/>
    </w:rPr>
    <w:tblPr/>
  </w:style>
  <w:style w:type="table" w:styleId="952" w:customStyle="1">
    <w:name w:val="Bordered &amp; Lined - Accent"/>
    <w:uiPriority w:val="99"/>
    <w:qFormat/>
    <w:rPr>
      <w:color w:val="404040"/>
      <w:lang w:val="en-US" w:eastAsia="zh-CN" w:bidi="ar-SA"/>
    </w:rPr>
    <w:tblPr/>
  </w:style>
  <w:style w:type="table" w:styleId="953" w:customStyle="1">
    <w:name w:val="Bordered &amp; Lined - Accent 1"/>
    <w:uiPriority w:val="99"/>
    <w:qFormat/>
    <w:rPr>
      <w:color w:val="404040"/>
      <w:lang w:val="en-US" w:eastAsia="zh-CN" w:bidi="ar-SA"/>
    </w:rPr>
    <w:tblPr/>
  </w:style>
  <w:style w:type="table" w:styleId="954" w:customStyle="1">
    <w:name w:val="Bordered &amp; Lined - Accent 2"/>
    <w:uiPriority w:val="99"/>
    <w:qFormat/>
    <w:rPr>
      <w:color w:val="404040"/>
      <w:lang w:val="en-US" w:eastAsia="zh-CN" w:bidi="ar-SA"/>
    </w:rPr>
    <w:tblPr/>
  </w:style>
  <w:style w:type="table" w:styleId="955" w:customStyle="1">
    <w:name w:val="Bordered &amp; Lined - Accent 3"/>
    <w:uiPriority w:val="99"/>
    <w:qFormat/>
    <w:rPr>
      <w:color w:val="404040"/>
      <w:lang w:val="en-US" w:eastAsia="zh-CN" w:bidi="ar-SA"/>
    </w:rPr>
    <w:tblPr/>
  </w:style>
  <w:style w:type="table" w:styleId="956" w:customStyle="1">
    <w:name w:val="Bordered &amp; Lined - Accent 4"/>
    <w:uiPriority w:val="99"/>
    <w:qFormat/>
    <w:rPr>
      <w:color w:val="404040"/>
      <w:lang w:val="en-US" w:eastAsia="zh-CN" w:bidi="ar-SA"/>
    </w:rPr>
    <w:tblPr/>
  </w:style>
  <w:style w:type="table" w:styleId="957" w:customStyle="1">
    <w:name w:val="Bordered &amp; Lined - Accent 5"/>
    <w:uiPriority w:val="99"/>
    <w:qFormat/>
    <w:rPr>
      <w:color w:val="404040"/>
      <w:lang w:val="en-US" w:eastAsia="zh-CN" w:bidi="ar-SA"/>
    </w:rPr>
    <w:tblPr/>
  </w:style>
  <w:style w:type="table" w:styleId="958" w:customStyle="1">
    <w:name w:val="Bordered &amp; Lined - Accent 6"/>
    <w:uiPriority w:val="99"/>
    <w:qFormat/>
    <w:rPr>
      <w:color w:val="404040"/>
      <w:lang w:val="en-US" w:eastAsia="zh-CN" w:bidi="ar-SA"/>
    </w:rPr>
    <w:tblPr/>
  </w:style>
  <w:style w:type="table" w:styleId="959" w:customStyle="1">
    <w:name w:val="Bordered"/>
    <w:uiPriority w:val="99"/>
    <w:qFormat/>
    <w:rPr>
      <w:lang w:val="en-US" w:eastAsia="zh-CN" w:bidi="ar-SA"/>
    </w:rPr>
    <w:tblPr/>
  </w:style>
  <w:style w:type="table" w:styleId="960" w:customStyle="1">
    <w:name w:val="Bordered - Accent 1"/>
    <w:uiPriority w:val="99"/>
    <w:qFormat/>
    <w:rPr>
      <w:lang w:val="en-US" w:eastAsia="zh-CN" w:bidi="ar-SA"/>
    </w:rPr>
    <w:tblPr/>
  </w:style>
  <w:style w:type="table" w:styleId="961" w:customStyle="1">
    <w:name w:val="Bordered - Accent 2"/>
    <w:uiPriority w:val="99"/>
    <w:qFormat/>
    <w:rPr>
      <w:lang w:val="en-US" w:eastAsia="zh-CN" w:bidi="ar-SA"/>
    </w:rPr>
    <w:tblPr/>
  </w:style>
  <w:style w:type="table" w:styleId="962" w:customStyle="1">
    <w:name w:val="Bordered - Accent 3"/>
    <w:uiPriority w:val="99"/>
    <w:qFormat/>
    <w:rPr>
      <w:lang w:val="en-US" w:eastAsia="zh-CN" w:bidi="ar-SA"/>
    </w:rPr>
    <w:tblPr/>
  </w:style>
  <w:style w:type="table" w:styleId="963" w:customStyle="1">
    <w:name w:val="Bordered - Accent 4"/>
    <w:uiPriority w:val="99"/>
    <w:qFormat/>
    <w:rPr>
      <w:lang w:val="en-US" w:eastAsia="zh-CN" w:bidi="ar-SA"/>
    </w:rPr>
    <w:tblPr/>
  </w:style>
  <w:style w:type="table" w:styleId="964" w:customStyle="1">
    <w:name w:val="Bordered - Accent 5"/>
    <w:uiPriority w:val="99"/>
    <w:qFormat/>
    <w:rPr>
      <w:lang w:val="en-US" w:eastAsia="zh-CN" w:bidi="ar-SA"/>
    </w:rPr>
    <w:tblPr/>
  </w:style>
  <w:style w:type="table" w:styleId="965" w:customStyle="1">
    <w:name w:val="Bordered - Accent 6"/>
    <w:uiPriority w:val="99"/>
    <w:qFormat/>
    <w:rPr>
      <w:lang w:val="en-US" w:eastAsia="zh-CN" w:bidi="ar-SA"/>
    </w:rPr>
    <w:tblPr/>
  </w:style>
  <w:style w:type="character" w:styleId="966" w:customStyle="1">
    <w:name w:val="Footnote Text Char"/>
    <w:link w:val="668"/>
    <w:uiPriority w:val="99"/>
    <w:qFormat/>
    <w:rPr>
      <w:sz w:val="18"/>
    </w:rPr>
  </w:style>
  <w:style w:type="paragraph" w:styleId="967" w:customStyle="1">
    <w:name w:val="TOC 标题11"/>
    <w:uiPriority w:val="39"/>
    <w:unhideWhenUsed/>
    <w:qFormat/>
    <w:rPr>
      <w:rFonts w:hint="default" w:ascii="Times New Roman" w:hAnsi="Times New Roman" w:eastAsia="宋体" w:cs="Times New Roman"/>
      <w:lang w:val="en-US" w:eastAsia="zh-CN" w:bidi="ar-SA"/>
    </w:rPr>
  </w:style>
  <w:style w:type="character" w:styleId="968" w:customStyle="1">
    <w:name w:val="纯文本 字符"/>
    <w:link w:val="668"/>
    <w:uiPriority w:val="0"/>
    <w:qFormat/>
    <w:rPr>
      <w:rFonts w:ascii="宋体" w:hAnsi="Courier New" w:eastAsia="楷体_GB2312"/>
      <w:sz w:val="26"/>
    </w:rPr>
  </w:style>
  <w:style w:type="paragraph" w:styleId="969" w:customStyle="1">
    <w:name w:val="纯文本2"/>
    <w:basedOn w:val="668"/>
    <w:uiPriority w:val="0"/>
    <w:qFormat/>
    <w:pPr>
      <w:jc w:val="left"/>
      <w:widowControl/>
    </w:pPr>
    <w:rPr>
      <w:rFonts w:ascii="宋体" w:hAnsi="Courier New" w:eastAsia="楷体_GB2312"/>
      <w:sz w:val="26"/>
      <w:szCs w:val="20"/>
    </w:rPr>
  </w:style>
  <w:style w:type="character" w:styleId="970" w:customStyle="1">
    <w:name w:val="标题 1 字符"/>
    <w:link w:val="668"/>
    <w:uiPriority w:val="9"/>
    <w:qFormat/>
    <w:rPr>
      <w:b/>
      <w:bCs/>
      <w:sz w:val="44"/>
      <w:szCs w:val="44"/>
    </w:rPr>
  </w:style>
  <w:style w:type="character" w:styleId="971" w:customStyle="1">
    <w:name w:val="标题 2 字符"/>
    <w:link w:val="668"/>
    <w:uiPriority w:val="9"/>
    <w:semiHidden/>
    <w:qFormat/>
    <w:rPr>
      <w:rFonts w:ascii="Cambria" w:hAnsi="Cambria" w:eastAsia="宋体" w:cs="Times New Roman"/>
      <w:b/>
      <w:bCs/>
      <w:sz w:val="32"/>
      <w:szCs w:val="32"/>
    </w:rPr>
  </w:style>
  <w:style w:type="character" w:styleId="972" w:customStyle="1">
    <w:name w:val="标题 3 字符"/>
    <w:link w:val="668"/>
    <w:uiPriority w:val="9"/>
    <w:semiHidden/>
    <w:qFormat/>
    <w:rPr>
      <w:b/>
      <w:bCs/>
      <w:sz w:val="32"/>
      <w:szCs w:val="32"/>
    </w:rPr>
  </w:style>
  <w:style w:type="character" w:styleId="973" w:customStyle="1">
    <w:name w:val="标题 4 字符"/>
    <w:link w:val="668"/>
    <w:uiPriority w:val="9"/>
    <w:semiHidden/>
    <w:qFormat/>
    <w:rPr>
      <w:rFonts w:ascii="Cambria" w:hAnsi="Cambria" w:eastAsia="宋体" w:cs="Times New Roman"/>
      <w:b/>
      <w:bCs/>
      <w:sz w:val="28"/>
      <w:szCs w:val="28"/>
    </w:rPr>
  </w:style>
  <w:style w:type="character" w:styleId="974" w:customStyle="1">
    <w:name w:val="标题 5 字符"/>
    <w:link w:val="668"/>
    <w:uiPriority w:val="9"/>
    <w:semiHidden/>
    <w:qFormat/>
    <w:rPr>
      <w:b/>
      <w:bCs/>
      <w:sz w:val="28"/>
      <w:szCs w:val="28"/>
    </w:rPr>
  </w:style>
  <w:style w:type="character" w:styleId="975" w:customStyle="1">
    <w:name w:val="标题 6 字符"/>
    <w:link w:val="668"/>
    <w:uiPriority w:val="9"/>
    <w:semiHidden/>
    <w:qFormat/>
    <w:rPr>
      <w:rFonts w:ascii="Cambria" w:hAnsi="Cambria" w:eastAsia="宋体" w:cs="Times New Roman"/>
      <w:b/>
      <w:bCs/>
      <w:sz w:val="24"/>
      <w:szCs w:val="24"/>
    </w:rPr>
  </w:style>
  <w:style w:type="character" w:styleId="976" w:customStyle="1">
    <w:name w:val="标题 7 字符"/>
    <w:link w:val="668"/>
    <w:uiPriority w:val="9"/>
    <w:semiHidden/>
    <w:qFormat/>
    <w:rPr>
      <w:b/>
      <w:bCs/>
      <w:sz w:val="24"/>
      <w:szCs w:val="24"/>
    </w:rPr>
  </w:style>
  <w:style w:type="paragraph" w:styleId="977" w:customStyle="1">
    <w:name w:val="msonormal"/>
    <w:basedOn w:val="668"/>
    <w:uiPriority w:val="0"/>
    <w:qFormat/>
    <w:pPr>
      <w:jc w:val="left"/>
      <w:spacing w:before="100" w:beforeAutospacing="1" w:after="100" w:afterAutospacing="1"/>
      <w:widowControl/>
    </w:pPr>
    <w:rPr>
      <w:rFonts w:ascii="宋体" w:hAnsi="宋体" w:cs="宋体"/>
      <w:sz w:val="24"/>
      <w:szCs w:val="24"/>
    </w:rPr>
  </w:style>
  <w:style w:type="character" w:styleId="978" w:customStyle="1">
    <w:name w:val="批注文字 字符"/>
    <w:link w:val="668"/>
    <w:uiPriority w:val="0"/>
    <w:qFormat/>
    <w:rPr>
      <w:sz w:val="21"/>
      <w:szCs w:val="22"/>
    </w:rPr>
  </w:style>
  <w:style w:type="character" w:styleId="979" w:customStyle="1">
    <w:name w:val="页眉 字符"/>
    <w:link w:val="668"/>
    <w:uiPriority w:val="99"/>
    <w:qFormat/>
    <w:rPr>
      <w:sz w:val="18"/>
      <w:szCs w:val="18"/>
    </w:rPr>
  </w:style>
  <w:style w:type="character" w:styleId="980" w:customStyle="1">
    <w:name w:val="正文文本缩进 字符"/>
    <w:link w:val="668"/>
    <w:uiPriority w:val="99"/>
    <w:qFormat/>
    <w:rPr>
      <w:sz w:val="21"/>
      <w:szCs w:val="22"/>
    </w:rPr>
  </w:style>
  <w:style w:type="character" w:styleId="981" w:customStyle="1">
    <w:name w:val="副标题 字符"/>
    <w:link w:val="668"/>
    <w:uiPriority w:val="0"/>
    <w:qFormat/>
    <w:rPr>
      <w:rFonts w:ascii="Cambria" w:hAnsi="Cambria" w:cs="Times New Roman"/>
      <w:b/>
      <w:bCs/>
      <w:sz w:val="32"/>
      <w:szCs w:val="32"/>
    </w:rPr>
  </w:style>
  <w:style w:type="character" w:styleId="982" w:customStyle="1">
    <w:name w:val="正文文本首行缩进 2 字符"/>
    <w:link w:val="668"/>
    <w:uiPriority w:val="99"/>
    <w:qFormat/>
  </w:style>
  <w:style w:type="character" w:styleId="983" w:customStyle="1">
    <w:name w:val="正文文本缩进 2 字符"/>
    <w:link w:val="668"/>
    <w:uiPriority w:val="0"/>
    <w:qFormat/>
    <w:rPr>
      <w:sz w:val="21"/>
      <w:szCs w:val="22"/>
    </w:rPr>
  </w:style>
  <w:style w:type="character" w:styleId="984" w:customStyle="1">
    <w:name w:val="批注主题 字符"/>
    <w:link w:val="668"/>
    <w:uiPriority w:val="0"/>
    <w:qFormat/>
    <w:rPr>
      <w:b/>
      <w:bCs/>
      <w:sz w:val="21"/>
      <w:szCs w:val="22"/>
    </w:rPr>
  </w:style>
  <w:style w:type="character" w:styleId="985" w:customStyle="1">
    <w:name w:val="列出段落 Char1"/>
    <w:link w:val="986"/>
    <w:uiPriority w:val="34"/>
    <w:qFormat/>
    <w:rPr>
      <w:rFonts w:cs="Calibri"/>
      <w:sz w:val="21"/>
      <w:szCs w:val="22"/>
    </w:rPr>
  </w:style>
  <w:style w:type="paragraph" w:styleId="986" w:customStyle="1">
    <w:name w:val="列出段落"/>
    <w:basedOn w:val="668"/>
    <w:link w:val="985"/>
    <w:uiPriority w:val="34"/>
    <w:qFormat/>
    <w:pPr>
      <w:ind w:firstLine="420"/>
    </w:pPr>
  </w:style>
  <w:style w:type="paragraph" w:styleId="987" w:customStyle="1">
    <w:name w:val="Plain Text1"/>
    <w:basedOn w:val="668"/>
    <w:uiPriority w:val="0"/>
    <w:qFormat/>
    <w:rPr>
      <w:rFonts w:ascii="宋体" w:hAnsi="Courier New" w:eastAsia="楷体_GB2312"/>
      <w:sz w:val="26"/>
      <w:szCs w:val="20"/>
    </w:rPr>
  </w:style>
  <w:style w:type="paragraph" w:styleId="988" w:customStyle="1">
    <w:name w:val="Char1 Char Char Char"/>
    <w:basedOn w:val="668"/>
    <w:uiPriority w:val="0"/>
    <w:qFormat/>
    <w:rPr>
      <w:szCs w:val="24"/>
    </w:rPr>
  </w:style>
  <w:style w:type="paragraph" w:styleId="989" w:customStyle="1">
    <w:name w:val="符号列表"/>
    <w:basedOn w:val="668"/>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90" w:customStyle="1">
    <w:name w:val="xl71"/>
    <w:basedOn w:val="66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91" w:customStyle="1">
    <w:name w:val="段"/>
    <w:next w:val="668"/>
    <w:uiPriority w:val="0"/>
    <w:qFormat/>
    <w:pPr>
      <w:ind w:firstLine="200"/>
      <w:jc w:val="both"/>
      <w:spacing w:line="360" w:lineRule="auto"/>
    </w:pPr>
    <w:rPr>
      <w:rFonts w:hint="default" w:ascii="宋体" w:hAnsi="宋体" w:eastAsia="宋体" w:cs="宋体"/>
      <w:sz w:val="24"/>
      <w:szCs w:val="22"/>
      <w:lang w:val="en-US" w:eastAsia="zh-CN" w:bidi="ar-SA"/>
    </w:rPr>
  </w:style>
  <w:style w:type="paragraph" w:styleId="992" w:customStyle="1">
    <w:name w:val="纯文本3"/>
    <w:basedOn w:val="668"/>
    <w:uiPriority w:val="0"/>
    <w:qFormat/>
    <w:pPr>
      <w:jc w:val="left"/>
      <w:widowControl/>
    </w:pPr>
    <w:rPr>
      <w:rFonts w:ascii="宋体" w:hAnsi="Courier New" w:eastAsia="楷体_GB2312"/>
      <w:sz w:val="26"/>
      <w:szCs w:val="20"/>
    </w:rPr>
  </w:style>
  <w:style w:type="paragraph" w:styleId="993" w:customStyle="1">
    <w:name w:val="xl94"/>
    <w:basedOn w:val="66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94" w:customStyle="1">
    <w:name w:val="列出段落1"/>
    <w:basedOn w:val="668"/>
    <w:link w:val="995"/>
    <w:uiPriority w:val="0"/>
    <w:qFormat/>
    <w:pPr>
      <w:ind w:firstLine="420"/>
    </w:pPr>
  </w:style>
  <w:style w:type="character" w:styleId="995" w:customStyle="1">
    <w:name w:val="List Paragraph Char"/>
    <w:link w:val="994"/>
    <w:uiPriority w:val="0"/>
    <w:qFormat/>
    <w:rPr>
      <w:sz w:val="21"/>
      <w:szCs w:val="22"/>
    </w:rPr>
  </w:style>
  <w:style w:type="paragraph" w:styleId="996" w:customStyle="1">
    <w:name w:val="xl82"/>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97" w:customStyle="1">
    <w:name w:val="xl101"/>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8" w:customStyle="1">
    <w:name w:val="Char Char2"/>
    <w:basedOn w:val="731"/>
    <w:uiPriority w:val="0"/>
    <w:qFormat/>
    <w:pPr>
      <w:spacing w:line="360" w:lineRule="auto"/>
    </w:pPr>
    <w:rPr>
      <w:rFonts w:ascii="等线" w:hAnsi="等线" w:eastAsia="等线"/>
    </w:rPr>
  </w:style>
  <w:style w:type="paragraph" w:styleId="999" w:customStyle="1">
    <w:name w:val="xl99"/>
    <w:basedOn w:val="66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00" w:customStyle="1">
    <w:name w:val="Char"/>
    <w:basedOn w:val="731"/>
    <w:uiPriority w:val="0"/>
    <w:qFormat/>
    <w:pPr>
      <w:jc w:val="both"/>
      <w:spacing w:line="360" w:lineRule="auto"/>
      <w:widowControl w:val="off"/>
    </w:pPr>
    <w:rPr>
      <w:sz w:val="21"/>
    </w:rPr>
  </w:style>
  <w:style w:type="paragraph" w:styleId="1001" w:customStyle="1">
    <w:name w:val="xl100"/>
    <w:basedOn w:val="66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02" w:customStyle="1">
    <w:name w:val="xl87"/>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3" w:customStyle="1">
    <w:name w:val="xl98"/>
    <w:basedOn w:val="66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4" w:customStyle="1">
    <w:name w:val="xl72"/>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5" w:customStyle="1">
    <w:name w:val="xl95"/>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6" w:customStyle="1">
    <w:name w:val="xl90"/>
    <w:basedOn w:val="6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07" w:customStyle="1">
    <w:name w:val="xl102"/>
    <w:basedOn w:val="66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008" w:customStyle="1">
    <w:name w:val="正文文本 3 Char"/>
    <w:link w:val="1009"/>
    <w:uiPriority w:val="0"/>
    <w:qFormat/>
    <w:rPr>
      <w:rFonts w:ascii="仿宋_GB2312" w:eastAsia="仿宋_GB2312"/>
      <w:sz w:val="16"/>
      <w:szCs w:val="16"/>
    </w:rPr>
  </w:style>
  <w:style w:type="paragraph" w:styleId="1009" w:customStyle="1">
    <w:name w:val="正文文本 31"/>
    <w:basedOn w:val="668"/>
    <w:link w:val="1008"/>
    <w:uiPriority w:val="0"/>
    <w:qFormat/>
    <w:pPr>
      <w:spacing w:after="120"/>
      <w:widowControl/>
    </w:pPr>
    <w:rPr>
      <w:rFonts w:ascii="仿宋_GB2312" w:eastAsia="仿宋_GB2312"/>
      <w:sz w:val="16"/>
      <w:szCs w:val="16"/>
    </w:rPr>
  </w:style>
  <w:style w:type="paragraph" w:styleId="1010" w:customStyle="1">
    <w:name w:val="xl79"/>
    <w:basedOn w:val="66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1" w:customStyle="1">
    <w:name w:val="Char1"/>
    <w:basedOn w:val="668"/>
    <w:uiPriority w:val="0"/>
    <w:qFormat/>
    <w:rPr>
      <w:rFonts w:ascii="Tahoma" w:hAnsi="Tahoma"/>
      <w:sz w:val="24"/>
      <w:szCs w:val="20"/>
    </w:rPr>
  </w:style>
  <w:style w:type="paragraph" w:styleId="1012" w:customStyle="1">
    <w:name w:val="a6"/>
    <w:basedOn w:val="668"/>
    <w:uiPriority w:val="0"/>
    <w:qFormat/>
    <w:pPr>
      <w:jc w:val="left"/>
      <w:spacing w:before="100" w:beforeAutospacing="1" w:after="100" w:afterAutospacing="1"/>
      <w:widowControl/>
    </w:pPr>
    <w:rPr>
      <w:rFonts w:ascii="宋体" w:hAnsi="宋体" w:cs="宋体"/>
      <w:sz w:val="24"/>
      <w:szCs w:val="24"/>
    </w:rPr>
  </w:style>
  <w:style w:type="paragraph" w:styleId="1013" w:customStyle="1">
    <w:name w:val="_Style 107"/>
    <w:next w:val="668"/>
    <w:uiPriority w:val="0"/>
    <w:qFormat/>
    <w:rPr>
      <w:rFonts w:hint="default" w:ascii="Times New Roman" w:hAnsi="Times New Roman" w:eastAsia="宋体" w:cs="Times New Roman"/>
      <w:sz w:val="24"/>
      <w:szCs w:val="24"/>
      <w:lang w:val="en-US" w:eastAsia="zh-CN" w:bidi="ar-SA"/>
    </w:rPr>
  </w:style>
  <w:style w:type="paragraph" w:styleId="1014" w:customStyle="1">
    <w:name w:val="xl97"/>
    <w:basedOn w:val="66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15" w:customStyle="1">
    <w:name w:val="正文2"/>
    <w:basedOn w:val="668"/>
    <w:uiPriority w:val="0"/>
    <w:qFormat/>
    <w:pPr>
      <w:ind w:firstLine="200"/>
      <w:jc w:val="left"/>
      <w:spacing w:after="160" w:line="360" w:lineRule="auto"/>
      <w:widowControl/>
    </w:pPr>
    <w:rPr>
      <w:rFonts w:ascii="Verdana" w:hAnsi="Verdana" w:eastAsia="黑体"/>
      <w:szCs w:val="20"/>
      <w:lang w:eastAsia="en-US"/>
    </w:rPr>
  </w:style>
  <w:style w:type="paragraph" w:styleId="1016" w:customStyle="1">
    <w:name w:val="正文1"/>
    <w:basedOn w:val="668"/>
    <w:next w:val="668"/>
    <w:uiPriority w:val="0"/>
    <w:qFormat/>
    <w:pPr>
      <w:ind w:left="420" w:firstLine="527"/>
      <w:spacing w:before="120" w:line="360" w:lineRule="auto"/>
    </w:pPr>
    <w:rPr>
      <w:rFonts w:ascii="宋体" w:hAnsi="宋体"/>
      <w:sz w:val="24"/>
      <w:szCs w:val="20"/>
    </w:rPr>
  </w:style>
  <w:style w:type="paragraph" w:styleId="1017" w:customStyle="1">
    <w:name w:val="xl85"/>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8" w:customStyle="1">
    <w:name w:val="_Style 49"/>
    <w:basedOn w:val="731"/>
    <w:uiPriority w:val="0"/>
    <w:qFormat/>
    <w:pPr>
      <w:spacing w:line="360" w:lineRule="auto"/>
    </w:pPr>
  </w:style>
  <w:style w:type="paragraph" w:styleId="1019" w:customStyle="1">
    <w:name w:val="xl92"/>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20" w:customStyle="1">
    <w:name w:val="xl88"/>
    <w:basedOn w:val="6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21" w:customStyle="1">
    <w:name w:val="xl80"/>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2" w:customStyle="1">
    <w:name w:val="xl77"/>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23" w:customStyle="1">
    <w:name w:val="Char Char Char Char Char Char Char Char Char Char"/>
    <w:basedOn w:val="668"/>
    <w:uiPriority w:val="0"/>
    <w:qFormat/>
    <w:pPr>
      <w:numPr>
        <w:ilvl w:val="0"/>
        <w:numId w:val="2"/>
      </w:numPr>
      <w:tabs>
        <w:tab w:val="left" w:pos="360" w:leader="none"/>
        <w:tab w:val="left" w:pos="960" w:leader="none"/>
      </w:tabs>
    </w:pPr>
    <w:rPr>
      <w:sz w:val="24"/>
      <w:szCs w:val="24"/>
    </w:rPr>
  </w:style>
  <w:style w:type="paragraph" w:styleId="1024" w:customStyle="1">
    <w:name w:val="Char Char Char Char Char Char Char Char Char1 Char"/>
    <w:basedOn w:val="731"/>
    <w:uiPriority w:val="0"/>
    <w:qFormat/>
    <w:pPr>
      <w:jc w:val="both"/>
      <w:spacing w:line="360" w:lineRule="auto"/>
      <w:widowControl w:val="off"/>
    </w:pPr>
    <w:rPr>
      <w:rFonts w:ascii="Tahoma" w:hAnsi="Tahoma"/>
    </w:rPr>
  </w:style>
  <w:style w:type="paragraph" w:styleId="1025" w:customStyle="1">
    <w:name w:val="xl103"/>
    <w:basedOn w:val="668"/>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26" w:customStyle="1">
    <w:name w:val="xl96"/>
    <w:basedOn w:val="66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27" w:customStyle="1">
    <w:name w:val="xl76"/>
    <w:basedOn w:val="66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28" w:customStyle="1">
    <w:name w:val="xl84"/>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29" w:customStyle="1">
    <w:name w:val="表格 Char"/>
    <w:link w:val="1030"/>
    <w:uiPriority w:val="0"/>
    <w:qFormat/>
    <w:rPr>
      <w:rFonts w:ascii="仿宋" w:hAnsi="仿宋" w:eastAsia="仿宋"/>
      <w:sz w:val="21"/>
      <w:szCs w:val="22"/>
      <w:lang w:val="en-US" w:eastAsia="zh-CN" w:bidi="ar-SA"/>
    </w:rPr>
  </w:style>
  <w:style w:type="paragraph" w:styleId="1030" w:customStyle="1">
    <w:name w:val="表格"/>
    <w:link w:val="1029"/>
    <w:uiPriority w:val="0"/>
    <w:qFormat/>
    <w:pPr>
      <w:jc w:val="center"/>
    </w:pPr>
    <w:rPr>
      <w:rFonts w:hint="default" w:ascii="仿宋" w:hAnsi="仿宋" w:eastAsia="仿宋" w:cs="Times New Roman"/>
      <w:sz w:val="21"/>
      <w:szCs w:val="22"/>
      <w:lang w:val="en-US" w:eastAsia="zh-CN" w:bidi="ar-SA"/>
    </w:rPr>
  </w:style>
  <w:style w:type="character" w:styleId="1031" w:customStyle="1">
    <w:name w:val="1级 Char Char"/>
    <w:link w:val="1032"/>
    <w:uiPriority w:val="0"/>
    <w:qFormat/>
    <w:rPr>
      <w:rFonts w:cs="Calibri"/>
      <w:sz w:val="36"/>
      <w:szCs w:val="36"/>
      <w:lang w:eastAsia="en-US" w:bidi="en-US"/>
    </w:rPr>
  </w:style>
  <w:style w:type="paragraph" w:styleId="1032" w:customStyle="1">
    <w:name w:val="1级"/>
    <w:basedOn w:val="668"/>
    <w:link w:val="1031"/>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33" w:customStyle="1">
    <w:name w:val="xl67"/>
    <w:basedOn w:val="66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4" w:customStyle="1">
    <w:name w:val="表格文字"/>
    <w:basedOn w:val="668"/>
    <w:uiPriority w:val="0"/>
    <w:qFormat/>
    <w:pPr>
      <w:jc w:val="left"/>
      <w:spacing w:line="288" w:lineRule="auto"/>
    </w:pPr>
    <w:rPr>
      <w:rFonts w:ascii="宋体"/>
      <w:sz w:val="34"/>
      <w:szCs w:val="20"/>
    </w:rPr>
  </w:style>
  <w:style w:type="paragraph" w:styleId="1035" w:customStyle="1">
    <w:name w:val="默认段落字体 Para Char Char Char Char Char Char Char Char Char Char Char Char Char"/>
    <w:basedOn w:val="668"/>
    <w:uiPriority w:val="0"/>
    <w:qFormat/>
    <w:rPr>
      <w:rFonts w:ascii="等线" w:hAnsi="等线" w:eastAsia="等线"/>
      <w:szCs w:val="24"/>
    </w:rPr>
  </w:style>
  <w:style w:type="paragraph" w:styleId="1036" w:customStyle="1">
    <w:name w:val="纯文本5"/>
    <w:basedOn w:val="668"/>
    <w:uiPriority w:val="0"/>
    <w:qFormat/>
    <w:rPr>
      <w:rFonts w:ascii="宋体" w:hAnsi="Courier New" w:eastAsia="楷体_GB2312"/>
      <w:sz w:val="26"/>
      <w:szCs w:val="20"/>
      <w:lang w:val="zh-CN"/>
    </w:rPr>
  </w:style>
  <w:style w:type="paragraph" w:styleId="1037" w:customStyle="1">
    <w:name w:val="_Style 12"/>
    <w:basedOn w:val="731"/>
    <w:uiPriority w:val="0"/>
    <w:qFormat/>
    <w:pPr>
      <w:spacing w:line="360" w:lineRule="auto"/>
    </w:pPr>
  </w:style>
  <w:style w:type="paragraph" w:styleId="1038" w:customStyle="1">
    <w:name w:val="Char Char Char"/>
    <w:basedOn w:val="668"/>
    <w:uiPriority w:val="0"/>
    <w:qFormat/>
    <w:pPr>
      <w:ind w:left="795" w:hanging="360"/>
      <w:tabs>
        <w:tab w:val="left" w:pos="795" w:leader="none"/>
      </w:tabs>
    </w:pPr>
    <w:rPr>
      <w:sz w:val="24"/>
      <w:szCs w:val="24"/>
    </w:rPr>
  </w:style>
  <w:style w:type="paragraph" w:styleId="1039" w:customStyle="1">
    <w:name w:val="xl89"/>
    <w:basedOn w:val="668"/>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40" w:customStyle="1">
    <w:name w:val="xl63"/>
    <w:basedOn w:val="668"/>
    <w:uiPriority w:val="0"/>
    <w:qFormat/>
    <w:pPr>
      <w:jc w:val="left"/>
      <w:spacing w:before="100" w:beforeAutospacing="1" w:after="100" w:afterAutospacing="1"/>
      <w:widowControl/>
    </w:pPr>
    <w:rPr>
      <w:rFonts w:ascii="宋体" w:hAnsi="宋体" w:cs="宋体"/>
      <w:sz w:val="24"/>
      <w:szCs w:val="24"/>
    </w:rPr>
  </w:style>
  <w:style w:type="paragraph" w:styleId="1041" w:customStyle="1">
    <w:name w:val="xl70"/>
    <w:basedOn w:val="66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42" w:customStyle="1">
    <w:name w:val="Char Char Char1 Char Char Char Char"/>
    <w:basedOn w:val="668"/>
    <w:uiPriority w:val="0"/>
    <w:qFormat/>
    <w:pPr>
      <w:jc w:val="left"/>
      <w:spacing w:after="160" w:line="240" w:lineRule="exact"/>
      <w:widowControl/>
    </w:pPr>
    <w:rPr>
      <w:sz w:val="24"/>
      <w:szCs w:val="24"/>
    </w:rPr>
  </w:style>
  <w:style w:type="paragraph" w:styleId="1043" w:customStyle="1">
    <w:name w:val="Char Char Char Char"/>
    <w:basedOn w:val="731"/>
    <w:uiPriority w:val="0"/>
    <w:qFormat/>
    <w:pPr>
      <w:jc w:val="both"/>
      <w:spacing w:line="360" w:lineRule="auto"/>
      <w:widowControl w:val="off"/>
    </w:pPr>
    <w:rPr>
      <w:szCs w:val="20"/>
    </w:rPr>
  </w:style>
  <w:style w:type="paragraph" w:styleId="1044" w:customStyle="1">
    <w:name w:val="xl83"/>
    <w:basedOn w:val="668"/>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45" w:customStyle="1">
    <w:name w:val="p0"/>
    <w:basedOn w:val="668"/>
    <w:uiPriority w:val="0"/>
    <w:qFormat/>
    <w:pPr>
      <w:jc w:val="left"/>
      <w:widowControl/>
    </w:pPr>
    <w:rPr>
      <w:sz w:val="24"/>
      <w:szCs w:val="24"/>
    </w:rPr>
  </w:style>
  <w:style w:type="paragraph" w:styleId="1046" w:customStyle="1">
    <w:name w:val="xl74"/>
    <w:basedOn w:val="668"/>
    <w:uiPriority w:val="0"/>
    <w:qFormat/>
    <w:pPr>
      <w:jc w:val="left"/>
      <w:spacing w:before="100" w:beforeAutospacing="1" w:after="100" w:afterAutospacing="1"/>
      <w:widowControl/>
    </w:pPr>
    <w:rPr>
      <w:rFonts w:ascii="宋体" w:hAnsi="宋体" w:cs="宋体"/>
      <w:sz w:val="24"/>
      <w:szCs w:val="24"/>
    </w:rPr>
  </w:style>
  <w:style w:type="paragraph" w:styleId="1047" w:customStyle="1">
    <w:name w:val="xl68"/>
    <w:basedOn w:val="6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48" w:customStyle="1">
    <w:name w:val="xl75"/>
    <w:basedOn w:val="6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9" w:customStyle="1">
    <w:name w:val="_Style 3"/>
    <w:basedOn w:val="668"/>
    <w:uiPriority w:val="0"/>
    <w:qFormat/>
    <w:pPr>
      <w:ind w:left="795" w:hanging="360"/>
      <w:tabs>
        <w:tab w:val="left" w:pos="540" w:leader="none"/>
        <w:tab w:val="left" w:pos="795" w:leader="none"/>
      </w:tabs>
    </w:pPr>
    <w:rPr>
      <w:sz w:val="24"/>
      <w:szCs w:val="24"/>
    </w:rPr>
  </w:style>
  <w:style w:type="paragraph" w:styleId="1050" w:customStyle="1">
    <w:name w:val="_Style 1"/>
    <w:basedOn w:val="668"/>
    <w:uiPriority w:val="34"/>
    <w:qFormat/>
    <w:pPr>
      <w:ind w:firstLine="420"/>
      <w:jc w:val="left"/>
      <w:widowControl/>
    </w:pPr>
    <w:rPr>
      <w:sz w:val="24"/>
      <w:szCs w:val="24"/>
    </w:rPr>
  </w:style>
  <w:style w:type="paragraph" w:styleId="1051" w:customStyle="1">
    <w:name w:val="xl104"/>
    <w:basedOn w:val="66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52" w:customStyle="1">
    <w:name w:val="xl73"/>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3" w:customStyle="1">
    <w:name w:val="_Style 79"/>
    <w:basedOn w:val="668"/>
    <w:uiPriority w:val="0"/>
    <w:qFormat/>
    <w:pPr>
      <w:spacing w:after="160" w:line="240" w:lineRule="exact"/>
    </w:pPr>
    <w:rPr>
      <w:szCs w:val="24"/>
    </w:rPr>
  </w:style>
  <w:style w:type="paragraph" w:styleId="1054" w:customStyle="1">
    <w:name w:val="纯文本1"/>
    <w:basedOn w:val="668"/>
    <w:uiPriority w:val="0"/>
    <w:qFormat/>
    <w:rPr>
      <w:rFonts w:ascii="宋体" w:hAnsi="Courier New" w:eastAsia="楷体_GB2312"/>
      <w:sz w:val="28"/>
      <w:szCs w:val="20"/>
    </w:rPr>
  </w:style>
  <w:style w:type="paragraph" w:styleId="1055" w:customStyle="1">
    <w:name w:val="xl78"/>
    <w:basedOn w:val="66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56" w:customStyle="1">
    <w:name w:val="xl66"/>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7" w:customStyle="1">
    <w:name w:val="p18"/>
    <w:basedOn w:val="668"/>
    <w:uiPriority w:val="0"/>
    <w:qFormat/>
    <w:pPr>
      <w:ind w:firstLine="420"/>
      <w:jc w:val="left"/>
      <w:widowControl/>
    </w:pPr>
    <w:rPr>
      <w:sz w:val="24"/>
      <w:szCs w:val="24"/>
    </w:rPr>
  </w:style>
  <w:style w:type="paragraph" w:styleId="1058" w:customStyle="1">
    <w:name w:val="xl93"/>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9" w:customStyle="1">
    <w:name w:val="默认段落字体 Para Char Char Char Char Char Char Char Char Char1 Char Char Char Char Char Char Char"/>
    <w:basedOn w:val="731"/>
    <w:uiPriority w:val="0"/>
    <w:qFormat/>
    <w:pPr>
      <w:jc w:val="both"/>
      <w:widowControl w:val="off"/>
    </w:pPr>
    <w:rPr>
      <w:sz w:val="21"/>
    </w:rPr>
  </w:style>
  <w:style w:type="paragraph" w:styleId="1060" w:customStyle="1">
    <w:name w:val="font5"/>
    <w:basedOn w:val="668"/>
    <w:uiPriority w:val="0"/>
    <w:qFormat/>
    <w:pPr>
      <w:jc w:val="left"/>
      <w:spacing w:before="100" w:beforeAutospacing="1" w:after="100" w:afterAutospacing="1"/>
      <w:widowControl/>
    </w:pPr>
    <w:rPr>
      <w:rFonts w:ascii="宋体" w:hAnsi="宋体" w:cs="宋体"/>
      <w:sz w:val="18"/>
      <w:szCs w:val="18"/>
    </w:rPr>
  </w:style>
  <w:style w:type="paragraph" w:styleId="1061"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character" w:styleId="1062" w:customStyle="1">
    <w:name w:val="正文文本_"/>
    <w:link w:val="1063"/>
    <w:uiPriority w:val="0"/>
    <w:qFormat/>
    <w:rPr>
      <w:rFonts w:ascii="MingLiU" w:hAnsi="MingLiU" w:eastAsia="MingLiU"/>
      <w:szCs w:val="21"/>
      <w:shd w:val="clear" w:color="auto" w:fill="ffffff"/>
    </w:rPr>
  </w:style>
  <w:style w:type="paragraph" w:styleId="1063" w:customStyle="1">
    <w:name w:val="正文文本1"/>
    <w:basedOn w:val="668"/>
    <w:link w:val="1062"/>
    <w:uiPriority w:val="0"/>
    <w:qFormat/>
    <w:pPr>
      <w:jc w:val="left"/>
      <w:spacing w:line="403" w:lineRule="exact"/>
      <w:shd w:val="clear" w:color="auto" w:fill="ffffff"/>
    </w:pPr>
    <w:rPr>
      <w:rFonts w:ascii="MingLiU" w:hAnsi="MingLiU" w:eastAsia="MingLiU"/>
      <w:sz w:val="20"/>
      <w:szCs w:val="21"/>
    </w:rPr>
  </w:style>
  <w:style w:type="paragraph" w:styleId="1064" w:customStyle="1">
    <w:name w:val="xl81"/>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65" w:customStyle="1">
    <w:name w:val="Char Char1 Char Char Char Char Char Char Char"/>
    <w:basedOn w:val="668"/>
    <w:uiPriority w:val="0"/>
    <w:qFormat/>
    <w:rPr>
      <w:rFonts w:ascii="Tahoma" w:hAnsi="Tahoma" w:eastAsia="等线"/>
      <w:sz w:val="24"/>
      <w:szCs w:val="20"/>
    </w:rPr>
  </w:style>
  <w:style w:type="paragraph" w:styleId="1066" w:customStyle="1">
    <w:name w:val="xl91"/>
    <w:basedOn w:val="66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67" w:customStyle="1">
    <w:name w:val="xl69"/>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8" w:customStyle="1">
    <w:name w:val="xl64"/>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69" w:customStyle="1">
    <w:name w:val="_Style 36"/>
    <w:basedOn w:val="731"/>
    <w:uiPriority w:val="0"/>
    <w:qFormat/>
    <w:pPr>
      <w:spacing w:line="360" w:lineRule="auto"/>
    </w:pPr>
  </w:style>
  <w:style w:type="paragraph" w:styleId="1070" w:customStyle="1">
    <w:name w:val="_Style 26"/>
    <w:basedOn w:val="731"/>
    <w:uiPriority w:val="0"/>
    <w:qFormat/>
    <w:pPr>
      <w:spacing w:line="360" w:lineRule="auto"/>
    </w:pPr>
  </w:style>
  <w:style w:type="paragraph" w:styleId="1071" w:customStyle="1">
    <w:name w:val="H-TextFormat"/>
    <w:uiPriority w:val="0"/>
    <w:qFormat/>
    <w:rPr>
      <w:rFonts w:hint="default" w:ascii="Arial" w:hAnsi="Arial" w:eastAsia="宋体" w:cs="Times New Roman"/>
      <w:sz w:val="22"/>
      <w:lang w:val="en-GB" w:eastAsia="en-US" w:bidi="ar-SA"/>
    </w:rPr>
  </w:style>
  <w:style w:type="paragraph" w:styleId="1072" w:customStyle="1">
    <w:name w:val="文字"/>
    <w:basedOn w:val="668"/>
    <w:uiPriority w:val="0"/>
    <w:qFormat/>
    <w:pPr>
      <w:ind w:right="-210" w:firstLine="556"/>
      <w:spacing w:line="312" w:lineRule="auto"/>
      <w:tabs>
        <w:tab w:val="left" w:pos="8520" w:leader="none"/>
      </w:tabs>
    </w:pPr>
    <w:rPr>
      <w:rFonts w:ascii="宋体" w:hAnsi="宋体"/>
      <w:sz w:val="28"/>
      <w:szCs w:val="20"/>
    </w:rPr>
  </w:style>
  <w:style w:type="paragraph" w:styleId="1073" w:customStyle="1">
    <w:name w:val="xl86"/>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4" w:customStyle="1">
    <w:name w:val="xl65"/>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75" w:customStyle="1">
    <w:name w:val="批注框文本 Char"/>
    <w:link w:val="668"/>
    <w:uiPriority w:val="0"/>
    <w:qFormat/>
    <w:rPr>
      <w:sz w:val="18"/>
      <w:szCs w:val="18"/>
    </w:rPr>
  </w:style>
  <w:style w:type="character" w:styleId="1076" w:customStyle="1">
    <w:name w:val="纯文本 Char2"/>
    <w:link w:val="668"/>
    <w:uiPriority w:val="99"/>
    <w:semiHidden/>
    <w:qFormat/>
    <w:rPr>
      <w:rFonts w:hint="eastAsia" w:ascii="宋体" w:hAnsi="Courier New" w:eastAsia="宋体" w:cs="Courier New"/>
      <w:sz w:val="21"/>
      <w:szCs w:val="21"/>
    </w:rPr>
  </w:style>
  <w:style w:type="character" w:styleId="1077" w:customStyle="1">
    <w:name w:val="批注文字 Char"/>
    <w:link w:val="668"/>
    <w:uiPriority w:val="0"/>
    <w:qFormat/>
    <w:rPr>
      <w:sz w:val="24"/>
      <w:szCs w:val="24"/>
    </w:rPr>
  </w:style>
  <w:style w:type="character" w:styleId="1078" w:customStyle="1">
    <w:name w:val="纯文本 Char"/>
    <w:link w:val="668"/>
    <w:uiPriority w:val="0"/>
    <w:qFormat/>
    <w:rPr>
      <w:rFonts w:hint="eastAsia" w:ascii="宋体" w:hAnsi="Courier New" w:eastAsia="楷体_GB2312"/>
      <w:sz w:val="26"/>
    </w:rPr>
  </w:style>
  <w:style w:type="character" w:styleId="1079" w:customStyle="1">
    <w:name w:val="文档结构图 Char"/>
    <w:link w:val="668"/>
    <w:uiPriority w:val="0"/>
    <w:qFormat/>
    <w:rPr>
      <w:sz w:val="24"/>
      <w:szCs w:val="24"/>
      <w:shd w:val="clear" w:color="auto" w:fill="000080"/>
    </w:rPr>
  </w:style>
  <w:style w:type="character" w:styleId="1080" w:customStyle="1">
    <w:name w:val="正文文本 + Microsoft Sans Serif"/>
    <w:link w:val="668"/>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81" w:customStyle="1">
    <w:name w:val="页脚 Char"/>
    <w:link w:val="668"/>
    <w:uiPriority w:val="99"/>
    <w:qFormat/>
    <w:rPr>
      <w:sz w:val="18"/>
      <w:szCs w:val="18"/>
    </w:rPr>
  </w:style>
  <w:style w:type="character" w:styleId="1082" w:customStyle="1">
    <w:name w:val="标题 Char"/>
    <w:link w:val="668"/>
    <w:uiPriority w:val="0"/>
    <w:qFormat/>
    <w:rPr>
      <w:rFonts w:ascii="Cambria" w:hAnsi="Cambria"/>
      <w:b/>
      <w:bCs/>
      <w:sz w:val="32"/>
      <w:szCs w:val="32"/>
    </w:rPr>
  </w:style>
  <w:style w:type="character" w:styleId="1083" w:customStyle="1">
    <w:name w:val="Plain Text Char Char"/>
    <w:link w:val="668"/>
    <w:uiPriority w:val="0"/>
    <w:qFormat/>
    <w:rPr>
      <w:rFonts w:hint="eastAsia" w:ascii="宋体" w:hAnsi="Courier New" w:eastAsia="楷体_GB2312"/>
      <w:sz w:val="26"/>
    </w:rPr>
  </w:style>
  <w:style w:type="character" w:styleId="1084" w:customStyle="1">
    <w:name w:val="正文文本 Char"/>
    <w:link w:val="668"/>
    <w:uiPriority w:val="0"/>
    <w:qFormat/>
    <w:rPr>
      <w:sz w:val="24"/>
      <w:szCs w:val="24"/>
    </w:rPr>
  </w:style>
  <w:style w:type="character" w:styleId="1085" w:customStyle="1">
    <w:name w:val="font01"/>
    <w:link w:val="668"/>
    <w:uiPriority w:val="0"/>
    <w:qFormat/>
    <w:rPr>
      <w:rFonts w:hint="eastAsia" w:ascii="宋体" w:hAnsi="宋体" w:eastAsia="宋体" w:cs="宋体"/>
      <w:color w:val="000000"/>
      <w:sz w:val="24"/>
      <w:szCs w:val="24"/>
      <w:u w:val="none"/>
    </w:rPr>
  </w:style>
  <w:style w:type="character" w:styleId="1086" w:customStyle="1">
    <w:name w:val="font71"/>
    <w:link w:val="668"/>
    <w:uiPriority w:val="0"/>
    <w:qFormat/>
    <w:rPr>
      <w:rFonts w:ascii="Times New Roman" w:hAnsi="Times New Roman" w:cs="Times New Roman"/>
      <w:color w:val="000000"/>
      <w:sz w:val="24"/>
      <w:szCs w:val="24"/>
      <w:u w:val="none"/>
    </w:rPr>
  </w:style>
  <w:style w:type="character" w:styleId="1087" w:customStyle="1">
    <w:name w:val="正文文本缩进 3 字符2"/>
    <w:link w:val="668"/>
    <w:uiPriority w:val="0"/>
    <w:qFormat/>
    <w:rPr>
      <w:sz w:val="24"/>
      <w:szCs w:val="24"/>
    </w:rPr>
  </w:style>
  <w:style w:type="character" w:styleId="1088" w:customStyle="1">
    <w:name w:val="标题 2 Char"/>
    <w:link w:val="668"/>
    <w:uiPriority w:val="0"/>
    <w:qFormat/>
    <w:rPr>
      <w:rFonts w:ascii="Cambria" w:hAnsi="Cambria" w:eastAsia="宋体" w:cs="Times New Roman"/>
      <w:b/>
      <w:bCs/>
      <w:sz w:val="32"/>
      <w:szCs w:val="32"/>
    </w:rPr>
  </w:style>
  <w:style w:type="paragraph" w:styleId="1089" w:customStyle="1">
    <w:name w:val="2级"/>
    <w:basedOn w:val="1032"/>
    <w:link w:val="1090"/>
    <w:uiPriority w:val="0"/>
    <w:qFormat/>
    <w:pPr>
      <w:ind w:firstLine="420"/>
      <w:tabs>
        <w:tab w:val="left" w:pos="960" w:leader="none"/>
      </w:tabs>
      <w:outlineLvl w:val="1"/>
    </w:pPr>
    <w:rPr>
      <w:sz w:val="32"/>
      <w:szCs w:val="32"/>
    </w:rPr>
  </w:style>
  <w:style w:type="character" w:styleId="1090" w:customStyle="1">
    <w:name w:val="2级 Char Char"/>
    <w:link w:val="1089"/>
    <w:uiPriority w:val="0"/>
    <w:qFormat/>
    <w:rPr>
      <w:rFonts w:cs="Calibri"/>
      <w:sz w:val="32"/>
      <w:szCs w:val="32"/>
      <w:lang w:eastAsia="en-US" w:bidi="en-US"/>
    </w:rPr>
  </w:style>
  <w:style w:type="character" w:styleId="1091" w:customStyle="1">
    <w:name w:val="正文文本缩进 2 Char1"/>
    <w:link w:val="668"/>
    <w:uiPriority w:val="0"/>
    <w:semiHidden/>
    <w:qFormat/>
    <w:rPr>
      <w:rFonts w:hint="eastAsia" w:ascii="等线" w:hAnsi="等线" w:eastAsia="等线" w:cs="Times New Roman"/>
      <w:sz w:val="24"/>
      <w:szCs w:val="24"/>
    </w:rPr>
  </w:style>
  <w:style w:type="character" w:styleId="1092" w:customStyle="1">
    <w:name w:val="日期 Char"/>
    <w:link w:val="668"/>
    <w:uiPriority w:val="99"/>
    <w:qFormat/>
    <w:rPr>
      <w:b/>
      <w:bCs/>
      <w:spacing w:val="20"/>
      <w:sz w:val="21"/>
      <w:szCs w:val="24"/>
    </w:rPr>
  </w:style>
  <w:style w:type="character" w:styleId="1093" w:customStyle="1">
    <w:name w:val="正文文本 2 Char"/>
    <w:link w:val="668"/>
    <w:uiPriority w:val="0"/>
    <w:qFormat/>
    <w:rPr>
      <w:sz w:val="24"/>
      <w:szCs w:val="24"/>
    </w:rPr>
  </w:style>
  <w:style w:type="character" w:styleId="1094" w:customStyle="1">
    <w:name w:val="纯文本 字符1"/>
    <w:link w:val="668"/>
    <w:uiPriority w:val="99"/>
    <w:semiHidden/>
    <w:qFormat/>
    <w:rPr>
      <w:rFonts w:hint="eastAsia" w:ascii="等线" w:hAnsi="Courier New" w:eastAsia="等线" w:cs="Courier New"/>
      <w:sz w:val="24"/>
      <w:szCs w:val="24"/>
    </w:rPr>
  </w:style>
  <w:style w:type="character" w:styleId="1095" w:customStyle="1">
    <w:name w:val="批注框文本 字符1"/>
    <w:link w:val="668"/>
    <w:uiPriority w:val="99"/>
    <w:semiHidden/>
    <w:qFormat/>
    <w:rPr>
      <w:sz w:val="18"/>
      <w:szCs w:val="18"/>
    </w:rPr>
  </w:style>
  <w:style w:type="character" w:styleId="1096" w:customStyle="1">
    <w:name w:val="文档结构图 字符1"/>
    <w:link w:val="668"/>
    <w:uiPriority w:val="99"/>
    <w:semiHidden/>
    <w:qFormat/>
    <w:rPr>
      <w:rFonts w:hint="eastAsia" w:ascii="Microsoft YaHei UI" w:hAnsi="Microsoft YaHei UI" w:eastAsia="Microsoft YaHei UI"/>
      <w:sz w:val="18"/>
      <w:szCs w:val="18"/>
    </w:rPr>
  </w:style>
  <w:style w:type="character" w:styleId="1097" w:customStyle="1">
    <w:name w:val="正文文本缩进 3 字符1"/>
    <w:link w:val="668"/>
    <w:uiPriority w:val="0"/>
    <w:qFormat/>
    <w:rPr>
      <w:sz w:val="16"/>
      <w:szCs w:val="16"/>
    </w:rPr>
  </w:style>
  <w:style w:type="character" w:styleId="1098" w:customStyle="1">
    <w:name w:val="批注主题 字符1"/>
    <w:link w:val="668"/>
    <w:uiPriority w:val="99"/>
    <w:semiHidden/>
    <w:qFormat/>
    <w:rPr>
      <w:b/>
      <w:bCs/>
      <w:sz w:val="24"/>
      <w:szCs w:val="24"/>
    </w:rPr>
  </w:style>
  <w:style w:type="character" w:styleId="1099" w:customStyle="1">
    <w:name w:val="日期 字符1"/>
    <w:link w:val="668"/>
    <w:uiPriority w:val="99"/>
    <w:semiHidden/>
    <w:qFormat/>
    <w:rPr>
      <w:sz w:val="24"/>
      <w:szCs w:val="24"/>
    </w:rPr>
  </w:style>
  <w:style w:type="character" w:styleId="1100" w:customStyle="1">
    <w:name w:val="正文文本缩进 2 字符1"/>
    <w:link w:val="668"/>
    <w:uiPriority w:val="99"/>
    <w:semiHidden/>
    <w:qFormat/>
    <w:rPr>
      <w:sz w:val="24"/>
      <w:szCs w:val="24"/>
    </w:rPr>
  </w:style>
  <w:style w:type="character" w:styleId="1101" w:customStyle="1">
    <w:name w:val="正文文本 2 字符1"/>
    <w:link w:val="668"/>
    <w:uiPriority w:val="99"/>
    <w:semiHidden/>
    <w:qFormat/>
    <w:rPr>
      <w:sz w:val="24"/>
      <w:szCs w:val="24"/>
    </w:rPr>
  </w:style>
  <w:style w:type="character" w:styleId="1102" w:customStyle="1">
    <w:name w:val="正文文本缩进 字符1"/>
    <w:link w:val="668"/>
    <w:uiPriority w:val="99"/>
    <w:semiHidden/>
    <w:qFormat/>
    <w:rPr>
      <w:sz w:val="24"/>
      <w:szCs w:val="24"/>
    </w:rPr>
  </w:style>
  <w:style w:type="character" w:styleId="1103" w:customStyle="1">
    <w:name w:val="副标题 字符1"/>
    <w:link w:val="668"/>
    <w:uiPriority w:val="11"/>
    <w:qFormat/>
    <w:rPr>
      <w:rFonts w:hint="eastAsia" w:ascii="等线" w:hAnsi="等线" w:eastAsia="等线" w:cs="Times New Roman"/>
      <w:b/>
      <w:bCs/>
      <w:sz w:val="32"/>
      <w:szCs w:val="32"/>
    </w:rPr>
  </w:style>
  <w:style w:type="character" w:styleId="1104" w:customStyle="1">
    <w:name w:val="正文文本 字符1"/>
    <w:link w:val="668"/>
    <w:uiPriority w:val="99"/>
    <w:semiHidden/>
    <w:qFormat/>
    <w:rPr>
      <w:sz w:val="24"/>
      <w:szCs w:val="24"/>
    </w:rPr>
  </w:style>
  <w:style w:type="character" w:styleId="1105" w:customStyle="1">
    <w:name w:val="标题 字符1"/>
    <w:link w:val="668"/>
    <w:uiPriority w:val="10"/>
    <w:qFormat/>
    <w:rPr>
      <w:rFonts w:hint="eastAsia" w:ascii="等线 Light" w:hAnsi="等线 Light" w:eastAsia="等线 Light" w:cs="Times New Roman"/>
      <w:b/>
      <w:bCs/>
      <w:sz w:val="32"/>
      <w:szCs w:val="32"/>
    </w:rPr>
  </w:style>
  <w:style w:type="character" w:styleId="1106" w:customStyle="1">
    <w:name w:val="页眉 字符1"/>
    <w:link w:val="668"/>
    <w:uiPriority w:val="99"/>
    <w:semiHidden/>
    <w:qFormat/>
    <w:rPr>
      <w:sz w:val="18"/>
      <w:szCs w:val="18"/>
    </w:rPr>
  </w:style>
  <w:style w:type="character" w:styleId="1107" w:customStyle="1">
    <w:name w:val="页脚 字符1"/>
    <w:link w:val="668"/>
    <w:uiPriority w:val="99"/>
    <w:semiHidden/>
    <w:qFormat/>
    <w:rPr>
      <w:sz w:val="18"/>
      <w:szCs w:val="18"/>
    </w:rPr>
  </w:style>
  <w:style w:type="table" w:styleId="1108" w:customStyle="1">
    <w:name w:val="网格型1"/>
    <w:basedOn w:val="717"/>
    <w:uiPriority w:val="0"/>
    <w:qFormat/>
    <w:pPr>
      <w:jc w:val="both"/>
      <w:widowControl w:val="off"/>
    </w:pPr>
    <w:tblPr/>
  </w:style>
  <w:style w:type="paragraph" w:styleId="1109" w:customStyle="1">
    <w:name w:val="font0"/>
    <w:basedOn w:val="668"/>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10" w:customStyle="1">
    <w:name w:val="font1"/>
    <w:basedOn w:val="668"/>
    <w:uiPriority w:val="0"/>
    <w:qFormat/>
    <w:pPr>
      <w:jc w:val="left"/>
      <w:spacing w:before="100" w:beforeAutospacing="1" w:after="100" w:afterAutospacing="1"/>
      <w:widowControl/>
    </w:pPr>
    <w:rPr>
      <w:rFonts w:ascii="宋体" w:hAnsi="宋体" w:cs="宋体"/>
      <w:color w:val="000000"/>
      <w:sz w:val="22"/>
    </w:rPr>
  </w:style>
  <w:style w:type="paragraph" w:styleId="1111" w:customStyle="1">
    <w:name w:val="font2"/>
    <w:basedOn w:val="668"/>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12" w:customStyle="1">
    <w:name w:val="et3"/>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3" w:customStyle="1">
    <w:name w:val="et4"/>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4" w:customStyle="1">
    <w:name w:val="et5"/>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5" w:customStyle="1">
    <w:name w:val="et6"/>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6" w:customStyle="1">
    <w:name w:val="et7"/>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7" w:customStyle="1">
    <w:name w:val="et8"/>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8" w:customStyle="1">
    <w:name w:val="font3"/>
    <w:basedOn w:val="668"/>
    <w:uiPriority w:val="0"/>
    <w:qFormat/>
    <w:pPr>
      <w:jc w:val="left"/>
      <w:spacing w:before="100" w:beforeAutospacing="1" w:after="100" w:afterAutospacing="1"/>
      <w:widowControl/>
    </w:pPr>
    <w:rPr>
      <w:rFonts w:cs="Calibri"/>
      <w:color w:val="000000"/>
      <w:szCs w:val="21"/>
    </w:rPr>
  </w:style>
  <w:style w:type="paragraph" w:styleId="1119" w:customStyle="1">
    <w:name w:val="font4"/>
    <w:basedOn w:val="668"/>
    <w:uiPriority w:val="0"/>
    <w:qFormat/>
    <w:pPr>
      <w:jc w:val="left"/>
      <w:spacing w:before="100" w:beforeAutospacing="1" w:after="100" w:afterAutospacing="1"/>
      <w:widowControl/>
    </w:pPr>
    <w:rPr>
      <w:rFonts w:ascii="宋体" w:hAnsi="宋体" w:cs="宋体"/>
      <w:color w:val="000000"/>
      <w:szCs w:val="21"/>
    </w:rPr>
  </w:style>
  <w:style w:type="character" w:styleId="1120" w:customStyle="1">
    <w:name w:val="font31"/>
    <w:basedOn w:val="678"/>
    <w:link w:val="668"/>
    <w:uiPriority w:val="0"/>
    <w:qFormat/>
    <w:rPr>
      <w:rFonts w:ascii="Calibri" w:hAnsi="Calibri" w:cs="Calibri"/>
      <w:color w:val="000000"/>
      <w:sz w:val="21"/>
      <w:szCs w:val="21"/>
      <w:u w:val="none"/>
    </w:rPr>
  </w:style>
  <w:style w:type="character" w:styleId="1121" w:customStyle="1">
    <w:name w:val="font41"/>
    <w:basedOn w:val="678"/>
    <w:link w:val="668"/>
    <w:uiPriority w:val="0"/>
    <w:qFormat/>
    <w:rPr>
      <w:rFonts w:hint="eastAsia" w:ascii="宋体" w:hAnsi="宋体" w:eastAsia="宋体"/>
      <w:color w:val="000000"/>
      <w:sz w:val="21"/>
      <w:szCs w:val="21"/>
      <w:u w:val="none"/>
    </w:rPr>
  </w:style>
  <w:style w:type="paragraph" w:styleId="1122" w:customStyle="1">
    <w:name w:val="修订1"/>
    <w:uiPriority w:val="99"/>
    <w:semiHidden/>
    <w:qFormat/>
    <w:rPr>
      <w:rFonts w:hint="default" w:ascii="Times New Roman" w:hAnsi="Times New Roman" w:eastAsia="宋体" w:cs="Times New Roman"/>
      <w:sz w:val="21"/>
      <w:szCs w:val="22"/>
      <w:lang w:val="en-US" w:eastAsia="zh-CN" w:bidi="ar-SA"/>
    </w:rPr>
  </w:style>
  <w:style w:type="character" w:styleId="1123" w:customStyle="1">
    <w:name w:val="标题 8 字符"/>
    <w:link w:val="668"/>
    <w:uiPriority w:val="9"/>
    <w:semiHidden/>
    <w:qFormat/>
    <w:rPr>
      <w:rFonts w:ascii="等线 Light" w:hAnsi="等线 Light" w:eastAsia="等线 Light" w:cs="Times New Roman"/>
      <w:sz w:val="24"/>
      <w:szCs w:val="24"/>
    </w:rPr>
  </w:style>
  <w:style w:type="character" w:styleId="1124" w:customStyle="1">
    <w:name w:val="标题 9 字符"/>
    <w:link w:val="668"/>
    <w:uiPriority w:val="9"/>
    <w:semiHidden/>
    <w:qFormat/>
    <w:rPr>
      <w:rFonts w:ascii="等线 Light" w:hAnsi="等线 Light" w:eastAsia="等线 Light" w:cs="Times New Roman"/>
      <w:sz w:val="21"/>
      <w:szCs w:val="21"/>
    </w:rPr>
  </w:style>
  <w:style w:type="character" w:styleId="1125" w:customStyle="1">
    <w:name w:val="标题 3 Char"/>
    <w:link w:val="668"/>
    <w:uiPriority w:val="0"/>
    <w:qFormat/>
    <w:rPr>
      <w:rFonts w:ascii="宋体" w:hAnsi="宋体"/>
      <w:b/>
      <w:sz w:val="30"/>
    </w:rPr>
  </w:style>
  <w:style w:type="character" w:styleId="1126" w:customStyle="1">
    <w:name w:val="标题 4 Char"/>
    <w:link w:val="668"/>
    <w:uiPriority w:val="0"/>
    <w:qFormat/>
    <w:rPr>
      <w:rFonts w:ascii="宋体" w:hAnsi="宋体"/>
      <w:b/>
      <w:sz w:val="28"/>
    </w:rPr>
  </w:style>
  <w:style w:type="character" w:styleId="1127" w:customStyle="1">
    <w:name w:val="正文缩进 Char"/>
    <w:link w:val="668"/>
    <w:uiPriority w:val="0"/>
    <w:qFormat/>
    <w:rPr>
      <w:rFonts w:eastAsia="宋体"/>
      <w:sz w:val="21"/>
      <w:szCs w:val="24"/>
      <w:lang w:val="en-US" w:eastAsia="zh-CN" w:bidi="ar-SA"/>
    </w:rPr>
  </w:style>
  <w:style w:type="character" w:styleId="1128" w:customStyle="1">
    <w:name w:val="标题 5 Char"/>
    <w:link w:val="668"/>
    <w:uiPriority w:val="0"/>
    <w:qFormat/>
    <w:rPr>
      <w:rFonts w:ascii="宋体" w:hAnsi="宋体" w:eastAsia="宋体"/>
      <w:b/>
      <w:sz w:val="28"/>
    </w:rPr>
  </w:style>
  <w:style w:type="character" w:styleId="1129" w:customStyle="1">
    <w:name w:val="标题 6 Char"/>
    <w:link w:val="668"/>
    <w:uiPriority w:val="0"/>
    <w:qFormat/>
    <w:rPr>
      <w:rFonts w:ascii="宋体" w:hAnsi="宋体"/>
      <w:b/>
      <w:sz w:val="24"/>
    </w:rPr>
  </w:style>
  <w:style w:type="character" w:styleId="1130" w:customStyle="1">
    <w:name w:val="标题 7 Char"/>
    <w:link w:val="668"/>
    <w:uiPriority w:val="0"/>
    <w:qFormat/>
    <w:rPr>
      <w:b/>
      <w:sz w:val="24"/>
    </w:rPr>
  </w:style>
  <w:style w:type="paragraph" w:styleId="1131" w:customStyle="1">
    <w:name w:val="_Style 235"/>
    <w:basedOn w:val="668"/>
    <w:next w:val="986"/>
    <w:link w:val="1132"/>
    <w:uiPriority w:val="0"/>
    <w:qFormat/>
    <w:pPr>
      <w:contextualSpacing/>
      <w:ind w:firstLine="420"/>
      <w:jc w:val="left"/>
      <w:spacing w:line="360" w:lineRule="auto"/>
    </w:pPr>
    <w:rPr>
      <w:szCs w:val="24"/>
    </w:rPr>
  </w:style>
  <w:style w:type="character" w:styleId="1132" w:customStyle="1">
    <w:name w:val="列出段落 Char"/>
    <w:link w:val="1131"/>
    <w:uiPriority w:val="0"/>
    <w:qFormat/>
    <w:rPr>
      <w:sz w:val="21"/>
      <w:szCs w:val="24"/>
    </w:rPr>
  </w:style>
  <w:style w:type="character" w:styleId="1133" w:customStyle="1">
    <w:name w:val="页眉 Char"/>
    <w:link w:val="668"/>
    <w:uiPriority w:val="0"/>
    <w:qFormat/>
    <w:rPr>
      <w:rFonts w:eastAsia="宋体"/>
      <w:sz w:val="18"/>
      <w:szCs w:val="18"/>
      <w:lang w:val="en-US" w:eastAsia="zh-CN" w:bidi="ar-SA"/>
    </w:rPr>
  </w:style>
  <w:style w:type="character" w:styleId="1134" w:customStyle="1">
    <w:name w:val="副标题 Char"/>
    <w:link w:val="668"/>
    <w:uiPriority w:val="0"/>
    <w:qFormat/>
    <w:rPr>
      <w:rFonts w:ascii="Cambria" w:hAnsi="Cambria" w:eastAsia="宋体"/>
      <w:b/>
      <w:bCs/>
      <w:sz w:val="32"/>
      <w:szCs w:val="32"/>
      <w:lang w:val="en-US" w:eastAsia="zh-CN" w:bidi="ar-SA"/>
    </w:rPr>
  </w:style>
  <w:style w:type="character" w:styleId="1135" w:customStyle="1">
    <w:name w:val="脚注文本 字符"/>
    <w:link w:val="668"/>
    <w:uiPriority w:val="99"/>
    <w:semiHidden/>
    <w:qFormat/>
    <w:rPr>
      <w:sz w:val="18"/>
      <w:szCs w:val="18"/>
    </w:rPr>
  </w:style>
  <w:style w:type="table" w:styleId="1136" w:customStyle="1">
    <w:name w:val="网格型2"/>
    <w:basedOn w:val="717"/>
    <w:uiPriority w:val="59"/>
    <w:qFormat/>
    <w:tblPr/>
  </w:style>
  <w:style w:type="character" w:styleId="1137" w:customStyle="1">
    <w:name w:val="Char Char3"/>
    <w:link w:val="668"/>
    <w:uiPriority w:val="0"/>
    <w:qFormat/>
    <w:rPr>
      <w:rFonts w:ascii="Arial" w:hAnsi="Arial" w:eastAsia="宋体"/>
      <w:b/>
      <w:bCs/>
      <w:sz w:val="21"/>
      <w:szCs w:val="32"/>
      <w:lang w:val="en-US" w:eastAsia="zh-CN" w:bidi="ar-SA"/>
    </w:rPr>
  </w:style>
  <w:style w:type="character" w:styleId="1138" w:customStyle="1">
    <w:name w:val="dy_biao_content1"/>
    <w:link w:val="668"/>
    <w:uiPriority w:val="0"/>
    <w:qFormat/>
    <w:rPr>
      <w:rFonts w:hint="eastAsia" w:ascii="宋体" w:hAnsi="宋体" w:eastAsia="宋体"/>
      <w:sz w:val="24"/>
      <w:szCs w:val="24"/>
    </w:rPr>
  </w:style>
  <w:style w:type="character" w:styleId="1139" w:customStyle="1">
    <w:name w:val="Char Char9"/>
    <w:link w:val="668"/>
    <w:uiPriority w:val="0"/>
    <w:qFormat/>
    <w:rPr>
      <w:sz w:val="18"/>
      <w:szCs w:val="18"/>
    </w:rPr>
  </w:style>
  <w:style w:type="character" w:styleId="1140" w:customStyle="1">
    <w:name w:val="NormalCharacter1"/>
    <w:link w:val="668"/>
    <w:uiPriority w:val="0"/>
    <w:semiHidden/>
    <w:qFormat/>
    <w:rPr>
      <w:rFonts w:ascii="宋体" w:hAnsi="宋体"/>
      <w:sz w:val="24"/>
      <w:szCs w:val="24"/>
      <w:lang w:val="en-US" w:eastAsia="zh-CN" w:bidi="ar-SA"/>
    </w:rPr>
  </w:style>
  <w:style w:type="character" w:styleId="1141" w:customStyle="1">
    <w:name w:val="普通文字 Char Char1"/>
    <w:link w:val="668"/>
    <w:uiPriority w:val="0"/>
    <w:qFormat/>
    <w:rPr>
      <w:rFonts w:ascii="宋体" w:hAnsi="Courier New" w:eastAsia="宋体"/>
      <w:sz w:val="21"/>
      <w:lang w:val="en-US" w:eastAsia="zh-CN" w:bidi="ar-SA"/>
    </w:rPr>
  </w:style>
  <w:style w:type="character" w:styleId="1142" w:customStyle="1">
    <w:name w:val="Char Char Char Char Char"/>
    <w:link w:val="668"/>
    <w:uiPriority w:val="0"/>
    <w:qFormat/>
    <w:rPr>
      <w:rFonts w:ascii="Courier New" w:eastAsia="Courier New"/>
      <w:color w:val="ff0000"/>
      <w:sz w:val="24"/>
      <w:szCs w:val="24"/>
      <w:u w:val="single"/>
      <w:lang w:val="en-US" w:eastAsia="zh-CN" w:bidi="ar-SA"/>
    </w:rPr>
  </w:style>
  <w:style w:type="character" w:styleId="1143" w:customStyle="1">
    <w:name w:val="样式1 Char Char Char"/>
    <w:link w:val="668"/>
    <w:uiPriority w:val="0"/>
    <w:qFormat/>
    <w:rPr>
      <w:rFonts w:ascii="Arial" w:hAnsi="Arial" w:eastAsia="宋体"/>
      <w:sz w:val="21"/>
      <w:szCs w:val="24"/>
      <w:lang w:val="en-US" w:eastAsia="zh-CN" w:bidi="ar-SA"/>
    </w:rPr>
  </w:style>
  <w:style w:type="character" w:styleId="1144" w:customStyle="1">
    <w:name w:val="样式1 Char"/>
    <w:link w:val="668"/>
    <w:uiPriority w:val="0"/>
    <w:qFormat/>
    <w:rPr>
      <w:rFonts w:ascii="Arial" w:hAnsi="Arial" w:eastAsia="宋体"/>
      <w:sz w:val="21"/>
      <w:szCs w:val="24"/>
      <w:lang w:val="en-US" w:eastAsia="zh-CN" w:bidi="ar-SA"/>
    </w:rPr>
  </w:style>
  <w:style w:type="character" w:styleId="1145" w:customStyle="1">
    <w:name w:val="zbggmain style9"/>
    <w:link w:val="668"/>
    <w:uiPriority w:val="0"/>
    <w:qFormat/>
  </w:style>
  <w:style w:type="character" w:styleId="1146" w:customStyle="1">
    <w:name w:val="unnamed51"/>
    <w:link w:val="668"/>
    <w:uiPriority w:val="0"/>
    <w:qFormat/>
    <w:rPr>
      <w:sz w:val="22"/>
      <w:szCs w:val="22"/>
    </w:rPr>
  </w:style>
  <w:style w:type="character" w:styleId="1147" w:customStyle="1">
    <w:name w:val="普通文字 Char1"/>
    <w:link w:val="668"/>
    <w:uiPriority w:val="0"/>
    <w:qFormat/>
    <w:rPr>
      <w:rFonts w:ascii="宋体" w:hAnsi="Courier New" w:eastAsia="宋体"/>
      <w:sz w:val="21"/>
      <w:lang w:val="en-US" w:eastAsia="zh-CN"/>
    </w:rPr>
  </w:style>
  <w:style w:type="character" w:styleId="1148" w:customStyle="1">
    <w:name w:val="样式1 Char Char"/>
    <w:link w:val="1149"/>
    <w:uiPriority w:val="0"/>
    <w:qFormat/>
    <w:rPr>
      <w:rFonts w:ascii="Arial" w:hAnsi="Arial"/>
      <w:sz w:val="21"/>
      <w:szCs w:val="24"/>
    </w:rPr>
  </w:style>
  <w:style w:type="paragraph" w:styleId="1149" w:customStyle="1">
    <w:name w:val="样式1"/>
    <w:basedOn w:val="668"/>
    <w:link w:val="1148"/>
    <w:uiPriority w:val="0"/>
    <w:qFormat/>
    <w:pPr>
      <w:contextualSpacing/>
      <w:ind w:firstLine="200"/>
      <w:jc w:val="left"/>
      <w:spacing w:line="360" w:lineRule="exact"/>
    </w:pPr>
    <w:rPr>
      <w:rFonts w:ascii="Arial" w:hAnsi="Arial"/>
      <w:szCs w:val="24"/>
    </w:rPr>
  </w:style>
  <w:style w:type="paragraph" w:styleId="1150"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51" w:customStyle="1">
    <w:name w:val="正文－恩普"/>
    <w:basedOn w:val="714"/>
    <w:uiPriority w:val="0"/>
    <w:qFormat/>
    <w:pPr>
      <w:contextualSpacing/>
      <w:ind w:firstLine="480"/>
      <w:spacing w:after="156" w:line="360" w:lineRule="auto"/>
      <w:widowControl/>
    </w:pPr>
    <w:rPr>
      <w:rFonts w:ascii="Times New Roman" w:eastAsia="宋体"/>
    </w:rPr>
  </w:style>
  <w:style w:type="paragraph" w:styleId="1152" w:customStyle="1">
    <w:name w:val="UserStyle_0"/>
    <w:uiPriority w:val="0"/>
    <w:qFormat/>
    <w:pPr>
      <w:jc w:val="both"/>
      <w:spacing w:after="160" w:line="259" w:lineRule="auto"/>
    </w:pPr>
    <w:rPr>
      <w:rFonts w:hint="default" w:ascii="Arial" w:hAnsi="Arial" w:eastAsia="宋体" w:cs="Times New Roman"/>
      <w:sz w:val="21"/>
      <w:szCs w:val="21"/>
      <w:lang w:val="zh-CN" w:eastAsia="zh-CN" w:bidi="ar-SA"/>
    </w:rPr>
  </w:style>
  <w:style w:type="paragraph" w:styleId="1153" w:customStyle="1">
    <w:name w:val="正文段"/>
    <w:basedOn w:val="668"/>
    <w:uiPriority w:val="0"/>
    <w:qFormat/>
    <w:pPr>
      <w:contextualSpacing/>
      <w:ind w:firstLine="200"/>
      <w:jc w:val="left"/>
      <w:spacing w:after="50" w:line="360" w:lineRule="auto"/>
      <w:widowControl/>
    </w:pPr>
    <w:rPr>
      <w:rFonts w:ascii="宋体" w:hAnsi="宋体"/>
      <w:sz w:val="24"/>
      <w:szCs w:val="20"/>
    </w:rPr>
  </w:style>
  <w:style w:type="paragraph" w:styleId="1154" w:customStyle="1">
    <w:name w:val="题目 2"/>
    <w:next w:val="668"/>
    <w:uiPriority w:val="0"/>
    <w:qFormat/>
    <w:pPr>
      <w:keepNext/>
      <w:outlineLvl w:val="1"/>
    </w:pPr>
    <w:rPr>
      <w:rFonts w:hint="default" w:ascii="Helvetica" w:hAnsi="Helvetica" w:eastAsia="ヒラギノ角ゴ Pro W3" w:cs="Times New Roman"/>
      <w:b/>
      <w:color w:val="000000"/>
      <w:sz w:val="24"/>
      <w:lang w:val="en-US" w:eastAsia="zh-CN" w:bidi="ar-SA"/>
    </w:rPr>
  </w:style>
  <w:style w:type="paragraph" w:styleId="1155" w:customStyle="1">
    <w:name w:val="题目 3"/>
    <w:next w:val="668"/>
    <w:uiPriority w:val="0"/>
    <w:qFormat/>
    <w:pPr>
      <w:keepNext/>
      <w:outlineLvl w:val="2"/>
    </w:pPr>
    <w:rPr>
      <w:rFonts w:hint="default" w:ascii="Helvetica" w:hAnsi="Helvetica" w:eastAsia="ヒラギノ角ゴ Pro W3" w:cs="Times New Roman"/>
      <w:b/>
      <w:color w:val="000000"/>
      <w:sz w:val="24"/>
      <w:lang w:val="en-US" w:eastAsia="zh-CN" w:bidi="ar-SA"/>
    </w:rPr>
  </w:style>
  <w:style w:type="paragraph" w:styleId="1156" w:customStyle="1">
    <w:name w:val="默认段落字体 Para Char"/>
    <w:basedOn w:val="668"/>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57" w:customStyle="1">
    <w:name w:val="179"/>
    <w:uiPriority w:val="0"/>
    <w:qFormat/>
    <w:pPr>
      <w:ind w:firstLine="420"/>
      <w:jc w:val="both"/>
      <w:spacing w:after="160" w:line="259" w:lineRule="auto"/>
    </w:pPr>
    <w:rPr>
      <w:rFonts w:hint="default" w:ascii="Times New Roman" w:hAnsi="Times New Roman" w:eastAsia="宋体" w:cs="Times New Roman"/>
      <w:sz w:val="21"/>
      <w:szCs w:val="24"/>
      <w:lang w:val="en-US" w:eastAsia="zh-CN" w:bidi="ar-SA"/>
    </w:rPr>
  </w:style>
  <w:style w:type="paragraph" w:styleId="1158" w:customStyle="1">
    <w:name w:val="Char Char Char1"/>
    <w:basedOn w:val="668"/>
    <w:uiPriority w:val="0"/>
    <w:qFormat/>
    <w:pPr>
      <w:contextualSpacing/>
      <w:ind w:firstLine="200"/>
      <w:jc w:val="left"/>
      <w:spacing w:line="360" w:lineRule="auto"/>
    </w:pPr>
    <w:rPr>
      <w:rFonts w:ascii="仿宋_GB2312" w:hAnsi="宋体" w:eastAsia="仿宋_GB2312"/>
      <w:b/>
      <w:sz w:val="32"/>
      <w:szCs w:val="32"/>
    </w:rPr>
  </w:style>
  <w:style w:type="paragraph" w:styleId="1159" w:customStyle="1">
    <w:name w:val="Char1 Char Char Char1"/>
    <w:basedOn w:val="668"/>
    <w:uiPriority w:val="0"/>
    <w:qFormat/>
    <w:pPr>
      <w:contextualSpacing/>
      <w:ind w:firstLine="200"/>
      <w:jc w:val="left"/>
      <w:spacing w:line="360" w:lineRule="auto"/>
    </w:pPr>
    <w:rPr>
      <w:rFonts w:ascii="宋体" w:hAnsi="宋体"/>
      <w:sz w:val="24"/>
      <w:szCs w:val="20"/>
    </w:rPr>
  </w:style>
  <w:style w:type="paragraph" w:styleId="1160" w:customStyle="1">
    <w:name w:val="Char11"/>
    <w:basedOn w:val="668"/>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61" w:customStyle="1">
    <w:name w:val="正文格式（宋体、12号、间距1.5）"/>
    <w:uiPriority w:val="0"/>
    <w:qFormat/>
    <w:pPr>
      <w:ind w:firstLine="496"/>
      <w:spacing w:line="360" w:lineRule="auto"/>
      <w:widowControl w:val="off"/>
    </w:pPr>
    <w:rPr>
      <w:rFonts w:hint="default" w:ascii="宋体" w:hAnsi="宋体" w:eastAsia="ヒラギノ角ゴ Pro W3" w:cs="Times New Roman"/>
      <w:color w:val="000000"/>
      <w:sz w:val="24"/>
      <w:lang w:val="en-US" w:eastAsia="zh-CN" w:bidi="ar-SA"/>
    </w:rPr>
  </w:style>
  <w:style w:type="paragraph" w:styleId="1162" w:customStyle="1">
    <w:name w:val="UserStyle_1"/>
    <w:next w:val="1157"/>
    <w:uiPriority w:val="0"/>
    <w:qFormat/>
    <w:pPr>
      <w:ind w:firstLine="420"/>
      <w:jc w:val="both"/>
    </w:pPr>
    <w:rPr>
      <w:rFonts w:hint="default" w:ascii="Times New Roman" w:hAnsi="Times New Roman" w:eastAsia="宋体" w:cs="Times New Roman"/>
      <w:sz w:val="21"/>
      <w:szCs w:val="22"/>
      <w:lang w:val="en-US" w:eastAsia="zh-CN" w:bidi="ar-SA"/>
    </w:rPr>
  </w:style>
  <w:style w:type="paragraph" w:styleId="1163" w:customStyle="1">
    <w:name w:val="Char2"/>
    <w:basedOn w:val="668"/>
    <w:uiPriority w:val="0"/>
    <w:qFormat/>
    <w:pPr>
      <w:contextualSpacing/>
      <w:ind w:firstLine="200"/>
      <w:jc w:val="left"/>
      <w:spacing w:line="360" w:lineRule="auto"/>
    </w:pPr>
    <w:rPr>
      <w:rFonts w:ascii="仿宋_GB2312" w:hAnsi="宋体" w:eastAsia="仿宋_GB2312"/>
      <w:b/>
      <w:sz w:val="32"/>
      <w:szCs w:val="32"/>
    </w:rPr>
  </w:style>
  <w:style w:type="paragraph" w:styleId="1164" w:customStyle="1">
    <w:name w:val="Char Char Char Char Char Char"/>
    <w:basedOn w:val="668"/>
    <w:uiPriority w:val="0"/>
    <w:qFormat/>
    <w:pPr>
      <w:contextualSpacing/>
      <w:ind w:firstLine="200"/>
      <w:jc w:val="left"/>
      <w:spacing w:line="360" w:lineRule="auto"/>
    </w:pPr>
    <w:rPr>
      <w:rFonts w:ascii="Tahoma" w:hAnsi="Tahoma"/>
      <w:sz w:val="24"/>
      <w:szCs w:val="20"/>
    </w:rPr>
  </w:style>
  <w:style w:type="paragraph" w:styleId="1165" w:customStyle="1">
    <w:name w:val="Heading21"/>
    <w:next w:val="668"/>
    <w:uiPriority w:val="0"/>
    <w:qFormat/>
    <w:pPr>
      <w:jc w:val="both"/>
      <w:keepLines/>
      <w:keepNext/>
      <w:spacing w:before="260" w:after="260" w:line="415" w:lineRule="auto"/>
    </w:pPr>
    <w:rPr>
      <w:rFonts w:hint="default" w:ascii="Arial" w:hAnsi="Arial" w:eastAsia="黑体" w:cs="Times New Roman"/>
      <w:b/>
      <w:bCs/>
      <w:sz w:val="32"/>
      <w:szCs w:val="32"/>
      <w:lang w:val="en-US" w:eastAsia="zh-CN" w:bidi="ar-SA"/>
    </w:rPr>
  </w:style>
  <w:style w:type="paragraph" w:styleId="1166" w:customStyle="1">
    <w:name w:val="正文文字缩进 2"/>
    <w:basedOn w:val="668"/>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67" w:customStyle="1">
    <w:name w:val="1"/>
    <w:basedOn w:val="668"/>
    <w:next w:val="769"/>
    <w:uiPriority w:val="0"/>
    <w:qFormat/>
    <w:pPr>
      <w:contextualSpacing/>
      <w:ind w:firstLine="480"/>
      <w:jc w:val="left"/>
      <w:spacing w:line="440" w:lineRule="atLeast"/>
      <w:widowControl/>
    </w:pPr>
    <w:rPr>
      <w:rFonts w:ascii="宋体" w:hAnsi="宋体"/>
      <w:sz w:val="24"/>
      <w:szCs w:val="20"/>
    </w:rPr>
  </w:style>
  <w:style w:type="paragraph" w:styleId="1168" w:customStyle="1">
    <w:name w:val="Char1 Char Char Char Char Char Char"/>
    <w:basedOn w:val="668"/>
    <w:uiPriority w:val="0"/>
    <w:qFormat/>
    <w:pPr>
      <w:contextualSpacing/>
      <w:ind w:firstLine="200"/>
      <w:jc w:val="left"/>
      <w:spacing w:line="360" w:lineRule="auto"/>
    </w:pPr>
    <w:rPr>
      <w:rFonts w:ascii="仿宋_GB2312" w:hAnsi="宋体" w:eastAsia="仿宋_GB2312"/>
      <w:b/>
      <w:sz w:val="32"/>
      <w:szCs w:val="32"/>
    </w:rPr>
  </w:style>
  <w:style w:type="paragraph" w:styleId="1169" w:customStyle="1">
    <w:name w:val="正文文字缩进 3"/>
    <w:basedOn w:val="668"/>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70" w:customStyle="1">
    <w:name w:val="自由格式"/>
    <w:uiPriority w:val="0"/>
    <w:qFormat/>
    <w:rPr>
      <w:rFonts w:hint="default" w:ascii="Helvetica" w:hAnsi="Helvetica" w:eastAsia="ヒラギノ角ゴ Pro W3" w:cs="Times New Roman"/>
      <w:color w:val="000000"/>
      <w:sz w:val="24"/>
      <w:lang w:val="en-US" w:eastAsia="zh-CN" w:bidi="ar-SA"/>
    </w:rPr>
  </w:style>
  <w:style w:type="paragraph" w:styleId="1171" w:customStyle="1">
    <w:name w:val="样式4"/>
    <w:basedOn w:val="756"/>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72" w:customStyle="1">
    <w:name w:val="Char3"/>
    <w:basedOn w:val="668"/>
    <w:uiPriority w:val="0"/>
    <w:qFormat/>
    <w:pPr>
      <w:contextualSpacing/>
      <w:ind w:firstLine="200"/>
      <w:jc w:val="left"/>
      <w:spacing w:line="360" w:lineRule="auto"/>
    </w:pPr>
    <w:rPr>
      <w:rFonts w:ascii="仿宋_GB2312" w:hAnsi="宋体" w:eastAsia="仿宋_GB2312"/>
      <w:b/>
      <w:sz w:val="32"/>
      <w:szCs w:val="32"/>
    </w:rPr>
  </w:style>
  <w:style w:type="paragraph" w:styleId="1173" w:customStyle="1">
    <w:name w:val="NormalIndent1"/>
    <w:uiPriority w:val="0"/>
    <w:qFormat/>
    <w:pPr>
      <w:ind w:firstLine="200"/>
      <w:jc w:val="both"/>
      <w:spacing w:after="160" w:line="259" w:lineRule="auto"/>
    </w:pPr>
    <w:rPr>
      <w:rFonts w:hint="default" w:ascii="Times New Roman" w:hAnsi="Times New Roman" w:eastAsia="宋体" w:cs="Times New Roman"/>
      <w:sz w:val="21"/>
      <w:szCs w:val="24"/>
      <w:lang w:val="en-US" w:eastAsia="zh-CN" w:bidi="ar-SA"/>
    </w:rPr>
  </w:style>
  <w:style w:type="paragraph" w:styleId="1174" w:customStyle="1">
    <w:name w:val="Char4"/>
    <w:basedOn w:val="714"/>
    <w:uiPriority w:val="0"/>
    <w:qFormat/>
    <w:pPr>
      <w:contextualSpacing/>
      <w:ind w:firstLine="480"/>
      <w:spacing w:after="156" w:line="360" w:lineRule="auto"/>
      <w:widowControl/>
    </w:pPr>
    <w:rPr>
      <w:rFonts w:ascii="Times New Roman" w:eastAsia="宋体"/>
      <w:sz w:val="21"/>
      <w:szCs w:val="24"/>
    </w:rPr>
  </w:style>
  <w:style w:type="paragraph" w:styleId="1175" w:customStyle="1">
    <w:name w:val="g11"/>
    <w:basedOn w:val="668"/>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76" w:customStyle="1">
    <w:name w:val="普通文字"/>
    <w:basedOn w:val="668"/>
    <w:uiPriority w:val="0"/>
    <w:qFormat/>
    <w:pPr>
      <w:contextualSpacing/>
      <w:ind w:firstLine="419"/>
      <w:jc w:val="left"/>
      <w:spacing w:line="351" w:lineRule="atLeast"/>
      <w:widowControl/>
    </w:pPr>
    <w:rPr>
      <w:rFonts w:ascii="宋体" w:hAnsi="宋体"/>
      <w:color w:val="000000"/>
      <w:sz w:val="24"/>
      <w:szCs w:val="20"/>
    </w:rPr>
  </w:style>
  <w:style w:type="paragraph" w:styleId="1177" w:customStyle="1">
    <w:name w:val="样式 样式 标题 3 + (符号) 宋体 四号 加粗 黑色 段前: 0 磅 段后: 0 磅 行距: 固定值 22 磅 + 段前:..."/>
    <w:basedOn w:val="668"/>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78" w:customStyle="1">
    <w:name w:val="内文正文"/>
    <w:basedOn w:val="745"/>
    <w:uiPriority w:val="0"/>
    <w:qFormat/>
    <w:pPr>
      <w:contextualSpacing/>
      <w:ind w:firstLine="200"/>
      <w:spacing w:line="400" w:lineRule="exact"/>
    </w:pPr>
    <w:rPr>
      <w:rFonts w:ascii="Arial" w:hAnsi="Arial" w:eastAsia="宋体" w:cs="Courier New"/>
      <w:color w:val="000000"/>
      <w:sz w:val="21"/>
      <w:szCs w:val="21"/>
    </w:rPr>
  </w:style>
  <w:style w:type="paragraph" w:styleId="1179" w:customStyle="1">
    <w:name w:val="style11"/>
    <w:basedOn w:val="668"/>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80" w:customStyle="1">
    <w:name w:val="纯文本11"/>
    <w:basedOn w:val="668"/>
    <w:uiPriority w:val="0"/>
    <w:qFormat/>
    <w:pPr>
      <w:jc w:val="left"/>
      <w:widowControl/>
    </w:pPr>
    <w:rPr>
      <w:rFonts w:ascii="宋体" w:hAnsi="Courier New" w:eastAsia="楷体_GB2312"/>
      <w:sz w:val="26"/>
    </w:rPr>
  </w:style>
  <w:style w:type="character" w:styleId="1181" w:customStyle="1">
    <w:name w:val="正文缩进 字符"/>
    <w:link w:val="668"/>
    <w:uiPriority w:val="0"/>
    <w:qFormat/>
    <w:rPr>
      <w:sz w:val="24"/>
      <w:szCs w:val="24"/>
    </w:rPr>
  </w:style>
  <w:style w:type="paragraph" w:styleId="1182" w:customStyle="1">
    <w:name w:val="首行缩进"/>
    <w:basedOn w:val="668"/>
    <w:uiPriority w:val="0"/>
    <w:qFormat/>
    <w:pPr>
      <w:ind w:firstLine="480"/>
    </w:pPr>
    <w:rPr>
      <w:lang w:val="zh-CN"/>
    </w:rPr>
  </w:style>
  <w:style w:type="character" w:styleId="1183" w:customStyle="1">
    <w:name w:val="font21"/>
    <w:basedOn w:val="678"/>
    <w:uiPriority w:val="0"/>
    <w:qFormat/>
    <w:rPr>
      <w:rFonts w:hint="eastAsia" w:ascii="宋体" w:hAnsi="宋体" w:eastAsia="宋体" w:cs="宋体"/>
      <w:color w:val="000000"/>
      <w:sz w:val="18"/>
      <w:szCs w:val="18"/>
      <w:u w:val="none"/>
    </w:rPr>
  </w:style>
  <w:style w:type="character" w:styleId="1184" w:customStyle="1">
    <w:name w:val="font61"/>
    <w:basedOn w:val="678"/>
    <w:uiPriority w:val="0"/>
    <w:qFormat/>
    <w:rPr>
      <w:rFonts w:hint="default" w:ascii="Times New Roman" w:hAnsi="Times New Roman" w:cs="Times New Roman"/>
      <w:color w:val="000000"/>
      <w:sz w:val="18"/>
      <w:szCs w:val="18"/>
      <w:u w:val="none"/>
    </w:rPr>
  </w:style>
  <w:style w:type="numbering" w:styleId="11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8</cp:revision>
  <dcterms:created xsi:type="dcterms:W3CDTF">2025-10-15T05:37:00Z</dcterms:created>
  <dcterms:modified xsi:type="dcterms:W3CDTF">2026-06-15T06:13:09Z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eyJoZGlkIjoiMThlZTVlODkwYWFlMzdkM2VkNjMwY2UzYjBkMWJkYTIiLCJ1c2VySWQiOiIxMDAxNjEzNDY2In0=</vt:lpwstr>
  </property>
  <property fmtid="{D5CDD505-2E9C-101B-9397-08002B2CF9AE}" pid="3" name="KSOProductBuildVer">
    <vt:lpwstr>2052-12.1.0.26895</vt:lpwstr>
  </property>
  <property fmtid="{D5CDD505-2E9C-101B-9397-08002B2CF9AE}" pid="4" name="ICV">
    <vt:lpwstr>1BDADA4ABF9D4FE284DE47535CCDEA20_12</vt:lpwstr>
  </property>
</Properties>
</file>